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DELIVERY METHODOLOGY</w:t>
      </w:r>
    </w:p>
    <w:p>
      <w:pPr>
        <w:spacing w:after="80" w:line="240" w:lineRule="auto"/>
      </w:pPr>
      <w:r>
        <w:rPr>
          <w:b/>
          <w:color w:val="004EA8"/>
          <w:sz w:val="56"/>
        </w:rPr>
        <w:t>Delivery Methodology</w:t>
      </w:r>
    </w:p>
    <w:p>
      <w:pPr>
        <w:spacing w:after="40"/>
      </w:pPr>
      <w:r>
        <w:rPr>
          <w:color w:val="2E2E2E"/>
          <w:sz w:val="28"/>
        </w:rPr>
        <w:t>Hybrid delivery by drops and iterations, definitions of ready and done, quality gates, configuration and release management, change control, documentation standards and governance</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Solution Architect; iorta TechNXT QA lead</w:t>
            </w:r>
          </w:p>
        </w:tc>
        <w:tc>
          <w:tcPr>
            <w:tcW w:type="dxa" w:w="1700"/>
            <w:tcMar>
              <w:top w:w="50" w:type="dxa"/>
              <w:bottom w:w="50" w:type="dxa"/>
              <w:left w:w="90" w:type="dxa"/>
              <w:right w:w="90" w:type="dxa"/>
            </w:tcMar>
          </w:tcPr>
          <w:p>
            <w:pPr>
              <w:pStyle w:val="BDOITable"/>
            </w:pPr>
            <w:r>
              <w:rPr>
                <w:sz w:val="18"/>
              </w:rPr>
              <w:t>Program Manager, Business Project Services (pending)</w:t>
            </w:r>
          </w:p>
        </w:tc>
        <w:tc>
          <w:tcPr>
            <w:tcW w:type="dxa" w:w="2606"/>
            <w:tcMar>
              <w:top w:w="50" w:type="dxa"/>
              <w:bottom w:w="50" w:type="dxa"/>
              <w:left w:w="90" w:type="dxa"/>
              <w:right w:w="90" w:type="dxa"/>
            </w:tcMar>
          </w:tcPr>
          <w:p>
            <w:pPr>
              <w:pStyle w:val="BDOITable"/>
            </w:pPr>
            <w:r>
              <w:rPr>
                <w:sz w:val="18"/>
              </w:rPr>
              <w:t>First issue</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Approval of the delivery approach and governance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BIBS Product Owner</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Ready and done, change control</w:t>
            </w:r>
          </w:p>
        </w:tc>
      </w:tr>
      <w:tr>
        <w:trPr>
          <w:cantSplit w:val="true"/>
        </w:trPr>
        <w:tc>
          <w:tcPr>
            <w:tcW w:type="dxa" w:w="2606"/>
            <w:tcMar>
              <w:top w:w="50" w:type="dxa"/>
              <w:bottom w:w="50" w:type="dxa"/>
              <w:left w:w="90" w:type="dxa"/>
              <w:right w:w="90" w:type="dxa"/>
            </w:tcMar>
          </w:tcPr>
          <w:p>
            <w:pPr>
              <w:pStyle w:val="BDOITable"/>
            </w:pPr>
            <w:r>
              <w:rPr>
                <w:sz w:val="18"/>
              </w:rPr>
              <w:t>Head, BDOI IT</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Quality gates, release and configuration management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BDOI Information Security</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Security scans and patching</w:t>
            </w:r>
          </w:p>
        </w:tc>
      </w:tr>
      <w:tr>
        <w:trPr>
          <w:cantSplit w:val="true"/>
        </w:trPr>
        <w:tc>
          <w:tcPr>
            <w:tcW w:type="dxa" w:w="2606"/>
            <w:tcMar>
              <w:top w:w="50" w:type="dxa"/>
              <w:bottom w:w="50" w:type="dxa"/>
              <w:left w:w="90" w:type="dxa"/>
              <w:right w:w="90" w:type="dxa"/>
            </w:tcMar>
          </w:tcPr>
          <w:p>
            <w:pPr>
              <w:pStyle w:val="BDOITable"/>
            </w:pPr>
            <w:r>
              <w:rPr>
                <w:sz w:val="18"/>
              </w:rPr>
              <w:t>Business owners of BRD-01 to BRD-13</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Ceremonies, sign-off and change control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Applies the methodology</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audience and scope</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1.2 Audience</w:t>
        </w:r>
        <w:r>
          <w:t xml:space="preserve">	</w:t>
        </w:r>
        <w:r>
          <w:t xml:space="preserve">4</w:t>
        </w:r>
      </w:hyperlink>
    </w:p>
    <w:p>
      <w:pPr>
        <w:pStyle w:val="toc2"/>
      </w:pPr>
      <w:hyperlink w:anchor="_Toc000104" w:history="1">
        <w:r>
          <w:t xml:space="preserve">1.3 Scope</w:t>
        </w:r>
        <w:r>
          <w:t xml:space="preserve">	</w:t>
        </w:r>
        <w:r>
          <w:t xml:space="preserve">4</w:t>
        </w:r>
      </w:hyperlink>
    </w:p>
    <w:p>
      <w:pPr>
        <w:pStyle w:val="toc1"/>
      </w:pPr>
      <w:hyperlink w:anchor="_Toc000105" w:history="1">
        <w:r>
          <w:t xml:space="preserve">2 Delivery approach</w:t>
        </w:r>
        <w:r>
          <w:t xml:space="preserve">	</w:t>
        </w:r>
        <w:r>
          <w:t xml:space="preserve">4</w:t>
        </w:r>
      </w:hyperlink>
    </w:p>
    <w:p>
      <w:pPr>
        <w:pStyle w:val="toc2"/>
      </w:pPr>
      <w:hyperlink w:anchor="_Toc000106" w:history="1">
        <w:r>
          <w:t xml:space="preserve">2.1 Principles</w:t>
        </w:r>
        <w:r>
          <w:t xml:space="preserve">	</w:t>
        </w:r>
        <w:r>
          <w:t xml:space="preserve">5</w:t>
        </w:r>
      </w:hyperlink>
    </w:p>
    <w:p>
      <w:pPr>
        <w:pStyle w:val="toc2"/>
      </w:pPr>
      <w:hyperlink w:anchor="_Toc000107" w:history="1">
        <w:r>
          <w:t xml:space="preserve">2.2 Drops and development waves</w:t>
        </w:r>
        <w:r>
          <w:t xml:space="preserve">	</w:t>
        </w:r>
        <w:r>
          <w:t xml:space="preserve">6</w:t>
        </w:r>
      </w:hyperlink>
    </w:p>
    <w:p>
      <w:pPr>
        <w:pStyle w:val="toc1"/>
      </w:pPr>
      <w:hyperlink w:anchor="_Toc000108" w:history="1">
        <w:r>
          <w:t xml:space="preserve">3 Iterations and ceremonies</w:t>
        </w:r>
        <w:r>
          <w:t xml:space="preserve">	</w:t>
        </w:r>
        <w:r>
          <w:t xml:space="preserve">6</w:t>
        </w:r>
      </w:hyperlink>
    </w:p>
    <w:p>
      <w:pPr>
        <w:pStyle w:val="toc1"/>
      </w:pPr>
      <w:hyperlink w:anchor="_Toc000109" w:history="1">
        <w:r>
          <w:t xml:space="preserve">4 Definition of ready and definition of done</w:t>
        </w:r>
        <w:r>
          <w:t xml:space="preserve">	</w:t>
        </w:r>
        <w:r>
          <w:t xml:space="preserve">7</w:t>
        </w:r>
      </w:hyperlink>
    </w:p>
    <w:p>
      <w:pPr>
        <w:pStyle w:val="toc2"/>
      </w:pPr>
      <w:hyperlink w:anchor="_Toc000110" w:history="1">
        <w:r>
          <w:t xml:space="preserve">4.1 Definition of ready (an item may enter an iteration)</w:t>
        </w:r>
        <w:r>
          <w:t xml:space="preserve">	</w:t>
        </w:r>
        <w:r>
          <w:t xml:space="preserve">7</w:t>
        </w:r>
      </w:hyperlink>
    </w:p>
    <w:p>
      <w:pPr>
        <w:pStyle w:val="toc2"/>
      </w:pPr>
      <w:hyperlink w:anchor="_Toc000111" w:history="1">
        <w:r>
          <w:t xml:space="preserve">4.2 Definition of done</w:t>
        </w:r>
        <w:r>
          <w:t xml:space="preserve">	</w:t>
        </w:r>
        <w:r>
          <w:t xml:space="preserve">7</w:t>
        </w:r>
      </w:hyperlink>
    </w:p>
    <w:p>
      <w:pPr>
        <w:pStyle w:val="toc1"/>
      </w:pPr>
      <w:hyperlink w:anchor="_Toc000112" w:history="1">
        <w:r>
          <w:t xml:space="preserve">5 Quality gates</w:t>
        </w:r>
        <w:r>
          <w:t xml:space="preserve">	</w:t>
        </w:r>
        <w:r>
          <w:t xml:space="preserve">7</w:t>
        </w:r>
      </w:hyperlink>
    </w:p>
    <w:p>
      <w:pPr>
        <w:pStyle w:val="toc2"/>
      </w:pPr>
      <w:hyperlink w:anchor="_Toc000113" w:history="1">
        <w:r>
          <w:t xml:space="preserve">5.1 Test levels and incident severities</w:t>
        </w:r>
        <w:r>
          <w:t xml:space="preserve">	</w:t>
        </w:r>
        <w:r>
          <w:t xml:space="preserve">9</w:t>
        </w:r>
      </w:hyperlink>
    </w:p>
    <w:p>
      <w:pPr>
        <w:pStyle w:val="toc1"/>
      </w:pPr>
      <w:hyperlink w:anchor="_Toc000114" w:history="1">
        <w:r>
          <w:t xml:space="preserve">6 Configuration and release management</w:t>
        </w:r>
        <w:r>
          <w:t xml:space="preserve">	</w:t>
        </w:r>
        <w:r>
          <w:t xml:space="preserve">9</w:t>
        </w:r>
      </w:hyperlink>
    </w:p>
    <w:p>
      <w:pPr>
        <w:pStyle w:val="toc2"/>
      </w:pPr>
      <w:hyperlink w:anchor="_Toc000115" w:history="1">
        <w:r>
          <w:t xml:space="preserve">6.1 Configuration items</w:t>
        </w:r>
        <w:r>
          <w:t xml:space="preserve">	</w:t>
        </w:r>
        <w:r>
          <w:t xml:space="preserve">9</w:t>
        </w:r>
      </w:hyperlink>
    </w:p>
    <w:p>
      <w:pPr>
        <w:pStyle w:val="toc2"/>
      </w:pPr>
      <w:hyperlink w:anchor="_Toc000116" w:history="1">
        <w:r>
          <w:t xml:space="preserve">6.2 Release flow</w:t>
        </w:r>
        <w:r>
          <w:t xml:space="preserve">	</w:t>
        </w:r>
        <w:r>
          <w:t xml:space="preserve">10</w:t>
        </w:r>
      </w:hyperlink>
    </w:p>
    <w:p>
      <w:pPr>
        <w:pStyle w:val="toc1"/>
      </w:pPr>
      <w:hyperlink w:anchor="_Toc000117" w:history="1">
        <w:r>
          <w:t xml:space="preserve">7 Requirement change control</w:t>
        </w:r>
        <w:r>
          <w:t xml:space="preserve">	</w:t>
        </w:r>
        <w:r>
          <w:t xml:space="preserve">10</w:t>
        </w:r>
      </w:hyperlink>
    </w:p>
    <w:p>
      <w:pPr>
        <w:pStyle w:val="toc2"/>
      </w:pPr>
      <w:hyperlink w:anchor="_Toc000118" w:history="1">
        <w:r>
          <w:t xml:space="preserve">7.1 When change control applies</w:t>
        </w:r>
        <w:r>
          <w:t xml:space="preserve">	</w:t>
        </w:r>
        <w:r>
          <w:t xml:space="preserve">10</w:t>
        </w:r>
      </w:hyperlink>
    </w:p>
    <w:p>
      <w:pPr>
        <w:pStyle w:val="toc2"/>
      </w:pPr>
      <w:hyperlink w:anchor="_Toc000119" w:history="1">
        <w:r>
          <w:t xml:space="preserve">7.2 Process</w:t>
        </w:r>
        <w:r>
          <w:t xml:space="preserve">	</w:t>
        </w:r>
        <w:r>
          <w:t xml:space="preserve">11</w:t>
        </w:r>
      </w:hyperlink>
    </w:p>
    <w:p>
      <w:pPr>
        <w:pStyle w:val="toc1"/>
      </w:pPr>
      <w:hyperlink w:anchor="_Toc000120" w:history="1">
        <w:r>
          <w:t xml:space="preserve">8 Documentation standards</w:t>
        </w:r>
        <w:r>
          <w:t xml:space="preserve">	</w:t>
        </w:r>
        <w:r>
          <w:t xml:space="preserve">12</w:t>
        </w:r>
      </w:hyperlink>
    </w:p>
    <w:p>
      <w:pPr>
        <w:pStyle w:val="toc1"/>
      </w:pPr>
      <w:hyperlink w:anchor="_Toc000121" w:history="1">
        <w:r>
          <w:t xml:space="preserve">9 Governance cadence</w:t>
        </w:r>
        <w:r>
          <w:t xml:space="preserve">	</w:t>
        </w:r>
        <w:r>
          <w:t xml:space="preserve">12</w:t>
        </w:r>
      </w:hyperlink>
    </w:p>
    <w:p>
      <w:pPr>
        <w:pStyle w:val="toc2"/>
      </w:pPr>
      <w:hyperlink w:anchor="_Toc000122" w:history="1">
        <w:r>
          <w:t xml:space="preserve">9.1 Status reporting</w:t>
        </w:r>
        <w:r>
          <w:t xml:space="preserve">	</w:t>
        </w:r>
        <w:r>
          <w:t xml:space="preserve">13</w:t>
        </w:r>
      </w:hyperlink>
    </w:p>
    <w:p>
      <w:pPr>
        <w:pStyle w:val="toc1"/>
      </w:pPr>
      <w:hyperlink w:anchor="_Toc000123" w:history="1">
        <w:r>
          <w:t xml:space="preserve">10 Roles and responsibilities</w:t>
        </w:r>
        <w:r>
          <w:t xml:space="preserve">	</w:t>
        </w:r>
        <w:r>
          <w:t xml:space="preserve">13</w:t>
        </w:r>
      </w:hyperlink>
    </w:p>
    <w:p>
      <w:pPr>
        <w:pStyle w:val="toc1"/>
      </w:pPr>
      <w:hyperlink w:anchor="_Toc000124" w:history="1">
        <w:r>
          <w:t xml:space="preserve">11 References</w:t>
        </w:r>
        <w:r>
          <w:t xml:space="preserve">	</w:t>
        </w:r>
        <w:r>
          <w:t xml:space="preserve">15</w:t>
        </w:r>
      </w:hyperlink>
    </w:p>
    <w:p>
      <w:pPr>
        <w:pStyle w:val="toc1"/>
      </w:pPr>
      <w:hyperlink w:anchor="_Toc000125" w:history="1">
        <w:r>
          <w:t xml:space="preserve">12 Decisions and open points for BDOI</w:t>
        </w:r>
        <w:r>
          <w:t xml:space="preserve">	</w:t>
        </w:r>
        <w:r>
          <w:t xml:space="preserve">15</w:t>
        </w:r>
      </w:hyperlink>
      <w:r>
        <w:fldChar w:fldCharType="end"/>
      </w:r>
    </w:p>
    <w:p>
      <w:pPr>
        <w:pStyle w:val="Heading1"/>
        <w:pageBreakBefore/>
        <w:pBdr>
          <w:bottom w:val="single" w:sz="4" w:space="4" w:color="99C1E7"/>
        </w:pBdr>
      </w:pPr>
      <w:bookmarkStart w:id="101" w:name="_Toc000101"/>
      <w:r>
        <w:rPr/>
        <w:t>1 Purpose, audience and scope</w:t>
      </w:r>
      <w:bookmarkEnd w:id="101"/>
    </w:p>
    <w:p>
      <w:pPr>
        <w:pStyle w:val="Heading2"/>
      </w:pPr>
      <w:bookmarkStart w:id="102" w:name="_Toc000102"/>
      <w:r>
        <w:rPr/>
        <w:t>1.1 Purpose</w:t>
      </w:r>
      <w:bookmarkEnd w:id="102"/>
    </w:p>
    <w:p>
      <w:r>
        <w:rPr/>
        <w:t>This document states how the BIBS programme is delivered: how the BDOI drops and the iterations of the delivery team fit together, when a requirement is ready for development and when a change is done, the quality gates every change passes, how configuration and releases are managed, how requirement changes are controlled, which documentation standards apply and how the programme is governed. It is the agreement between BDOI and iorta TechNXT on the way of working; the dates are in the Project Plan.</w:t>
      </w:r>
    </w:p>
    <w:p>
      <w:pPr>
        <w:pStyle w:val="Heading2"/>
      </w:pPr>
      <w:bookmarkStart w:id="103" w:name="_Toc000103"/>
      <w:r>
        <w:rPr/>
        <w:t>1.2 Audience</w:t>
      </w:r>
      <w:bookmarkEnd w:id="103"/>
    </w:p>
    <w:p>
      <w:r>
        <w:rPr/>
        <w:t>The Program Manager of Business Project Services and the BIBS Product Owner (approval), the business owners of each BRD and their key users (ceremonies, reviews, sign-off), BDOI IT and Information Security (quality, release, security), and the iorta TechNXT project team.</w:t>
      </w:r>
    </w:p>
    <w:p>
      <w:pPr>
        <w:pStyle w:val="Heading2"/>
      </w:pPr>
      <w:bookmarkStart w:id="104" w:name="_Toc000104"/>
      <w:r>
        <w:rPr/>
        <w:t>1.3 Scope</w:t>
      </w:r>
      <w:bookmarkEnd w:id="104"/>
    </w:p>
    <w:p>
      <w:r>
        <w:rPr/>
        <w:t>All work of the programme from requirements to the hand-over to production support: Drop 0, Drop 1, Drop 2, the data migration stream, the integrations with BDO systems and the readiness activities. Production support after the hypercare follows the support model agreed in the Knowledge Transfer Plan.</w:t>
      </w:r>
    </w:p>
    <w:p>
      <w:pPr>
        <w:pStyle w:val="Heading1"/>
        <w:pBdr>
          <w:bottom w:val="single" w:sz="4" w:space="4" w:color="99C1E7"/>
        </w:pBdr>
      </w:pPr>
      <w:bookmarkStart w:id="105" w:name="_Toc000105"/>
      <w:r>
        <w:rPr/>
        <w:t>2 Delivery approach</w:t>
      </w:r>
      <w:bookmarkEnd w:id="105"/>
    </w:p>
    <w:p>
      <w:r>
        <w:rPr/>
        <w:t xml:space="preserve">BIBS is delivered in a </w:t>
      </w:r>
      <w:r>
        <w:rPr>
          <w:b/>
        </w:rPr>
        <w:t>hybrid</w:t>
      </w:r>
      <w:r>
        <w:rPr/>
        <w:t xml:space="preserve"> way. The </w:t>
      </w:r>
      <w:r>
        <w:rPr>
          <w:b/>
        </w:rPr>
        <w:t>plan-driven frame</w:t>
      </w:r>
      <w:r>
        <w:rPr/>
        <w:t xml:space="preserve"> comes from BDOI: three drops that split the requirements, test and sign-off workload, one end-to-end UAT, and one go-live of all modules together in January 2028. Inside that frame the delivery team works in </w:t>
      </w:r>
      <w:r>
        <w:rPr>
          <w:b/>
        </w:rPr>
        <w:t>two-week iterations</w:t>
      </w:r>
      <w:r>
        <w:rPr/>
        <w:t>: each iteration takes requirements that meet the definition of ready, delivers them through the quality gates, shows them to the key users and feeds the release that goes to SIT.</w:t>
      </w:r>
    </w:p>
    <w:p>
      <w:pPr>
        <w:keepNext/>
        <w:spacing w:before="80" w:after="0"/>
        <w:jc w:val="center"/>
      </w:pPr>
      <w:r>
        <w:drawing>
          <wp:inline xmlns:a="http://schemas.openxmlformats.org/drawingml/2006/main" xmlns:pic="http://schemas.openxmlformats.org/drawingml/2006/picture">
            <wp:extent cx="2457843" cy="6694388"/>
            <wp:docPr id="3" name="Picture 3"/>
            <wp:cNvGraphicFramePr>
              <a:graphicFrameLocks noChangeAspect="1"/>
            </wp:cNvGraphicFramePr>
            <a:graphic>
              <a:graphicData uri="http://schemas.openxmlformats.org/drawingml/2006/picture">
                <pic:pic>
                  <pic:nvPicPr>
                    <pic:cNvPr id="0" name="dm_lifecycle_456.jpg"/>
                    <pic:cNvPicPr/>
                  </pic:nvPicPr>
                  <pic:blipFill>
                    <a:blip r:embed="rId15"/>
                    <a:stretch>
                      <a:fillRect/>
                    </a:stretch>
                  </pic:blipFill>
                  <pic:spPr>
                    <a:xfrm>
                      <a:off x="0" y="0"/>
                      <a:ext cx="2457843" cy="6694388"/>
                    </a:xfrm>
                    <a:prstGeom prst="rect"/>
                  </pic:spPr>
                </pic:pic>
              </a:graphicData>
            </a:graphic>
          </wp:inline>
        </w:drawing>
      </w:r>
    </w:p>
    <w:p>
      <w:pPr>
        <w:pStyle w:val="Caption"/>
        <w:jc w:val="center"/>
      </w:pPr>
      <w:r>
        <w:rPr>
          <w:b/>
          <w:i w:val="0"/>
        </w:rPr>
        <w:t xml:space="preserve">Figure 1: </w:t>
      </w:r>
      <w:r>
        <w:rPr/>
        <w:t>Hybrid delivery: drops, iterations, releases and test stages</w:t>
      </w:r>
    </w:p>
    <w:p>
      <w:pPr>
        <w:pStyle w:val="Heading2"/>
      </w:pPr>
      <w:bookmarkStart w:id="106" w:name="_Toc000106"/>
      <w:r>
        <w:rPr/>
        <w:t>2.1 Principles</w:t>
      </w:r>
      <w:bookmarkEnd w:id="106"/>
    </w:p>
    <w:p>
      <w:pPr>
        <w:tabs>
          <w:tab w:pos="312" w:val="left"/>
        </w:tabs>
        <w:spacing w:after="40"/>
        <w:ind w:left="312" w:hanging="283"/>
      </w:pPr>
      <w:r>
        <w:rPr>
          <w:color w:val="004EA8"/>
        </w:rPr>
        <w:t>•</w:t>
        <w:tab/>
      </w:r>
      <w:r>
        <w:rPr>
          <w:b/>
        </w:rPr>
        <w:t>Configure before changing.</w:t>
      </w:r>
      <w:r>
        <w:rPr/>
        <w:t xml:space="preserve"> A requirement is met by configuration (lists, parameters, rules, templates, workflow stages) where the platform allows it; a change to the application is the second choice and is traced to its FR.</w:t>
      </w:r>
    </w:p>
    <w:p>
      <w:pPr>
        <w:tabs>
          <w:tab w:pos="312" w:val="left"/>
        </w:tabs>
        <w:spacing w:after="40"/>
        <w:ind w:left="312" w:hanging="283"/>
      </w:pPr>
      <w:r>
        <w:rPr>
          <w:color w:val="004EA8"/>
        </w:rPr>
        <w:t>•</w:t>
        <w:tab/>
      </w:r>
      <w:r>
        <w:rPr>
          <w:b/>
        </w:rPr>
        <w:t>One source of truth per item.</w:t>
      </w:r>
      <w:r>
        <w:rPr/>
        <w:t xml:space="preserve"> BRD (what BDOI needs) - FRS (how BIBS meets it) - test case - UAT result - release note; every link carries the BRD requirement ID and page.</w:t>
      </w:r>
    </w:p>
    <w:p>
      <w:pPr>
        <w:tabs>
          <w:tab w:pos="312" w:val="left"/>
        </w:tabs>
        <w:spacing w:after="40"/>
        <w:ind w:left="312" w:hanging="283"/>
      </w:pPr>
      <w:r>
        <w:rPr>
          <w:color w:val="004EA8"/>
        </w:rPr>
        <w:t>•</w:t>
        <w:tab/>
      </w:r>
      <w:r>
        <w:rPr>
          <w:b/>
        </w:rPr>
        <w:t>Business content in the sign-off sets.</w:t>
      </w:r>
      <w:r>
        <w:rPr/>
        <w:t xml:space="preserve"> Sign-off sets hold business content only; technical detail goes to the Technical Specification reviewed by BDOI IT.</w:t>
      </w:r>
    </w:p>
    <w:p>
      <w:pPr>
        <w:tabs>
          <w:tab w:pos="312" w:val="left"/>
        </w:tabs>
        <w:spacing w:after="40"/>
        <w:ind w:left="312" w:hanging="283"/>
      </w:pPr>
      <w:r>
        <w:rPr>
          <w:color w:val="004EA8"/>
        </w:rPr>
        <w:t>•</w:t>
        <w:tab/>
      </w:r>
      <w:r>
        <w:rPr>
          <w:b/>
        </w:rPr>
        <w:t>Seed data outside production.</w:t>
      </w:r>
      <w:r>
        <w:rPr/>
        <w:t xml:space="preserve"> SIT, UAT and training use seed data and masked extracts; production data never leaves production unmasked.</w:t>
      </w:r>
    </w:p>
    <w:p>
      <w:pPr>
        <w:tabs>
          <w:tab w:pos="312" w:val="left"/>
        </w:tabs>
        <w:spacing w:after="40"/>
        <w:ind w:left="312" w:hanging="283"/>
      </w:pPr>
      <w:r>
        <w:rPr>
          <w:color w:val="004EA8"/>
        </w:rPr>
        <w:t>•</w:t>
        <w:tab/>
      </w:r>
      <w:r>
        <w:rPr>
          <w:b/>
        </w:rPr>
        <w:t>Small, frequent releases.</w:t>
      </w:r>
      <w:r>
        <w:rPr/>
        <w:t xml:space="preserve"> A release into SIT at the end of every iteration; regression on every release; nothing reaches UAT that has not passed SIT.</w:t>
      </w:r>
    </w:p>
    <w:p>
      <w:pPr>
        <w:tabs>
          <w:tab w:pos="312" w:val="left"/>
        </w:tabs>
        <w:spacing w:after="120"/>
        <w:ind w:left="312" w:hanging="283"/>
      </w:pPr>
      <w:r>
        <w:rPr>
          <w:color w:val="004EA8"/>
        </w:rPr>
        <w:t>•</w:t>
        <w:tab/>
      </w:r>
      <w:r>
        <w:rPr>
          <w:b/>
        </w:rPr>
        <w:t>Decisions are recorded.</w:t>
      </w:r>
      <w:r>
        <w:rPr/>
        <w:t xml:space="preserve"> Every clarification, decision and change has an ID, an owner and a date (clarification chapters, decision logs, Change Management Register, RAID log).</w:t>
      </w:r>
    </w:p>
    <w:p>
      <w:pPr>
        <w:pStyle w:val="Heading2"/>
      </w:pPr>
      <w:bookmarkStart w:id="107" w:name="_Toc000107"/>
      <w:r>
        <w:rPr/>
        <w:t>2.2 Drops and development waves</w:t>
      </w:r>
      <w:bookmarkEnd w:id="107"/>
    </w:p>
    <w:p>
      <w:pPr>
        <w:pStyle w:val="Caption"/>
        <w:keepNext/>
        <w:spacing w:after="60"/>
      </w:pPr>
      <w:r>
        <w:rPr>
          <w:b/>
          <w:i w:val="0"/>
        </w:rPr>
        <w:t xml:space="preserve">Table 1: </w:t>
      </w:r>
      <w:r>
        <w:rPr/>
        <w:t>Drops, development waves and releases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2403"/>
        <w:gridCol w:w="2042"/>
        <w:gridCol w:w="4085"/>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7"/>
              </w:rPr>
              <w:t>Drop</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BRDs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Development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Content of the releases</w:t>
            </w:r>
          </w:p>
        </w:tc>
      </w:tr>
      <w:tr>
        <w:trPr>
          <w:cantSplit w:val="true"/>
        </w:trPr>
        <w:tc>
          <w:tcPr>
            <w:tcW w:type="dxa" w:w="1442"/>
            <w:tcMar>
              <w:top w:w="50" w:type="dxa"/>
              <w:bottom w:w="50" w:type="dxa"/>
              <w:left w:w="90" w:type="dxa"/>
              <w:right w:w="90" w:type="dxa"/>
            </w:tcMar>
          </w:tcPr>
          <w:p>
            <w:pPr>
              <w:pStyle w:val="BDOITable"/>
            </w:pPr>
            <w:r>
              <w:rPr>
                <w:sz w:val="17"/>
              </w:rPr>
              <w:t>Drop 0</w:t>
            </w:r>
          </w:p>
        </w:tc>
        <w:tc>
          <w:tcPr>
            <w:tcW w:type="dxa" w:w="2403"/>
            <w:tcMar>
              <w:top w:w="50" w:type="dxa"/>
              <w:bottom w:w="50" w:type="dxa"/>
              <w:left w:w="90" w:type="dxa"/>
              <w:right w:w="90" w:type="dxa"/>
            </w:tcMar>
          </w:tcPr>
          <w:p>
            <w:pPr>
              <w:pStyle w:val="BDOITable"/>
            </w:pPr>
            <w:r>
              <w:rPr>
                <w:sz w:val="17"/>
              </w:rPr>
              <w:t>BRD-03, BRD-11, BRD-13 (and GL accounts of BRD-05)</w:t>
            </w:r>
          </w:p>
        </w:tc>
        <w:tc>
          <w:tcPr>
            <w:tcW w:type="dxa" w:w="2042"/>
            <w:tcMar>
              <w:top w:w="50" w:type="dxa"/>
              <w:bottom w:w="50" w:type="dxa"/>
              <w:left w:w="90" w:type="dxa"/>
              <w:right w:w="90" w:type="dxa"/>
            </w:tcMar>
          </w:tcPr>
          <w:p>
            <w:pPr>
              <w:pStyle w:val="BDOITable"/>
            </w:pPr>
            <w:r>
              <w:rPr>
                <w:sz w:val="17"/>
              </w:rPr>
              <w:t>First wave, Nov - Dec 2026; Migration Console Nov 2026 - Mar 2027</w:t>
            </w:r>
          </w:p>
        </w:tc>
        <w:tc>
          <w:tcPr>
            <w:tcW w:type="dxa" w:w="4085"/>
            <w:tcMar>
              <w:top w:w="50" w:type="dxa"/>
              <w:bottom w:w="50" w:type="dxa"/>
              <w:left w:w="90" w:type="dxa"/>
              <w:right w:w="90" w:type="dxa"/>
            </w:tcMar>
          </w:tcPr>
          <w:p>
            <w:pPr>
              <w:pStyle w:val="BDOITable"/>
            </w:pPr>
            <w:r>
              <w:rPr>
                <w:sz w:val="17"/>
              </w:rPr>
              <w:t>Setup, sign-in and user access, product maintenance, data management, workflow; migration functions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Drop 1</w:t>
            </w:r>
          </w:p>
        </w:tc>
        <w:tc>
          <w:tcPr>
            <w:tcW w:type="dxa" w:w="2403"/>
            <w:tcMar>
              <w:top w:w="50" w:type="dxa"/>
              <w:bottom w:w="50" w:type="dxa"/>
              <w:left w:w="90" w:type="dxa"/>
              <w:right w:w="90" w:type="dxa"/>
            </w:tcMar>
            <w:shd w:val="clear" w:color="auto" w:fill="E5F5FF"/>
          </w:tcPr>
          <w:p>
            <w:pPr>
              <w:pStyle w:val="BDOITable"/>
            </w:pPr>
            <w:r>
              <w:rPr>
                <w:sz w:val="17"/>
              </w:rPr>
              <w:t>BRD-01, 02, 04, 05, 06, 09, 10, 12</w:t>
            </w:r>
          </w:p>
        </w:tc>
        <w:tc>
          <w:tcPr>
            <w:tcW w:type="dxa" w:w="2042"/>
            <w:tcMar>
              <w:top w:w="50" w:type="dxa"/>
              <w:bottom w:w="50" w:type="dxa"/>
              <w:left w:w="90" w:type="dxa"/>
              <w:right w:w="90" w:type="dxa"/>
            </w:tcMar>
            <w:shd w:val="clear" w:color="auto" w:fill="E5F5FF"/>
          </w:tcPr>
          <w:p>
            <w:pPr>
              <w:pStyle w:val="BDOITable"/>
            </w:pPr>
            <w:r>
              <w:rPr>
                <w:sz w:val="17"/>
              </w:rPr>
              <w:t>First wave (upstream) Nov - Dec 2026; second wave (downstream) Jan - Feb 2027</w:t>
            </w:r>
          </w:p>
        </w:tc>
        <w:tc>
          <w:tcPr>
            <w:tcW w:type="dxa" w:w="4085"/>
            <w:tcMar>
              <w:top w:w="50" w:type="dxa"/>
              <w:bottom w:w="50" w:type="dxa"/>
              <w:left w:w="90" w:type="dxa"/>
              <w:right w:w="90" w:type="dxa"/>
            </w:tcMar>
            <w:shd w:val="clear" w:color="auto" w:fill="E5F5FF"/>
          </w:tcPr>
          <w:p>
            <w:pPr>
              <w:pStyle w:val="BDOITable"/>
            </w:pPr>
            <w:r>
              <w:rPr>
                <w:sz w:val="17"/>
              </w:rPr>
              <w:t>Client onboarding to booking, renewal, submitted policies; cashiering, remittance, adjustment, accounting, disbursement, commission receivables, reports</w:t>
            </w:r>
          </w:p>
        </w:tc>
      </w:tr>
      <w:tr>
        <w:trPr>
          <w:cantSplit w:val="true"/>
        </w:trPr>
        <w:tc>
          <w:tcPr>
            <w:tcW w:type="dxa" w:w="1442"/>
            <w:tcMar>
              <w:top w:w="50" w:type="dxa"/>
              <w:bottom w:w="50" w:type="dxa"/>
              <w:left w:w="90" w:type="dxa"/>
              <w:right w:w="90" w:type="dxa"/>
            </w:tcMar>
          </w:tcPr>
          <w:p>
            <w:pPr>
              <w:pStyle w:val="BDOITable"/>
            </w:pPr>
            <w:r>
              <w:rPr>
                <w:sz w:val="17"/>
              </w:rPr>
              <w:t>Drop 2</w:t>
            </w:r>
          </w:p>
        </w:tc>
        <w:tc>
          <w:tcPr>
            <w:tcW w:type="dxa" w:w="2403"/>
            <w:tcMar>
              <w:top w:w="50" w:type="dxa"/>
              <w:bottom w:w="50" w:type="dxa"/>
              <w:left w:w="90" w:type="dxa"/>
              <w:right w:w="90" w:type="dxa"/>
            </w:tcMar>
          </w:tcPr>
          <w:p>
            <w:pPr>
              <w:pStyle w:val="BDOITable"/>
            </w:pPr>
            <w:r>
              <w:rPr>
                <w:sz w:val="17"/>
              </w:rPr>
              <w:t>BRD-07, BRD-08; Production Reconciliation; Marketing Collection extraction</w:t>
            </w:r>
          </w:p>
        </w:tc>
        <w:tc>
          <w:tcPr>
            <w:tcW w:type="dxa" w:w="2042"/>
            <w:tcMar>
              <w:top w:w="50" w:type="dxa"/>
              <w:bottom w:w="50" w:type="dxa"/>
              <w:left w:w="90" w:type="dxa"/>
              <w:right w:w="90" w:type="dxa"/>
            </w:tcMar>
          </w:tcPr>
          <w:p>
            <w:pPr>
              <w:pStyle w:val="BDOITable"/>
            </w:pPr>
            <w:r>
              <w:rPr>
                <w:sz w:val="17"/>
              </w:rPr>
              <w:t>Third wave, Mar - Apr 2027</w:t>
            </w:r>
          </w:p>
        </w:tc>
        <w:tc>
          <w:tcPr>
            <w:tcW w:type="dxa" w:w="4085"/>
            <w:tcMar>
              <w:top w:w="50" w:type="dxa"/>
              <w:bottom w:w="50" w:type="dxa"/>
              <w:left w:w="90" w:type="dxa"/>
              <w:right w:w="90" w:type="dxa"/>
            </w:tcMar>
          </w:tcPr>
          <w:p>
            <w:pPr>
              <w:pStyle w:val="BDOITable"/>
            </w:pPr>
            <w:r>
              <w:rPr>
                <w:sz w:val="17"/>
              </w:rPr>
              <w:t>Claims, Employee Benefits without portal, other reports, EGL, EDP and insurer exchanges; CSF Case Management if approved</w:t>
            </w:r>
          </w:p>
        </w:tc>
      </w:tr>
    </w:tbl>
    <w:p>
      <w:pPr>
        <w:pStyle w:val="BDOISpacer"/>
      </w:pPr>
    </w:p>
    <w:p>
      <w:pPr>
        <w:pStyle w:val="Heading1"/>
        <w:pBdr>
          <w:bottom w:val="single" w:sz="4" w:space="4" w:color="99C1E7"/>
        </w:pBdr>
      </w:pPr>
      <w:bookmarkStart w:id="108" w:name="_Toc000108"/>
      <w:r>
        <w:rPr/>
        <w:t>3 Iterations and ceremonies</w:t>
      </w:r>
      <w:bookmarkEnd w:id="108"/>
    </w:p>
    <w:p>
      <w:pPr>
        <w:pStyle w:val="Caption"/>
        <w:keepNext/>
        <w:spacing w:after="60"/>
      </w:pPr>
      <w:r>
        <w:rPr>
          <w:b/>
          <w:i w:val="0"/>
        </w:rPr>
        <w:t xml:space="preserve">Table 2: </w:t>
      </w:r>
      <w:r>
        <w:rPr/>
        <w:t>Ceremonies of the delivery team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1441"/>
        <w:gridCol w:w="1441"/>
        <w:gridCol w:w="2763"/>
        <w:gridCol w:w="2403"/>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Ceremony</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Length</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Output</w:t>
            </w:r>
          </w:p>
        </w:tc>
      </w:tr>
      <w:tr>
        <w:trPr>
          <w:cantSplit w:val="true"/>
        </w:trPr>
        <w:tc>
          <w:tcPr>
            <w:tcW w:type="dxa" w:w="1922"/>
            <w:tcMar>
              <w:top w:w="50" w:type="dxa"/>
              <w:bottom w:w="50" w:type="dxa"/>
              <w:left w:w="90" w:type="dxa"/>
              <w:right w:w="90" w:type="dxa"/>
            </w:tcMar>
          </w:tcPr>
          <w:p>
            <w:pPr>
              <w:pStyle w:val="BDOITable"/>
            </w:pPr>
            <w:r>
              <w:rPr>
                <w:sz w:val="17"/>
              </w:rPr>
              <w:t>Daily stand-up</w:t>
            </w:r>
          </w:p>
        </w:tc>
        <w:tc>
          <w:tcPr>
            <w:tcW w:type="dxa" w:w="1442"/>
            <w:tcMar>
              <w:top w:w="50" w:type="dxa"/>
              <w:bottom w:w="50" w:type="dxa"/>
              <w:left w:w="90" w:type="dxa"/>
              <w:right w:w="90" w:type="dxa"/>
            </w:tcMar>
          </w:tcPr>
          <w:p>
            <w:pPr>
              <w:pStyle w:val="BDOITable"/>
            </w:pPr>
            <w:r>
              <w:rPr>
                <w:sz w:val="17"/>
              </w:rPr>
              <w:t>Every working day, 09:15 PHT</w:t>
            </w:r>
          </w:p>
        </w:tc>
        <w:tc>
          <w:tcPr>
            <w:tcW w:type="dxa" w:w="1442"/>
            <w:tcMar>
              <w:top w:w="50" w:type="dxa"/>
              <w:bottom w:w="50" w:type="dxa"/>
              <w:left w:w="90" w:type="dxa"/>
              <w:right w:w="90" w:type="dxa"/>
            </w:tcMar>
          </w:tcPr>
          <w:p>
            <w:pPr>
              <w:pStyle w:val="BDOITable"/>
            </w:pPr>
            <w:r>
              <w:rPr>
                <w:sz w:val="17"/>
              </w:rPr>
              <w:t>15 minutes</w:t>
            </w:r>
          </w:p>
        </w:tc>
        <w:tc>
          <w:tcPr>
            <w:tcW w:type="dxa" w:w="2763"/>
            <w:tcMar>
              <w:top w:w="50" w:type="dxa"/>
              <w:bottom w:w="50" w:type="dxa"/>
              <w:left w:w="90" w:type="dxa"/>
              <w:right w:w="90" w:type="dxa"/>
            </w:tcMar>
          </w:tcPr>
          <w:p>
            <w:pPr>
              <w:pStyle w:val="BDOITable"/>
            </w:pPr>
            <w:r>
              <w:rPr>
                <w:sz w:val="17"/>
              </w:rPr>
              <w:t>Delivery team; iorta Project Manager</w:t>
            </w:r>
          </w:p>
        </w:tc>
        <w:tc>
          <w:tcPr>
            <w:tcW w:type="dxa" w:w="2403"/>
            <w:tcMar>
              <w:top w:w="50" w:type="dxa"/>
              <w:bottom w:w="50" w:type="dxa"/>
              <w:left w:w="90" w:type="dxa"/>
              <w:right w:w="90" w:type="dxa"/>
            </w:tcMar>
          </w:tcPr>
          <w:p>
            <w:pPr>
              <w:pStyle w:val="BDOITable"/>
            </w:pPr>
            <w:r>
              <w:rPr>
                <w:sz w:val="17"/>
              </w:rPr>
              <w:t>Impediments raised; plan of the day</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Refinement</w:t>
            </w:r>
          </w:p>
        </w:tc>
        <w:tc>
          <w:tcPr>
            <w:tcW w:type="dxa" w:w="1442"/>
            <w:tcMar>
              <w:top w:w="50" w:type="dxa"/>
              <w:bottom w:w="50" w:type="dxa"/>
              <w:left w:w="90" w:type="dxa"/>
              <w:right w:w="90" w:type="dxa"/>
            </w:tcMar>
            <w:shd w:val="clear" w:color="auto" w:fill="E5F5FF"/>
          </w:tcPr>
          <w:p>
            <w:pPr>
              <w:pStyle w:val="BDOITable"/>
            </w:pPr>
            <w:r>
              <w:rPr>
                <w:sz w:val="17"/>
              </w:rPr>
              <w:t>Weekly, Wednesday</w:t>
            </w:r>
          </w:p>
        </w:tc>
        <w:tc>
          <w:tcPr>
            <w:tcW w:type="dxa" w:w="1442"/>
            <w:tcMar>
              <w:top w:w="50" w:type="dxa"/>
              <w:bottom w:w="50" w:type="dxa"/>
              <w:left w:w="90" w:type="dxa"/>
              <w:right w:w="90" w:type="dxa"/>
            </w:tcMar>
            <w:shd w:val="clear" w:color="auto" w:fill="E5F5FF"/>
          </w:tcPr>
          <w:p>
            <w:pPr>
              <w:pStyle w:val="BDOITable"/>
            </w:pPr>
            <w:r>
              <w:rPr>
                <w:sz w:val="17"/>
              </w:rPr>
              <w:t>60 minutes</w:t>
            </w:r>
          </w:p>
        </w:tc>
        <w:tc>
          <w:tcPr>
            <w:tcW w:type="dxa" w:w="2763"/>
            <w:tcMar>
              <w:top w:w="50" w:type="dxa"/>
              <w:bottom w:w="50" w:type="dxa"/>
              <w:left w:w="90" w:type="dxa"/>
              <w:right w:w="90" w:type="dxa"/>
            </w:tcMar>
            <w:shd w:val="clear" w:color="auto" w:fill="E5F5FF"/>
          </w:tcPr>
          <w:p>
            <w:pPr>
              <w:pStyle w:val="BDOITable"/>
            </w:pPr>
            <w:r>
              <w:rPr>
                <w:sz w:val="17"/>
              </w:rPr>
              <w:t>Business Analyst lead, Solution Architect, QA lead, key user of the BRD when needed</w:t>
            </w:r>
          </w:p>
        </w:tc>
        <w:tc>
          <w:tcPr>
            <w:tcW w:type="dxa" w:w="2403"/>
            <w:tcMar>
              <w:top w:w="50" w:type="dxa"/>
              <w:bottom w:w="50" w:type="dxa"/>
              <w:left w:w="90" w:type="dxa"/>
              <w:right w:w="90" w:type="dxa"/>
            </w:tcMar>
            <w:shd w:val="clear" w:color="auto" w:fill="E5F5FF"/>
          </w:tcPr>
          <w:p>
            <w:pPr>
              <w:pStyle w:val="BDOITable"/>
            </w:pPr>
            <w:r>
              <w:rPr>
                <w:sz w:val="17"/>
              </w:rPr>
              <w:t>Items meet the definition of ready</w:t>
            </w:r>
          </w:p>
        </w:tc>
      </w:tr>
      <w:tr>
        <w:trPr>
          <w:cantSplit w:val="true"/>
        </w:trPr>
        <w:tc>
          <w:tcPr>
            <w:tcW w:type="dxa" w:w="1922"/>
            <w:tcMar>
              <w:top w:w="50" w:type="dxa"/>
              <w:bottom w:w="50" w:type="dxa"/>
              <w:left w:w="90" w:type="dxa"/>
              <w:right w:w="90" w:type="dxa"/>
            </w:tcMar>
          </w:tcPr>
          <w:p>
            <w:pPr>
              <w:pStyle w:val="BDOITable"/>
            </w:pPr>
            <w:r>
              <w:rPr>
                <w:sz w:val="17"/>
              </w:rPr>
              <w:t>Iteration planning</w:t>
            </w:r>
          </w:p>
        </w:tc>
        <w:tc>
          <w:tcPr>
            <w:tcW w:type="dxa" w:w="1442"/>
            <w:tcMar>
              <w:top w:w="50" w:type="dxa"/>
              <w:bottom w:w="50" w:type="dxa"/>
              <w:left w:w="90" w:type="dxa"/>
              <w:right w:w="90" w:type="dxa"/>
            </w:tcMar>
          </w:tcPr>
          <w:p>
            <w:pPr>
              <w:pStyle w:val="BDOITable"/>
            </w:pPr>
            <w:r>
              <w:rPr>
                <w:sz w:val="17"/>
              </w:rPr>
              <w:t>First Monday of the iteration</w:t>
            </w:r>
          </w:p>
        </w:tc>
        <w:tc>
          <w:tcPr>
            <w:tcW w:type="dxa" w:w="1442"/>
            <w:tcMar>
              <w:top w:w="50" w:type="dxa"/>
              <w:bottom w:w="50" w:type="dxa"/>
              <w:left w:w="90" w:type="dxa"/>
              <w:right w:w="90" w:type="dxa"/>
            </w:tcMar>
          </w:tcPr>
          <w:p>
            <w:pPr>
              <w:pStyle w:val="BDOITable"/>
            </w:pPr>
            <w:r>
              <w:rPr>
                <w:sz w:val="17"/>
              </w:rPr>
              <w:t>2 hours</w:t>
            </w:r>
          </w:p>
        </w:tc>
        <w:tc>
          <w:tcPr>
            <w:tcW w:type="dxa" w:w="2763"/>
            <w:tcMar>
              <w:top w:w="50" w:type="dxa"/>
              <w:bottom w:w="50" w:type="dxa"/>
              <w:left w:w="90" w:type="dxa"/>
              <w:right w:w="90" w:type="dxa"/>
            </w:tcMar>
          </w:tcPr>
          <w:p>
            <w:pPr>
              <w:pStyle w:val="BDOITable"/>
            </w:pPr>
            <w:r>
              <w:rPr>
                <w:sz w:val="17"/>
              </w:rPr>
              <w:t>Delivery team; BIBS Product Owner or delegate</w:t>
            </w:r>
          </w:p>
        </w:tc>
        <w:tc>
          <w:tcPr>
            <w:tcW w:type="dxa" w:w="2403"/>
            <w:tcMar>
              <w:top w:w="50" w:type="dxa"/>
              <w:bottom w:w="50" w:type="dxa"/>
              <w:left w:w="90" w:type="dxa"/>
              <w:right w:w="90" w:type="dxa"/>
            </w:tcMar>
          </w:tcPr>
          <w:p>
            <w:pPr>
              <w:pStyle w:val="BDOITable"/>
            </w:pPr>
            <w:r>
              <w:rPr>
                <w:sz w:val="17"/>
              </w:rPr>
              <w:t>Iteration goal and committed items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Iteration review</w:t>
            </w:r>
          </w:p>
        </w:tc>
        <w:tc>
          <w:tcPr>
            <w:tcW w:type="dxa" w:w="1442"/>
            <w:tcMar>
              <w:top w:w="50" w:type="dxa"/>
              <w:bottom w:w="50" w:type="dxa"/>
              <w:left w:w="90" w:type="dxa"/>
              <w:right w:w="90" w:type="dxa"/>
            </w:tcMar>
            <w:shd w:val="clear" w:color="auto" w:fill="E5F5FF"/>
          </w:tcPr>
          <w:p>
            <w:pPr>
              <w:pStyle w:val="BDOITable"/>
            </w:pPr>
            <w:r>
              <w:rPr>
                <w:sz w:val="17"/>
              </w:rPr>
              <w:t>Last Thursday of the iteration</w:t>
            </w:r>
          </w:p>
        </w:tc>
        <w:tc>
          <w:tcPr>
            <w:tcW w:type="dxa" w:w="1442"/>
            <w:tcMar>
              <w:top w:w="50" w:type="dxa"/>
              <w:bottom w:w="50" w:type="dxa"/>
              <w:left w:w="90" w:type="dxa"/>
              <w:right w:w="90" w:type="dxa"/>
            </w:tcMar>
            <w:shd w:val="clear" w:color="auto" w:fill="E5F5FF"/>
          </w:tcPr>
          <w:p>
            <w:pPr>
              <w:pStyle w:val="BDOITable"/>
            </w:pPr>
            <w:r>
              <w:rPr>
                <w:sz w:val="17"/>
              </w:rPr>
              <w:t>60 to 90 minutes</w:t>
            </w:r>
          </w:p>
        </w:tc>
        <w:tc>
          <w:tcPr>
            <w:tcW w:type="dxa" w:w="2763"/>
            <w:tcMar>
              <w:top w:w="50" w:type="dxa"/>
              <w:bottom w:w="50" w:type="dxa"/>
              <w:left w:w="90" w:type="dxa"/>
              <w:right w:w="90" w:type="dxa"/>
            </w:tcMar>
            <w:shd w:val="clear" w:color="auto" w:fill="E5F5FF"/>
          </w:tcPr>
          <w:p>
            <w:pPr>
              <w:pStyle w:val="BDOITable"/>
            </w:pPr>
            <w:r>
              <w:rPr>
                <w:sz w:val="17"/>
              </w:rPr>
              <w:t>Delivery team; key users and business owner of the BRDs shown</w:t>
            </w:r>
          </w:p>
        </w:tc>
        <w:tc>
          <w:tcPr>
            <w:tcW w:type="dxa" w:w="2403"/>
            <w:tcMar>
              <w:top w:w="50" w:type="dxa"/>
              <w:bottom w:w="50" w:type="dxa"/>
              <w:left w:w="90" w:type="dxa"/>
              <w:right w:w="90" w:type="dxa"/>
            </w:tcMar>
            <w:shd w:val="clear" w:color="auto" w:fill="E5F5FF"/>
          </w:tcPr>
          <w:p>
            <w:pPr>
              <w:pStyle w:val="BDOITable"/>
            </w:pPr>
            <w:r>
              <w:rPr>
                <w:sz w:val="17"/>
              </w:rPr>
              <w:t>Feedback recorded; accepted items</w:t>
            </w:r>
          </w:p>
        </w:tc>
      </w:tr>
      <w:tr>
        <w:trPr>
          <w:cantSplit w:val="true"/>
        </w:trPr>
        <w:tc>
          <w:tcPr>
            <w:tcW w:type="dxa" w:w="1922"/>
            <w:tcMar>
              <w:top w:w="50" w:type="dxa"/>
              <w:bottom w:w="50" w:type="dxa"/>
              <w:left w:w="90" w:type="dxa"/>
              <w:right w:w="90" w:type="dxa"/>
            </w:tcMar>
          </w:tcPr>
          <w:p>
            <w:pPr>
              <w:pStyle w:val="BDOITable"/>
            </w:pPr>
            <w:r>
              <w:rPr>
                <w:sz w:val="17"/>
              </w:rPr>
              <w:t>Retrospective</w:t>
            </w:r>
          </w:p>
        </w:tc>
        <w:tc>
          <w:tcPr>
            <w:tcW w:type="dxa" w:w="1442"/>
            <w:tcMar>
              <w:top w:w="50" w:type="dxa"/>
              <w:bottom w:w="50" w:type="dxa"/>
              <w:left w:w="90" w:type="dxa"/>
              <w:right w:w="90" w:type="dxa"/>
            </w:tcMar>
          </w:tcPr>
          <w:p>
            <w:pPr>
              <w:pStyle w:val="BDOITable"/>
            </w:pPr>
            <w:r>
              <w:rPr>
                <w:sz w:val="17"/>
              </w:rPr>
              <w:t>Last Friday of the iteration</w:t>
            </w:r>
          </w:p>
        </w:tc>
        <w:tc>
          <w:tcPr>
            <w:tcW w:type="dxa" w:w="1442"/>
            <w:tcMar>
              <w:top w:w="50" w:type="dxa"/>
              <w:bottom w:w="50" w:type="dxa"/>
              <w:left w:w="90" w:type="dxa"/>
              <w:right w:w="90" w:type="dxa"/>
            </w:tcMar>
          </w:tcPr>
          <w:p>
            <w:pPr>
              <w:pStyle w:val="BDOITable"/>
            </w:pPr>
            <w:r>
              <w:rPr>
                <w:sz w:val="17"/>
              </w:rPr>
              <w:t>45 minutes</w:t>
            </w:r>
          </w:p>
        </w:tc>
        <w:tc>
          <w:tcPr>
            <w:tcW w:type="dxa" w:w="2763"/>
            <w:tcMar>
              <w:top w:w="50" w:type="dxa"/>
              <w:bottom w:w="50" w:type="dxa"/>
              <w:left w:w="90" w:type="dxa"/>
              <w:right w:w="90" w:type="dxa"/>
            </w:tcMar>
          </w:tcPr>
          <w:p>
            <w:pPr>
              <w:pStyle w:val="BDOITable"/>
            </w:pPr>
            <w:r>
              <w:rPr>
                <w:sz w:val="17"/>
              </w:rPr>
              <w:t>Delivery team</w:t>
            </w:r>
          </w:p>
        </w:tc>
        <w:tc>
          <w:tcPr>
            <w:tcW w:type="dxa" w:w="2403"/>
            <w:tcMar>
              <w:top w:w="50" w:type="dxa"/>
              <w:bottom w:w="50" w:type="dxa"/>
              <w:left w:w="90" w:type="dxa"/>
              <w:right w:w="90" w:type="dxa"/>
            </w:tcMar>
          </w:tcPr>
          <w:p>
            <w:pPr>
              <w:pStyle w:val="BDOITable"/>
            </w:pPr>
            <w:r>
              <w:rPr>
                <w:sz w:val="17"/>
              </w:rPr>
              <w:t>Two improvement actions per iteration</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Release planning</w:t>
            </w:r>
          </w:p>
        </w:tc>
        <w:tc>
          <w:tcPr>
            <w:tcW w:type="dxa" w:w="1442"/>
            <w:tcMar>
              <w:top w:w="50" w:type="dxa"/>
              <w:bottom w:w="50" w:type="dxa"/>
              <w:left w:w="90" w:type="dxa"/>
              <w:right w:w="90" w:type="dxa"/>
            </w:tcMar>
            <w:shd w:val="clear" w:color="auto" w:fill="E5F5FF"/>
          </w:tcPr>
          <w:p>
            <w:pPr>
              <w:pStyle w:val="BDOITable"/>
            </w:pPr>
            <w:r>
              <w:rPr>
                <w:sz w:val="17"/>
              </w:rPr>
              <w:t>At each drop start and monthly</w:t>
            </w:r>
          </w:p>
        </w:tc>
        <w:tc>
          <w:tcPr>
            <w:tcW w:type="dxa" w:w="1442"/>
            <w:tcMar>
              <w:top w:w="50" w:type="dxa"/>
              <w:bottom w:w="50" w:type="dxa"/>
              <w:left w:w="90" w:type="dxa"/>
              <w:right w:w="90" w:type="dxa"/>
            </w:tcMar>
            <w:shd w:val="clear" w:color="auto" w:fill="E5F5FF"/>
          </w:tcPr>
          <w:p>
            <w:pPr>
              <w:pStyle w:val="BDOITable"/>
            </w:pPr>
            <w:r>
              <w:rPr>
                <w:sz w:val="17"/>
              </w:rPr>
              <w:t>2 hours</w:t>
            </w:r>
          </w:p>
        </w:tc>
        <w:tc>
          <w:tcPr>
            <w:tcW w:type="dxa" w:w="2763"/>
            <w:tcMar>
              <w:top w:w="50" w:type="dxa"/>
              <w:bottom w:w="50" w:type="dxa"/>
              <w:left w:w="90" w:type="dxa"/>
              <w:right w:w="90" w:type="dxa"/>
            </w:tcMar>
            <w:shd w:val="clear" w:color="auto" w:fill="E5F5FF"/>
          </w:tcPr>
          <w:p>
            <w:pPr>
              <w:pStyle w:val="BDOITable"/>
            </w:pPr>
            <w:r>
              <w:rPr>
                <w:sz w:val="17"/>
              </w:rPr>
              <w:t>iorta Project Manager, Solution Architect, BIBS Product Owner, BDOI IT</w:t>
            </w:r>
          </w:p>
        </w:tc>
        <w:tc>
          <w:tcPr>
            <w:tcW w:type="dxa" w:w="2403"/>
            <w:tcMar>
              <w:top w:w="50" w:type="dxa"/>
              <w:bottom w:w="50" w:type="dxa"/>
              <w:left w:w="90" w:type="dxa"/>
              <w:right w:w="90" w:type="dxa"/>
            </w:tcMar>
            <w:shd w:val="clear" w:color="auto" w:fill="E5F5FF"/>
          </w:tcPr>
          <w:p>
            <w:pPr>
              <w:pStyle w:val="BDOITable"/>
            </w:pPr>
            <w:r>
              <w:rPr>
                <w:sz w:val="17"/>
              </w:rPr>
              <w:t>Release calendar into SIT and UAT</w:t>
            </w:r>
          </w:p>
        </w:tc>
      </w:tr>
      <w:tr>
        <w:trPr>
          <w:cantSplit w:val="true"/>
        </w:trPr>
        <w:tc>
          <w:tcPr>
            <w:tcW w:type="dxa" w:w="1922"/>
            <w:tcMar>
              <w:top w:w="50" w:type="dxa"/>
              <w:bottom w:w="50" w:type="dxa"/>
              <w:left w:w="90" w:type="dxa"/>
              <w:right w:w="90" w:type="dxa"/>
            </w:tcMar>
          </w:tcPr>
          <w:p>
            <w:pPr>
              <w:pStyle w:val="BDOITable"/>
            </w:pPr>
            <w:r>
              <w:rPr>
                <w:sz w:val="17"/>
              </w:rPr>
              <w:t>Business working group</w:t>
            </w:r>
          </w:p>
        </w:tc>
        <w:tc>
          <w:tcPr>
            <w:tcW w:type="dxa" w:w="1442"/>
            <w:tcMar>
              <w:top w:w="50" w:type="dxa"/>
              <w:bottom w:w="50" w:type="dxa"/>
              <w:left w:w="90" w:type="dxa"/>
              <w:right w:w="90" w:type="dxa"/>
            </w:tcMar>
          </w:tcPr>
          <w:p>
            <w:pPr>
              <w:pStyle w:val="BDOITable"/>
            </w:pPr>
            <w:r>
              <w:rPr>
                <w:sz w:val="17"/>
              </w:rPr>
              <w:t>Weekly per BRD in requirements and UAT</w:t>
            </w:r>
          </w:p>
        </w:tc>
        <w:tc>
          <w:tcPr>
            <w:tcW w:type="dxa" w:w="1442"/>
            <w:tcMar>
              <w:top w:w="50" w:type="dxa"/>
              <w:bottom w:w="50" w:type="dxa"/>
              <w:left w:w="90" w:type="dxa"/>
              <w:right w:w="90" w:type="dxa"/>
            </w:tcMar>
          </w:tcPr>
          <w:p>
            <w:pPr>
              <w:pStyle w:val="BDOITable"/>
            </w:pPr>
            <w:r>
              <w:rPr>
                <w:sz w:val="17"/>
              </w:rPr>
              <w:t>60 minutes</w:t>
            </w:r>
          </w:p>
        </w:tc>
        <w:tc>
          <w:tcPr>
            <w:tcW w:type="dxa" w:w="2763"/>
            <w:tcMar>
              <w:top w:w="50" w:type="dxa"/>
              <w:bottom w:w="50" w:type="dxa"/>
              <w:left w:w="90" w:type="dxa"/>
              <w:right w:w="90" w:type="dxa"/>
            </w:tcMar>
          </w:tcPr>
          <w:p>
            <w:pPr>
              <w:pStyle w:val="BDOITable"/>
            </w:pPr>
            <w:r>
              <w:rPr>
                <w:sz w:val="17"/>
              </w:rPr>
              <w:t>Business owner, key users, Business Analyst lead</w:t>
            </w:r>
          </w:p>
        </w:tc>
        <w:tc>
          <w:tcPr>
            <w:tcW w:type="dxa" w:w="2403"/>
            <w:tcMar>
              <w:top w:w="50" w:type="dxa"/>
              <w:bottom w:w="50" w:type="dxa"/>
              <w:left w:w="90" w:type="dxa"/>
              <w:right w:w="90" w:type="dxa"/>
            </w:tcMar>
          </w:tcPr>
          <w:p>
            <w:pPr>
              <w:pStyle w:val="BDOITable"/>
            </w:pPr>
            <w:r>
              <w:rPr>
                <w:sz w:val="17"/>
              </w:rPr>
              <w:t>Clarifications decided; UAT progress</w:t>
            </w:r>
          </w:p>
        </w:tc>
      </w:tr>
    </w:tbl>
    <w:p>
      <w:pPr>
        <w:pStyle w:val="BDOISpacer"/>
      </w:pPr>
    </w:p>
    <w:p>
      <w:r>
        <w:rPr/>
        <w:t>The iteration review is held on the SIT environment with seed data, never on a developer workstation. Key users see the screens they will test, which keeps the UAT short.</w:t>
      </w:r>
    </w:p>
    <w:p>
      <w:pPr>
        <w:pStyle w:val="Heading1"/>
        <w:pBdr>
          <w:bottom w:val="single" w:sz="4" w:space="4" w:color="99C1E7"/>
        </w:pBdr>
      </w:pPr>
      <w:bookmarkStart w:id="109" w:name="_Toc000109"/>
      <w:r>
        <w:rPr/>
        <w:t>4 Definition of ready and definition of done</w:t>
      </w:r>
      <w:bookmarkEnd w:id="109"/>
    </w:p>
    <w:p>
      <w:pPr>
        <w:pStyle w:val="Heading2"/>
      </w:pPr>
      <w:bookmarkStart w:id="110" w:name="_Toc000110"/>
      <w:r>
        <w:rPr/>
        <w:t>4.1 Definition of ready (an item may enter an iteration)</w:t>
      </w:r>
      <w:bookmarkEnd w:id="110"/>
    </w:p>
    <w:p>
      <w:pPr>
        <w:pStyle w:val="Caption"/>
        <w:keepNext/>
        <w:spacing w:after="60"/>
      </w:pPr>
      <w:r>
        <w:rPr>
          <w:b/>
          <w:i w:val="0"/>
        </w:rPr>
        <w:t xml:space="preserve">Table 3: </w:t>
      </w:r>
      <w:r>
        <w:rPr/>
        <w:t>Definition of ready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3965"/>
        <w:gridCol w:w="5407"/>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Criterion</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601"/>
            <w:tcMar>
              <w:top w:w="50" w:type="dxa"/>
              <w:bottom w:w="50" w:type="dxa"/>
              <w:left w:w="90" w:type="dxa"/>
              <w:right w:w="90" w:type="dxa"/>
            </w:tcMar>
          </w:tcPr>
          <w:p>
            <w:pPr>
              <w:pStyle w:val="BDOITable"/>
            </w:pPr>
            <w:r>
              <w:rPr>
                <w:sz w:val="17"/>
              </w:rPr>
              <w:t>R1</w:t>
            </w:r>
          </w:p>
        </w:tc>
        <w:tc>
          <w:tcPr>
            <w:tcW w:type="dxa" w:w="3965"/>
            <w:tcMar>
              <w:top w:w="50" w:type="dxa"/>
              <w:bottom w:w="50" w:type="dxa"/>
              <w:left w:w="90" w:type="dxa"/>
              <w:right w:w="90" w:type="dxa"/>
            </w:tcMar>
          </w:tcPr>
          <w:p>
            <w:pPr>
              <w:pStyle w:val="BDOITable"/>
            </w:pPr>
            <w:r>
              <w:rPr>
                <w:sz w:val="17"/>
              </w:rPr>
              <w:t>The item traces to a BRD requirement (ID and page) or to an approved CR</w:t>
            </w:r>
          </w:p>
        </w:tc>
        <w:tc>
          <w:tcPr>
            <w:tcW w:type="dxa" w:w="5407"/>
            <w:tcMar>
              <w:top w:w="50" w:type="dxa"/>
              <w:bottom w:w="50" w:type="dxa"/>
              <w:left w:w="90" w:type="dxa"/>
              <w:right w:w="90" w:type="dxa"/>
            </w:tcMar>
          </w:tcPr>
          <w:p>
            <w:pPr>
              <w:pStyle w:val="BDOITable"/>
            </w:pPr>
            <w:r>
              <w:rPr>
                <w:sz w:val="17"/>
              </w:rPr>
              <w:t>FRS traceability chapter; CR number</w:t>
            </w:r>
          </w:p>
        </w:tc>
      </w:tr>
      <w:tr>
        <w:trPr>
          <w:cantSplit w:val="true"/>
        </w:trPr>
        <w:tc>
          <w:tcPr>
            <w:tcW w:type="dxa" w:w="601"/>
            <w:tcMar>
              <w:top w:w="50" w:type="dxa"/>
              <w:bottom w:w="50" w:type="dxa"/>
              <w:left w:w="90" w:type="dxa"/>
              <w:right w:w="90" w:type="dxa"/>
            </w:tcMar>
            <w:shd w:val="clear" w:color="auto" w:fill="E5F5FF"/>
          </w:tcPr>
          <w:p>
            <w:pPr>
              <w:pStyle w:val="BDOITable"/>
            </w:pPr>
            <w:r>
              <w:rPr>
                <w:sz w:val="17"/>
              </w:rPr>
              <w:t>R2</w:t>
            </w:r>
          </w:p>
        </w:tc>
        <w:tc>
          <w:tcPr>
            <w:tcW w:type="dxa" w:w="3965"/>
            <w:tcMar>
              <w:top w:w="50" w:type="dxa"/>
              <w:bottom w:w="50" w:type="dxa"/>
              <w:left w:w="90" w:type="dxa"/>
              <w:right w:w="90" w:type="dxa"/>
            </w:tcMar>
            <w:shd w:val="clear" w:color="auto" w:fill="E5F5FF"/>
          </w:tcPr>
          <w:p>
            <w:pPr>
              <w:pStyle w:val="BDOITable"/>
            </w:pPr>
            <w:r>
              <w:rPr>
                <w:sz w:val="17"/>
              </w:rPr>
              <w:t>The FR has actor, main flow, alternate flows, rules, validations with the messages word for word, fields and acceptance criteria</w:t>
            </w:r>
          </w:p>
        </w:tc>
        <w:tc>
          <w:tcPr>
            <w:tcW w:type="dxa" w:w="5407"/>
            <w:tcMar>
              <w:top w:w="50" w:type="dxa"/>
              <w:bottom w:w="50" w:type="dxa"/>
              <w:left w:w="90" w:type="dxa"/>
              <w:right w:w="90" w:type="dxa"/>
            </w:tcMar>
            <w:shd w:val="clear" w:color="auto" w:fill="E5F5FF"/>
          </w:tcPr>
          <w:p>
            <w:pPr>
              <w:pStyle w:val="BDOITable"/>
            </w:pPr>
            <w:r>
              <w:rPr>
                <w:sz w:val="17"/>
              </w:rPr>
              <w:t>FR block of the FRS</w:t>
            </w:r>
          </w:p>
        </w:tc>
      </w:tr>
      <w:tr>
        <w:trPr>
          <w:cantSplit w:val="true"/>
        </w:trPr>
        <w:tc>
          <w:tcPr>
            <w:tcW w:type="dxa" w:w="601"/>
            <w:tcMar>
              <w:top w:w="50" w:type="dxa"/>
              <w:bottom w:w="50" w:type="dxa"/>
              <w:left w:w="90" w:type="dxa"/>
              <w:right w:w="90" w:type="dxa"/>
            </w:tcMar>
          </w:tcPr>
          <w:p>
            <w:pPr>
              <w:pStyle w:val="BDOITable"/>
            </w:pPr>
            <w:r>
              <w:rPr>
                <w:sz w:val="17"/>
              </w:rPr>
              <w:t>R3</w:t>
            </w:r>
          </w:p>
        </w:tc>
        <w:tc>
          <w:tcPr>
            <w:tcW w:type="dxa" w:w="3965"/>
            <w:tcMar>
              <w:top w:w="50" w:type="dxa"/>
              <w:bottom w:w="50" w:type="dxa"/>
              <w:left w:w="90" w:type="dxa"/>
              <w:right w:w="90" w:type="dxa"/>
            </w:tcMar>
          </w:tcPr>
          <w:p>
            <w:pPr>
              <w:pStyle w:val="BDOITable"/>
            </w:pPr>
            <w:r>
              <w:rPr>
                <w:sz w:val="17"/>
              </w:rPr>
              <w:t>The screens are specified (fields, actions, statuses, messages) and placed in the screen register</w:t>
            </w:r>
          </w:p>
        </w:tc>
        <w:tc>
          <w:tcPr>
            <w:tcW w:type="dxa" w:w="5407"/>
            <w:tcMar>
              <w:top w:w="50" w:type="dxa"/>
              <w:bottom w:w="50" w:type="dxa"/>
              <w:left w:w="90" w:type="dxa"/>
              <w:right w:w="90" w:type="dxa"/>
            </w:tcMar>
          </w:tcPr>
          <w:p>
            <w:pPr>
              <w:pStyle w:val="BDOITable"/>
            </w:pPr>
            <w:r>
              <w:rPr>
                <w:sz w:val="17"/>
              </w:rPr>
              <w:t>Screen specification; UX screen register</w:t>
            </w:r>
          </w:p>
        </w:tc>
      </w:tr>
      <w:tr>
        <w:trPr>
          <w:cantSplit w:val="true"/>
        </w:trPr>
        <w:tc>
          <w:tcPr>
            <w:tcW w:type="dxa" w:w="601"/>
            <w:tcMar>
              <w:top w:w="50" w:type="dxa"/>
              <w:bottom w:w="50" w:type="dxa"/>
              <w:left w:w="90" w:type="dxa"/>
              <w:right w:w="90" w:type="dxa"/>
            </w:tcMar>
            <w:shd w:val="clear" w:color="auto" w:fill="E5F5FF"/>
          </w:tcPr>
          <w:p>
            <w:pPr>
              <w:pStyle w:val="BDOITable"/>
            </w:pPr>
            <w:r>
              <w:rPr>
                <w:sz w:val="17"/>
              </w:rPr>
              <w:t>R4</w:t>
            </w:r>
          </w:p>
        </w:tc>
        <w:tc>
          <w:tcPr>
            <w:tcW w:type="dxa" w:w="3965"/>
            <w:tcMar>
              <w:top w:w="50" w:type="dxa"/>
              <w:bottom w:w="50" w:type="dxa"/>
              <w:left w:w="90" w:type="dxa"/>
              <w:right w:w="90" w:type="dxa"/>
            </w:tcMar>
            <w:shd w:val="clear" w:color="auto" w:fill="E5F5FF"/>
          </w:tcPr>
          <w:p>
            <w:pPr>
              <w:pStyle w:val="BDOITable"/>
            </w:pPr>
            <w:r>
              <w:rPr>
                <w:sz w:val="17"/>
              </w:rPr>
              <w:t>Open clarifications are decided, or the working assumption is recorded with its decision date</w:t>
            </w:r>
          </w:p>
        </w:tc>
        <w:tc>
          <w:tcPr>
            <w:tcW w:type="dxa" w:w="5407"/>
            <w:tcMar>
              <w:top w:w="50" w:type="dxa"/>
              <w:bottom w:w="50" w:type="dxa"/>
              <w:left w:w="90" w:type="dxa"/>
              <w:right w:w="90" w:type="dxa"/>
            </w:tcMar>
            <w:shd w:val="clear" w:color="auto" w:fill="E5F5FF"/>
          </w:tcPr>
          <w:p>
            <w:pPr>
              <w:pStyle w:val="BDOITable"/>
            </w:pPr>
            <w:r>
              <w:rPr>
                <w:sz w:val="17"/>
              </w:rPr>
              <w:t>Clarification chapter of the FRS</w:t>
            </w:r>
          </w:p>
        </w:tc>
      </w:tr>
      <w:tr>
        <w:trPr>
          <w:cantSplit w:val="true"/>
        </w:trPr>
        <w:tc>
          <w:tcPr>
            <w:tcW w:type="dxa" w:w="601"/>
            <w:tcMar>
              <w:top w:w="50" w:type="dxa"/>
              <w:bottom w:w="50" w:type="dxa"/>
              <w:left w:w="90" w:type="dxa"/>
              <w:right w:w="90" w:type="dxa"/>
            </w:tcMar>
          </w:tcPr>
          <w:p>
            <w:pPr>
              <w:pStyle w:val="BDOITable"/>
            </w:pPr>
            <w:r>
              <w:rPr>
                <w:sz w:val="17"/>
              </w:rPr>
              <w:t>R5</w:t>
            </w:r>
          </w:p>
        </w:tc>
        <w:tc>
          <w:tcPr>
            <w:tcW w:type="dxa" w:w="3965"/>
            <w:tcMar>
              <w:top w:w="50" w:type="dxa"/>
              <w:bottom w:w="50" w:type="dxa"/>
              <w:left w:w="90" w:type="dxa"/>
              <w:right w:w="90" w:type="dxa"/>
            </w:tcMar>
          </w:tcPr>
          <w:p>
            <w:pPr>
              <w:pStyle w:val="BDOITable"/>
            </w:pPr>
            <w:r>
              <w:rPr>
                <w:sz w:val="17"/>
              </w:rPr>
              <w:t>Test cases exist for every acceptance criterion</w:t>
            </w:r>
          </w:p>
        </w:tc>
        <w:tc>
          <w:tcPr>
            <w:tcW w:type="dxa" w:w="5407"/>
            <w:tcMar>
              <w:top w:w="50" w:type="dxa"/>
              <w:bottom w:w="50" w:type="dxa"/>
              <w:left w:w="90" w:type="dxa"/>
              <w:right w:w="90" w:type="dxa"/>
            </w:tcMar>
          </w:tcPr>
          <w:p>
            <w:pPr>
              <w:pStyle w:val="BDOITable"/>
            </w:pPr>
            <w:r>
              <w:rPr>
                <w:sz w:val="17"/>
              </w:rPr>
              <w:t>Test plan and its cases</w:t>
            </w:r>
          </w:p>
        </w:tc>
      </w:tr>
      <w:tr>
        <w:trPr>
          <w:cantSplit w:val="true"/>
        </w:trPr>
        <w:tc>
          <w:tcPr>
            <w:tcW w:type="dxa" w:w="601"/>
            <w:tcMar>
              <w:top w:w="50" w:type="dxa"/>
              <w:bottom w:w="50" w:type="dxa"/>
              <w:left w:w="90" w:type="dxa"/>
              <w:right w:w="90" w:type="dxa"/>
            </w:tcMar>
            <w:shd w:val="clear" w:color="auto" w:fill="E5F5FF"/>
          </w:tcPr>
          <w:p>
            <w:pPr>
              <w:pStyle w:val="BDOITable"/>
            </w:pPr>
            <w:r>
              <w:rPr>
                <w:sz w:val="17"/>
              </w:rPr>
              <w:t>R6</w:t>
            </w:r>
          </w:p>
        </w:tc>
        <w:tc>
          <w:tcPr>
            <w:tcW w:type="dxa" w:w="3965"/>
            <w:tcMar>
              <w:top w:w="50" w:type="dxa"/>
              <w:bottom w:w="50" w:type="dxa"/>
              <w:left w:w="90" w:type="dxa"/>
              <w:right w:w="90" w:type="dxa"/>
            </w:tcMar>
            <w:shd w:val="clear" w:color="auto" w:fill="E5F5FF"/>
          </w:tcPr>
          <w:p>
            <w:pPr>
              <w:pStyle w:val="BDOITable"/>
            </w:pPr>
            <w:r>
              <w:rPr>
                <w:sz w:val="17"/>
              </w:rPr>
              <w:t>Dependencies are available or simulated in SIT only with the agreement of BDOI IT (interfaces, configuration inputs, seed data)</w:t>
            </w:r>
          </w:p>
        </w:tc>
        <w:tc>
          <w:tcPr>
            <w:tcW w:type="dxa" w:w="5407"/>
            <w:tcMar>
              <w:top w:w="50" w:type="dxa"/>
              <w:bottom w:w="50" w:type="dxa"/>
              <w:left w:w="90" w:type="dxa"/>
              <w:right w:w="90" w:type="dxa"/>
            </w:tcMar>
            <w:shd w:val="clear" w:color="auto" w:fill="E5F5FF"/>
          </w:tcPr>
          <w:p>
            <w:pPr>
              <w:pStyle w:val="BDOITable"/>
            </w:pPr>
            <w:r>
              <w:rPr>
                <w:sz w:val="17"/>
              </w:rPr>
              <w:t>Dependency list of the Project Plan</w:t>
            </w:r>
          </w:p>
        </w:tc>
      </w:tr>
      <w:tr>
        <w:trPr>
          <w:cantSplit w:val="true"/>
        </w:trPr>
        <w:tc>
          <w:tcPr>
            <w:tcW w:type="dxa" w:w="601"/>
            <w:tcMar>
              <w:top w:w="50" w:type="dxa"/>
              <w:bottom w:w="50" w:type="dxa"/>
              <w:left w:w="90" w:type="dxa"/>
              <w:right w:w="90" w:type="dxa"/>
            </w:tcMar>
          </w:tcPr>
          <w:p>
            <w:pPr>
              <w:pStyle w:val="BDOITable"/>
            </w:pPr>
            <w:r>
              <w:rPr>
                <w:sz w:val="17"/>
              </w:rPr>
              <w:t>R7</w:t>
            </w:r>
          </w:p>
        </w:tc>
        <w:tc>
          <w:tcPr>
            <w:tcW w:type="dxa" w:w="3965"/>
            <w:tcMar>
              <w:top w:w="50" w:type="dxa"/>
              <w:bottom w:w="50" w:type="dxa"/>
              <w:left w:w="90" w:type="dxa"/>
              <w:right w:w="90" w:type="dxa"/>
            </w:tcMar>
          </w:tcPr>
          <w:p>
            <w:pPr>
              <w:pStyle w:val="BDOITable"/>
            </w:pPr>
            <w:r>
              <w:rPr>
                <w:sz w:val="17"/>
              </w:rPr>
              <w:t>The effort is estimated and fits the iteration</w:t>
            </w:r>
          </w:p>
        </w:tc>
        <w:tc>
          <w:tcPr>
            <w:tcW w:type="dxa" w:w="5407"/>
            <w:tcMar>
              <w:top w:w="50" w:type="dxa"/>
              <w:bottom w:w="50" w:type="dxa"/>
              <w:left w:w="90" w:type="dxa"/>
              <w:right w:w="90" w:type="dxa"/>
            </w:tcMar>
          </w:tcPr>
          <w:p>
            <w:pPr>
              <w:pStyle w:val="BDOITable"/>
            </w:pPr>
            <w:r>
              <w:rPr>
                <w:sz w:val="17"/>
              </w:rPr>
              <w:t>Iteration plan</w:t>
            </w:r>
          </w:p>
        </w:tc>
      </w:tr>
    </w:tbl>
    <w:p>
      <w:pPr>
        <w:pStyle w:val="BDOISpacer"/>
      </w:pPr>
    </w:p>
    <w:p>
      <w:pPr>
        <w:pStyle w:val="Heading2"/>
      </w:pPr>
      <w:bookmarkStart w:id="111" w:name="_Toc000111"/>
      <w:r>
        <w:rPr/>
        <w:t>4.2 Definition of done</w:t>
      </w:r>
      <w:bookmarkEnd w:id="111"/>
    </w:p>
    <w:p>
      <w:pPr>
        <w:pStyle w:val="Caption"/>
        <w:keepNext/>
        <w:spacing w:after="60"/>
      </w:pPr>
      <w:r>
        <w:rPr>
          <w:b/>
          <w:i w:val="0"/>
        </w:rPr>
        <w:t xml:space="preserve">Table 4: </w:t>
      </w:r>
      <w:r>
        <w:rPr/>
        <w:t>Definition of done at three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325"/>
        <w:gridCol w:w="4205"/>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7"/>
              </w:rPr>
              <w:t>Criteria</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1442"/>
            <w:tcMar>
              <w:top w:w="50" w:type="dxa"/>
              <w:bottom w:w="50" w:type="dxa"/>
              <w:left w:w="90" w:type="dxa"/>
              <w:right w:w="90" w:type="dxa"/>
            </w:tcMar>
          </w:tcPr>
          <w:p>
            <w:pPr>
              <w:pStyle w:val="BDOITable"/>
            </w:pPr>
            <w:r>
              <w:rPr>
                <w:sz w:val="17"/>
              </w:rPr>
              <w:t>Item</w:t>
            </w:r>
          </w:p>
        </w:tc>
        <w:tc>
          <w:tcPr>
            <w:tcW w:type="dxa" w:w="4325"/>
            <w:tcMar>
              <w:top w:w="50" w:type="dxa"/>
              <w:bottom w:w="50" w:type="dxa"/>
              <w:left w:w="90" w:type="dxa"/>
              <w:right w:w="90" w:type="dxa"/>
            </w:tcMar>
          </w:tcPr>
          <w:p>
            <w:pPr>
              <w:pStyle w:val="BDOITable"/>
            </w:pPr>
            <w:r>
              <w:rPr>
                <w:sz w:val="17"/>
              </w:rPr>
              <w:t>Code reviewed and approved by a second developer; every quality gate passed; tests of the acceptance criteria pass; screens follow the BDO UX guidelines (labels not codes, names not logins, dd-MMM-yyyy dates, formatted amounts, tables with row action menus); Help Center text updated; FRS updated where the behaviour changed</w:t>
            </w:r>
          </w:p>
        </w:tc>
        <w:tc>
          <w:tcPr>
            <w:tcW w:type="dxa" w:w="4205"/>
            <w:tcMar>
              <w:top w:w="50" w:type="dxa"/>
              <w:bottom w:w="50" w:type="dxa"/>
              <w:left w:w="90" w:type="dxa"/>
              <w:right w:w="90" w:type="dxa"/>
            </w:tcMar>
          </w:tcPr>
          <w:p>
            <w:pPr>
              <w:pStyle w:val="BDOITable"/>
            </w:pPr>
            <w:r>
              <w:rPr>
                <w:sz w:val="17"/>
              </w:rPr>
              <w:t>Review record; gate results; test results</w:t>
            </w:r>
          </w:p>
        </w:tc>
      </w:tr>
      <w:tr>
        <w:trPr>
          <w:cantSplit w:val="true"/>
        </w:trPr>
        <w:tc>
          <w:tcPr>
            <w:tcW w:type="dxa" w:w="1442"/>
            <w:tcMar>
              <w:top w:w="50" w:type="dxa"/>
              <w:bottom w:w="50" w:type="dxa"/>
              <w:left w:w="90" w:type="dxa"/>
              <w:right w:w="90" w:type="dxa"/>
            </w:tcMar>
            <w:shd w:val="clear" w:color="auto" w:fill="E5F5FF"/>
          </w:tcPr>
          <w:p>
            <w:pPr>
              <w:pStyle w:val="BDOITable"/>
            </w:pPr>
            <w:r>
              <w:rPr>
                <w:sz w:val="17"/>
              </w:rPr>
              <w:t>Release</w:t>
            </w:r>
          </w:p>
        </w:tc>
        <w:tc>
          <w:tcPr>
            <w:tcW w:type="dxa" w:w="4325"/>
            <w:tcMar>
              <w:top w:w="50" w:type="dxa"/>
              <w:bottom w:w="50" w:type="dxa"/>
              <w:left w:w="90" w:type="dxa"/>
              <w:right w:w="90" w:type="dxa"/>
            </w:tcMar>
            <w:shd w:val="clear" w:color="auto" w:fill="E5F5FF"/>
          </w:tcPr>
          <w:p>
            <w:pPr>
              <w:pStyle w:val="BDOITable"/>
            </w:pPr>
            <w:r>
              <w:rPr>
                <w:sz w:val="17"/>
              </w:rPr>
              <w:t>All items of the release done; regression passed in SIT; release notes per persona; deployment configuration versioned; SBOM produced; no open Severity 1 or 2 incident introduced by the release</w:t>
            </w:r>
          </w:p>
        </w:tc>
        <w:tc>
          <w:tcPr>
            <w:tcW w:type="dxa" w:w="4205"/>
            <w:tcMar>
              <w:top w:w="50" w:type="dxa"/>
              <w:bottom w:w="50" w:type="dxa"/>
              <w:left w:w="90" w:type="dxa"/>
              <w:right w:w="90" w:type="dxa"/>
            </w:tcMar>
            <w:shd w:val="clear" w:color="auto" w:fill="E5F5FF"/>
          </w:tcPr>
          <w:p>
            <w:pPr>
              <w:pStyle w:val="BDOITable"/>
            </w:pPr>
            <w:r>
              <w:rPr>
                <w:sz w:val="17"/>
              </w:rPr>
              <w:t>Release notes; regression report; SBOM</w:t>
            </w:r>
          </w:p>
        </w:tc>
      </w:tr>
      <w:tr>
        <w:trPr>
          <w:cantSplit w:val="true"/>
        </w:trPr>
        <w:tc>
          <w:tcPr>
            <w:tcW w:type="dxa" w:w="1442"/>
            <w:tcMar>
              <w:top w:w="50" w:type="dxa"/>
              <w:bottom w:w="50" w:type="dxa"/>
              <w:left w:w="90" w:type="dxa"/>
              <w:right w:w="90" w:type="dxa"/>
            </w:tcMar>
          </w:tcPr>
          <w:p>
            <w:pPr>
              <w:pStyle w:val="BDOITable"/>
            </w:pPr>
            <w:r>
              <w:rPr>
                <w:sz w:val="17"/>
              </w:rPr>
              <w:t>Drop</w:t>
            </w:r>
          </w:p>
        </w:tc>
        <w:tc>
          <w:tcPr>
            <w:tcW w:type="dxa" w:w="4325"/>
            <w:tcMar>
              <w:top w:w="50" w:type="dxa"/>
              <w:bottom w:w="50" w:type="dxa"/>
              <w:left w:w="90" w:type="dxa"/>
              <w:right w:w="90" w:type="dxa"/>
            </w:tcMar>
          </w:tcPr>
          <w:p>
            <w:pPr>
              <w:pStyle w:val="BDOITable"/>
            </w:pPr>
            <w:r>
              <w:rPr>
                <w:sz w:val="17"/>
              </w:rPr>
              <w:t>All FRs of the drop delivered or deferred by an approved CR; SIT exit criteria met; UAT signed per BRD; user guides and quick-reference guides updated; training material updated; knowledge base updated</w:t>
            </w:r>
          </w:p>
        </w:tc>
        <w:tc>
          <w:tcPr>
            <w:tcW w:type="dxa" w:w="4205"/>
            <w:tcMar>
              <w:top w:w="50" w:type="dxa"/>
              <w:bottom w:w="50" w:type="dxa"/>
              <w:left w:w="90" w:type="dxa"/>
              <w:right w:w="90" w:type="dxa"/>
            </w:tcMar>
          </w:tcPr>
          <w:p>
            <w:pPr>
              <w:pStyle w:val="BDOITable"/>
            </w:pPr>
            <w:r>
              <w:rPr>
                <w:sz w:val="17"/>
              </w:rPr>
              <w:t>SIT exit report; UAT sign-off certificates; documentation versions</w:t>
            </w:r>
          </w:p>
        </w:tc>
      </w:tr>
    </w:tbl>
    <w:p>
      <w:pPr>
        <w:pStyle w:val="BDOISpacer"/>
      </w:pPr>
    </w:p>
    <w:p>
      <w:pPr>
        <w:pStyle w:val="Heading1"/>
        <w:pBdr>
          <w:bottom w:val="single" w:sz="4" w:space="4" w:color="99C1E7"/>
        </w:pBdr>
      </w:pPr>
      <w:bookmarkStart w:id="112" w:name="_Toc000112"/>
      <w:r>
        <w:rPr/>
        <w:t>5 Quality gates</w:t>
      </w:r>
      <w:bookmarkEnd w:id="112"/>
    </w:p>
    <w:p>
      <w:r>
        <w:rPr/>
        <w:t>Every change passes the same gates in the continuous integration pipeline; a change that fails a gate is not accepted into the mainline. The gates are set in the project configuration and are the same on every developer machine and in the pipeline. No rule is weakened or suppressed without a written reason next to the exclusion.</w:t>
      </w:r>
    </w:p>
    <w:p>
      <w:pPr>
        <w:keepNext/>
        <w:spacing w:before="80" w:after="0"/>
        <w:jc w:val="center"/>
      </w:pPr>
      <w:r>
        <w:drawing>
          <wp:inline xmlns:a="http://schemas.openxmlformats.org/drawingml/2006/main" xmlns:pic="http://schemas.openxmlformats.org/drawingml/2006/picture">
            <wp:extent cx="5040000" cy="1801921"/>
            <wp:docPr id="4" name="Picture 4"/>
            <wp:cNvGraphicFramePr>
              <a:graphicFrameLocks noChangeAspect="1"/>
            </wp:cNvGraphicFramePr>
            <a:graphic>
              <a:graphicData uri="http://schemas.openxmlformats.org/drawingml/2006/picture">
                <pic:pic>
                  <pic:nvPicPr>
                    <pic:cNvPr id="0" name="dm_quality_gates_937.jpg"/>
                    <pic:cNvPicPr/>
                  </pic:nvPicPr>
                  <pic:blipFill>
                    <a:blip r:embed="rId16"/>
                    <a:stretch>
                      <a:fillRect/>
                    </a:stretch>
                  </pic:blipFill>
                  <pic:spPr>
                    <a:xfrm>
                      <a:off x="0" y="0"/>
                      <a:ext cx="5040000" cy="1801921"/>
                    </a:xfrm>
                    <a:prstGeom prst="rect"/>
                  </pic:spPr>
                </pic:pic>
              </a:graphicData>
            </a:graphic>
          </wp:inline>
        </w:drawing>
      </w:r>
    </w:p>
    <w:p>
      <w:pPr>
        <w:pStyle w:val="Caption"/>
        <w:jc w:val="center"/>
      </w:pPr>
      <w:r>
        <w:rPr>
          <w:b/>
          <w:i w:val="0"/>
        </w:rPr>
        <w:t xml:space="preserve">Figure 2: </w:t>
      </w:r>
      <w:r>
        <w:rPr/>
        <w:t>Quality gates of every change</w:t>
      </w:r>
    </w:p>
    <w:p>
      <w:pPr>
        <w:pStyle w:val="Caption"/>
        <w:keepNext/>
        <w:spacing w:after="60"/>
      </w:pPr>
      <w:r>
        <w:rPr>
          <w:b/>
          <w:i w:val="0"/>
        </w:rPr>
        <w:t xml:space="preserve">Table 5: </w:t>
      </w:r>
      <w:r>
        <w:rPr/>
        <w:t>Gates and thresholds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806"/>
        <w:gridCol w:w="3124"/>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Gate</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What is checked</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Threshold</w:t>
            </w:r>
          </w:p>
        </w:tc>
      </w:tr>
      <w:tr>
        <w:trPr>
          <w:cantSplit w:val="true"/>
        </w:trPr>
        <w:tc>
          <w:tcPr>
            <w:tcW w:type="dxa" w:w="2042"/>
            <w:tcMar>
              <w:top w:w="50" w:type="dxa"/>
              <w:bottom w:w="50" w:type="dxa"/>
              <w:left w:w="90" w:type="dxa"/>
              <w:right w:w="90" w:type="dxa"/>
            </w:tcMar>
          </w:tcPr>
          <w:p>
            <w:pPr>
              <w:pStyle w:val="BDOITable"/>
            </w:pPr>
            <w:r>
              <w:rPr>
                <w:sz w:val="17"/>
              </w:rPr>
              <w:t>Code review</w:t>
            </w:r>
          </w:p>
        </w:tc>
        <w:tc>
          <w:tcPr>
            <w:tcW w:type="dxa" w:w="4806"/>
            <w:tcMar>
              <w:top w:w="50" w:type="dxa"/>
              <w:bottom w:w="50" w:type="dxa"/>
              <w:left w:w="90" w:type="dxa"/>
              <w:right w:w="90" w:type="dxa"/>
            </w:tcMar>
          </w:tcPr>
          <w:p>
            <w:pPr>
              <w:pStyle w:val="BDOITable"/>
            </w:pPr>
            <w:r>
              <w:rPr>
                <w:sz w:val="17"/>
              </w:rPr>
              <w:t>A second developer reviews every change against the FR, the coding standard and the security checklist</w:t>
            </w:r>
          </w:p>
        </w:tc>
        <w:tc>
          <w:tcPr>
            <w:tcW w:type="dxa" w:w="3124"/>
            <w:tcMar>
              <w:top w:w="50" w:type="dxa"/>
              <w:bottom w:w="50" w:type="dxa"/>
              <w:left w:w="90" w:type="dxa"/>
              <w:right w:w="90" w:type="dxa"/>
            </w:tcMar>
          </w:tcPr>
          <w:p>
            <w:pPr>
              <w:pStyle w:val="BDOITable"/>
            </w:pPr>
            <w:r>
              <w:rPr>
                <w:sz w:val="17"/>
              </w:rPr>
              <w:t>One approval; the author never approves his own change</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Formatting</w:t>
            </w:r>
          </w:p>
        </w:tc>
        <w:tc>
          <w:tcPr>
            <w:tcW w:type="dxa" w:w="4806"/>
            <w:tcMar>
              <w:top w:w="50" w:type="dxa"/>
              <w:bottom w:w="50" w:type="dxa"/>
              <w:left w:w="90" w:type="dxa"/>
              <w:right w:w="90" w:type="dxa"/>
            </w:tcMar>
            <w:shd w:val="clear" w:color="auto" w:fill="E5F5FF"/>
          </w:tcPr>
          <w:p>
            <w:pPr>
              <w:pStyle w:val="BDOITable"/>
            </w:pPr>
            <w:r>
              <w:rPr>
                <w:sz w:val="17"/>
              </w:rPr>
              <w:t>Java and TypeScript formatting</w:t>
            </w:r>
          </w:p>
        </w:tc>
        <w:tc>
          <w:tcPr>
            <w:tcW w:type="dxa" w:w="3124"/>
            <w:tcMar>
              <w:top w:w="50" w:type="dxa"/>
              <w:bottom w:w="50" w:type="dxa"/>
              <w:left w:w="90" w:type="dxa"/>
              <w:right w:w="90" w:type="dxa"/>
            </w:tcMar>
            <w:shd w:val="clear" w:color="auto" w:fill="E5F5FF"/>
          </w:tcPr>
          <w:p>
            <w:pPr>
              <w:pStyle w:val="BDOITable"/>
            </w:pPr>
            <w:r>
              <w:rPr>
                <w:sz w:val="17"/>
              </w:rPr>
              <w:t>No difference allowed</w:t>
            </w:r>
          </w:p>
        </w:tc>
      </w:tr>
      <w:tr>
        <w:trPr>
          <w:cantSplit w:val="true"/>
        </w:trPr>
        <w:tc>
          <w:tcPr>
            <w:tcW w:type="dxa" w:w="2042"/>
            <w:tcMar>
              <w:top w:w="50" w:type="dxa"/>
              <w:bottom w:w="50" w:type="dxa"/>
              <w:left w:w="90" w:type="dxa"/>
              <w:right w:w="90" w:type="dxa"/>
            </w:tcMar>
          </w:tcPr>
          <w:p>
            <w:pPr>
              <w:pStyle w:val="BDOITable"/>
            </w:pPr>
            <w:r>
              <w:rPr>
                <w:sz w:val="17"/>
              </w:rPr>
              <w:t>Coding standard</w:t>
            </w:r>
          </w:p>
        </w:tc>
        <w:tc>
          <w:tcPr>
            <w:tcW w:type="dxa" w:w="4806"/>
            <w:tcMar>
              <w:top w:w="50" w:type="dxa"/>
              <w:bottom w:w="50" w:type="dxa"/>
              <w:left w:w="90" w:type="dxa"/>
              <w:right w:w="90" w:type="dxa"/>
            </w:tcMar>
          </w:tcPr>
          <w:p>
            <w:pPr>
              <w:pStyle w:val="BDOITable"/>
            </w:pPr>
            <w:r>
              <w:rPr>
                <w:sz w:val="17"/>
              </w:rPr>
              <w:t>Naming, size and complexity (Checkstyle; ESLint with the SonarSource rules, TypeScript strict)</w:t>
            </w:r>
          </w:p>
        </w:tc>
        <w:tc>
          <w:tcPr>
            <w:tcW w:type="dxa" w:w="3124"/>
            <w:tcMar>
              <w:top w:w="50" w:type="dxa"/>
              <w:bottom w:w="50" w:type="dxa"/>
              <w:left w:w="90" w:type="dxa"/>
              <w:right w:w="90" w:type="dxa"/>
            </w:tcMar>
          </w:tcPr>
          <w:p>
            <w:pPr>
              <w:pStyle w:val="BDOITable"/>
            </w:pPr>
            <w:r>
              <w:rPr>
                <w:sz w:val="17"/>
              </w:rPr>
              <w:t>600 lines per file, 60 lines per method, 120 columns; cognitive complexity 15, cyclomatic 12</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Code smells and correctness</w:t>
            </w:r>
          </w:p>
        </w:tc>
        <w:tc>
          <w:tcPr>
            <w:tcW w:type="dxa" w:w="4806"/>
            <w:tcMar>
              <w:top w:w="50" w:type="dxa"/>
              <w:bottom w:w="50" w:type="dxa"/>
              <w:left w:w="90" w:type="dxa"/>
              <w:right w:w="90" w:type="dxa"/>
            </w:tcMar>
            <w:shd w:val="clear" w:color="auto" w:fill="E5F5FF"/>
          </w:tcPr>
          <w:p>
            <w:pPr>
              <w:pStyle w:val="BDOITable"/>
            </w:pPr>
            <w:r>
              <w:rPr>
                <w:sz w:val="17"/>
              </w:rPr>
              <w:t>PMD, SpotBugs with security rules, compiler warnings as errors</w:t>
            </w:r>
          </w:p>
        </w:tc>
        <w:tc>
          <w:tcPr>
            <w:tcW w:type="dxa" w:w="3124"/>
            <w:tcMar>
              <w:top w:w="50" w:type="dxa"/>
              <w:bottom w:w="50" w:type="dxa"/>
              <w:left w:w="90" w:type="dxa"/>
              <w:right w:w="90" w:type="dxa"/>
            </w:tcMar>
            <w:shd w:val="clear" w:color="auto" w:fill="E5F5FF"/>
          </w:tcPr>
          <w:p>
            <w:pPr>
              <w:pStyle w:val="BDOITable"/>
            </w:pPr>
            <w:r>
              <w:rPr>
                <w:sz w:val="17"/>
              </w:rPr>
              <w:t>No finding</w:t>
            </w:r>
          </w:p>
        </w:tc>
      </w:tr>
      <w:tr>
        <w:trPr>
          <w:cantSplit w:val="true"/>
        </w:trPr>
        <w:tc>
          <w:tcPr>
            <w:tcW w:type="dxa" w:w="2042"/>
            <w:tcMar>
              <w:top w:w="50" w:type="dxa"/>
              <w:bottom w:w="50" w:type="dxa"/>
              <w:left w:w="90" w:type="dxa"/>
              <w:right w:w="90" w:type="dxa"/>
            </w:tcMar>
          </w:tcPr>
          <w:p>
            <w:pPr>
              <w:pStyle w:val="BDOITable"/>
            </w:pPr>
            <w:r>
              <w:rPr>
                <w:sz w:val="17"/>
              </w:rPr>
              <w:t>Duplication</w:t>
            </w:r>
          </w:p>
        </w:tc>
        <w:tc>
          <w:tcPr>
            <w:tcW w:type="dxa" w:w="4806"/>
            <w:tcMar>
              <w:top w:w="50" w:type="dxa"/>
              <w:bottom w:w="50" w:type="dxa"/>
              <w:left w:w="90" w:type="dxa"/>
              <w:right w:w="90" w:type="dxa"/>
            </w:tcMar>
          </w:tcPr>
          <w:p>
            <w:pPr>
              <w:pStyle w:val="BDOITable"/>
            </w:pPr>
            <w:r>
              <w:rPr>
                <w:sz w:val="17"/>
              </w:rPr>
              <w:t>Copy-paste detection</w:t>
            </w:r>
          </w:p>
        </w:tc>
        <w:tc>
          <w:tcPr>
            <w:tcW w:type="dxa" w:w="3124"/>
            <w:tcMar>
              <w:top w:w="50" w:type="dxa"/>
              <w:bottom w:w="50" w:type="dxa"/>
              <w:left w:w="90" w:type="dxa"/>
              <w:right w:w="90" w:type="dxa"/>
            </w:tcMar>
          </w:tcPr>
          <w:p>
            <w:pPr>
              <w:pStyle w:val="BDOITable"/>
            </w:pPr>
            <w:r>
              <w:rPr>
                <w:sz w:val="17"/>
              </w:rPr>
              <w:t>Blocks of 120 tokens or more fail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Architecture</w:t>
            </w:r>
          </w:p>
        </w:tc>
        <w:tc>
          <w:tcPr>
            <w:tcW w:type="dxa" w:w="4806"/>
            <w:tcMar>
              <w:top w:w="50" w:type="dxa"/>
              <w:bottom w:w="50" w:type="dxa"/>
              <w:left w:w="90" w:type="dxa"/>
              <w:right w:w="90" w:type="dxa"/>
            </w:tcMar>
            <w:shd w:val="clear" w:color="auto" w:fill="E5F5FF"/>
          </w:tcPr>
          <w:p>
            <w:pPr>
              <w:pStyle w:val="BDOITable"/>
            </w:pPr>
            <w:r>
              <w:rPr>
                <w:sz w:val="17"/>
              </w:rPr>
              <w:t>Layering and module boundaries (ArchUnit)</w:t>
            </w:r>
          </w:p>
        </w:tc>
        <w:tc>
          <w:tcPr>
            <w:tcW w:type="dxa" w:w="3124"/>
            <w:tcMar>
              <w:top w:w="50" w:type="dxa"/>
              <w:bottom w:w="50" w:type="dxa"/>
              <w:left w:w="90" w:type="dxa"/>
              <w:right w:w="90" w:type="dxa"/>
            </w:tcMar>
            <w:shd w:val="clear" w:color="auto" w:fill="E5F5FF"/>
          </w:tcPr>
          <w:p>
            <w:pPr>
              <w:pStyle w:val="BDOITable"/>
            </w:pPr>
            <w:r>
              <w:rPr>
                <w:sz w:val="17"/>
              </w:rPr>
              <w:t>No module cycle; no access across bounded contexts outside their published services</w:t>
            </w:r>
          </w:p>
        </w:tc>
      </w:tr>
      <w:tr>
        <w:trPr>
          <w:cantSplit w:val="true"/>
        </w:trPr>
        <w:tc>
          <w:tcPr>
            <w:tcW w:type="dxa" w:w="2042"/>
            <w:tcMar>
              <w:top w:w="50" w:type="dxa"/>
              <w:bottom w:w="50" w:type="dxa"/>
              <w:left w:w="90" w:type="dxa"/>
              <w:right w:w="90" w:type="dxa"/>
            </w:tcMar>
          </w:tcPr>
          <w:p>
            <w:pPr>
              <w:pStyle w:val="BDOITable"/>
            </w:pPr>
            <w:r>
              <w:rPr>
                <w:sz w:val="17"/>
              </w:rPr>
              <w:t>Tests</w:t>
            </w:r>
          </w:p>
        </w:tc>
        <w:tc>
          <w:tcPr>
            <w:tcW w:type="dxa" w:w="4806"/>
            <w:tcMar>
              <w:top w:w="50" w:type="dxa"/>
              <w:bottom w:w="50" w:type="dxa"/>
              <w:left w:w="90" w:type="dxa"/>
              <w:right w:w="90" w:type="dxa"/>
            </w:tcMar>
          </w:tcPr>
          <w:p>
            <w:pPr>
              <w:pStyle w:val="BDOITable"/>
            </w:pPr>
            <w:r>
              <w:rPr>
                <w:sz w:val="17"/>
              </w:rPr>
              <w:t>Module and integration tests on PostgreSQL 16; web client tests</w:t>
            </w:r>
          </w:p>
        </w:tc>
        <w:tc>
          <w:tcPr>
            <w:tcW w:type="dxa" w:w="3124"/>
            <w:tcMar>
              <w:top w:w="50" w:type="dxa"/>
              <w:bottom w:w="50" w:type="dxa"/>
              <w:left w:w="90" w:type="dxa"/>
              <w:right w:w="90" w:type="dxa"/>
            </w:tcMar>
          </w:tcPr>
          <w:p>
            <w:pPr>
              <w:pStyle w:val="BDOITable"/>
            </w:pPr>
            <w:r>
              <w:rPr>
                <w:sz w:val="17"/>
              </w:rPr>
              <w:t>All pass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Coverage</w:t>
            </w:r>
          </w:p>
        </w:tc>
        <w:tc>
          <w:tcPr>
            <w:tcW w:type="dxa" w:w="4806"/>
            <w:tcMar>
              <w:top w:w="50" w:type="dxa"/>
              <w:bottom w:w="50" w:type="dxa"/>
              <w:left w:w="90" w:type="dxa"/>
              <w:right w:w="90" w:type="dxa"/>
            </w:tcMar>
            <w:shd w:val="clear" w:color="auto" w:fill="E5F5FF"/>
          </w:tcPr>
          <w:p>
            <w:pPr>
              <w:pStyle w:val="BDOITable"/>
            </w:pPr>
            <w:r>
              <w:rPr>
                <w:sz w:val="17"/>
              </w:rPr>
              <w:t>Line and branch coverage of the server code</w:t>
            </w:r>
          </w:p>
        </w:tc>
        <w:tc>
          <w:tcPr>
            <w:tcW w:type="dxa" w:w="3124"/>
            <w:tcMar>
              <w:top w:w="50" w:type="dxa"/>
              <w:bottom w:w="50" w:type="dxa"/>
              <w:left w:w="90" w:type="dxa"/>
              <w:right w:w="90" w:type="dxa"/>
            </w:tcMar>
            <w:shd w:val="clear" w:color="auto" w:fill="E5F5FF"/>
          </w:tcPr>
          <w:p>
            <w:pPr>
              <w:pStyle w:val="BDOITable"/>
            </w:pPr>
            <w:r>
              <w:rPr>
                <w:sz w:val="17"/>
              </w:rPr>
              <w:t>80 percent lines, 65 percent branches</w:t>
            </w:r>
          </w:p>
        </w:tc>
      </w:tr>
      <w:tr>
        <w:trPr>
          <w:cantSplit w:val="true"/>
        </w:trPr>
        <w:tc>
          <w:tcPr>
            <w:tcW w:type="dxa" w:w="2042"/>
            <w:tcMar>
              <w:top w:w="50" w:type="dxa"/>
              <w:bottom w:w="50" w:type="dxa"/>
              <w:left w:w="90" w:type="dxa"/>
              <w:right w:w="90" w:type="dxa"/>
            </w:tcMar>
          </w:tcPr>
          <w:p>
            <w:pPr>
              <w:pStyle w:val="BDOITable"/>
            </w:pPr>
            <w:r>
              <w:rPr>
                <w:sz w:val="17"/>
              </w:rPr>
              <w:t>Accessibility</w:t>
            </w:r>
          </w:p>
        </w:tc>
        <w:tc>
          <w:tcPr>
            <w:tcW w:type="dxa" w:w="4806"/>
            <w:tcMar>
              <w:top w:w="50" w:type="dxa"/>
              <w:bottom w:w="50" w:type="dxa"/>
              <w:left w:w="90" w:type="dxa"/>
              <w:right w:w="90" w:type="dxa"/>
            </w:tcMar>
          </w:tcPr>
          <w:p>
            <w:pPr>
              <w:pStyle w:val="BDOITable"/>
            </w:pPr>
            <w:r>
              <w:rPr>
                <w:sz w:val="17"/>
              </w:rPr>
              <w:t>Accessibility lint of the web client</w:t>
            </w:r>
          </w:p>
        </w:tc>
        <w:tc>
          <w:tcPr>
            <w:tcW w:type="dxa" w:w="3124"/>
            <w:tcMar>
              <w:top w:w="50" w:type="dxa"/>
              <w:bottom w:w="50" w:type="dxa"/>
              <w:left w:w="90" w:type="dxa"/>
              <w:right w:w="90" w:type="dxa"/>
            </w:tcMar>
          </w:tcPr>
          <w:p>
            <w:pPr>
              <w:pStyle w:val="BDOITable"/>
            </w:pPr>
            <w:r>
              <w:rPr>
                <w:sz w:val="17"/>
              </w:rPr>
              <w:t>No finding</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Code scanning</w:t>
            </w:r>
          </w:p>
        </w:tc>
        <w:tc>
          <w:tcPr>
            <w:tcW w:type="dxa" w:w="4806"/>
            <w:tcMar>
              <w:top w:w="50" w:type="dxa"/>
              <w:bottom w:w="50" w:type="dxa"/>
              <w:left w:w="90" w:type="dxa"/>
              <w:right w:w="90" w:type="dxa"/>
            </w:tcMar>
            <w:shd w:val="clear" w:color="auto" w:fill="E5F5FF"/>
          </w:tcPr>
          <w:p>
            <w:pPr>
              <w:pStyle w:val="BDOITable"/>
            </w:pPr>
            <w:r>
              <w:rPr>
                <w:sz w:val="17"/>
              </w:rPr>
              <w:t>CodeQL on Java and TypeScript</w:t>
            </w:r>
          </w:p>
        </w:tc>
        <w:tc>
          <w:tcPr>
            <w:tcW w:type="dxa" w:w="3124"/>
            <w:tcMar>
              <w:top w:w="50" w:type="dxa"/>
              <w:bottom w:w="50" w:type="dxa"/>
              <w:left w:w="90" w:type="dxa"/>
              <w:right w:w="90" w:type="dxa"/>
            </w:tcMar>
            <w:shd w:val="clear" w:color="auto" w:fill="E5F5FF"/>
          </w:tcPr>
          <w:p>
            <w:pPr>
              <w:pStyle w:val="BDOITable"/>
            </w:pPr>
            <w:r>
              <w:rPr>
                <w:sz w:val="17"/>
              </w:rPr>
              <w:t>No new high finding</w:t>
            </w:r>
          </w:p>
        </w:tc>
      </w:tr>
      <w:tr>
        <w:trPr>
          <w:cantSplit w:val="true"/>
        </w:trPr>
        <w:tc>
          <w:tcPr>
            <w:tcW w:type="dxa" w:w="2042"/>
            <w:tcMar>
              <w:top w:w="50" w:type="dxa"/>
              <w:bottom w:w="50" w:type="dxa"/>
              <w:left w:w="90" w:type="dxa"/>
              <w:right w:w="90" w:type="dxa"/>
            </w:tcMar>
          </w:tcPr>
          <w:p>
            <w:pPr>
              <w:pStyle w:val="BDOITable"/>
            </w:pPr>
            <w:r>
              <w:rPr>
                <w:sz w:val="17"/>
              </w:rPr>
              <w:t>Dependencies</w:t>
            </w:r>
          </w:p>
        </w:tc>
        <w:tc>
          <w:tcPr>
            <w:tcW w:type="dxa" w:w="4806"/>
            <w:tcMar>
              <w:top w:w="50" w:type="dxa"/>
              <w:bottom w:w="50" w:type="dxa"/>
              <w:left w:w="90" w:type="dxa"/>
              <w:right w:w="90" w:type="dxa"/>
            </w:tcMar>
          </w:tcPr>
          <w:p>
            <w:pPr>
              <w:pStyle w:val="BDOITable"/>
            </w:pPr>
            <w:r>
              <w:rPr>
                <w:sz w:val="17"/>
              </w:rPr>
              <w:t>OWASP dependency-check (server), audit of the web packages</w:t>
            </w:r>
          </w:p>
        </w:tc>
        <w:tc>
          <w:tcPr>
            <w:tcW w:type="dxa" w:w="3124"/>
            <w:tcMar>
              <w:top w:w="50" w:type="dxa"/>
              <w:bottom w:w="50" w:type="dxa"/>
              <w:left w:w="90" w:type="dxa"/>
              <w:right w:w="90" w:type="dxa"/>
            </w:tcMar>
          </w:tcPr>
          <w:p>
            <w:pPr>
              <w:pStyle w:val="BDOITable"/>
            </w:pPr>
            <w:r>
              <w:rPr>
                <w:sz w:val="17"/>
              </w:rPr>
              <w:t>Fails at CVSS 7.0 or higher, or on a high or critical advisory</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Container images</w:t>
            </w:r>
          </w:p>
        </w:tc>
        <w:tc>
          <w:tcPr>
            <w:tcW w:type="dxa" w:w="4806"/>
            <w:tcMar>
              <w:top w:w="50" w:type="dxa"/>
              <w:bottom w:w="50" w:type="dxa"/>
              <w:left w:w="90" w:type="dxa"/>
              <w:right w:w="90" w:type="dxa"/>
            </w:tcMar>
            <w:shd w:val="clear" w:color="auto" w:fill="E5F5FF"/>
          </w:tcPr>
          <w:p>
            <w:pPr>
              <w:pStyle w:val="BDOITable"/>
            </w:pPr>
            <w:r>
              <w:rPr>
                <w:sz w:val="17"/>
              </w:rPr>
              <w:t>Trivy on the server and web images</w:t>
            </w:r>
          </w:p>
        </w:tc>
        <w:tc>
          <w:tcPr>
            <w:tcW w:type="dxa" w:w="3124"/>
            <w:tcMar>
              <w:top w:w="50" w:type="dxa"/>
              <w:bottom w:w="50" w:type="dxa"/>
              <w:left w:w="90" w:type="dxa"/>
              <w:right w:w="90" w:type="dxa"/>
            </w:tcMar>
            <w:shd w:val="clear" w:color="auto" w:fill="E5F5FF"/>
          </w:tcPr>
          <w:p>
            <w:pPr>
              <w:pStyle w:val="BDOITable"/>
            </w:pPr>
            <w:r>
              <w:rPr>
                <w:sz w:val="17"/>
              </w:rPr>
              <w:t>Fails on a high or critical vulnerability with a fix available</w:t>
            </w:r>
          </w:p>
        </w:tc>
      </w:tr>
      <w:tr>
        <w:trPr>
          <w:cantSplit w:val="true"/>
        </w:trPr>
        <w:tc>
          <w:tcPr>
            <w:tcW w:type="dxa" w:w="2042"/>
            <w:tcMar>
              <w:top w:w="50" w:type="dxa"/>
              <w:bottom w:w="50" w:type="dxa"/>
              <w:left w:w="90" w:type="dxa"/>
              <w:right w:w="90" w:type="dxa"/>
            </w:tcMar>
          </w:tcPr>
          <w:p>
            <w:pPr>
              <w:pStyle w:val="BDOITable"/>
            </w:pPr>
            <w:r>
              <w:rPr>
                <w:sz w:val="17"/>
              </w:rPr>
              <w:t>Secrets</w:t>
            </w:r>
          </w:p>
        </w:tc>
        <w:tc>
          <w:tcPr>
            <w:tcW w:type="dxa" w:w="4806"/>
            <w:tcMar>
              <w:top w:w="50" w:type="dxa"/>
              <w:bottom w:w="50" w:type="dxa"/>
              <w:left w:w="90" w:type="dxa"/>
              <w:right w:w="90" w:type="dxa"/>
            </w:tcMar>
          </w:tcPr>
          <w:p>
            <w:pPr>
              <w:pStyle w:val="BDOITable"/>
            </w:pPr>
            <w:r>
              <w:rPr>
                <w:sz w:val="17"/>
              </w:rPr>
              <w:t>gitleaks over the whole history</w:t>
            </w:r>
          </w:p>
        </w:tc>
        <w:tc>
          <w:tcPr>
            <w:tcW w:type="dxa" w:w="3124"/>
            <w:tcMar>
              <w:top w:w="50" w:type="dxa"/>
              <w:bottom w:w="50" w:type="dxa"/>
              <w:left w:w="90" w:type="dxa"/>
              <w:right w:w="90" w:type="dxa"/>
            </w:tcMar>
          </w:tcPr>
          <w:p>
            <w:pPr>
              <w:pStyle w:val="BDOITable"/>
            </w:pPr>
            <w:r>
              <w:rPr>
                <w:sz w:val="17"/>
              </w:rPr>
              <w:t>Any finding fails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Software bill of materials</w:t>
            </w:r>
          </w:p>
        </w:tc>
        <w:tc>
          <w:tcPr>
            <w:tcW w:type="dxa" w:w="4806"/>
            <w:tcMar>
              <w:top w:w="50" w:type="dxa"/>
              <w:bottom w:w="50" w:type="dxa"/>
              <w:left w:w="90" w:type="dxa"/>
              <w:right w:w="90" w:type="dxa"/>
            </w:tcMar>
            <w:shd w:val="clear" w:color="auto" w:fill="E5F5FF"/>
          </w:tcPr>
          <w:p>
            <w:pPr>
              <w:pStyle w:val="BDOITable"/>
            </w:pPr>
            <w:r>
              <w:rPr>
                <w:sz w:val="17"/>
              </w:rPr>
              <w:t>CycloneDX SBOM of the server and the web client</w:t>
            </w:r>
          </w:p>
        </w:tc>
        <w:tc>
          <w:tcPr>
            <w:tcW w:type="dxa" w:w="3124"/>
            <w:tcMar>
              <w:top w:w="50" w:type="dxa"/>
              <w:bottom w:w="50" w:type="dxa"/>
              <w:left w:w="90" w:type="dxa"/>
              <w:right w:w="90" w:type="dxa"/>
            </w:tcMar>
            <w:shd w:val="clear" w:color="auto" w:fill="E5F5FF"/>
          </w:tcPr>
          <w:p>
            <w:pPr>
              <w:pStyle w:val="BDOITable"/>
            </w:pPr>
            <w:r>
              <w:rPr>
                <w:sz w:val="17"/>
              </w:rPr>
              <w:t>Produced and kept with every release</w:t>
            </w:r>
          </w:p>
        </w:tc>
      </w:tr>
    </w:tbl>
    <w:p>
      <w:pPr>
        <w:pStyle w:val="BDOISpacer"/>
      </w:pPr>
    </w:p>
    <w:p>
      <w:r>
        <w:rPr>
          <w:b/>
        </w:rPr>
        <w:t>Accepted findings.</w:t>
      </w:r>
      <w:r>
        <w:rPr/>
        <w:t xml:space="preserve"> A finding is fixed by upgrading the library, the base image or the package. An accepted finding is the exception: its record names the reason it does not apply, the reviewer, the review date and an expiry date at most six months ahead; after the expiry the gate fails again. Information Security sees every accepted finding in the release notes.</w:t>
      </w:r>
    </w:p>
    <w:p>
      <w:r>
        <w:rPr>
          <w:b/>
        </w:rPr>
        <w:t>Patching.</w:t>
      </w:r>
      <w:r>
        <w:rPr/>
        <w:t xml:space="preserve"> Security advisories of the components of the baseline (for example the Spring Framework 6.2 line under Spring Boot 3.5) are applied in a monthly patch release; a critical finding is patched within 7 days and a high finding within 30 days, with the regression run before the patch reaches UAT or production.</w:t>
      </w:r>
    </w:p>
    <w:p>
      <w:pPr>
        <w:pStyle w:val="Heading2"/>
      </w:pPr>
      <w:bookmarkStart w:id="113" w:name="_Toc000113"/>
      <w:r>
        <w:rPr/>
        <w:t>5.1 Test levels and incident severities</w:t>
      </w:r>
      <w:bookmarkEnd w:id="113"/>
    </w:p>
    <w:p>
      <w:pPr>
        <w:pStyle w:val="Caption"/>
        <w:keepNext/>
        <w:spacing w:after="60"/>
      </w:pPr>
      <w:r>
        <w:rPr>
          <w:b/>
          <w:i w:val="0"/>
        </w:rPr>
        <w:t xml:space="preserve">Table 6: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244"/>
        <w:gridCol w:w="2403"/>
        <w:gridCol w:w="2403"/>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Environment</w:t>
            </w:r>
          </w:p>
        </w:tc>
      </w:tr>
      <w:tr>
        <w:trPr>
          <w:cantSplit w:val="true"/>
        </w:trPr>
        <w:tc>
          <w:tcPr>
            <w:tcW w:type="dxa" w:w="1922"/>
            <w:tcMar>
              <w:top w:w="50" w:type="dxa"/>
              <w:bottom w:w="50" w:type="dxa"/>
              <w:left w:w="90" w:type="dxa"/>
              <w:right w:w="90" w:type="dxa"/>
            </w:tcMar>
          </w:tcPr>
          <w:p>
            <w:pPr>
              <w:pStyle w:val="BDOITable"/>
            </w:pPr>
            <w:r>
              <w:rPr>
                <w:sz w:val="17"/>
              </w:rPr>
              <w:t>Developer tests</w:t>
            </w:r>
          </w:p>
        </w:tc>
        <w:tc>
          <w:tcPr>
            <w:tcW w:type="dxa" w:w="3244"/>
            <w:tcMar>
              <w:top w:w="50" w:type="dxa"/>
              <w:bottom w:w="50" w:type="dxa"/>
              <w:left w:w="90" w:type="dxa"/>
              <w:right w:w="90" w:type="dxa"/>
            </w:tcMar>
          </w:tcPr>
          <w:p>
            <w:pPr>
              <w:pStyle w:val="BDOITable"/>
            </w:pPr>
            <w:r>
              <w:rPr>
                <w:sz w:val="17"/>
              </w:rPr>
              <w:t>Module and integration tests of every change</w:t>
            </w:r>
          </w:p>
        </w:tc>
        <w:tc>
          <w:tcPr>
            <w:tcW w:type="dxa" w:w="2403"/>
            <w:tcMar>
              <w:top w:w="50" w:type="dxa"/>
              <w:bottom w:w="50" w:type="dxa"/>
              <w:left w:w="90" w:type="dxa"/>
              <w:right w:w="90" w:type="dxa"/>
            </w:tcMar>
          </w:tcPr>
          <w:p>
            <w:pPr>
              <w:pStyle w:val="BDOITable"/>
            </w:pPr>
            <w:r>
              <w:rPr>
                <w:sz w:val="17"/>
              </w:rPr>
              <w:t>iorta development team</w:t>
            </w:r>
          </w:p>
        </w:tc>
        <w:tc>
          <w:tcPr>
            <w:tcW w:type="dxa" w:w="2403"/>
            <w:tcMar>
              <w:top w:w="50" w:type="dxa"/>
              <w:bottom w:w="50" w:type="dxa"/>
              <w:left w:w="90" w:type="dxa"/>
              <w:right w:w="90" w:type="dxa"/>
            </w:tcMar>
          </w:tcPr>
          <w:p>
            <w:pPr>
              <w:pStyle w:val="BDOITable"/>
            </w:pPr>
            <w:r>
              <w:rPr>
                <w:sz w:val="17"/>
              </w:rPr>
              <w:t>Pipeline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SIT</w:t>
            </w:r>
          </w:p>
        </w:tc>
        <w:tc>
          <w:tcPr>
            <w:tcW w:type="dxa" w:w="3244"/>
            <w:tcMar>
              <w:top w:w="50" w:type="dxa"/>
              <w:bottom w:w="50" w:type="dxa"/>
              <w:left w:w="90" w:type="dxa"/>
              <w:right w:w="90" w:type="dxa"/>
            </w:tcMar>
            <w:shd w:val="clear" w:color="auto" w:fill="E5F5FF"/>
          </w:tcPr>
          <w:p>
            <w:pPr>
              <w:pStyle w:val="BDOITable"/>
            </w:pPr>
            <w:r>
              <w:rPr>
                <w:sz w:val="17"/>
              </w:rPr>
              <w:t>Test cases of the test plan per BRD; end-to-end walkthroughs; regression per release</w:t>
            </w:r>
          </w:p>
        </w:tc>
        <w:tc>
          <w:tcPr>
            <w:tcW w:type="dxa" w:w="2403"/>
            <w:tcMar>
              <w:top w:w="50" w:type="dxa"/>
              <w:bottom w:w="50" w:type="dxa"/>
              <w:left w:w="90" w:type="dxa"/>
              <w:right w:w="90" w:type="dxa"/>
            </w:tcMar>
            <w:shd w:val="clear" w:color="auto" w:fill="E5F5FF"/>
          </w:tcPr>
          <w:p>
            <w:pPr>
              <w:pStyle w:val="BDOITable"/>
            </w:pPr>
            <w:r>
              <w:rPr>
                <w:sz w:val="17"/>
              </w:rPr>
              <w:t>iorta QA</w:t>
            </w:r>
          </w:p>
        </w:tc>
        <w:tc>
          <w:tcPr>
            <w:tcW w:type="dxa" w:w="2403"/>
            <w:tcMar>
              <w:top w:w="50" w:type="dxa"/>
              <w:bottom w:w="50" w:type="dxa"/>
              <w:left w:w="90" w:type="dxa"/>
              <w:right w:w="90" w:type="dxa"/>
            </w:tcMar>
            <w:shd w:val="clear" w:color="auto" w:fill="E5F5FF"/>
          </w:tcPr>
          <w:p>
            <w:pPr>
              <w:pStyle w:val="BDOITable"/>
            </w:pPr>
            <w:r>
              <w:rPr>
                <w:sz w:val="17"/>
              </w:rPr>
              <w:t>SIT</w:t>
            </w:r>
          </w:p>
        </w:tc>
      </w:tr>
      <w:tr>
        <w:trPr>
          <w:cantSplit w:val="true"/>
        </w:trPr>
        <w:tc>
          <w:tcPr>
            <w:tcW w:type="dxa" w:w="1922"/>
            <w:tcMar>
              <w:top w:w="50" w:type="dxa"/>
              <w:bottom w:w="50" w:type="dxa"/>
              <w:left w:w="90" w:type="dxa"/>
              <w:right w:w="90" w:type="dxa"/>
            </w:tcMar>
          </w:tcPr>
          <w:p>
            <w:pPr>
              <w:pStyle w:val="BDOITable"/>
            </w:pPr>
            <w:r>
              <w:rPr>
                <w:sz w:val="17"/>
              </w:rPr>
              <w:t>Integration test</w:t>
            </w:r>
          </w:p>
        </w:tc>
        <w:tc>
          <w:tcPr>
            <w:tcW w:type="dxa" w:w="3244"/>
            <w:tcMar>
              <w:top w:w="50" w:type="dxa"/>
              <w:bottom w:w="50" w:type="dxa"/>
              <w:left w:w="90" w:type="dxa"/>
              <w:right w:w="90" w:type="dxa"/>
            </w:tcMar>
          </w:tcPr>
          <w:p>
            <w:pPr>
              <w:pStyle w:val="BDOITable"/>
            </w:pPr>
            <w:r>
              <w:rPr>
                <w:sz w:val="17"/>
              </w:rPr>
              <w:t>Exchanges with EIAM, UIDM-ISC, Apigee X and the BDO systems</w:t>
            </w:r>
          </w:p>
        </w:tc>
        <w:tc>
          <w:tcPr>
            <w:tcW w:type="dxa" w:w="2403"/>
            <w:tcMar>
              <w:top w:w="50" w:type="dxa"/>
              <w:bottom w:w="50" w:type="dxa"/>
              <w:left w:w="90" w:type="dxa"/>
              <w:right w:w="90" w:type="dxa"/>
            </w:tcMar>
          </w:tcPr>
          <w:p>
            <w:pPr>
              <w:pStyle w:val="BDOITable"/>
            </w:pPr>
            <w:r>
              <w:rPr>
                <w:sz w:val="17"/>
              </w:rPr>
              <w:t>iorta QA with BDOI IT and the BDO IT teams</w:t>
            </w:r>
          </w:p>
        </w:tc>
        <w:tc>
          <w:tcPr>
            <w:tcW w:type="dxa" w:w="2403"/>
            <w:tcMar>
              <w:top w:w="50" w:type="dxa"/>
              <w:bottom w:w="50" w:type="dxa"/>
              <w:left w:w="90" w:type="dxa"/>
              <w:right w:w="90" w:type="dxa"/>
            </w:tcMar>
          </w:tcPr>
          <w:p>
            <w:pPr>
              <w:pStyle w:val="BDOITable"/>
            </w:pPr>
            <w:r>
              <w:rPr>
                <w:sz w:val="17"/>
              </w:rPr>
              <w:t>SIT, UAT</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Trial migrations</w:t>
            </w:r>
          </w:p>
        </w:tc>
        <w:tc>
          <w:tcPr>
            <w:tcW w:type="dxa" w:w="3244"/>
            <w:tcMar>
              <w:top w:w="50" w:type="dxa"/>
              <w:bottom w:w="50" w:type="dxa"/>
              <w:left w:w="90" w:type="dxa"/>
              <w:right w:w="90" w:type="dxa"/>
            </w:tcMar>
            <w:shd w:val="clear" w:color="auto" w:fill="E5F5FF"/>
          </w:tcPr>
          <w:p>
            <w:pPr>
              <w:pStyle w:val="BDOITable"/>
            </w:pPr>
            <w:r>
              <w:rPr>
                <w:sz w:val="17"/>
              </w:rPr>
              <w:t>Loads, reconciliation L1 to L5, timings</w:t>
            </w:r>
          </w:p>
        </w:tc>
        <w:tc>
          <w:tcPr>
            <w:tcW w:type="dxa" w:w="2403"/>
            <w:tcMar>
              <w:top w:w="50" w:type="dxa"/>
              <w:bottom w:w="50" w:type="dxa"/>
              <w:left w:w="90" w:type="dxa"/>
              <w:right w:w="90" w:type="dxa"/>
            </w:tcMar>
            <w:shd w:val="clear" w:color="auto" w:fill="E5F5FF"/>
          </w:tcPr>
          <w:p>
            <w:pPr>
              <w:pStyle w:val="BDOITable"/>
            </w:pPr>
            <w:r>
              <w:rPr>
                <w:sz w:val="17"/>
              </w:rPr>
              <w:t>Data Migration Lead, iorta Migration Lead</w:t>
            </w:r>
          </w:p>
        </w:tc>
        <w:tc>
          <w:tcPr>
            <w:tcW w:type="dxa" w:w="2403"/>
            <w:tcMar>
              <w:top w:w="50" w:type="dxa"/>
              <w:bottom w:w="50" w:type="dxa"/>
              <w:left w:w="90" w:type="dxa"/>
              <w:right w:w="90" w:type="dxa"/>
            </w:tcMar>
            <w:shd w:val="clear" w:color="auto" w:fill="E5F5FF"/>
          </w:tcPr>
          <w:p>
            <w:pPr>
              <w:pStyle w:val="BDOITable"/>
            </w:pPr>
            <w:r>
              <w:rPr>
                <w:sz w:val="17"/>
              </w:rPr>
              <w:t>SIT, UAT, Pre-Prod</w:t>
            </w:r>
          </w:p>
        </w:tc>
      </w:tr>
      <w:tr>
        <w:trPr>
          <w:cantSplit w:val="true"/>
        </w:trPr>
        <w:tc>
          <w:tcPr>
            <w:tcW w:type="dxa" w:w="1922"/>
            <w:tcMar>
              <w:top w:w="50" w:type="dxa"/>
              <w:bottom w:w="50" w:type="dxa"/>
              <w:left w:w="90" w:type="dxa"/>
              <w:right w:w="90" w:type="dxa"/>
            </w:tcMar>
          </w:tcPr>
          <w:p>
            <w:pPr>
              <w:pStyle w:val="BDOITable"/>
            </w:pPr>
            <w:r>
              <w:rPr>
                <w:sz w:val="17"/>
              </w:rPr>
              <w:t>UAT</w:t>
            </w:r>
          </w:p>
        </w:tc>
        <w:tc>
          <w:tcPr>
            <w:tcW w:type="dxa" w:w="3244"/>
            <w:tcMar>
              <w:top w:w="50" w:type="dxa"/>
              <w:bottom w:w="50" w:type="dxa"/>
              <w:left w:w="90" w:type="dxa"/>
              <w:right w:w="90" w:type="dxa"/>
            </w:tcMar>
          </w:tcPr>
          <w:p>
            <w:pPr>
              <w:pStyle w:val="BDOITable"/>
            </w:pPr>
            <w:r>
              <w:rPr>
                <w:sz w:val="17"/>
              </w:rPr>
              <w:t>Business scenarios end to end on migrated data</w:t>
            </w:r>
          </w:p>
        </w:tc>
        <w:tc>
          <w:tcPr>
            <w:tcW w:type="dxa" w:w="2403"/>
            <w:tcMar>
              <w:top w:w="50" w:type="dxa"/>
              <w:bottom w:w="50" w:type="dxa"/>
              <w:left w:w="90" w:type="dxa"/>
              <w:right w:w="90" w:type="dxa"/>
            </w:tcMar>
          </w:tcPr>
          <w:p>
            <w:pPr>
              <w:pStyle w:val="BDOITable"/>
            </w:pPr>
            <w:r>
              <w:rPr>
                <w:sz w:val="17"/>
              </w:rPr>
              <w:t>Key users and UAT testers</w:t>
            </w:r>
          </w:p>
        </w:tc>
        <w:tc>
          <w:tcPr>
            <w:tcW w:type="dxa" w:w="2403"/>
            <w:tcMar>
              <w:top w:w="50" w:type="dxa"/>
              <w:bottom w:w="50" w:type="dxa"/>
              <w:left w:w="90" w:type="dxa"/>
              <w:right w:w="90" w:type="dxa"/>
            </w:tcMar>
          </w:tcPr>
          <w:p>
            <w:pPr>
              <w:pStyle w:val="BDOITable"/>
            </w:pPr>
            <w:r>
              <w:rPr>
                <w:sz w:val="17"/>
              </w:rPr>
              <w:t>UAT</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Usability tests</w:t>
            </w:r>
          </w:p>
        </w:tc>
        <w:tc>
          <w:tcPr>
            <w:tcW w:type="dxa" w:w="3244"/>
            <w:tcMar>
              <w:top w:w="50" w:type="dxa"/>
              <w:bottom w:w="50" w:type="dxa"/>
              <w:left w:w="90" w:type="dxa"/>
              <w:right w:w="90" w:type="dxa"/>
            </w:tcMar>
            <w:shd w:val="clear" w:color="auto" w:fill="E5F5FF"/>
          </w:tcPr>
          <w:p>
            <w:pPr>
              <w:pStyle w:val="BDOITable"/>
            </w:pPr>
            <w:r>
              <w:rPr>
                <w:sz w:val="17"/>
              </w:rPr>
              <w:t>Task-based sessions with users per persona</w:t>
            </w:r>
          </w:p>
        </w:tc>
        <w:tc>
          <w:tcPr>
            <w:tcW w:type="dxa" w:w="2403"/>
            <w:tcMar>
              <w:top w:w="50" w:type="dxa"/>
              <w:bottom w:w="50" w:type="dxa"/>
              <w:left w:w="90" w:type="dxa"/>
              <w:right w:w="90" w:type="dxa"/>
            </w:tcMar>
            <w:shd w:val="clear" w:color="auto" w:fill="E5F5FF"/>
          </w:tcPr>
          <w:p>
            <w:pPr>
              <w:pStyle w:val="BDOITable"/>
            </w:pPr>
            <w:r>
              <w:rPr>
                <w:sz w:val="17"/>
              </w:rPr>
              <w:t>iorta change and training lead with key users</w:t>
            </w:r>
          </w:p>
        </w:tc>
        <w:tc>
          <w:tcPr>
            <w:tcW w:type="dxa" w:w="2403"/>
            <w:tcMar>
              <w:top w:w="50" w:type="dxa"/>
              <w:bottom w:w="50" w:type="dxa"/>
              <w:left w:w="90" w:type="dxa"/>
              <w:right w:w="90" w:type="dxa"/>
            </w:tcMar>
            <w:shd w:val="clear" w:color="auto" w:fill="E5F5FF"/>
          </w:tcPr>
          <w:p>
            <w:pPr>
              <w:pStyle w:val="BDOITable"/>
            </w:pPr>
            <w:r>
              <w:rPr>
                <w:sz w:val="17"/>
              </w:rPr>
              <w:t>UAT, training</w:t>
            </w:r>
          </w:p>
        </w:tc>
      </w:tr>
      <w:tr>
        <w:trPr>
          <w:cantSplit w:val="true"/>
        </w:trPr>
        <w:tc>
          <w:tcPr>
            <w:tcW w:type="dxa" w:w="1922"/>
            <w:tcMar>
              <w:top w:w="50" w:type="dxa"/>
              <w:bottom w:w="50" w:type="dxa"/>
              <w:left w:w="90" w:type="dxa"/>
              <w:right w:w="90" w:type="dxa"/>
            </w:tcMar>
          </w:tcPr>
          <w:p>
            <w:pPr>
              <w:pStyle w:val="BDOITable"/>
            </w:pPr>
            <w:r>
              <w:rPr>
                <w:sz w:val="17"/>
              </w:rPr>
              <w:t>Performance test</w:t>
            </w:r>
          </w:p>
        </w:tc>
        <w:tc>
          <w:tcPr>
            <w:tcW w:type="dxa" w:w="3244"/>
            <w:tcMar>
              <w:top w:w="50" w:type="dxa"/>
              <w:bottom w:w="50" w:type="dxa"/>
              <w:left w:w="90" w:type="dxa"/>
              <w:right w:w="90" w:type="dxa"/>
            </w:tcMar>
          </w:tcPr>
          <w:p>
            <w:pPr>
              <w:pStyle w:val="BDOITable"/>
            </w:pPr>
            <w:r>
              <w:rPr>
                <w:sz w:val="17"/>
              </w:rPr>
              <w:t>Peak of 429 concurrent users and the batch window</w:t>
            </w:r>
          </w:p>
        </w:tc>
        <w:tc>
          <w:tcPr>
            <w:tcW w:type="dxa" w:w="2403"/>
            <w:tcMar>
              <w:top w:w="50" w:type="dxa"/>
              <w:bottom w:w="50" w:type="dxa"/>
              <w:left w:w="90" w:type="dxa"/>
              <w:right w:w="90" w:type="dxa"/>
            </w:tcMar>
          </w:tcPr>
          <w:p>
            <w:pPr>
              <w:pStyle w:val="BDOITable"/>
            </w:pPr>
            <w:r>
              <w:rPr>
                <w:sz w:val="17"/>
              </w:rPr>
              <w:t>BDOI IT with iorta QA</w:t>
            </w:r>
          </w:p>
        </w:tc>
        <w:tc>
          <w:tcPr>
            <w:tcW w:type="dxa" w:w="2403"/>
            <w:tcMar>
              <w:top w:w="50" w:type="dxa"/>
              <w:bottom w:w="50" w:type="dxa"/>
              <w:left w:w="90" w:type="dxa"/>
              <w:right w:w="90" w:type="dxa"/>
            </w:tcMar>
          </w:tcPr>
          <w:p>
            <w:pPr>
              <w:pStyle w:val="BDOITable"/>
            </w:pPr>
            <w:r>
              <w:rPr>
                <w:sz w:val="17"/>
              </w:rPr>
              <w:t>Pre-Prod</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Penetration test</w:t>
            </w:r>
          </w:p>
        </w:tc>
        <w:tc>
          <w:tcPr>
            <w:tcW w:type="dxa" w:w="3244"/>
            <w:tcMar>
              <w:top w:w="50" w:type="dxa"/>
              <w:bottom w:w="50" w:type="dxa"/>
              <w:left w:w="90" w:type="dxa"/>
              <w:right w:w="90" w:type="dxa"/>
            </w:tcMar>
            <w:shd w:val="clear" w:color="auto" w:fill="E5F5FF"/>
          </w:tcPr>
          <w:p>
            <w:pPr>
              <w:pStyle w:val="BDOITable"/>
            </w:pPr>
            <w:r>
              <w:rPr>
                <w:sz w:val="17"/>
              </w:rPr>
              <w:t>Application and infrastructure</w:t>
            </w:r>
          </w:p>
        </w:tc>
        <w:tc>
          <w:tcPr>
            <w:tcW w:type="dxa" w:w="2403"/>
            <w:tcMar>
              <w:top w:w="50" w:type="dxa"/>
              <w:bottom w:w="50" w:type="dxa"/>
              <w:left w:w="90" w:type="dxa"/>
              <w:right w:w="90" w:type="dxa"/>
            </w:tcMar>
            <w:shd w:val="clear" w:color="auto" w:fill="E5F5FF"/>
          </w:tcPr>
          <w:p>
            <w:pPr>
              <w:pStyle w:val="BDOITable"/>
            </w:pPr>
            <w:r>
              <w:rPr>
                <w:sz w:val="17"/>
              </w:rPr>
              <w:t>BDOI Information Security or its provider</w:t>
            </w:r>
          </w:p>
        </w:tc>
        <w:tc>
          <w:tcPr>
            <w:tcW w:type="dxa" w:w="2403"/>
            <w:tcMar>
              <w:top w:w="50" w:type="dxa"/>
              <w:bottom w:w="50" w:type="dxa"/>
              <w:left w:w="90" w:type="dxa"/>
              <w:right w:w="90" w:type="dxa"/>
            </w:tcMar>
            <w:shd w:val="clear" w:color="auto" w:fill="E5F5FF"/>
          </w:tcPr>
          <w:p>
            <w:pPr>
              <w:pStyle w:val="BDOITable"/>
            </w:pPr>
            <w:r>
              <w:rPr>
                <w:sz w:val="17"/>
              </w:rPr>
              <w:t>Pre-Prod</w:t>
            </w:r>
          </w:p>
        </w:tc>
      </w:tr>
    </w:tbl>
    <w:p>
      <w:pPr>
        <w:pStyle w:val="BDOISpacer"/>
      </w:pPr>
    </w:p>
    <w:p>
      <w:pPr>
        <w:pStyle w:val="Caption"/>
        <w:keepNext/>
        <w:spacing w:after="60"/>
      </w:pPr>
      <w:r>
        <w:rPr>
          <w:b/>
          <w:i w:val="0"/>
        </w:rPr>
        <w:t xml:space="preserve">Table 7: </w:t>
      </w:r>
      <w:r>
        <w:rPr/>
        <w:t>Incident severities and targets during SIT and UAT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4806"/>
        <w:gridCol w:w="1922"/>
        <w:gridCol w:w="1922"/>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7"/>
              </w:rPr>
              <w:t>Severity</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Response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Fix delivered</w:t>
            </w:r>
          </w:p>
        </w:tc>
      </w:tr>
      <w:tr>
        <w:trPr>
          <w:cantSplit w:val="true"/>
        </w:trPr>
        <w:tc>
          <w:tcPr>
            <w:tcW w:type="dxa" w:w="1322"/>
            <w:tcMar>
              <w:top w:w="50" w:type="dxa"/>
              <w:bottom w:w="50" w:type="dxa"/>
              <w:left w:w="90" w:type="dxa"/>
              <w:right w:w="90" w:type="dxa"/>
            </w:tcMar>
          </w:tcPr>
          <w:p>
            <w:pPr>
              <w:pStyle w:val="BDOITable"/>
            </w:pPr>
            <w:r>
              <w:rPr>
                <w:sz w:val="17"/>
              </w:rPr>
              <w:t>1 Critical</w:t>
            </w:r>
          </w:p>
        </w:tc>
        <w:tc>
          <w:tcPr>
            <w:tcW w:type="dxa" w:w="4806"/>
            <w:tcMar>
              <w:top w:w="50" w:type="dxa"/>
              <w:bottom w:w="50" w:type="dxa"/>
              <w:left w:w="90" w:type="dxa"/>
              <w:right w:w="90" w:type="dxa"/>
            </w:tcMar>
          </w:tcPr>
          <w:p>
            <w:pPr>
              <w:pStyle w:val="BDOITable"/>
            </w:pPr>
            <w:r>
              <w:rPr>
                <w:sz w:val="17"/>
              </w:rPr>
              <w:t>A process stops for all users or data is wrong with no workaround</w:t>
            </w:r>
          </w:p>
        </w:tc>
        <w:tc>
          <w:tcPr>
            <w:tcW w:type="dxa" w:w="1922"/>
            <w:tcMar>
              <w:top w:w="50" w:type="dxa"/>
              <w:bottom w:w="50" w:type="dxa"/>
              <w:left w:w="90" w:type="dxa"/>
              <w:right w:w="90" w:type="dxa"/>
            </w:tcMar>
          </w:tcPr>
          <w:p>
            <w:pPr>
              <w:pStyle w:val="BDOITable"/>
            </w:pPr>
            <w:r>
              <w:rPr>
                <w:sz w:val="17"/>
              </w:rPr>
              <w:t>2 hours</w:t>
            </w:r>
          </w:p>
        </w:tc>
        <w:tc>
          <w:tcPr>
            <w:tcW w:type="dxa" w:w="1922"/>
            <w:tcMar>
              <w:top w:w="50" w:type="dxa"/>
              <w:bottom w:w="50" w:type="dxa"/>
              <w:left w:w="90" w:type="dxa"/>
              <w:right w:w="90" w:type="dxa"/>
            </w:tcMar>
          </w:tcPr>
          <w:p>
            <w:pPr>
              <w:pStyle w:val="BDOITable"/>
            </w:pPr>
            <w:r>
              <w:rPr>
                <w:sz w:val="17"/>
              </w:rPr>
              <w:t>Next working day (patch release)</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2 High</w:t>
            </w:r>
          </w:p>
        </w:tc>
        <w:tc>
          <w:tcPr>
            <w:tcW w:type="dxa" w:w="4806"/>
            <w:tcMar>
              <w:top w:w="50" w:type="dxa"/>
              <w:bottom w:w="50" w:type="dxa"/>
              <w:left w:w="90" w:type="dxa"/>
              <w:right w:w="90" w:type="dxa"/>
            </w:tcMar>
            <w:shd w:val="clear" w:color="auto" w:fill="E5F5FF"/>
          </w:tcPr>
          <w:p>
            <w:pPr>
              <w:pStyle w:val="BDOITable"/>
            </w:pPr>
            <w:r>
              <w:rPr>
                <w:sz w:val="17"/>
              </w:rPr>
              <w:t>A process stops for some users or a control fails; workaround hard</w:t>
            </w:r>
          </w:p>
        </w:tc>
        <w:tc>
          <w:tcPr>
            <w:tcW w:type="dxa" w:w="1922"/>
            <w:tcMar>
              <w:top w:w="50" w:type="dxa"/>
              <w:bottom w:w="50" w:type="dxa"/>
              <w:left w:w="90" w:type="dxa"/>
              <w:right w:w="90" w:type="dxa"/>
            </w:tcMar>
            <w:shd w:val="clear" w:color="auto" w:fill="E5F5FF"/>
          </w:tcPr>
          <w:p>
            <w:pPr>
              <w:pStyle w:val="BDOITable"/>
            </w:pPr>
            <w:r>
              <w:rPr>
                <w:sz w:val="17"/>
              </w:rPr>
              <w:t>1 working day</w:t>
            </w:r>
          </w:p>
        </w:tc>
        <w:tc>
          <w:tcPr>
            <w:tcW w:type="dxa" w:w="1922"/>
            <w:tcMar>
              <w:top w:w="50" w:type="dxa"/>
              <w:bottom w:w="50" w:type="dxa"/>
              <w:left w:w="90" w:type="dxa"/>
              <w:right w:w="90" w:type="dxa"/>
            </w:tcMar>
            <w:shd w:val="clear" w:color="auto" w:fill="E5F5FF"/>
          </w:tcPr>
          <w:p>
            <w:pPr>
              <w:pStyle w:val="BDOITable"/>
            </w:pPr>
            <w:r>
              <w:rPr>
                <w:sz w:val="17"/>
              </w:rPr>
              <w:t>Within 5 working days</w:t>
            </w:r>
          </w:p>
        </w:tc>
      </w:tr>
      <w:tr>
        <w:trPr>
          <w:cantSplit w:val="true"/>
        </w:trPr>
        <w:tc>
          <w:tcPr>
            <w:tcW w:type="dxa" w:w="1322"/>
            <w:tcMar>
              <w:top w:w="50" w:type="dxa"/>
              <w:bottom w:w="50" w:type="dxa"/>
              <w:left w:w="90" w:type="dxa"/>
              <w:right w:w="90" w:type="dxa"/>
            </w:tcMar>
          </w:tcPr>
          <w:p>
            <w:pPr>
              <w:pStyle w:val="BDOITable"/>
            </w:pPr>
            <w:r>
              <w:rPr>
                <w:sz w:val="17"/>
              </w:rPr>
              <w:t>3 Medium</w:t>
            </w:r>
          </w:p>
        </w:tc>
        <w:tc>
          <w:tcPr>
            <w:tcW w:type="dxa" w:w="4806"/>
            <w:tcMar>
              <w:top w:w="50" w:type="dxa"/>
              <w:bottom w:w="50" w:type="dxa"/>
              <w:left w:w="90" w:type="dxa"/>
              <w:right w:w="90" w:type="dxa"/>
            </w:tcMar>
          </w:tcPr>
          <w:p>
            <w:pPr>
              <w:pStyle w:val="BDOITable"/>
            </w:pPr>
            <w:r>
              <w:rPr>
                <w:sz w:val="17"/>
              </w:rPr>
              <w:t>Wrong behaviour with an acceptable workaround</w:t>
            </w:r>
          </w:p>
        </w:tc>
        <w:tc>
          <w:tcPr>
            <w:tcW w:type="dxa" w:w="1922"/>
            <w:tcMar>
              <w:top w:w="50" w:type="dxa"/>
              <w:bottom w:w="50" w:type="dxa"/>
              <w:left w:w="90" w:type="dxa"/>
              <w:right w:w="90" w:type="dxa"/>
            </w:tcMar>
          </w:tcPr>
          <w:p>
            <w:pPr>
              <w:pStyle w:val="BDOITable"/>
            </w:pPr>
            <w:r>
              <w:rPr>
                <w:sz w:val="17"/>
              </w:rPr>
              <w:t>2 working days</w:t>
            </w:r>
          </w:p>
        </w:tc>
        <w:tc>
          <w:tcPr>
            <w:tcW w:type="dxa" w:w="1922"/>
            <w:tcMar>
              <w:top w:w="50" w:type="dxa"/>
              <w:bottom w:w="50" w:type="dxa"/>
              <w:left w:w="90" w:type="dxa"/>
              <w:right w:w="90" w:type="dxa"/>
            </w:tcMar>
          </w:tcPr>
          <w:p>
            <w:pPr>
              <w:pStyle w:val="BDOITable"/>
            </w:pPr>
            <w:r>
              <w:rPr>
                <w:sz w:val="17"/>
              </w:rPr>
              <w:t>Next release</w:t>
            </w:r>
          </w:p>
        </w:tc>
      </w:tr>
      <w:tr>
        <w:trPr>
          <w:cantSplit w:val="true"/>
        </w:trPr>
        <w:tc>
          <w:tcPr>
            <w:tcW w:type="dxa" w:w="1322"/>
            <w:tcMar>
              <w:top w:w="50" w:type="dxa"/>
              <w:bottom w:w="50" w:type="dxa"/>
              <w:left w:w="90" w:type="dxa"/>
              <w:right w:w="90" w:type="dxa"/>
            </w:tcMar>
            <w:shd w:val="clear" w:color="auto" w:fill="E5F5FF"/>
          </w:tcPr>
          <w:p>
            <w:pPr>
              <w:pStyle w:val="BDOITable"/>
            </w:pPr>
            <w:r>
              <w:rPr>
                <w:sz w:val="17"/>
              </w:rPr>
              <w:t>4 Low</w:t>
            </w:r>
          </w:p>
        </w:tc>
        <w:tc>
          <w:tcPr>
            <w:tcW w:type="dxa" w:w="4806"/>
            <w:tcMar>
              <w:top w:w="50" w:type="dxa"/>
              <w:bottom w:w="50" w:type="dxa"/>
              <w:left w:w="90" w:type="dxa"/>
              <w:right w:w="90" w:type="dxa"/>
            </w:tcMar>
            <w:shd w:val="clear" w:color="auto" w:fill="E5F5FF"/>
          </w:tcPr>
          <w:p>
            <w:pPr>
              <w:pStyle w:val="BDOITable"/>
            </w:pPr>
            <w:r>
              <w:rPr>
                <w:sz w:val="17"/>
              </w:rPr>
              <w:t>Cosmetic or wording</w:t>
            </w:r>
          </w:p>
        </w:tc>
        <w:tc>
          <w:tcPr>
            <w:tcW w:type="dxa" w:w="1922"/>
            <w:tcMar>
              <w:top w:w="50" w:type="dxa"/>
              <w:bottom w:w="50" w:type="dxa"/>
              <w:left w:w="90" w:type="dxa"/>
              <w:right w:w="90" w:type="dxa"/>
            </w:tcMar>
            <w:shd w:val="clear" w:color="auto" w:fill="E5F5FF"/>
          </w:tcPr>
          <w:p>
            <w:pPr>
              <w:pStyle w:val="BDOITable"/>
            </w:pPr>
            <w:r>
              <w:rPr>
                <w:sz w:val="17"/>
              </w:rPr>
              <w:t>5 working days</w:t>
            </w:r>
          </w:p>
        </w:tc>
        <w:tc>
          <w:tcPr>
            <w:tcW w:type="dxa" w:w="1922"/>
            <w:tcMar>
              <w:top w:w="50" w:type="dxa"/>
              <w:bottom w:w="50" w:type="dxa"/>
              <w:left w:w="90" w:type="dxa"/>
              <w:right w:w="90" w:type="dxa"/>
            </w:tcMar>
            <w:shd w:val="clear" w:color="auto" w:fill="E5F5FF"/>
          </w:tcPr>
          <w:p>
            <w:pPr>
              <w:pStyle w:val="BDOITable"/>
            </w:pPr>
            <w:r>
              <w:rPr>
                <w:sz w:val="17"/>
              </w:rPr>
              <w:t>Planned release</w:t>
            </w:r>
          </w:p>
        </w:tc>
      </w:tr>
    </w:tbl>
    <w:p>
      <w:pPr>
        <w:pStyle w:val="BDOISpacer"/>
      </w:pPr>
    </w:p>
    <w:p>
      <w:pPr>
        <w:pStyle w:val="Heading1"/>
        <w:pBdr>
          <w:bottom w:val="single" w:sz="4" w:space="4" w:color="99C1E7"/>
        </w:pBdr>
      </w:pPr>
      <w:bookmarkStart w:id="114" w:name="_Toc000114"/>
      <w:r>
        <w:rPr/>
        <w:t>6 Configuration and release management</w:t>
      </w:r>
      <w:bookmarkEnd w:id="114"/>
    </w:p>
    <w:p>
      <w:pPr>
        <w:pStyle w:val="Heading2"/>
      </w:pPr>
      <w:bookmarkStart w:id="115" w:name="_Toc000115"/>
      <w:r>
        <w:rPr/>
        <w:t>6.1 Configuration items</w:t>
      </w:r>
      <w:bookmarkEnd w:id="115"/>
    </w:p>
    <w:p>
      <w:pPr>
        <w:pStyle w:val="Caption"/>
        <w:keepNext/>
        <w:spacing w:after="60"/>
      </w:pPr>
      <w:r>
        <w:rPr>
          <w:b/>
          <w:i w:val="0"/>
        </w:rPr>
        <w:t xml:space="preserve">Table 8: </w:t>
      </w:r>
      <w:r>
        <w:rPr/>
        <w:t>Configuration items and where they are versioned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4325"/>
        <w:gridCol w:w="3244"/>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7"/>
              </w:rPr>
              <w:t>How it is versioned</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Change route</w:t>
            </w:r>
          </w:p>
        </w:tc>
      </w:tr>
      <w:tr>
        <w:trPr>
          <w:cantSplit w:val="true"/>
        </w:trPr>
        <w:tc>
          <w:tcPr>
            <w:tcW w:type="dxa" w:w="2403"/>
            <w:tcMar>
              <w:top w:w="50" w:type="dxa"/>
              <w:bottom w:w="50" w:type="dxa"/>
              <w:left w:w="90" w:type="dxa"/>
              <w:right w:w="90" w:type="dxa"/>
            </w:tcMar>
          </w:tcPr>
          <w:p>
            <w:pPr>
              <w:pStyle w:val="BDOITable"/>
            </w:pPr>
            <w:r>
              <w:rPr>
                <w:sz w:val="17"/>
              </w:rPr>
              <w:t>Application (server and web client)</w:t>
            </w:r>
          </w:p>
        </w:tc>
        <w:tc>
          <w:tcPr>
            <w:tcW w:type="dxa" w:w="4325"/>
            <w:tcMar>
              <w:top w:w="50" w:type="dxa"/>
              <w:bottom w:w="50" w:type="dxa"/>
              <w:left w:w="90" w:type="dxa"/>
              <w:right w:w="90" w:type="dxa"/>
            </w:tcMar>
          </w:tcPr>
          <w:p>
            <w:pPr>
              <w:pStyle w:val="BDOITable"/>
            </w:pPr>
            <w:r>
              <w:rPr>
                <w:sz w:val="17"/>
              </w:rPr>
              <w:t>One mainline; each release tagged with its number; release lines for patches of a released version</w:t>
            </w:r>
          </w:p>
        </w:tc>
        <w:tc>
          <w:tcPr>
            <w:tcW w:type="dxa" w:w="3244"/>
            <w:tcMar>
              <w:top w:w="50" w:type="dxa"/>
              <w:bottom w:w="50" w:type="dxa"/>
              <w:left w:w="90" w:type="dxa"/>
              <w:right w:w="90" w:type="dxa"/>
            </w:tcMar>
          </w:tcPr>
          <w:p>
            <w:pPr>
              <w:pStyle w:val="BDOITable"/>
            </w:pPr>
            <w:r>
              <w:rPr>
                <w:sz w:val="17"/>
              </w:rPr>
              <w:t>Iteration and patch releases</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Container images</w:t>
            </w:r>
          </w:p>
        </w:tc>
        <w:tc>
          <w:tcPr>
            <w:tcW w:type="dxa" w:w="4325"/>
            <w:tcMar>
              <w:top w:w="50" w:type="dxa"/>
              <w:bottom w:w="50" w:type="dxa"/>
              <w:left w:w="90" w:type="dxa"/>
              <w:right w:w="90" w:type="dxa"/>
            </w:tcMar>
            <w:shd w:val="clear" w:color="auto" w:fill="E5F5FF"/>
          </w:tcPr>
          <w:p>
            <w:pPr>
              <w:pStyle w:val="BDOITable"/>
            </w:pPr>
            <w:r>
              <w:rPr>
                <w:sz w:val="17"/>
              </w:rPr>
              <w:t>Packaged once per release and promoted unchanged from SIT to production; base images pinned by digest</w:t>
            </w:r>
          </w:p>
        </w:tc>
        <w:tc>
          <w:tcPr>
            <w:tcW w:type="dxa" w:w="3244"/>
            <w:tcMar>
              <w:top w:w="50" w:type="dxa"/>
              <w:bottom w:w="50" w:type="dxa"/>
              <w:left w:w="90" w:type="dxa"/>
              <w:right w:w="90" w:type="dxa"/>
            </w:tcMar>
            <w:shd w:val="clear" w:color="auto" w:fill="E5F5FF"/>
          </w:tcPr>
          <w:p>
            <w:pPr>
              <w:pStyle w:val="BDOITable"/>
            </w:pPr>
            <w:r>
              <w:rPr>
                <w:sz w:val="17"/>
              </w:rPr>
              <w:t>Release</w:t>
            </w:r>
          </w:p>
        </w:tc>
      </w:tr>
      <w:tr>
        <w:trPr>
          <w:cantSplit w:val="true"/>
        </w:trPr>
        <w:tc>
          <w:tcPr>
            <w:tcW w:type="dxa" w:w="2403"/>
            <w:tcMar>
              <w:top w:w="50" w:type="dxa"/>
              <w:bottom w:w="50" w:type="dxa"/>
              <w:left w:w="90" w:type="dxa"/>
              <w:right w:w="90" w:type="dxa"/>
            </w:tcMar>
          </w:tcPr>
          <w:p>
            <w:pPr>
              <w:pStyle w:val="BDOITable"/>
            </w:pPr>
            <w:r>
              <w:rPr>
                <w:sz w:val="17"/>
              </w:rPr>
              <w:t>Deployment configuration per environment</w:t>
            </w:r>
          </w:p>
        </w:tc>
        <w:tc>
          <w:tcPr>
            <w:tcW w:type="dxa" w:w="4325"/>
            <w:tcMar>
              <w:top w:w="50" w:type="dxa"/>
              <w:bottom w:w="50" w:type="dxa"/>
              <w:left w:w="90" w:type="dxa"/>
              <w:right w:w="90" w:type="dxa"/>
            </w:tcMar>
          </w:tcPr>
          <w:p>
            <w:pPr>
              <w:pStyle w:val="BDOITable"/>
            </w:pPr>
            <w:r>
              <w:rPr>
                <w:sz w:val="17"/>
              </w:rPr>
              <w:t>Versioned Kubernetes configuration per environment (replicas, resources, Gateway API routes, settings)</w:t>
            </w:r>
          </w:p>
        </w:tc>
        <w:tc>
          <w:tcPr>
            <w:tcW w:type="dxa" w:w="3244"/>
            <w:tcMar>
              <w:top w:w="50" w:type="dxa"/>
              <w:bottom w:w="50" w:type="dxa"/>
              <w:left w:w="90" w:type="dxa"/>
              <w:right w:w="90" w:type="dxa"/>
            </w:tcMar>
          </w:tcPr>
          <w:p>
            <w:pPr>
              <w:pStyle w:val="BDOITable"/>
            </w:pPr>
            <w:r>
              <w:rPr>
                <w:sz w:val="17"/>
              </w:rPr>
              <w:t>Release with BDOI IT approval for Pre-Prod and production</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Data structure changes</w:t>
            </w:r>
          </w:p>
        </w:tc>
        <w:tc>
          <w:tcPr>
            <w:tcW w:type="dxa" w:w="4325"/>
            <w:tcMar>
              <w:top w:w="50" w:type="dxa"/>
              <w:bottom w:w="50" w:type="dxa"/>
              <w:left w:w="90" w:type="dxa"/>
              <w:right w:w="90" w:type="dxa"/>
            </w:tcMar>
            <w:shd w:val="clear" w:color="auto" w:fill="E5F5FF"/>
          </w:tcPr>
          <w:p>
            <w:pPr>
              <w:pStyle w:val="BDOITable"/>
            </w:pPr>
            <w:r>
              <w:rPr>
                <w:sz w:val="17"/>
              </w:rPr>
              <w:t>Versioned with the application, applied automatically at deployment, forward only</w:t>
            </w:r>
          </w:p>
        </w:tc>
        <w:tc>
          <w:tcPr>
            <w:tcW w:type="dxa" w:w="3244"/>
            <w:tcMar>
              <w:top w:w="50" w:type="dxa"/>
              <w:bottom w:w="50" w:type="dxa"/>
              <w:left w:w="90" w:type="dxa"/>
              <w:right w:w="90" w:type="dxa"/>
            </w:tcMar>
            <w:shd w:val="clear" w:color="auto" w:fill="E5F5FF"/>
          </w:tcPr>
          <w:p>
            <w:pPr>
              <w:pStyle w:val="BDOITable"/>
            </w:pPr>
            <w:r>
              <w:rPr>
                <w:sz w:val="17"/>
              </w:rPr>
              <w:t>Release</w:t>
            </w:r>
          </w:p>
        </w:tc>
      </w:tr>
      <w:tr>
        <w:trPr>
          <w:cantSplit w:val="true"/>
        </w:trPr>
        <w:tc>
          <w:tcPr>
            <w:tcW w:type="dxa" w:w="2403"/>
            <w:tcMar>
              <w:top w:w="50" w:type="dxa"/>
              <w:bottom w:w="50" w:type="dxa"/>
              <w:left w:w="90" w:type="dxa"/>
              <w:right w:w="90" w:type="dxa"/>
            </w:tcMar>
          </w:tcPr>
          <w:p>
            <w:pPr>
              <w:pStyle w:val="BDOITable"/>
            </w:pPr>
            <w:r>
              <w:rPr>
                <w:sz w:val="17"/>
              </w:rPr>
              <w:t>Business configuration (lists, parameters, rules, templates, products)</w:t>
            </w:r>
          </w:p>
        </w:tc>
        <w:tc>
          <w:tcPr>
            <w:tcW w:type="dxa" w:w="4325"/>
            <w:tcMar>
              <w:top w:w="50" w:type="dxa"/>
              <w:bottom w:w="50" w:type="dxa"/>
              <w:left w:w="90" w:type="dxa"/>
              <w:right w:w="90" w:type="dxa"/>
            </w:tcMar>
          </w:tcPr>
          <w:p>
            <w:pPr>
              <w:pStyle w:val="BDOITable"/>
            </w:pPr>
            <w:r>
              <w:rPr>
                <w:sz w:val="17"/>
              </w:rPr>
              <w:t>Entered on the screens with maker-checker, or loaded through the configuration inputs workbook; every change in the audit trail</w:t>
            </w:r>
          </w:p>
        </w:tc>
        <w:tc>
          <w:tcPr>
            <w:tcW w:type="dxa" w:w="3244"/>
            <w:tcMar>
              <w:top w:w="50" w:type="dxa"/>
              <w:bottom w:w="50" w:type="dxa"/>
              <w:left w:w="90" w:type="dxa"/>
              <w:right w:w="90" w:type="dxa"/>
            </w:tcMar>
          </w:tcPr>
          <w:p>
            <w:pPr>
              <w:pStyle w:val="BDOITable"/>
            </w:pPr>
            <w:r>
              <w:rPr>
                <w:sz w:val="17"/>
              </w:rPr>
              <w:t>Configuration owner until the due date; then CR</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Reference data and code maps of the migration</w:t>
            </w:r>
          </w:p>
        </w:tc>
        <w:tc>
          <w:tcPr>
            <w:tcW w:type="dxa" w:w="4325"/>
            <w:tcMar>
              <w:top w:w="50" w:type="dxa"/>
              <w:bottom w:w="50" w:type="dxa"/>
              <w:left w:w="90" w:type="dxa"/>
              <w:right w:w="90" w:type="dxa"/>
            </w:tcMar>
            <w:shd w:val="clear" w:color="auto" w:fill="E5F5FF"/>
          </w:tcPr>
          <w:p>
            <w:pPr>
              <w:pStyle w:val="BDOITable"/>
            </w:pPr>
            <w:r>
              <w:rPr>
                <w:sz w:val="17"/>
              </w:rPr>
              <w:t>Versioned code maps in the Migration Console; frozen at T-7 (27-Dec-2027)</w:t>
            </w:r>
          </w:p>
        </w:tc>
        <w:tc>
          <w:tcPr>
            <w:tcW w:type="dxa" w:w="3244"/>
            <w:tcMar>
              <w:top w:w="50" w:type="dxa"/>
              <w:bottom w:w="50" w:type="dxa"/>
              <w:left w:w="90" w:type="dxa"/>
              <w:right w:w="90" w:type="dxa"/>
            </w:tcMar>
            <w:shd w:val="clear" w:color="auto" w:fill="E5F5FF"/>
          </w:tcPr>
          <w:p>
            <w:pPr>
              <w:pStyle w:val="BDOITable"/>
            </w:pPr>
            <w:r>
              <w:rPr>
                <w:sz w:val="17"/>
              </w:rPr>
              <w:t>Data Migration Lead; CR after the freeze</w:t>
            </w:r>
          </w:p>
        </w:tc>
      </w:tr>
      <w:tr>
        <w:trPr>
          <w:cantSplit w:val="true"/>
        </w:trPr>
        <w:tc>
          <w:tcPr>
            <w:tcW w:type="dxa" w:w="2403"/>
            <w:tcMar>
              <w:top w:w="50" w:type="dxa"/>
              <w:bottom w:w="50" w:type="dxa"/>
              <w:left w:w="90" w:type="dxa"/>
              <w:right w:w="90" w:type="dxa"/>
            </w:tcMar>
          </w:tcPr>
          <w:p>
            <w:pPr>
              <w:pStyle w:val="BDOITable"/>
            </w:pPr>
            <w:r>
              <w:rPr>
                <w:sz w:val="17"/>
              </w:rPr>
              <w:t>Secrets and keys</w:t>
            </w:r>
          </w:p>
        </w:tc>
        <w:tc>
          <w:tcPr>
            <w:tcW w:type="dxa" w:w="4325"/>
            <w:tcMar>
              <w:top w:w="50" w:type="dxa"/>
              <w:bottom w:w="50" w:type="dxa"/>
              <w:left w:w="90" w:type="dxa"/>
              <w:right w:w="90" w:type="dxa"/>
            </w:tcMar>
          </w:tcPr>
          <w:p>
            <w:pPr>
              <w:pStyle w:val="BDOITable"/>
            </w:pPr>
            <w:r>
              <w:rPr>
                <w:sz w:val="17"/>
              </w:rPr>
              <w:t>Secret store of the environment; never in files or documents</w:t>
            </w:r>
          </w:p>
        </w:tc>
        <w:tc>
          <w:tcPr>
            <w:tcW w:type="dxa" w:w="3244"/>
            <w:tcMar>
              <w:top w:w="50" w:type="dxa"/>
              <w:bottom w:w="50" w:type="dxa"/>
              <w:left w:w="90" w:type="dxa"/>
              <w:right w:w="90" w:type="dxa"/>
            </w:tcMar>
          </w:tcPr>
          <w:p>
            <w:pPr>
              <w:pStyle w:val="BDOITable"/>
            </w:pPr>
            <w:r>
              <w:rPr>
                <w:sz w:val="17"/>
              </w:rPr>
              <w:t>BDOI IT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Documents</w:t>
            </w:r>
          </w:p>
        </w:tc>
        <w:tc>
          <w:tcPr>
            <w:tcW w:type="dxa" w:w="4325"/>
            <w:tcMar>
              <w:top w:w="50" w:type="dxa"/>
              <w:bottom w:w="50" w:type="dxa"/>
              <w:left w:w="90" w:type="dxa"/>
              <w:right w:w="90" w:type="dxa"/>
            </w:tcMar>
            <w:shd w:val="clear" w:color="auto" w:fill="E5F5FF"/>
          </w:tcPr>
          <w:p>
            <w:pPr>
              <w:pStyle w:val="BDOITable"/>
            </w:pPr>
            <w:r>
              <w:rPr>
                <w:sz w:val="17"/>
              </w:rPr>
              <w:t>Version in the file name and on the cover; one current version per folder</w:t>
            </w:r>
          </w:p>
        </w:tc>
        <w:tc>
          <w:tcPr>
            <w:tcW w:type="dxa" w:w="3244"/>
            <w:tcMar>
              <w:top w:w="50" w:type="dxa"/>
              <w:bottom w:w="50" w:type="dxa"/>
              <w:left w:w="90" w:type="dxa"/>
              <w:right w:w="90" w:type="dxa"/>
            </w:tcMar>
            <w:shd w:val="clear" w:color="auto" w:fill="E5F5FF"/>
          </w:tcPr>
          <w:p>
            <w:pPr>
              <w:pStyle w:val="BDOITable"/>
            </w:pPr>
            <w:r>
              <w:rPr>
                <w:sz w:val="17"/>
              </w:rPr>
              <w:t>Document owner; review and approval</w:t>
            </w:r>
          </w:p>
        </w:tc>
      </w:tr>
    </w:tbl>
    <w:p>
      <w:pPr>
        <w:pStyle w:val="BDOISpacer"/>
      </w:pPr>
    </w:p>
    <w:p>
      <w:pPr>
        <w:pStyle w:val="Heading2"/>
      </w:pPr>
      <w:bookmarkStart w:id="116" w:name="_Toc000116"/>
      <w:r>
        <w:rPr/>
        <w:t>6.2 Release flow</w:t>
      </w:r>
      <w:bookmarkEnd w:id="116"/>
    </w:p>
    <w:p>
      <w:pPr>
        <w:tabs>
          <w:tab w:pos="312" w:val="left"/>
        </w:tabs>
        <w:spacing w:after="40"/>
        <w:ind w:left="312" w:hanging="283"/>
      </w:pPr>
      <w:r>
        <w:rPr>
          <w:color w:val="004EA8"/>
        </w:rPr>
        <w:t>1.</w:t>
        <w:tab/>
      </w:r>
      <w:r>
        <w:rPr>
          <w:b/>
        </w:rPr>
        <w:t>Iteration release</w:t>
      </w:r>
      <w:r>
        <w:rPr/>
        <w:t xml:space="preserve"> every two weeks into SIT, with release notes listing the FRs, CRs and incidents it closes.</w:t>
      </w:r>
    </w:p>
    <w:p>
      <w:pPr>
        <w:tabs>
          <w:tab w:pos="312" w:val="left"/>
        </w:tabs>
        <w:spacing w:after="40"/>
        <w:ind w:left="312" w:hanging="283"/>
      </w:pPr>
      <w:r>
        <w:rPr>
          <w:color w:val="004EA8"/>
        </w:rPr>
        <w:t>2.</w:t>
        <w:tab/>
      </w:r>
      <w:r>
        <w:rPr>
          <w:b/>
        </w:rPr>
        <w:t>UAT release</w:t>
      </w:r>
      <w:r>
        <w:rPr/>
        <w:t xml:space="preserve"> when SIT has passed the release; the UAT calendar fixes the release days so that testers are not interrupted (proposed Monday evenings).</w:t>
      </w:r>
    </w:p>
    <w:p>
      <w:pPr>
        <w:tabs>
          <w:tab w:pos="312" w:val="left"/>
        </w:tabs>
        <w:spacing w:after="40"/>
        <w:ind w:left="312" w:hanging="283"/>
      </w:pPr>
      <w:r>
        <w:rPr>
          <w:color w:val="004EA8"/>
        </w:rPr>
        <w:t>3.</w:t>
        <w:tab/>
      </w:r>
      <w:r>
        <w:rPr>
          <w:b/>
        </w:rPr>
        <w:t>Pre-Prod and production release</w:t>
      </w:r>
      <w:r>
        <w:rPr/>
        <w:t xml:space="preserve"> through the BDOI change management: a change record approved by BDOI IT, the deployment by the iorta infrastructure team and BDO IT operations, a smoke test and a rollback plan for each release.</w:t>
      </w:r>
    </w:p>
    <w:p>
      <w:pPr>
        <w:tabs>
          <w:tab w:pos="312" w:val="left"/>
        </w:tabs>
        <w:spacing w:after="40"/>
        <w:ind w:left="312" w:hanging="283"/>
      </w:pPr>
      <w:r>
        <w:rPr>
          <w:color w:val="004EA8"/>
        </w:rPr>
        <w:t>4.</w:t>
        <w:tab/>
      </w:r>
      <w:r>
        <w:rPr>
          <w:b/>
        </w:rPr>
        <w:t>Patch release</w:t>
      </w:r>
      <w:r>
        <w:rPr/>
        <w:t xml:space="preserve"> for a Severity 1 or 2 incident or a security finding, from the release line of the version in use, with the same gates and a reduced regression agreed with the QA lead.</w:t>
      </w:r>
    </w:p>
    <w:p>
      <w:pPr>
        <w:tabs>
          <w:tab w:pos="312" w:val="left"/>
        </w:tabs>
        <w:spacing w:after="120"/>
        <w:ind w:left="312" w:hanging="283"/>
      </w:pPr>
      <w:r>
        <w:rPr>
          <w:color w:val="004EA8"/>
        </w:rPr>
        <w:t>5.</w:t>
        <w:tab/>
      </w:r>
      <w:r>
        <w:rPr>
          <w:b/>
        </w:rPr>
        <w:t>Release freeze.</w:t>
      </w:r>
      <w:r>
        <w:rPr/>
        <w:t xml:space="preserve"> From 10-Dec-2027 (proposed) only Severity 1 and 2 fixes enter the go-live release; after go-live, the first planned release follows the hypercare exit.</w:t>
      </w:r>
    </w:p>
    <w:p>
      <w:r>
        <w:rPr/>
        <w:t>Release numbers are year.drop.iteration with a patch digit (for example 2027.1.06.1); the version shows on the Application Info screen and in the release notes.</w:t>
      </w:r>
    </w:p>
    <w:p>
      <w:pPr>
        <w:pStyle w:val="Heading1"/>
        <w:pBdr>
          <w:bottom w:val="single" w:sz="4" w:space="4" w:color="99C1E7"/>
        </w:pBdr>
      </w:pPr>
      <w:bookmarkStart w:id="117" w:name="_Toc000117"/>
      <w:r>
        <w:rPr/>
        <w:t>7 Requirement change control</w:t>
      </w:r>
      <w:bookmarkEnd w:id="117"/>
    </w:p>
    <w:p>
      <w:pPr>
        <w:pStyle w:val="Heading2"/>
      </w:pPr>
      <w:bookmarkStart w:id="118" w:name="_Toc000118"/>
      <w:r>
        <w:rPr/>
        <w:t>7.1 When change control applies</w:t>
      </w:r>
      <w:bookmarkEnd w:id="118"/>
    </w:p>
    <w:p>
      <w:pPr>
        <w:tabs>
          <w:tab w:pos="312" w:val="left"/>
        </w:tabs>
        <w:spacing w:after="40"/>
        <w:ind w:left="312" w:hanging="283"/>
      </w:pPr>
      <w:r>
        <w:rPr>
          <w:color w:val="004EA8"/>
        </w:rPr>
        <w:t>•</w:t>
        <w:tab/>
      </w:r>
      <w:r>
        <w:rPr/>
        <w:t>Before signature, a question on a set is answered in its comments log; a correction is made once, in the next version of the set (for example 2.1), with the changed rows marked.</w:t>
      </w:r>
    </w:p>
    <w:p>
      <w:pPr>
        <w:tabs>
          <w:tab w:pos="312" w:val="left"/>
        </w:tabs>
        <w:spacing w:after="40"/>
        <w:ind w:left="312" w:hanging="283"/>
      </w:pPr>
      <w:r>
        <w:rPr>
          <w:color w:val="004EA8"/>
        </w:rPr>
        <w:t>•</w:t>
        <w:tab/>
      </w:r>
      <w:r>
        <w:rPr/>
        <w:t>After signature, nothing in a signed set changes without a change request (CR) in the Change Management Register: new BRD versions, scope changes (for example Customer Servicing Case Management), new or changed rules, screens, reports, interfaces and data objects.</w:t>
      </w:r>
    </w:p>
    <w:p>
      <w:pPr>
        <w:tabs>
          <w:tab w:pos="312" w:val="left"/>
        </w:tabs>
        <w:spacing w:after="120"/>
        <w:ind w:left="312" w:hanging="283"/>
      </w:pPr>
      <w:r>
        <w:rPr>
          <w:color w:val="004EA8"/>
        </w:rPr>
        <w:t>•</w:t>
        <w:tab/>
      </w:r>
      <w:r>
        <w:rPr/>
        <w:t>A configuration value is changed by its owner until its due date; after it, by a CR. Code maps and reference values freeze at T-7.</w:t>
      </w:r>
    </w:p>
    <w:p>
      <w:pPr>
        <w:pStyle w:val="Heading2"/>
      </w:pPr>
      <w:bookmarkStart w:id="119" w:name="_Toc000119"/>
      <w:r>
        <w:rPr/>
        <w:t>7.2 Process</w:t>
      </w:r>
      <w:bookmarkEnd w:id="119"/>
    </w:p>
    <w:p>
      <w:pPr>
        <w:keepNext/>
        <w:spacing w:before="80" w:after="0"/>
        <w:jc w:val="center"/>
      </w:pPr>
      <w:r>
        <w:drawing>
          <wp:inline xmlns:a="http://schemas.openxmlformats.org/drawingml/2006/main" xmlns:pic="http://schemas.openxmlformats.org/drawingml/2006/picture">
            <wp:extent cx="5040000" cy="2259125"/>
            <wp:docPr id="5" name="Picture 5"/>
            <wp:cNvGraphicFramePr>
              <a:graphicFrameLocks noChangeAspect="1"/>
            </wp:cNvGraphicFramePr>
            <a:graphic>
              <a:graphicData uri="http://schemas.openxmlformats.org/drawingml/2006/picture">
                <pic:pic>
                  <pic:nvPicPr>
                    <pic:cNvPr id="0" name="dm_change_control_937.jpg"/>
                    <pic:cNvPicPr/>
                  </pic:nvPicPr>
                  <pic:blipFill>
                    <a:blip r:embed="rId17"/>
                    <a:stretch>
                      <a:fillRect/>
                    </a:stretch>
                  </pic:blipFill>
                  <pic:spPr>
                    <a:xfrm>
                      <a:off x="0" y="0"/>
                      <a:ext cx="5040000" cy="2259125"/>
                    </a:xfrm>
                    <a:prstGeom prst="rect"/>
                  </pic:spPr>
                </pic:pic>
              </a:graphicData>
            </a:graphic>
          </wp:inline>
        </w:drawing>
      </w:r>
    </w:p>
    <w:p>
      <w:pPr>
        <w:pStyle w:val="Caption"/>
        <w:jc w:val="center"/>
      </w:pPr>
      <w:r>
        <w:rPr>
          <w:b/>
          <w:i w:val="0"/>
        </w:rPr>
        <w:t xml:space="preserve">Figure 3: </w:t>
      </w:r>
      <w:r>
        <w:rPr/>
        <w:t>Requirement change control</w:t>
      </w:r>
    </w:p>
    <w:p>
      <w:pPr>
        <w:pStyle w:val="Caption"/>
        <w:keepNext/>
        <w:spacing w:after="60"/>
      </w:pPr>
      <w:r>
        <w:rPr>
          <w:b/>
          <w:i w:val="0"/>
        </w:rPr>
        <w:t xml:space="preserve">Table 9: </w:t>
      </w:r>
      <w:r>
        <w:rPr/>
        <w:t>Steps of the change request process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205"/>
        <w:gridCol w:w="2403"/>
        <w:gridCol w:w="1802"/>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What happens</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Time</w:t>
            </w:r>
          </w:p>
        </w:tc>
      </w:tr>
      <w:tr>
        <w:trPr>
          <w:cantSplit w:val="true"/>
        </w:trPr>
        <w:tc>
          <w:tcPr>
            <w:tcW w:type="dxa" w:w="1562"/>
            <w:tcMar>
              <w:top w:w="50" w:type="dxa"/>
              <w:bottom w:w="50" w:type="dxa"/>
              <w:left w:w="90" w:type="dxa"/>
              <w:right w:w="90" w:type="dxa"/>
            </w:tcMar>
          </w:tcPr>
          <w:p>
            <w:pPr>
              <w:pStyle w:val="BDOITable"/>
            </w:pPr>
            <w:r>
              <w:rPr>
                <w:sz w:val="17"/>
              </w:rPr>
              <w:t>1 Request</w:t>
            </w:r>
          </w:p>
        </w:tc>
        <w:tc>
          <w:tcPr>
            <w:tcW w:type="dxa" w:w="4205"/>
            <w:tcMar>
              <w:top w:w="50" w:type="dxa"/>
              <w:bottom w:w="50" w:type="dxa"/>
              <w:left w:w="90" w:type="dxa"/>
              <w:right w:w="90" w:type="dxa"/>
            </w:tcMar>
          </w:tcPr>
          <w:p>
            <w:pPr>
              <w:pStyle w:val="BDOITable"/>
            </w:pPr>
            <w:r>
              <w:rPr>
                <w:sz w:val="17"/>
              </w:rPr>
              <w:t>The requester raises a CR on the CR form, or the project team raises one from a recorded deviation</w:t>
            </w:r>
          </w:p>
        </w:tc>
        <w:tc>
          <w:tcPr>
            <w:tcW w:type="dxa" w:w="2403"/>
            <w:tcMar>
              <w:top w:w="50" w:type="dxa"/>
              <w:bottom w:w="50" w:type="dxa"/>
              <w:left w:w="90" w:type="dxa"/>
              <w:right w:w="90" w:type="dxa"/>
            </w:tcMar>
          </w:tcPr>
          <w:p>
            <w:pPr>
              <w:pStyle w:val="BDOITable"/>
            </w:pPr>
            <w:r>
              <w:rPr>
                <w:sz w:val="17"/>
              </w:rPr>
              <w:t>Requester; iorta Project Manager logs it</w:t>
            </w:r>
          </w:p>
        </w:tc>
        <w:tc>
          <w:tcPr>
            <w:tcW w:type="dxa" w:w="1802"/>
            <w:tcMar>
              <w:top w:w="50" w:type="dxa"/>
              <w:bottom w:w="50" w:type="dxa"/>
              <w:left w:w="90" w:type="dxa"/>
              <w:right w:w="90" w:type="dxa"/>
            </w:tcMar>
          </w:tcPr>
          <w:p>
            <w:pPr>
              <w:pStyle w:val="BDOITable"/>
            </w:pPr>
            <w:r>
              <w:rPr>
                <w:sz w:val="17"/>
              </w:rPr>
              <w:t>Same day</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2 Impact analysis</w:t>
            </w:r>
          </w:p>
        </w:tc>
        <w:tc>
          <w:tcPr>
            <w:tcW w:type="dxa" w:w="4205"/>
            <w:tcMar>
              <w:top w:w="50" w:type="dxa"/>
              <w:bottom w:w="50" w:type="dxa"/>
              <w:left w:w="90" w:type="dxa"/>
              <w:right w:w="90" w:type="dxa"/>
            </w:tcMar>
            <w:shd w:val="clear" w:color="auto" w:fill="E5F5FF"/>
          </w:tcPr>
          <w:p>
            <w:pPr>
              <w:pStyle w:val="BDOITable"/>
            </w:pPr>
            <w:r>
              <w:rPr>
                <w:sz w:val="17"/>
              </w:rPr>
              <w:t>Scope, BRD and FRS references, affected modules, data, interfaces, tests, documents, drop; effort in man-days (analysis, development, test, documentation)</w:t>
            </w:r>
          </w:p>
        </w:tc>
        <w:tc>
          <w:tcPr>
            <w:tcW w:type="dxa" w:w="2403"/>
            <w:tcMar>
              <w:top w:w="50" w:type="dxa"/>
              <w:bottom w:w="50" w:type="dxa"/>
              <w:left w:w="90" w:type="dxa"/>
              <w:right w:w="90" w:type="dxa"/>
            </w:tcMar>
            <w:shd w:val="clear" w:color="auto" w:fill="E5F5FF"/>
          </w:tcPr>
          <w:p>
            <w:pPr>
              <w:pStyle w:val="BDOITable"/>
            </w:pPr>
            <w:r>
              <w:rPr>
                <w:sz w:val="17"/>
              </w:rPr>
              <w:t>iorta Business Analyst and Solution Architect; business owner of the BRD</w:t>
            </w:r>
          </w:p>
        </w:tc>
        <w:tc>
          <w:tcPr>
            <w:tcW w:type="dxa" w:w="1802"/>
            <w:tcMar>
              <w:top w:w="50" w:type="dxa"/>
              <w:bottom w:w="50" w:type="dxa"/>
              <w:left w:w="90" w:type="dxa"/>
              <w:right w:w="90" w:type="dxa"/>
            </w:tcMar>
            <w:shd w:val="clear" w:color="auto" w:fill="E5F5FF"/>
          </w:tcPr>
          <w:p>
            <w:pPr>
              <w:pStyle w:val="BDOITable"/>
            </w:pPr>
            <w:r>
              <w:rPr>
                <w:sz w:val="17"/>
              </w:rPr>
              <w:t>5 working days (10 for L and XL)</w:t>
            </w:r>
          </w:p>
        </w:tc>
      </w:tr>
      <w:tr>
        <w:trPr>
          <w:cantSplit w:val="true"/>
        </w:trPr>
        <w:tc>
          <w:tcPr>
            <w:tcW w:type="dxa" w:w="1562"/>
            <w:tcMar>
              <w:top w:w="50" w:type="dxa"/>
              <w:bottom w:w="50" w:type="dxa"/>
              <w:left w:w="90" w:type="dxa"/>
              <w:right w:w="90" w:type="dxa"/>
            </w:tcMar>
          </w:tcPr>
          <w:p>
            <w:pPr>
              <w:pStyle w:val="BDOITable"/>
            </w:pPr>
            <w:r>
              <w:rPr>
                <w:sz w:val="17"/>
              </w:rPr>
              <w:t>3 CCB review</w:t>
            </w:r>
          </w:p>
        </w:tc>
        <w:tc>
          <w:tcPr>
            <w:tcW w:type="dxa" w:w="4205"/>
            <w:tcMar>
              <w:top w:w="50" w:type="dxa"/>
              <w:bottom w:w="50" w:type="dxa"/>
              <w:left w:w="90" w:type="dxa"/>
              <w:right w:w="90" w:type="dxa"/>
            </w:tcMar>
          </w:tcPr>
          <w:p>
            <w:pPr>
              <w:pStyle w:val="BDOITable"/>
            </w:pPr>
            <w:r>
              <w:rPr>
                <w:sz w:val="17"/>
              </w:rPr>
              <w:t>Accept, reject, defer, or ask for more analysis</w:t>
            </w:r>
          </w:p>
        </w:tc>
        <w:tc>
          <w:tcPr>
            <w:tcW w:type="dxa" w:w="2403"/>
            <w:tcMar>
              <w:top w:w="50" w:type="dxa"/>
              <w:bottom w:w="50" w:type="dxa"/>
              <w:left w:w="90" w:type="dxa"/>
              <w:right w:w="90" w:type="dxa"/>
            </w:tcMar>
          </w:tcPr>
          <w:p>
            <w:pPr>
              <w:pStyle w:val="BDOITable"/>
            </w:pPr>
            <w:r>
              <w:rPr>
                <w:sz w:val="17"/>
              </w:rPr>
              <w:t>Change Control Board</w:t>
            </w:r>
          </w:p>
        </w:tc>
        <w:tc>
          <w:tcPr>
            <w:tcW w:type="dxa" w:w="1802"/>
            <w:tcMar>
              <w:top w:w="50" w:type="dxa"/>
              <w:bottom w:w="50" w:type="dxa"/>
              <w:left w:w="90" w:type="dxa"/>
              <w:right w:w="90" w:type="dxa"/>
            </w:tcMar>
          </w:tcPr>
          <w:p>
            <w:pPr>
              <w:pStyle w:val="BDOITable"/>
            </w:pPr>
            <w:r>
              <w:rPr>
                <w:sz w:val="17"/>
              </w:rPr>
              <w:t>Fortnightly; ad hoc for High priority</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4 Approval</w:t>
            </w:r>
          </w:p>
        </w:tc>
        <w:tc>
          <w:tcPr>
            <w:tcW w:type="dxa" w:w="4205"/>
            <w:tcMar>
              <w:top w:w="50" w:type="dxa"/>
              <w:bottom w:w="50" w:type="dxa"/>
              <w:left w:w="90" w:type="dxa"/>
              <w:right w:w="90" w:type="dxa"/>
            </w:tcMar>
            <w:shd w:val="clear" w:color="auto" w:fill="E5F5FF"/>
          </w:tcPr>
          <w:p>
            <w:pPr>
              <w:pStyle w:val="BDOITable"/>
            </w:pPr>
            <w:r>
              <w:rPr>
                <w:sz w:val="17"/>
              </w:rPr>
              <w:t>CR form signed by the decision owner and the BIBS Product Owner; above 25 man-days or when a drop date moves, also the Program Manager</w:t>
            </w:r>
          </w:p>
        </w:tc>
        <w:tc>
          <w:tcPr>
            <w:tcW w:type="dxa" w:w="2403"/>
            <w:tcMar>
              <w:top w:w="50" w:type="dxa"/>
              <w:bottom w:w="50" w:type="dxa"/>
              <w:left w:w="90" w:type="dxa"/>
              <w:right w:w="90" w:type="dxa"/>
            </w:tcMar>
            <w:shd w:val="clear" w:color="auto" w:fill="E5F5FF"/>
          </w:tcPr>
          <w:p>
            <w:pPr>
              <w:pStyle w:val="BDOITable"/>
            </w:pPr>
            <w:r>
              <w:rPr>
                <w:sz w:val="17"/>
              </w:rPr>
              <w:t>Decision owner; BIBS Product Owner; Program Manager</w:t>
            </w:r>
          </w:p>
        </w:tc>
        <w:tc>
          <w:tcPr>
            <w:tcW w:type="dxa" w:w="1802"/>
            <w:tcMar>
              <w:top w:w="50" w:type="dxa"/>
              <w:bottom w:w="50" w:type="dxa"/>
              <w:left w:w="90" w:type="dxa"/>
              <w:right w:w="90" w:type="dxa"/>
            </w:tcMar>
            <w:shd w:val="clear" w:color="auto" w:fill="E5F5FF"/>
          </w:tcPr>
          <w:p>
            <w:pPr>
              <w:pStyle w:val="BDOITable"/>
            </w:pPr>
            <w:r>
              <w:rPr>
                <w:sz w:val="17"/>
              </w:rPr>
              <w:t>5 working days after the CCB</w:t>
            </w:r>
          </w:p>
        </w:tc>
      </w:tr>
      <w:tr>
        <w:trPr>
          <w:cantSplit w:val="true"/>
        </w:trPr>
        <w:tc>
          <w:tcPr>
            <w:tcW w:type="dxa" w:w="1562"/>
            <w:tcMar>
              <w:top w:w="50" w:type="dxa"/>
              <w:bottom w:w="50" w:type="dxa"/>
              <w:left w:w="90" w:type="dxa"/>
              <w:right w:w="90" w:type="dxa"/>
            </w:tcMar>
          </w:tcPr>
          <w:p>
            <w:pPr>
              <w:pStyle w:val="BDOITable"/>
            </w:pPr>
            <w:r>
              <w:rPr>
                <w:sz w:val="17"/>
              </w:rPr>
              <w:t>5 Schedule</w:t>
            </w:r>
          </w:p>
        </w:tc>
        <w:tc>
          <w:tcPr>
            <w:tcW w:type="dxa" w:w="4205"/>
            <w:tcMar>
              <w:top w:w="50" w:type="dxa"/>
              <w:bottom w:w="50" w:type="dxa"/>
              <w:left w:w="90" w:type="dxa"/>
              <w:right w:w="90" w:type="dxa"/>
            </w:tcMar>
          </w:tcPr>
          <w:p>
            <w:pPr>
              <w:pStyle w:val="BDOITable"/>
            </w:pPr>
            <w:r>
              <w:rPr>
                <w:sz w:val="17"/>
              </w:rPr>
              <w:t>Placed in a drop or release; plan, FRS change list and test plan updated</w:t>
            </w:r>
          </w:p>
        </w:tc>
        <w:tc>
          <w:tcPr>
            <w:tcW w:type="dxa" w:w="2403"/>
            <w:tcMar>
              <w:top w:w="50" w:type="dxa"/>
              <w:bottom w:w="50" w:type="dxa"/>
              <w:left w:w="90" w:type="dxa"/>
              <w:right w:w="90" w:type="dxa"/>
            </w:tcMar>
          </w:tcPr>
          <w:p>
            <w:pPr>
              <w:pStyle w:val="BDOITable"/>
            </w:pPr>
            <w:r>
              <w:rPr>
                <w:sz w:val="17"/>
              </w:rPr>
              <w:t>iorta Project Manager; Program Manager</w:t>
            </w:r>
          </w:p>
        </w:tc>
        <w:tc>
          <w:tcPr>
            <w:tcW w:type="dxa" w:w="1802"/>
            <w:tcMar>
              <w:top w:w="50" w:type="dxa"/>
              <w:bottom w:w="50" w:type="dxa"/>
              <w:left w:w="90" w:type="dxa"/>
              <w:right w:w="90" w:type="dxa"/>
            </w:tcMar>
          </w:tcPr>
          <w:p>
            <w:pPr>
              <w:pStyle w:val="BDOITable"/>
            </w:pPr>
            <w:r>
              <w:rPr>
                <w:sz w:val="17"/>
              </w:rPr>
              <w:t>Next planning cycle</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6 Implement</w:t>
            </w:r>
          </w:p>
        </w:tc>
        <w:tc>
          <w:tcPr>
            <w:tcW w:type="dxa" w:w="4205"/>
            <w:tcMar>
              <w:top w:w="50" w:type="dxa"/>
              <w:bottom w:w="50" w:type="dxa"/>
              <w:left w:w="90" w:type="dxa"/>
              <w:right w:w="90" w:type="dxa"/>
            </w:tcMar>
            <w:shd w:val="clear" w:color="auto" w:fill="E5F5FF"/>
          </w:tcPr>
          <w:p>
            <w:pPr>
              <w:pStyle w:val="BDOITable"/>
            </w:pPr>
            <w:r>
              <w:rPr>
                <w:sz w:val="17"/>
              </w:rPr>
              <w:t>Configuration, development, FRS revision, test cases, guides</w:t>
            </w:r>
          </w:p>
        </w:tc>
        <w:tc>
          <w:tcPr>
            <w:tcW w:type="dxa" w:w="2403"/>
            <w:tcMar>
              <w:top w:w="50" w:type="dxa"/>
              <w:bottom w:w="50" w:type="dxa"/>
              <w:left w:w="90" w:type="dxa"/>
              <w:right w:w="90" w:type="dxa"/>
            </w:tcMar>
            <w:shd w:val="clear" w:color="auto" w:fill="E5F5FF"/>
          </w:tcPr>
          <w:p>
            <w:pPr>
              <w:pStyle w:val="BDOITable"/>
            </w:pPr>
            <w:r>
              <w:rPr>
                <w:sz w:val="17"/>
              </w:rPr>
              <w:t>Delivery team</w:t>
            </w:r>
          </w:p>
        </w:tc>
        <w:tc>
          <w:tcPr>
            <w:tcW w:type="dxa" w:w="1802"/>
            <w:tcMar>
              <w:top w:w="50" w:type="dxa"/>
              <w:bottom w:w="50" w:type="dxa"/>
              <w:left w:w="90" w:type="dxa"/>
              <w:right w:w="90" w:type="dxa"/>
            </w:tcMar>
            <w:shd w:val="clear" w:color="auto" w:fill="E5F5FF"/>
          </w:tcPr>
          <w:p>
            <w:pPr>
              <w:pStyle w:val="BDOITable"/>
            </w:pPr>
            <w:r>
              <w:rPr>
                <w:sz w:val="17"/>
              </w:rPr>
              <w:t>As scheduled</w:t>
            </w:r>
          </w:p>
        </w:tc>
      </w:tr>
      <w:tr>
        <w:trPr>
          <w:cantSplit w:val="true"/>
        </w:trPr>
        <w:tc>
          <w:tcPr>
            <w:tcW w:type="dxa" w:w="1562"/>
            <w:tcMar>
              <w:top w:w="50" w:type="dxa"/>
              <w:bottom w:w="50" w:type="dxa"/>
              <w:left w:w="90" w:type="dxa"/>
              <w:right w:w="90" w:type="dxa"/>
            </w:tcMar>
          </w:tcPr>
          <w:p>
            <w:pPr>
              <w:pStyle w:val="BDOITable"/>
            </w:pPr>
            <w:r>
              <w:rPr>
                <w:sz w:val="17"/>
              </w:rPr>
              <w:t>7 Verify</w:t>
            </w:r>
          </w:p>
        </w:tc>
        <w:tc>
          <w:tcPr>
            <w:tcW w:type="dxa" w:w="4205"/>
            <w:tcMar>
              <w:top w:w="50" w:type="dxa"/>
              <w:bottom w:w="50" w:type="dxa"/>
              <w:left w:w="90" w:type="dxa"/>
              <w:right w:w="90" w:type="dxa"/>
            </w:tcMar>
          </w:tcPr>
          <w:p>
            <w:pPr>
              <w:pStyle w:val="BDOITable"/>
            </w:pPr>
            <w:r>
              <w:rPr>
                <w:sz w:val="17"/>
              </w:rPr>
              <w:t>SIT and regression; the owner checks the behaviour in SIT or UAT</w:t>
            </w:r>
          </w:p>
        </w:tc>
        <w:tc>
          <w:tcPr>
            <w:tcW w:type="dxa" w:w="2403"/>
            <w:tcMar>
              <w:top w:w="50" w:type="dxa"/>
              <w:bottom w:w="50" w:type="dxa"/>
              <w:left w:w="90" w:type="dxa"/>
              <w:right w:w="90" w:type="dxa"/>
            </w:tcMar>
          </w:tcPr>
          <w:p>
            <w:pPr>
              <w:pStyle w:val="BDOITable"/>
            </w:pPr>
            <w:r>
              <w:rPr>
                <w:sz w:val="17"/>
              </w:rPr>
              <w:t>iorta QA; business owner</w:t>
            </w:r>
          </w:p>
        </w:tc>
        <w:tc>
          <w:tcPr>
            <w:tcW w:type="dxa" w:w="1802"/>
            <w:tcMar>
              <w:top w:w="50" w:type="dxa"/>
              <w:bottom w:w="50" w:type="dxa"/>
              <w:left w:w="90" w:type="dxa"/>
              <w:right w:w="90" w:type="dxa"/>
            </w:tcMar>
          </w:tcPr>
          <w:p>
            <w:pPr>
              <w:pStyle w:val="BDOITable"/>
            </w:pPr>
            <w:r>
              <w:rPr>
                <w:sz w:val="17"/>
              </w:rPr>
              <w:t>Drop test window</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8 Close</w:t>
            </w:r>
          </w:p>
        </w:tc>
        <w:tc>
          <w:tcPr>
            <w:tcW w:type="dxa" w:w="4205"/>
            <w:tcMar>
              <w:top w:w="50" w:type="dxa"/>
              <w:bottom w:w="50" w:type="dxa"/>
              <w:left w:w="90" w:type="dxa"/>
              <w:right w:w="90" w:type="dxa"/>
            </w:tcMar>
            <w:shd w:val="clear" w:color="auto" w:fill="E5F5FF"/>
          </w:tcPr>
          <w:p>
            <w:pPr>
              <w:pStyle w:val="BDOITable"/>
            </w:pPr>
            <w:r>
              <w:rPr>
                <w:sz w:val="17"/>
              </w:rPr>
              <w:t>Result and FRS version recorded; listed in the release notes</w:t>
            </w:r>
          </w:p>
        </w:tc>
        <w:tc>
          <w:tcPr>
            <w:tcW w:type="dxa" w:w="2403"/>
            <w:tcMar>
              <w:top w:w="50" w:type="dxa"/>
              <w:bottom w:w="50" w:type="dxa"/>
              <w:left w:w="90" w:type="dxa"/>
              <w:right w:w="90" w:type="dxa"/>
            </w:tcMar>
            <w:shd w:val="clear" w:color="auto" w:fill="E5F5FF"/>
          </w:tcPr>
          <w:p>
            <w:pPr>
              <w:pStyle w:val="BDOITable"/>
            </w:pPr>
            <w:r>
              <w:rPr>
                <w:sz w:val="17"/>
              </w:rPr>
              <w:t>iorta Project Manager; BIBS Product Owner</w:t>
            </w:r>
          </w:p>
        </w:tc>
        <w:tc>
          <w:tcPr>
            <w:tcW w:type="dxa" w:w="1802"/>
            <w:tcMar>
              <w:top w:w="50" w:type="dxa"/>
              <w:bottom w:w="50" w:type="dxa"/>
              <w:left w:w="90" w:type="dxa"/>
              <w:right w:w="90" w:type="dxa"/>
            </w:tcMar>
            <w:shd w:val="clear" w:color="auto" w:fill="E5F5FF"/>
          </w:tcPr>
          <w:p>
            <w:pPr>
              <w:pStyle w:val="BDOITable"/>
            </w:pPr>
            <w:r>
              <w:rPr>
                <w:sz w:val="17"/>
              </w:rPr>
              <w:t>At release</w:t>
            </w:r>
          </w:p>
        </w:tc>
      </w:tr>
    </w:tbl>
    <w:p>
      <w:pPr>
        <w:pStyle w:val="BDOISpacer"/>
      </w:pPr>
    </w:p>
    <w:p>
      <w:r>
        <w:rPr/>
        <w:t>CR sizes: S 1 to 3 man-days, M 4 to 10, L 11 to 25, XL above 25. The Change Control Board is chaired by the BIBS Product Owner with the Program Manager of Business Project Services, the owner of the BRD concerned, the Head of Comptrollership (postings, GL, tax), the Chief Compliance Officer (screening, KYC, access, retention), BDOI IT (interfaces and infrastructure) and, for iorta TechNXT, the Project Manager (secretary), the Solution Architect and the Business Analyst lead.</w:t>
      </w:r>
    </w:p>
    <w:p>
      <w:pPr>
        <w:pStyle w:val="Heading1"/>
        <w:pBdr>
          <w:bottom w:val="single" w:sz="4" w:space="4" w:color="99C1E7"/>
        </w:pBdr>
      </w:pPr>
      <w:bookmarkStart w:id="120" w:name="_Toc000120"/>
      <w:r>
        <w:rPr/>
        <w:t>8 Documentation standards</w:t>
      </w:r>
      <w:bookmarkEnd w:id="120"/>
    </w:p>
    <w:p>
      <w:pPr>
        <w:pStyle w:val="Caption"/>
        <w:keepNext/>
        <w:spacing w:after="60"/>
      </w:pPr>
      <w:r>
        <w:rPr>
          <w:b/>
          <w:i w:val="0"/>
        </w:rPr>
        <w:t xml:space="preserve">Table 10: </w:t>
      </w:r>
      <w:r>
        <w:rPr/>
        <w:t>Documentation standards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7810"/>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7809"/>
            <w:shd w:val="clear" w:color="auto" w:fill="004EA8"/>
            <w:tcMar>
              <w:top w:w="50" w:type="dxa"/>
              <w:bottom w:w="50" w:type="dxa"/>
              <w:left w:w="90" w:type="dxa"/>
              <w:right w:w="90" w:type="dxa"/>
            </w:tcMar>
            <w:vAlign w:val="center"/>
          </w:tcPr>
          <w:p>
            <w:pPr>
              <w:pStyle w:val="BDOITableHeader"/>
            </w:pPr>
            <w:r>
              <w:rPr>
                <w:b/>
                <w:color w:val="FFFFFF"/>
                <w:sz w:val="17"/>
              </w:rPr>
              <w:t>Standard</w:t>
            </w:r>
          </w:p>
        </w:tc>
      </w:tr>
      <w:tr>
        <w:trPr>
          <w:cantSplit w:val="true"/>
        </w:trPr>
        <w:tc>
          <w:tcPr>
            <w:tcW w:type="dxa" w:w="2163"/>
            <w:tcMar>
              <w:top w:w="50" w:type="dxa"/>
              <w:bottom w:w="50" w:type="dxa"/>
              <w:left w:w="90" w:type="dxa"/>
              <w:right w:w="90" w:type="dxa"/>
            </w:tcMar>
          </w:tcPr>
          <w:p>
            <w:pPr>
              <w:pStyle w:val="BDOITable"/>
            </w:pPr>
            <w:r>
              <w:rPr>
                <w:sz w:val="17"/>
              </w:rPr>
              <w:t>Template</w:t>
            </w:r>
          </w:p>
        </w:tc>
        <w:tc>
          <w:tcPr>
            <w:tcW w:type="dxa" w:w="7809"/>
            <w:tcMar>
              <w:top w:w="50" w:type="dxa"/>
              <w:bottom w:w="50" w:type="dxa"/>
              <w:left w:w="90" w:type="dxa"/>
              <w:right w:w="90" w:type="dxa"/>
            </w:tcMar>
          </w:tcPr>
          <w:p>
            <w:pPr>
              <w:pStyle w:val="BDOITable"/>
            </w:pPr>
            <w:r>
              <w:rPr>
                <w:sz w:val="17"/>
              </w:rPr>
              <w:t>BDO Insure template for Word, Excel and PowerPoint: cover, document control, distribution list, table of contents, numbered chapters, "Confidential - BDOI" footer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File names</w:t>
            </w:r>
          </w:p>
        </w:tc>
        <w:tc>
          <w:tcPr>
            <w:tcW w:type="dxa" w:w="7809"/>
            <w:tcMar>
              <w:top w:w="50" w:type="dxa"/>
              <w:bottom w:w="50" w:type="dxa"/>
              <w:left w:w="90" w:type="dxa"/>
              <w:right w:w="90" w:type="dxa"/>
            </w:tcMar>
            <w:shd w:val="clear" w:color="auto" w:fill="E5F5FF"/>
          </w:tcPr>
          <w:p>
            <w:pPr>
              <w:pStyle w:val="BDOITable"/>
            </w:pPr>
            <w:r>
              <w:rPr>
                <w:sz w:val="17"/>
              </w:rPr>
              <w:t>BIBS_&lt;document type&gt;_BRD-nn_&lt;name&gt;_v&lt;version&gt;, for example BIBS_FRS_BRD-03_Product_Maintenance_v2.0.docx; programme documents use BRD-00</w:t>
            </w:r>
          </w:p>
        </w:tc>
      </w:tr>
      <w:tr>
        <w:trPr>
          <w:cantSplit w:val="true"/>
        </w:trPr>
        <w:tc>
          <w:tcPr>
            <w:tcW w:type="dxa" w:w="2163"/>
            <w:tcMar>
              <w:top w:w="50" w:type="dxa"/>
              <w:bottom w:w="50" w:type="dxa"/>
              <w:left w:w="90" w:type="dxa"/>
              <w:right w:w="90" w:type="dxa"/>
            </w:tcMar>
          </w:tcPr>
          <w:p>
            <w:pPr>
              <w:pStyle w:val="BDOITable"/>
            </w:pPr>
            <w:r>
              <w:rPr>
                <w:sz w:val="17"/>
              </w:rPr>
              <w:t>Folders</w:t>
            </w:r>
          </w:p>
        </w:tc>
        <w:tc>
          <w:tcPr>
            <w:tcW w:type="dxa" w:w="7809"/>
            <w:tcMar>
              <w:top w:w="50" w:type="dxa"/>
              <w:bottom w:w="50" w:type="dxa"/>
              <w:left w:w="90" w:type="dxa"/>
              <w:right w:w="90" w:type="dxa"/>
            </w:tcMar>
          </w:tcPr>
          <w:p>
            <w:pPr>
              <w:pStyle w:val="BDOITable"/>
            </w:pPr>
            <w:r>
              <w:rPr>
                <w:sz w:val="17"/>
              </w:rPr>
              <w:t>One release-set folder per BRD in the folder of its drop; programme documents by kind under Programme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Versions</w:t>
            </w:r>
          </w:p>
        </w:tc>
        <w:tc>
          <w:tcPr>
            <w:tcW w:type="dxa" w:w="7809"/>
            <w:tcMar>
              <w:top w:w="50" w:type="dxa"/>
              <w:bottom w:w="50" w:type="dxa"/>
              <w:left w:w="90" w:type="dxa"/>
              <w:right w:w="90" w:type="dxa"/>
            </w:tcMar>
            <w:shd w:val="clear" w:color="auto" w:fill="E5F5FF"/>
          </w:tcPr>
          <w:p>
            <w:pPr>
              <w:pStyle w:val="BDOITable"/>
            </w:pPr>
            <w:r>
              <w:rPr>
                <w:sz w:val="17"/>
              </w:rPr>
              <w:t>x.0 for an issue for review or sign-off; x.1, x.2 for corrections; only the current version stays in a folder; every version has a row in the document control table</w:t>
            </w:r>
          </w:p>
        </w:tc>
      </w:tr>
      <w:tr>
        <w:trPr>
          <w:cantSplit w:val="true"/>
        </w:trPr>
        <w:tc>
          <w:tcPr>
            <w:tcW w:type="dxa" w:w="2163"/>
            <w:tcMar>
              <w:top w:w="50" w:type="dxa"/>
              <w:bottom w:w="50" w:type="dxa"/>
              <w:left w:w="90" w:type="dxa"/>
              <w:right w:w="90" w:type="dxa"/>
            </w:tcMar>
          </w:tcPr>
          <w:p>
            <w:pPr>
              <w:pStyle w:val="BDOITable"/>
            </w:pPr>
            <w:r>
              <w:rPr>
                <w:sz w:val="17"/>
              </w:rPr>
              <w:t>Writing</w:t>
            </w:r>
          </w:p>
        </w:tc>
        <w:tc>
          <w:tcPr>
            <w:tcW w:type="dxa" w:w="7809"/>
            <w:tcMar>
              <w:top w:w="50" w:type="dxa"/>
              <w:bottom w:w="50" w:type="dxa"/>
              <w:left w:w="90" w:type="dxa"/>
              <w:right w:w="90" w:type="dxa"/>
            </w:tcMar>
          </w:tcPr>
          <w:p>
            <w:pPr>
              <w:pStyle w:val="BDOITable"/>
            </w:pPr>
            <w:r>
              <w:rPr>
                <w:sz w:val="17"/>
              </w:rPr>
              <w:t>Specific and active ("the Team Lead approves"); BRD requirement IDs with pages; dates dd-MMM-yyyy; amounts formatted; no filler; terms of the glossary</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Business sign-off sets</w:t>
            </w:r>
          </w:p>
        </w:tc>
        <w:tc>
          <w:tcPr>
            <w:tcW w:type="dxa" w:w="7809"/>
            <w:tcMar>
              <w:top w:w="50" w:type="dxa"/>
              <w:bottom w:w="50" w:type="dxa"/>
              <w:left w:w="90" w:type="dxa"/>
              <w:right w:w="90" w:type="dxa"/>
            </w:tcMar>
            <w:shd w:val="clear" w:color="auto" w:fill="E5F5FF"/>
          </w:tcPr>
          <w:p>
            <w:pPr>
              <w:pStyle w:val="BDOITable"/>
            </w:pPr>
            <w:r>
              <w:rPr>
                <w:sz w:val="17"/>
              </w:rPr>
              <w:t>Business content only; every set carries a "Who signs what" matrix from the BRD approval sheet; technical content in the Technical Specification</w:t>
            </w:r>
          </w:p>
        </w:tc>
      </w:tr>
      <w:tr>
        <w:trPr>
          <w:cantSplit w:val="true"/>
        </w:trPr>
        <w:tc>
          <w:tcPr>
            <w:tcW w:type="dxa" w:w="2163"/>
            <w:tcMar>
              <w:top w:w="50" w:type="dxa"/>
              <w:bottom w:w="50" w:type="dxa"/>
              <w:left w:w="90" w:type="dxa"/>
              <w:right w:w="90" w:type="dxa"/>
            </w:tcMar>
          </w:tcPr>
          <w:p>
            <w:pPr>
              <w:pStyle w:val="BDOITable"/>
            </w:pPr>
            <w:r>
              <w:rPr>
                <w:sz w:val="17"/>
              </w:rPr>
              <w:t>Screens in documents</w:t>
            </w:r>
          </w:p>
        </w:tc>
        <w:tc>
          <w:tcPr>
            <w:tcW w:type="dxa" w:w="7809"/>
            <w:tcMar>
              <w:top w:w="50" w:type="dxa"/>
              <w:bottom w:w="50" w:type="dxa"/>
              <w:left w:w="90" w:type="dxa"/>
              <w:right w:w="90" w:type="dxa"/>
            </w:tcMar>
          </w:tcPr>
          <w:p>
            <w:pPr>
              <w:pStyle w:val="BDOITable"/>
            </w:pPr>
            <w:r>
              <w:rPr>
                <w:sz w:val="17"/>
              </w:rPr>
              <w:t>Screenshots of the SIT environment with seed data; screen IDs from the screen register; changed screens re-captured with each release and marked in the register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Figures</w:t>
            </w:r>
          </w:p>
        </w:tc>
        <w:tc>
          <w:tcPr>
            <w:tcW w:type="dxa" w:w="7809"/>
            <w:tcMar>
              <w:top w:w="50" w:type="dxa"/>
              <w:bottom w:w="50" w:type="dxa"/>
              <w:left w:w="90" w:type="dxa"/>
              <w:right w:w="90" w:type="dxa"/>
            </w:tcMar>
            <w:shd w:val="clear" w:color="auto" w:fill="E5F5FF"/>
          </w:tcPr>
          <w:p>
            <w:pPr>
              <w:pStyle w:val="BDOITable"/>
            </w:pPr>
            <w:r>
              <w:rPr>
                <w:sz w:val="17"/>
              </w:rPr>
              <w:t>Drawn from versioned sources in BDO colours; legible at page width</w:t>
            </w:r>
          </w:p>
        </w:tc>
      </w:tr>
      <w:tr>
        <w:trPr>
          <w:cantSplit w:val="true"/>
        </w:trPr>
        <w:tc>
          <w:tcPr>
            <w:tcW w:type="dxa" w:w="2163"/>
            <w:tcMar>
              <w:top w:w="50" w:type="dxa"/>
              <w:bottom w:w="50" w:type="dxa"/>
              <w:left w:w="90" w:type="dxa"/>
              <w:right w:w="90" w:type="dxa"/>
            </w:tcMar>
          </w:tcPr>
          <w:p>
            <w:pPr>
              <w:pStyle w:val="BDOITable"/>
            </w:pPr>
            <w:r>
              <w:rPr>
                <w:sz w:val="17"/>
              </w:rPr>
              <w:t>Review and approval</w:t>
            </w:r>
          </w:p>
        </w:tc>
        <w:tc>
          <w:tcPr>
            <w:tcW w:type="dxa" w:w="7809"/>
            <w:tcMar>
              <w:top w:w="50" w:type="dxa"/>
              <w:bottom w:w="50" w:type="dxa"/>
              <w:left w:w="90" w:type="dxa"/>
              <w:right w:w="90" w:type="dxa"/>
            </w:tcMar>
          </w:tcPr>
          <w:p>
            <w:pPr>
              <w:pStyle w:val="BDOITable"/>
            </w:pPr>
            <w:r>
              <w:rPr>
                <w:sz w:val="17"/>
              </w:rPr>
              <w:t>Author, reviewer and approver named in the document control; BDOI comments in the comments log of the set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Storage</w:t>
            </w:r>
          </w:p>
        </w:tc>
        <w:tc>
          <w:tcPr>
            <w:tcW w:type="dxa" w:w="7809"/>
            <w:tcMar>
              <w:top w:w="50" w:type="dxa"/>
              <w:bottom w:w="50" w:type="dxa"/>
              <w:left w:w="90" w:type="dxa"/>
              <w:right w:w="90" w:type="dxa"/>
            </w:tcMar>
            <w:shd w:val="clear" w:color="auto" w:fill="E5F5FF"/>
          </w:tcPr>
          <w:p>
            <w:pPr>
              <w:pStyle w:val="BDOITable"/>
            </w:pPr>
            <w:r>
              <w:rPr>
                <w:sz w:val="17"/>
              </w:rPr>
              <w:t>Masters (Word, Excel, PowerPoint) in the programme document store; PDFs produced at issue</w:t>
            </w:r>
          </w:p>
        </w:tc>
      </w:tr>
    </w:tbl>
    <w:p>
      <w:pPr>
        <w:pStyle w:val="BDOISpacer"/>
      </w:pPr>
    </w:p>
    <w:p>
      <w:pPr>
        <w:pStyle w:val="Heading1"/>
        <w:pBdr>
          <w:bottom w:val="single" w:sz="4" w:space="4" w:color="99C1E7"/>
        </w:pBdr>
      </w:pPr>
      <w:bookmarkStart w:id="121" w:name="_Toc000121"/>
      <w:r>
        <w:rPr/>
        <w:t>9 Governance cadence</w:t>
      </w:r>
      <w:bookmarkEnd w:id="121"/>
    </w:p>
    <w:p>
      <w:pPr>
        <w:keepNext/>
        <w:spacing w:before="80" w:after="0"/>
        <w:jc w:val="center"/>
      </w:pPr>
      <w:r>
        <w:drawing>
          <wp:inline xmlns:a="http://schemas.openxmlformats.org/drawingml/2006/main" xmlns:pic="http://schemas.openxmlformats.org/drawingml/2006/picture">
            <wp:extent cx="5400000" cy="1765902"/>
            <wp:docPr id="6" name="Picture 6"/>
            <wp:cNvGraphicFramePr>
              <a:graphicFrameLocks noChangeAspect="1"/>
            </wp:cNvGraphicFramePr>
            <a:graphic>
              <a:graphicData uri="http://schemas.openxmlformats.org/drawingml/2006/picture">
                <pic:pic>
                  <pic:nvPicPr>
                    <pic:cNvPr id="0" name="dm_governance_1003.jpg"/>
                    <pic:cNvPicPr/>
                  </pic:nvPicPr>
                  <pic:blipFill>
                    <a:blip r:embed="rId18"/>
                    <a:stretch>
                      <a:fillRect/>
                    </a:stretch>
                  </pic:blipFill>
                  <pic:spPr>
                    <a:xfrm>
                      <a:off x="0" y="0"/>
                      <a:ext cx="5400000" cy="1765902"/>
                    </a:xfrm>
                    <a:prstGeom prst="rect"/>
                  </pic:spPr>
                </pic:pic>
              </a:graphicData>
            </a:graphic>
          </wp:inline>
        </w:drawing>
      </w:r>
    </w:p>
    <w:p>
      <w:pPr>
        <w:pStyle w:val="Caption"/>
        <w:jc w:val="center"/>
      </w:pPr>
      <w:r>
        <w:rPr>
          <w:b/>
          <w:i w:val="0"/>
        </w:rPr>
        <w:t xml:space="preserve">Figure 4: </w:t>
      </w:r>
      <w:r>
        <w:rPr/>
        <w:t>Governance bodies and cadence</w:t>
      </w:r>
    </w:p>
    <w:p>
      <w:pPr>
        <w:pStyle w:val="Caption"/>
        <w:keepNext/>
        <w:spacing w:after="60"/>
      </w:pPr>
      <w:r>
        <w:rPr>
          <w:b/>
          <w:i w:val="0"/>
        </w:rPr>
        <w:t xml:space="preserve">Table 11: </w:t>
      </w:r>
      <w:r>
        <w:rPr/>
        <w:t>Governance bodies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1922"/>
        <w:gridCol w:w="3003"/>
        <w:gridCol w:w="1321"/>
        <w:gridCol w:w="180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Body</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Chair</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Members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Cadence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Decides or produces</w:t>
            </w:r>
          </w:p>
        </w:tc>
      </w:tr>
      <w:tr>
        <w:trPr>
          <w:cantSplit w:val="true"/>
        </w:trPr>
        <w:tc>
          <w:tcPr>
            <w:tcW w:type="dxa" w:w="1922"/>
            <w:tcMar>
              <w:top w:w="50" w:type="dxa"/>
              <w:bottom w:w="50" w:type="dxa"/>
              <w:left w:w="90" w:type="dxa"/>
              <w:right w:w="90" w:type="dxa"/>
            </w:tcMar>
          </w:tcPr>
          <w:p>
            <w:pPr>
              <w:pStyle w:val="BDOITable"/>
            </w:pPr>
            <w:r>
              <w:rPr>
                <w:sz w:val="17"/>
              </w:rPr>
              <w:t>Steering committee</w:t>
            </w:r>
          </w:p>
        </w:tc>
        <w:tc>
          <w:tcPr>
            <w:tcW w:type="dxa" w:w="1922"/>
            <w:tcMar>
              <w:top w:w="50" w:type="dxa"/>
              <w:bottom w:w="50" w:type="dxa"/>
              <w:left w:w="90" w:type="dxa"/>
              <w:right w:w="90" w:type="dxa"/>
            </w:tcMar>
          </w:tcPr>
          <w:p>
            <w:pPr>
              <w:pStyle w:val="BDOITable"/>
            </w:pPr>
            <w:r>
              <w:rPr>
                <w:sz w:val="17"/>
              </w:rPr>
              <w:t>Program Manager, Business Project Services</w:t>
            </w:r>
          </w:p>
        </w:tc>
        <w:tc>
          <w:tcPr>
            <w:tcW w:type="dxa" w:w="3004"/>
            <w:tcMar>
              <w:top w:w="50" w:type="dxa"/>
              <w:bottom w:w="50" w:type="dxa"/>
              <w:left w:w="90" w:type="dxa"/>
              <w:right w:w="90" w:type="dxa"/>
            </w:tcMar>
          </w:tcPr>
          <w:p>
            <w:pPr>
              <w:pStyle w:val="BDOITable"/>
            </w:pPr>
            <w:r>
              <w:rPr>
                <w:sz w:val="17"/>
              </w:rPr>
              <w:t>BIBS Product Owner; heads of Operations, Comptrollership, Marketing, Compliance, BDOI IT, Information Security; iorta TechNXT engagement lead</w:t>
            </w:r>
          </w:p>
        </w:tc>
        <w:tc>
          <w:tcPr>
            <w:tcW w:type="dxa" w:w="1322"/>
            <w:tcMar>
              <w:top w:w="50" w:type="dxa"/>
              <w:bottom w:w="50" w:type="dxa"/>
              <w:left w:w="90" w:type="dxa"/>
              <w:right w:w="90" w:type="dxa"/>
            </w:tcMar>
          </w:tcPr>
          <w:p>
            <w:pPr>
              <w:pStyle w:val="BDOITable"/>
            </w:pPr>
            <w:r>
              <w:rPr>
                <w:sz w:val="17"/>
              </w:rPr>
              <w:t>Monthly; at each drop closure; go / no-go</w:t>
            </w:r>
          </w:p>
        </w:tc>
        <w:tc>
          <w:tcPr>
            <w:tcW w:type="dxa" w:w="1802"/>
            <w:tcMar>
              <w:top w:w="50" w:type="dxa"/>
              <w:bottom w:w="50" w:type="dxa"/>
              <w:left w:w="90" w:type="dxa"/>
              <w:right w:w="90" w:type="dxa"/>
            </w:tcMar>
          </w:tcPr>
          <w:p>
            <w:pPr>
              <w:pStyle w:val="BDOITable"/>
            </w:pPr>
            <w:r>
              <w:rPr>
                <w:sz w:val="17"/>
              </w:rPr>
              <w:t>Direction, milestone changes, drop closure, go-live, escalations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Programme meeting</w:t>
            </w:r>
          </w:p>
        </w:tc>
        <w:tc>
          <w:tcPr>
            <w:tcW w:type="dxa" w:w="1922"/>
            <w:tcMar>
              <w:top w:w="50" w:type="dxa"/>
              <w:bottom w:w="50" w:type="dxa"/>
              <w:left w:w="90" w:type="dxa"/>
              <w:right w:w="90" w:type="dxa"/>
            </w:tcMar>
            <w:shd w:val="clear" w:color="auto" w:fill="E5F5FF"/>
          </w:tcPr>
          <w:p>
            <w:pPr>
              <w:pStyle w:val="BDOITable"/>
            </w:pPr>
            <w:r>
              <w:rPr>
                <w:sz w:val="17"/>
              </w:rPr>
              <w:t>iorta Project Manager</w:t>
            </w:r>
          </w:p>
        </w:tc>
        <w:tc>
          <w:tcPr>
            <w:tcW w:type="dxa" w:w="3004"/>
            <w:tcMar>
              <w:top w:w="50" w:type="dxa"/>
              <w:bottom w:w="50" w:type="dxa"/>
              <w:left w:w="90" w:type="dxa"/>
              <w:right w:w="90" w:type="dxa"/>
            </w:tcMar>
            <w:shd w:val="clear" w:color="auto" w:fill="E5F5FF"/>
          </w:tcPr>
          <w:p>
            <w:pPr>
              <w:pStyle w:val="BDOITable"/>
            </w:pPr>
            <w:r>
              <w:rPr>
                <w:sz w:val="17"/>
              </w:rPr>
              <w:t>Program Manager, BIBS Product Owner, workstream leads</w:t>
            </w:r>
          </w:p>
        </w:tc>
        <w:tc>
          <w:tcPr>
            <w:tcW w:type="dxa" w:w="1322"/>
            <w:tcMar>
              <w:top w:w="50" w:type="dxa"/>
              <w:bottom w:w="50" w:type="dxa"/>
              <w:left w:w="90" w:type="dxa"/>
              <w:right w:w="90" w:type="dxa"/>
            </w:tcMar>
            <w:shd w:val="clear" w:color="auto" w:fill="E5F5FF"/>
          </w:tcPr>
          <w:p>
            <w:pPr>
              <w:pStyle w:val="BDOITable"/>
            </w:pPr>
            <w:r>
              <w:rPr>
                <w:sz w:val="17"/>
              </w:rPr>
              <w:t>Weekly (Tuesday)</w:t>
            </w:r>
          </w:p>
        </w:tc>
        <w:tc>
          <w:tcPr>
            <w:tcW w:type="dxa" w:w="1802"/>
            <w:tcMar>
              <w:top w:w="50" w:type="dxa"/>
              <w:bottom w:w="50" w:type="dxa"/>
              <w:left w:w="90" w:type="dxa"/>
              <w:right w:w="90" w:type="dxa"/>
            </w:tcMar>
            <w:shd w:val="clear" w:color="auto" w:fill="E5F5FF"/>
          </w:tcPr>
          <w:p>
            <w:pPr>
              <w:pStyle w:val="BDOITable"/>
            </w:pPr>
            <w:r>
              <w:rPr>
                <w:sz w:val="17"/>
              </w:rPr>
              <w:t>Status, dependencies due in four weeks, RAID review, actions</w:t>
            </w:r>
          </w:p>
        </w:tc>
      </w:tr>
      <w:tr>
        <w:trPr>
          <w:cantSplit w:val="true"/>
        </w:trPr>
        <w:tc>
          <w:tcPr>
            <w:tcW w:type="dxa" w:w="1922"/>
            <w:tcMar>
              <w:top w:w="50" w:type="dxa"/>
              <w:bottom w:w="50" w:type="dxa"/>
              <w:left w:w="90" w:type="dxa"/>
              <w:right w:w="90" w:type="dxa"/>
            </w:tcMar>
          </w:tcPr>
          <w:p>
            <w:pPr>
              <w:pStyle w:val="BDOITable"/>
            </w:pPr>
            <w:r>
              <w:rPr>
                <w:sz w:val="17"/>
              </w:rPr>
              <w:t>Change Control Board</w:t>
            </w:r>
          </w:p>
        </w:tc>
        <w:tc>
          <w:tcPr>
            <w:tcW w:type="dxa" w:w="1922"/>
            <w:tcMar>
              <w:top w:w="50" w:type="dxa"/>
              <w:bottom w:w="50" w:type="dxa"/>
              <w:left w:w="90" w:type="dxa"/>
              <w:right w:w="90" w:type="dxa"/>
            </w:tcMar>
          </w:tcPr>
          <w:p>
            <w:pPr>
              <w:pStyle w:val="BDOITable"/>
            </w:pPr>
            <w:r>
              <w:rPr>
                <w:sz w:val="17"/>
              </w:rPr>
              <w:t>BIBS Product Owner</w:t>
            </w:r>
          </w:p>
        </w:tc>
        <w:tc>
          <w:tcPr>
            <w:tcW w:type="dxa" w:w="3004"/>
            <w:tcMar>
              <w:top w:w="50" w:type="dxa"/>
              <w:bottom w:w="50" w:type="dxa"/>
              <w:left w:w="90" w:type="dxa"/>
              <w:right w:w="90" w:type="dxa"/>
            </w:tcMar>
          </w:tcPr>
          <w:p>
            <w:pPr>
              <w:pStyle w:val="BDOITable"/>
            </w:pPr>
            <w:r>
              <w:rPr>
                <w:sz w:val="17"/>
              </w:rPr>
              <w:t>See change control</w:t>
            </w:r>
          </w:p>
        </w:tc>
        <w:tc>
          <w:tcPr>
            <w:tcW w:type="dxa" w:w="1322"/>
            <w:tcMar>
              <w:top w:w="50" w:type="dxa"/>
              <w:bottom w:w="50" w:type="dxa"/>
              <w:left w:w="90" w:type="dxa"/>
              <w:right w:w="90" w:type="dxa"/>
            </w:tcMar>
          </w:tcPr>
          <w:p>
            <w:pPr>
              <w:pStyle w:val="BDOITable"/>
            </w:pPr>
            <w:r>
              <w:rPr>
                <w:sz w:val="17"/>
              </w:rPr>
              <w:t>Fortnightly</w:t>
            </w:r>
          </w:p>
        </w:tc>
        <w:tc>
          <w:tcPr>
            <w:tcW w:type="dxa" w:w="1802"/>
            <w:tcMar>
              <w:top w:w="50" w:type="dxa"/>
              <w:bottom w:w="50" w:type="dxa"/>
              <w:left w:w="90" w:type="dxa"/>
              <w:right w:w="90" w:type="dxa"/>
            </w:tcMar>
          </w:tcPr>
          <w:p>
            <w:pPr>
              <w:pStyle w:val="BDOITable"/>
            </w:pPr>
            <w:r>
              <w:rPr>
                <w:sz w:val="17"/>
              </w:rPr>
              <w:t>CR decisions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Design authority</w:t>
            </w:r>
          </w:p>
        </w:tc>
        <w:tc>
          <w:tcPr>
            <w:tcW w:type="dxa" w:w="1922"/>
            <w:tcMar>
              <w:top w:w="50" w:type="dxa"/>
              <w:bottom w:w="50" w:type="dxa"/>
              <w:left w:w="90" w:type="dxa"/>
              <w:right w:w="90" w:type="dxa"/>
            </w:tcMar>
            <w:shd w:val="clear" w:color="auto" w:fill="E5F5FF"/>
          </w:tcPr>
          <w:p>
            <w:pPr>
              <w:pStyle w:val="BDOITable"/>
            </w:pPr>
            <w:r>
              <w:rPr>
                <w:sz w:val="17"/>
              </w:rPr>
              <w:t>Head, BDOI IT</w:t>
            </w:r>
          </w:p>
        </w:tc>
        <w:tc>
          <w:tcPr>
            <w:tcW w:type="dxa" w:w="3004"/>
            <w:tcMar>
              <w:top w:w="50" w:type="dxa"/>
              <w:bottom w:w="50" w:type="dxa"/>
              <w:left w:w="90" w:type="dxa"/>
              <w:right w:w="90" w:type="dxa"/>
            </w:tcMar>
            <w:shd w:val="clear" w:color="auto" w:fill="E5F5FF"/>
          </w:tcPr>
          <w:p>
            <w:pPr>
              <w:pStyle w:val="BDOITable"/>
            </w:pPr>
            <w:r>
              <w:rPr>
                <w:sz w:val="17"/>
              </w:rPr>
              <w:t>iorta Solution Architect, Information Security, BDO IT EIAM, IGA and API teams</w:t>
            </w:r>
          </w:p>
        </w:tc>
        <w:tc>
          <w:tcPr>
            <w:tcW w:type="dxa" w:w="1322"/>
            <w:tcMar>
              <w:top w:w="50" w:type="dxa"/>
              <w:bottom w:w="50" w:type="dxa"/>
              <w:left w:w="90" w:type="dxa"/>
              <w:right w:w="90" w:type="dxa"/>
            </w:tcMar>
            <w:shd w:val="clear" w:color="auto" w:fill="E5F5FF"/>
          </w:tcPr>
          <w:p>
            <w:pPr>
              <w:pStyle w:val="BDOITable"/>
            </w:pPr>
            <w:r>
              <w:rPr>
                <w:sz w:val="17"/>
              </w:rPr>
              <w:t>Fortnightly</w:t>
            </w:r>
          </w:p>
        </w:tc>
        <w:tc>
          <w:tcPr>
            <w:tcW w:type="dxa" w:w="1802"/>
            <w:tcMar>
              <w:top w:w="50" w:type="dxa"/>
              <w:bottom w:w="50" w:type="dxa"/>
              <w:left w:w="90" w:type="dxa"/>
              <w:right w:w="90" w:type="dxa"/>
            </w:tcMar>
            <w:shd w:val="clear" w:color="auto" w:fill="E5F5FF"/>
          </w:tcPr>
          <w:p>
            <w:pPr>
              <w:pStyle w:val="BDOITable"/>
            </w:pPr>
            <w:r>
              <w:rPr>
                <w:sz w:val="17"/>
              </w:rPr>
              <w:t>Architecture, integration and security decisions</w:t>
            </w:r>
          </w:p>
        </w:tc>
      </w:tr>
      <w:tr>
        <w:trPr>
          <w:cantSplit w:val="true"/>
        </w:trPr>
        <w:tc>
          <w:tcPr>
            <w:tcW w:type="dxa" w:w="1922"/>
            <w:tcMar>
              <w:top w:w="50" w:type="dxa"/>
              <w:bottom w:w="50" w:type="dxa"/>
              <w:left w:w="90" w:type="dxa"/>
              <w:right w:w="90" w:type="dxa"/>
            </w:tcMar>
          </w:tcPr>
          <w:p>
            <w:pPr>
              <w:pStyle w:val="BDOITable"/>
            </w:pPr>
            <w:r>
              <w:rPr>
                <w:sz w:val="17"/>
              </w:rPr>
              <w:t>Business working group</w:t>
            </w:r>
          </w:p>
        </w:tc>
        <w:tc>
          <w:tcPr>
            <w:tcW w:type="dxa" w:w="1922"/>
            <w:tcMar>
              <w:top w:w="50" w:type="dxa"/>
              <w:bottom w:w="50" w:type="dxa"/>
              <w:left w:w="90" w:type="dxa"/>
              <w:right w:w="90" w:type="dxa"/>
            </w:tcMar>
          </w:tcPr>
          <w:p>
            <w:pPr>
              <w:pStyle w:val="BDOITable"/>
            </w:pPr>
            <w:r>
              <w:rPr>
                <w:sz w:val="17"/>
              </w:rPr>
              <w:t>Business owner of the BRD</w:t>
            </w:r>
          </w:p>
        </w:tc>
        <w:tc>
          <w:tcPr>
            <w:tcW w:type="dxa" w:w="3004"/>
            <w:tcMar>
              <w:top w:w="50" w:type="dxa"/>
              <w:bottom w:w="50" w:type="dxa"/>
              <w:left w:w="90" w:type="dxa"/>
              <w:right w:w="90" w:type="dxa"/>
            </w:tcMar>
          </w:tcPr>
          <w:p>
            <w:pPr>
              <w:pStyle w:val="BDOITable"/>
            </w:pPr>
            <w:r>
              <w:rPr>
                <w:sz w:val="17"/>
              </w:rPr>
              <w:t>Key users, iorta Business Analyst lead, QA lead</w:t>
            </w:r>
          </w:p>
        </w:tc>
        <w:tc>
          <w:tcPr>
            <w:tcW w:type="dxa" w:w="1322"/>
            <w:tcMar>
              <w:top w:w="50" w:type="dxa"/>
              <w:bottom w:w="50" w:type="dxa"/>
              <w:left w:w="90" w:type="dxa"/>
              <w:right w:w="90" w:type="dxa"/>
            </w:tcMar>
          </w:tcPr>
          <w:p>
            <w:pPr>
              <w:pStyle w:val="BDOITable"/>
            </w:pPr>
            <w:r>
              <w:rPr>
                <w:sz w:val="17"/>
              </w:rPr>
              <w:t>Weekly in requirements and UAT</w:t>
            </w:r>
          </w:p>
        </w:tc>
        <w:tc>
          <w:tcPr>
            <w:tcW w:type="dxa" w:w="1802"/>
            <w:tcMar>
              <w:top w:w="50" w:type="dxa"/>
              <w:bottom w:w="50" w:type="dxa"/>
              <w:left w:w="90" w:type="dxa"/>
              <w:right w:w="90" w:type="dxa"/>
            </w:tcMar>
          </w:tcPr>
          <w:p>
            <w:pPr>
              <w:pStyle w:val="BDOITable"/>
            </w:pPr>
            <w:r>
              <w:rPr>
                <w:sz w:val="17"/>
              </w:rPr>
              <w:t>Clarifications, UAT progress, sign-off readiness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Data migration working group</w:t>
            </w:r>
          </w:p>
        </w:tc>
        <w:tc>
          <w:tcPr>
            <w:tcW w:type="dxa" w:w="1922"/>
            <w:tcMar>
              <w:top w:w="50" w:type="dxa"/>
              <w:bottom w:w="50" w:type="dxa"/>
              <w:left w:w="90" w:type="dxa"/>
              <w:right w:w="90" w:type="dxa"/>
            </w:tcMar>
            <w:shd w:val="clear" w:color="auto" w:fill="E5F5FF"/>
          </w:tcPr>
          <w:p>
            <w:pPr>
              <w:pStyle w:val="BDOITable"/>
            </w:pPr>
            <w:r>
              <w:rPr>
                <w:sz w:val="17"/>
              </w:rPr>
              <w:t>Data Migration Lead</w:t>
            </w:r>
          </w:p>
        </w:tc>
        <w:tc>
          <w:tcPr>
            <w:tcW w:type="dxa" w:w="3004"/>
            <w:tcMar>
              <w:top w:w="50" w:type="dxa"/>
              <w:bottom w:w="50" w:type="dxa"/>
              <w:left w:w="90" w:type="dxa"/>
              <w:right w:w="90" w:type="dxa"/>
            </w:tcMar>
            <w:shd w:val="clear" w:color="auto" w:fill="E5F5FF"/>
          </w:tcPr>
          <w:p>
            <w:pPr>
              <w:pStyle w:val="BDOITable"/>
            </w:pPr>
            <w:r>
              <w:rPr>
                <w:sz w:val="17"/>
              </w:rPr>
              <w:t>Data owners and stewards, BDOI IT, iorta Migration Lead</w:t>
            </w:r>
          </w:p>
        </w:tc>
        <w:tc>
          <w:tcPr>
            <w:tcW w:type="dxa" w:w="1322"/>
            <w:tcMar>
              <w:top w:w="50" w:type="dxa"/>
              <w:bottom w:w="50" w:type="dxa"/>
              <w:left w:w="90" w:type="dxa"/>
              <w:right w:w="90" w:type="dxa"/>
            </w:tcMar>
            <w:shd w:val="clear" w:color="auto" w:fill="E5F5FF"/>
          </w:tcPr>
          <w:p>
            <w:pPr>
              <w:pStyle w:val="BDOITable"/>
            </w:pPr>
            <w:r>
              <w:rPr>
                <w:sz w:val="17"/>
              </w:rPr>
              <w:t>Weekly</w:t>
            </w:r>
          </w:p>
        </w:tc>
        <w:tc>
          <w:tcPr>
            <w:tcW w:type="dxa" w:w="1802"/>
            <w:tcMar>
              <w:top w:w="50" w:type="dxa"/>
              <w:bottom w:w="50" w:type="dxa"/>
              <w:left w:w="90" w:type="dxa"/>
              <w:right w:w="90" w:type="dxa"/>
            </w:tcMar>
            <w:shd w:val="clear" w:color="auto" w:fill="E5F5FF"/>
          </w:tcPr>
          <w:p>
            <w:pPr>
              <w:pStyle w:val="BDOITable"/>
            </w:pPr>
            <w:r>
              <w:rPr>
                <w:sz w:val="17"/>
              </w:rPr>
              <w:t>Extracts, code maps, trial results, gates</w:t>
            </w:r>
          </w:p>
        </w:tc>
      </w:tr>
      <w:tr>
        <w:trPr>
          <w:cantSplit w:val="true"/>
        </w:trPr>
        <w:tc>
          <w:tcPr>
            <w:tcW w:type="dxa" w:w="1922"/>
            <w:tcMar>
              <w:top w:w="50" w:type="dxa"/>
              <w:bottom w:w="50" w:type="dxa"/>
              <w:left w:w="90" w:type="dxa"/>
              <w:right w:w="90" w:type="dxa"/>
            </w:tcMar>
          </w:tcPr>
          <w:p>
            <w:pPr>
              <w:pStyle w:val="BDOITable"/>
            </w:pPr>
            <w:r>
              <w:rPr>
                <w:sz w:val="17"/>
              </w:rPr>
              <w:t>Change and training working group</w:t>
            </w:r>
          </w:p>
        </w:tc>
        <w:tc>
          <w:tcPr>
            <w:tcW w:type="dxa" w:w="1922"/>
            <w:tcMar>
              <w:top w:w="50" w:type="dxa"/>
              <w:bottom w:w="50" w:type="dxa"/>
              <w:left w:w="90" w:type="dxa"/>
              <w:right w:w="90" w:type="dxa"/>
            </w:tcMar>
          </w:tcPr>
          <w:p>
            <w:pPr>
              <w:pStyle w:val="BDOITable"/>
            </w:pPr>
            <w:r>
              <w:rPr>
                <w:sz w:val="17"/>
              </w:rPr>
              <w:t>BIBS Product Owner</w:t>
            </w:r>
          </w:p>
        </w:tc>
        <w:tc>
          <w:tcPr>
            <w:tcW w:type="dxa" w:w="3004"/>
            <w:tcMar>
              <w:top w:w="50" w:type="dxa"/>
              <w:bottom w:w="50" w:type="dxa"/>
              <w:left w:w="90" w:type="dxa"/>
              <w:right w:w="90" w:type="dxa"/>
            </w:tcMar>
          </w:tcPr>
          <w:p>
            <w:pPr>
              <w:pStyle w:val="BDOITable"/>
            </w:pPr>
            <w:r>
              <w:rPr>
                <w:sz w:val="17"/>
              </w:rPr>
              <w:t>Change champions, key users, iorta change and training lead</w:t>
            </w:r>
          </w:p>
        </w:tc>
        <w:tc>
          <w:tcPr>
            <w:tcW w:type="dxa" w:w="1322"/>
            <w:tcMar>
              <w:top w:w="50" w:type="dxa"/>
              <w:bottom w:w="50" w:type="dxa"/>
              <w:left w:w="90" w:type="dxa"/>
              <w:right w:w="90" w:type="dxa"/>
            </w:tcMar>
          </w:tcPr>
          <w:p>
            <w:pPr>
              <w:pStyle w:val="BDOITable"/>
            </w:pPr>
            <w:r>
              <w:rPr>
                <w:sz w:val="17"/>
              </w:rPr>
              <w:t>Fortnightly from April 2027, weekly from October 2027</w:t>
            </w:r>
          </w:p>
        </w:tc>
        <w:tc>
          <w:tcPr>
            <w:tcW w:type="dxa" w:w="1802"/>
            <w:tcMar>
              <w:top w:w="50" w:type="dxa"/>
              <w:bottom w:w="50" w:type="dxa"/>
              <w:left w:w="90" w:type="dxa"/>
              <w:right w:w="90" w:type="dxa"/>
            </w:tcMar>
          </w:tcPr>
          <w:p>
            <w:pPr>
              <w:pStyle w:val="BDOITable"/>
            </w:pPr>
            <w:r>
              <w:rPr>
                <w:sz w:val="17"/>
              </w:rPr>
              <w:t>Communications, training, adoption KPIs</w:t>
            </w:r>
          </w:p>
        </w:tc>
      </w:tr>
    </w:tbl>
    <w:p>
      <w:pPr>
        <w:pStyle w:val="BDOISpacer"/>
      </w:pPr>
    </w:p>
    <w:p>
      <w:pPr>
        <w:pStyle w:val="Heading2"/>
      </w:pPr>
      <w:bookmarkStart w:id="122" w:name="_Toc000122"/>
      <w:r>
        <w:rPr/>
        <w:t>9.1 Status reporting</w:t>
      </w:r>
      <w:bookmarkEnd w:id="122"/>
    </w:p>
    <w:p>
      <w:r>
        <w:rPr/>
        <w:t>The weekly status report gives: milestones of the next eight weeks with their status (on track, at risk, late); dependencies due in the next four weeks; High risks and issues; CRs by status; SIT or UAT progress (cases run, passed, failed, blocked; incidents by severity and age); and the decisions needed from BDOI. The steering committee receives the monthly summary with the plan, the RAID heat map and the decisions.</w:t>
      </w:r>
    </w:p>
    <w:p>
      <w:pPr>
        <w:pStyle w:val="Caption"/>
        <w:keepNext/>
        <w:spacing w:after="60"/>
      </w:pPr>
      <w:r>
        <w:rPr>
          <w:b/>
          <w:i w:val="0"/>
        </w:rPr>
        <w:t xml:space="preserve">Table 12: </w:t>
      </w:r>
      <w:r>
        <w:rPr/>
        <w:t>Delivery indicators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965"/>
        <w:gridCol w:w="3003"/>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Indicator</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Target</w:t>
            </w:r>
          </w:p>
        </w:tc>
      </w:tr>
      <w:tr>
        <w:trPr>
          <w:cantSplit w:val="true"/>
        </w:trPr>
        <w:tc>
          <w:tcPr>
            <w:tcW w:type="dxa" w:w="3004"/>
            <w:tcMar>
              <w:top w:w="50" w:type="dxa"/>
              <w:bottom w:w="50" w:type="dxa"/>
              <w:left w:w="90" w:type="dxa"/>
              <w:right w:w="90" w:type="dxa"/>
            </w:tcMar>
          </w:tcPr>
          <w:p>
            <w:pPr>
              <w:pStyle w:val="BDOITable"/>
            </w:pPr>
            <w:r>
              <w:rPr>
                <w:sz w:val="17"/>
              </w:rPr>
              <w:t>Milestone adherence</w:t>
            </w:r>
          </w:p>
        </w:tc>
        <w:tc>
          <w:tcPr>
            <w:tcW w:type="dxa" w:w="3965"/>
            <w:tcMar>
              <w:top w:w="50" w:type="dxa"/>
              <w:bottom w:w="50" w:type="dxa"/>
              <w:left w:w="90" w:type="dxa"/>
              <w:right w:w="90" w:type="dxa"/>
            </w:tcMar>
          </w:tcPr>
          <w:p>
            <w:pPr>
              <w:pStyle w:val="BDOITable"/>
            </w:pPr>
            <w:r>
              <w:rPr>
                <w:sz w:val="17"/>
              </w:rPr>
              <w:t>Milestones met on their date</w:t>
            </w:r>
          </w:p>
        </w:tc>
        <w:tc>
          <w:tcPr>
            <w:tcW w:type="dxa" w:w="3004"/>
            <w:tcMar>
              <w:top w:w="50" w:type="dxa"/>
              <w:bottom w:w="50" w:type="dxa"/>
              <w:left w:w="90" w:type="dxa"/>
              <w:right w:w="90" w:type="dxa"/>
            </w:tcMar>
          </w:tcPr>
          <w:p>
            <w:pPr>
              <w:pStyle w:val="BDOITable"/>
            </w:pPr>
            <w:r>
              <w:rPr>
                <w:sz w:val="17"/>
              </w:rPr>
              <w:t>90 percent; none on the critical path late</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Sign-off cycle</w:t>
            </w:r>
          </w:p>
        </w:tc>
        <w:tc>
          <w:tcPr>
            <w:tcW w:type="dxa" w:w="3965"/>
            <w:tcMar>
              <w:top w:w="50" w:type="dxa"/>
              <w:bottom w:w="50" w:type="dxa"/>
              <w:left w:w="90" w:type="dxa"/>
              <w:right w:w="90" w:type="dxa"/>
            </w:tcMar>
            <w:shd w:val="clear" w:color="auto" w:fill="E5F5FF"/>
          </w:tcPr>
          <w:p>
            <w:pPr>
              <w:pStyle w:val="BDOITable"/>
            </w:pPr>
            <w:r>
              <w:rPr>
                <w:sz w:val="17"/>
              </w:rPr>
              <w:t>Days from issue of a set to signature</w:t>
            </w:r>
          </w:p>
        </w:tc>
        <w:tc>
          <w:tcPr>
            <w:tcW w:type="dxa" w:w="3004"/>
            <w:tcMar>
              <w:top w:w="50" w:type="dxa"/>
              <w:bottom w:w="50" w:type="dxa"/>
              <w:left w:w="90" w:type="dxa"/>
              <w:right w:w="90" w:type="dxa"/>
            </w:tcMar>
            <w:shd w:val="clear" w:color="auto" w:fill="E5F5FF"/>
          </w:tcPr>
          <w:p>
            <w:pPr>
              <w:pStyle w:val="BDOITable"/>
            </w:pPr>
            <w:r>
              <w:rPr>
                <w:sz w:val="17"/>
              </w:rPr>
              <w:t>30 days or less</w:t>
            </w:r>
          </w:p>
        </w:tc>
      </w:tr>
      <w:tr>
        <w:trPr>
          <w:cantSplit w:val="true"/>
        </w:trPr>
        <w:tc>
          <w:tcPr>
            <w:tcW w:type="dxa" w:w="3004"/>
            <w:tcMar>
              <w:top w:w="50" w:type="dxa"/>
              <w:bottom w:w="50" w:type="dxa"/>
              <w:left w:w="90" w:type="dxa"/>
              <w:right w:w="90" w:type="dxa"/>
            </w:tcMar>
          </w:tcPr>
          <w:p>
            <w:pPr>
              <w:pStyle w:val="BDOITable"/>
            </w:pPr>
            <w:r>
              <w:rPr>
                <w:sz w:val="17"/>
              </w:rPr>
              <w:t>CR cycle time</w:t>
            </w:r>
          </w:p>
        </w:tc>
        <w:tc>
          <w:tcPr>
            <w:tcW w:type="dxa" w:w="3965"/>
            <w:tcMar>
              <w:top w:w="50" w:type="dxa"/>
              <w:bottom w:w="50" w:type="dxa"/>
              <w:left w:w="90" w:type="dxa"/>
              <w:right w:w="90" w:type="dxa"/>
            </w:tcMar>
          </w:tcPr>
          <w:p>
            <w:pPr>
              <w:pStyle w:val="BDOITable"/>
            </w:pPr>
            <w:r>
              <w:rPr>
                <w:sz w:val="17"/>
              </w:rPr>
              <w:t>Days from request to CCB decision</w:t>
            </w:r>
          </w:p>
        </w:tc>
        <w:tc>
          <w:tcPr>
            <w:tcW w:type="dxa" w:w="3004"/>
            <w:tcMar>
              <w:top w:w="50" w:type="dxa"/>
              <w:bottom w:w="50" w:type="dxa"/>
              <w:left w:w="90" w:type="dxa"/>
              <w:right w:w="90" w:type="dxa"/>
            </w:tcMar>
          </w:tcPr>
          <w:p>
            <w:pPr>
              <w:pStyle w:val="BDOITable"/>
            </w:pPr>
            <w:r>
              <w:rPr>
                <w:sz w:val="17"/>
              </w:rPr>
              <w:t>15 working days or less</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SIT pass rate</w:t>
            </w:r>
          </w:p>
        </w:tc>
        <w:tc>
          <w:tcPr>
            <w:tcW w:type="dxa" w:w="3965"/>
            <w:tcMar>
              <w:top w:w="50" w:type="dxa"/>
              <w:bottom w:w="50" w:type="dxa"/>
              <w:left w:w="90" w:type="dxa"/>
              <w:right w:w="90" w:type="dxa"/>
            </w:tcMar>
            <w:shd w:val="clear" w:color="auto" w:fill="E5F5FF"/>
          </w:tcPr>
          <w:p>
            <w:pPr>
              <w:pStyle w:val="BDOITable"/>
            </w:pPr>
            <w:r>
              <w:rPr>
                <w:sz w:val="17"/>
              </w:rPr>
              <w:t>Cases passed at first run per release</w:t>
            </w:r>
          </w:p>
        </w:tc>
        <w:tc>
          <w:tcPr>
            <w:tcW w:type="dxa" w:w="3004"/>
            <w:tcMar>
              <w:top w:w="50" w:type="dxa"/>
              <w:bottom w:w="50" w:type="dxa"/>
              <w:left w:w="90" w:type="dxa"/>
              <w:right w:w="90" w:type="dxa"/>
            </w:tcMar>
            <w:shd w:val="clear" w:color="auto" w:fill="E5F5FF"/>
          </w:tcPr>
          <w:p>
            <w:pPr>
              <w:pStyle w:val="BDOITable"/>
            </w:pPr>
            <w:r>
              <w:rPr>
                <w:sz w:val="17"/>
              </w:rPr>
              <w:t>85 percent or more</w:t>
            </w:r>
          </w:p>
        </w:tc>
      </w:tr>
      <w:tr>
        <w:trPr>
          <w:cantSplit w:val="true"/>
        </w:trPr>
        <w:tc>
          <w:tcPr>
            <w:tcW w:type="dxa" w:w="3004"/>
            <w:tcMar>
              <w:top w:w="50" w:type="dxa"/>
              <w:bottom w:w="50" w:type="dxa"/>
              <w:left w:w="90" w:type="dxa"/>
              <w:right w:w="90" w:type="dxa"/>
            </w:tcMar>
          </w:tcPr>
          <w:p>
            <w:pPr>
              <w:pStyle w:val="BDOITable"/>
            </w:pPr>
            <w:r>
              <w:rPr>
                <w:sz w:val="17"/>
              </w:rPr>
              <w:t>Incident ageing</w:t>
            </w:r>
          </w:p>
        </w:tc>
        <w:tc>
          <w:tcPr>
            <w:tcW w:type="dxa" w:w="3965"/>
            <w:tcMar>
              <w:top w:w="50" w:type="dxa"/>
              <w:bottom w:w="50" w:type="dxa"/>
              <w:left w:w="90" w:type="dxa"/>
              <w:right w:w="90" w:type="dxa"/>
            </w:tcMar>
          </w:tcPr>
          <w:p>
            <w:pPr>
              <w:pStyle w:val="BDOITable"/>
            </w:pPr>
            <w:r>
              <w:rPr>
                <w:sz w:val="17"/>
              </w:rPr>
              <w:t>Open Severity 1 and 2 incidents older than their fix target</w:t>
            </w:r>
          </w:p>
        </w:tc>
        <w:tc>
          <w:tcPr>
            <w:tcW w:type="dxa" w:w="3004"/>
            <w:tcMar>
              <w:top w:w="50" w:type="dxa"/>
              <w:bottom w:w="50" w:type="dxa"/>
              <w:left w:w="90" w:type="dxa"/>
              <w:right w:w="90" w:type="dxa"/>
            </w:tcMar>
          </w:tcPr>
          <w:p>
            <w:pPr>
              <w:pStyle w:val="BDOITable"/>
            </w:pPr>
            <w:r>
              <w:rPr>
                <w:sz w:val="17"/>
              </w:rPr>
              <w:t>Zero</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Gate health</w:t>
            </w:r>
          </w:p>
        </w:tc>
        <w:tc>
          <w:tcPr>
            <w:tcW w:type="dxa" w:w="3965"/>
            <w:tcMar>
              <w:top w:w="50" w:type="dxa"/>
              <w:bottom w:w="50" w:type="dxa"/>
              <w:left w:w="90" w:type="dxa"/>
              <w:right w:w="90" w:type="dxa"/>
            </w:tcMar>
            <w:shd w:val="clear" w:color="auto" w:fill="E5F5FF"/>
          </w:tcPr>
          <w:p>
            <w:pPr>
              <w:pStyle w:val="BDOITable"/>
            </w:pPr>
            <w:r>
              <w:rPr>
                <w:sz w:val="17"/>
              </w:rPr>
              <w:t>Pipeline runs failing a gate, fixed the same day</w:t>
            </w:r>
          </w:p>
        </w:tc>
        <w:tc>
          <w:tcPr>
            <w:tcW w:type="dxa" w:w="3004"/>
            <w:tcMar>
              <w:top w:w="50" w:type="dxa"/>
              <w:bottom w:w="50" w:type="dxa"/>
              <w:left w:w="90" w:type="dxa"/>
              <w:right w:w="90" w:type="dxa"/>
            </w:tcMar>
            <w:shd w:val="clear" w:color="auto" w:fill="E5F5FF"/>
          </w:tcPr>
          <w:p>
            <w:pPr>
              <w:pStyle w:val="BDOITable"/>
            </w:pPr>
            <w:r>
              <w:rPr>
                <w:sz w:val="17"/>
              </w:rPr>
              <w:t>95 percent</w:t>
            </w:r>
          </w:p>
        </w:tc>
      </w:tr>
    </w:tbl>
    <w:p>
      <w:pPr>
        <w:pStyle w:val="BDOISpacer"/>
      </w:pPr>
    </w:p>
    <w:p>
      <w:pPr>
        <w:pStyle w:val="Heading1"/>
        <w:pBdr>
          <w:bottom w:val="single" w:sz="4" w:space="4" w:color="99C1E7"/>
        </w:pBdr>
      </w:pPr>
      <w:bookmarkStart w:id="123" w:name="_Toc000123"/>
      <w:r>
        <w:rPr/>
        <w:t>10 Roles and responsibilities</w:t>
      </w:r>
      <w:bookmarkEnd w:id="123"/>
    </w:p>
    <w:p>
      <w:r>
        <w:rPr/>
        <w:t xml:space="preserve">The full RACI is in the workbook </w:t>
      </w:r>
      <w:r>
        <w:rPr>
          <w:b/>
        </w:rPr>
        <w:t>BIBS_Delivery_BRD-00_RACI_Matrix_v1.0.xlsx</w:t>
      </w:r>
      <w:r>
        <w:rPr/>
        <w:t>. The extract below covers governance, requirements, development and test.</w:t>
      </w:r>
    </w:p>
    <w:p>
      <w:pPr>
        <w:pStyle w:val="Caption"/>
        <w:keepNext/>
        <w:spacing w:after="60"/>
      </w:pPr>
      <w:r>
        <w:rPr>
          <w:b/>
          <w:i w:val="0"/>
        </w:rPr>
        <w:t xml:space="preserve">Table 13: </w:t>
      </w:r>
      <w:r>
        <w:rPr/>
        <w:t>RACI extract (all roles in the RACI workbook)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513"/>
        <w:gridCol w:w="538"/>
        <w:gridCol w:w="538"/>
        <w:gridCol w:w="538"/>
        <w:gridCol w:w="538"/>
        <w:gridCol w:w="538"/>
        <w:gridCol w:w="538"/>
        <w:gridCol w:w="538"/>
        <w:gridCol w:w="538"/>
        <w:gridCol w:w="538"/>
        <w:gridCol w:w="538"/>
        <w:gridCol w:w="538"/>
        <w:gridCol w:w="538"/>
      </w:tblGrid>
      <w:tr>
        <w:trPr>
          <w:tblHeader w:val="true"/>
          <w:cantSplit w:val="true"/>
        </w:trPr>
        <w:tc>
          <w:tcPr>
            <w:tcW w:type="dxa" w:w="3513"/>
            <w:shd w:val="clear" w:color="auto" w:fill="004EA8"/>
            <w:tcMar>
              <w:top w:w="50" w:type="dxa"/>
              <w:bottom w:w="50" w:type="dxa"/>
              <w:left w:w="90" w:type="dxa"/>
              <w:right w:w="90" w:type="dxa"/>
            </w:tcMar>
            <w:vAlign w:val="center"/>
          </w:tcPr>
          <w:p>
            <w:pPr>
              <w:pStyle w:val="BDOITableHeader"/>
            </w:pPr>
            <w:r>
              <w:rPr>
                <w:b/>
                <w:color w:val="FFFFFF"/>
                <w:sz w:val="15"/>
              </w:rPr>
              <w:t>Activity</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BPO</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BO</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KU</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BIT</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ISEC</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APS</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OPS</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IPM</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ISA</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IDEV</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IQA</w:t>
            </w:r>
          </w:p>
        </w:tc>
        <w:tc>
          <w:tcPr>
            <w:tcW w:type="dxa" w:w="538"/>
            <w:shd w:val="clear" w:color="auto" w:fill="004EA8"/>
            <w:tcMar>
              <w:top w:w="50" w:type="dxa"/>
              <w:bottom w:w="50" w:type="dxa"/>
              <w:left w:w="90" w:type="dxa"/>
              <w:right w:w="90" w:type="dxa"/>
            </w:tcMar>
            <w:vAlign w:val="center"/>
          </w:tcPr>
          <w:p>
            <w:pPr>
              <w:pStyle w:val="BDOITableHeader"/>
            </w:pPr>
            <w:r>
              <w:rPr>
                <w:b/>
                <w:color w:val="FFFFFF"/>
                <w:sz w:val="15"/>
              </w:rPr>
              <w:t>ICT</w:t>
            </w:r>
          </w:p>
        </w:tc>
      </w:tr>
      <w:tr>
        <w:trPr>
          <w:cantSplit w:val="true"/>
        </w:trPr>
        <w:tc>
          <w:tcPr>
            <w:tcW w:type="dxa" w:w="3513"/>
            <w:tcMar>
              <w:top w:w="50" w:type="dxa"/>
              <w:bottom w:w="50" w:type="dxa"/>
              <w:left w:w="90" w:type="dxa"/>
              <w:right w:w="90" w:type="dxa"/>
            </w:tcMar>
          </w:tcPr>
          <w:p>
            <w:pPr>
              <w:pStyle w:val="BDOITable"/>
            </w:pPr>
            <w:r>
              <w:rPr>
                <w:sz w:val="15"/>
              </w:rPr>
              <w:t>Steering committee: direction, drop closure, go-live decision</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R</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Programme plan and weekly programme meeting</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R</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r>
      <w:tr>
        <w:trPr>
          <w:cantSplit w:val="true"/>
        </w:trPr>
        <w:tc>
          <w:tcPr>
            <w:tcW w:type="dxa" w:w="3513"/>
            <w:tcMar>
              <w:top w:w="50" w:type="dxa"/>
              <w:bottom w:w="50" w:type="dxa"/>
              <w:left w:w="90" w:type="dxa"/>
              <w:right w:w="90" w:type="dxa"/>
            </w:tcMar>
          </w:tcPr>
          <w:p>
            <w:pPr>
              <w:pStyle w:val="BDOITable"/>
            </w:pPr>
            <w:r>
              <w:rPr>
                <w:sz w:val="15"/>
              </w:rPr>
              <w:t>RAID log upkeep and escalation of High items</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R</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Change Control Board: CR approval, rejection, deferral</w:t>
            </w:r>
          </w:p>
        </w:tc>
        <w:tc>
          <w:tcPr>
            <w:tcW w:type="dxa" w:w="538"/>
            <w:tcMar>
              <w:top w:w="50" w:type="dxa"/>
              <w:bottom w:w="50" w:type="dxa"/>
              <w:left w:w="90" w:type="dxa"/>
              <w:right w:w="90" w:type="dxa"/>
            </w:tcMar>
            <w:shd w:val="clear" w:color="auto" w:fill="E5F5FF"/>
          </w:tcPr>
          <w:p>
            <w:pPr>
              <w:pStyle w:val="BDOITable"/>
            </w:pPr>
            <w:r>
              <w:rPr>
                <w:sz w:val="15"/>
              </w:rPr>
              <w:t>A</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R</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r>
      <w:tr>
        <w:trPr>
          <w:cantSplit w:val="true"/>
        </w:trPr>
        <w:tc>
          <w:tcPr>
            <w:tcW w:type="dxa" w:w="3513"/>
            <w:tcMar>
              <w:top w:w="50" w:type="dxa"/>
              <w:bottom w:w="50" w:type="dxa"/>
              <w:left w:w="90" w:type="dxa"/>
              <w:right w:w="90" w:type="dxa"/>
            </w:tcMar>
          </w:tcPr>
          <w:p>
            <w:pPr>
              <w:pStyle w:val="BDOITable"/>
            </w:pPr>
            <w:r>
              <w:rPr>
                <w:sz w:val="15"/>
              </w:rPr>
              <w:t>Issue BRDs and new BRD versions</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A</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Write and re-base the FRS, test plans and sign-off sets</w:t>
            </w: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A</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r>
      <w:tr>
        <w:trPr>
          <w:cantSplit w:val="true"/>
        </w:trPr>
        <w:tc>
          <w:tcPr>
            <w:tcW w:type="dxa" w:w="3513"/>
            <w:tcMar>
              <w:top w:w="50" w:type="dxa"/>
              <w:bottom w:w="50" w:type="dxa"/>
              <w:left w:w="90" w:type="dxa"/>
              <w:right w:w="90" w:type="dxa"/>
            </w:tcMar>
          </w:tcPr>
          <w:p>
            <w:pPr>
              <w:pStyle w:val="BDOITable"/>
            </w:pPr>
            <w:r>
              <w:rPr>
                <w:sz w:val="15"/>
              </w:rPr>
              <w:t>Review the FRS and record comments</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A</w:t>
            </w:r>
          </w:p>
        </w:tc>
        <w:tc>
          <w:tcPr>
            <w:tcW w:type="dxa" w:w="538"/>
            <w:tcMar>
              <w:top w:w="50" w:type="dxa"/>
              <w:bottom w:w="50" w:type="dxa"/>
              <w:left w:w="90" w:type="dxa"/>
              <w:right w:w="90" w:type="dxa"/>
            </w:tcMar>
          </w:tcPr>
          <w:p>
            <w:pPr>
              <w:pStyle w:val="BDOITable"/>
            </w:pPr>
            <w:r>
              <w:rPr>
                <w:sz w:val="15"/>
              </w:rPr>
              <w:t>R</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Decide the proposed business rules and clarifications</w:t>
            </w: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r>
              <w:rPr>
                <w:sz w:val="15"/>
              </w:rPr>
              <w:t>A</w:t>
            </w:r>
          </w:p>
        </w:tc>
        <w:tc>
          <w:tcPr>
            <w:tcW w:type="dxa" w:w="538"/>
            <w:tcMar>
              <w:top w:w="50" w:type="dxa"/>
              <w:bottom w:w="50" w:type="dxa"/>
              <w:left w:w="90" w:type="dxa"/>
              <w:right w:w="90" w:type="dxa"/>
            </w:tcMar>
            <w:shd w:val="clear" w:color="auto" w:fill="E5F5FF"/>
          </w:tcPr>
          <w:p>
            <w:pPr>
              <w:pStyle w:val="BDOITable"/>
            </w:pPr>
            <w:r>
              <w:rPr>
                <w:sz w:val="15"/>
              </w:rPr>
              <w:t>R</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r>
      <w:tr>
        <w:trPr>
          <w:cantSplit w:val="true"/>
        </w:trPr>
        <w:tc>
          <w:tcPr>
            <w:tcW w:type="dxa" w:w="3513"/>
            <w:tcMar>
              <w:top w:w="50" w:type="dxa"/>
              <w:bottom w:w="50" w:type="dxa"/>
              <w:left w:w="90" w:type="dxa"/>
              <w:right w:w="90" w:type="dxa"/>
            </w:tcMar>
          </w:tcPr>
          <w:p>
            <w:pPr>
              <w:pStyle w:val="BDOITable"/>
            </w:pPr>
            <w:r>
              <w:rPr>
                <w:sz w:val="15"/>
              </w:rPr>
              <w:t>Sign the FRS and sign-off set of a BRD</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A/R</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Traceability check against the BRD</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r>
      <w:tr>
        <w:trPr>
          <w:cantSplit w:val="true"/>
        </w:trPr>
        <w:tc>
          <w:tcPr>
            <w:tcW w:type="dxa" w:w="3513"/>
            <w:tcMar>
              <w:top w:w="50" w:type="dxa"/>
              <w:bottom w:w="50" w:type="dxa"/>
              <w:left w:w="90" w:type="dxa"/>
              <w:right w:w="90" w:type="dxa"/>
            </w:tcMar>
          </w:tcPr>
          <w:p>
            <w:pPr>
              <w:pStyle w:val="BDOITable"/>
            </w:pPr>
            <w:r>
              <w:rPr>
                <w:sz w:val="15"/>
              </w:rPr>
              <w:t>Application development and configuration</w:t>
            </w: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A</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r>
              <w:rPr>
                <w:sz w:val="15"/>
              </w:rPr>
              <w:t>R</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Code review and quality gates on every change</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r>
              <w:rPr>
                <w:sz w:val="15"/>
              </w:rPr>
              <w:t>A</w:t>
            </w:r>
          </w:p>
        </w:tc>
        <w:tc>
          <w:tcPr>
            <w:tcW w:type="dxa" w:w="538"/>
            <w:tcMar>
              <w:top w:w="50" w:type="dxa"/>
              <w:bottom w:w="50" w:type="dxa"/>
              <w:left w:w="90" w:type="dxa"/>
              <w:right w:w="90" w:type="dxa"/>
            </w:tcMar>
            <w:shd w:val="clear" w:color="auto" w:fill="E5F5FF"/>
          </w:tcPr>
          <w:p>
            <w:pPr>
              <w:pStyle w:val="BDOITable"/>
            </w:pPr>
            <w:r>
              <w:rPr>
                <w:sz w:val="15"/>
              </w:rPr>
              <w:t>R</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r>
      <w:tr>
        <w:trPr>
          <w:cantSplit w:val="true"/>
        </w:trPr>
        <w:tc>
          <w:tcPr>
            <w:tcW w:type="dxa" w:w="3513"/>
            <w:tcMar>
              <w:top w:w="50" w:type="dxa"/>
              <w:bottom w:w="50" w:type="dxa"/>
              <w:left w:w="90" w:type="dxa"/>
              <w:right w:w="90" w:type="dxa"/>
            </w:tcMar>
          </w:tcPr>
          <w:p>
            <w:pPr>
              <w:pStyle w:val="BDOITable"/>
            </w:pPr>
            <w:r>
              <w:rPr>
                <w:sz w:val="15"/>
              </w:rPr>
              <w:t>Security scans and remediation of findings</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A</w:t>
            </w:r>
          </w:p>
        </w:tc>
        <w:tc>
          <w:tcPr>
            <w:tcW w:type="dxa" w:w="538"/>
            <w:tcMar>
              <w:top w:w="50" w:type="dxa"/>
              <w:bottom w:w="50" w:type="dxa"/>
              <w:left w:w="90" w:type="dxa"/>
              <w:right w:w="90" w:type="dxa"/>
            </w:tcMar>
          </w:tcPr>
          <w:p>
            <w:pPr>
              <w:pStyle w:val="BDOITable"/>
            </w:pPr>
            <w:r>
              <w:rPr>
                <w:sz w:val="15"/>
              </w:rPr>
              <w:t>R</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EIAM application registration and conditional access</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r>
      <w:tr>
        <w:trPr>
          <w:cantSplit w:val="true"/>
        </w:trPr>
        <w:tc>
          <w:tcPr>
            <w:tcW w:type="dxa" w:w="3513"/>
            <w:tcMar>
              <w:top w:w="50" w:type="dxa"/>
              <w:bottom w:w="50" w:type="dxa"/>
              <w:left w:w="90" w:type="dxa"/>
              <w:right w:w="90" w:type="dxa"/>
            </w:tcMar>
          </w:tcPr>
          <w:p>
            <w:pPr>
              <w:pStyle w:val="BDOITable"/>
            </w:pPr>
            <w:r>
              <w:rPr>
                <w:sz w:val="15"/>
              </w:rPr>
              <w:t>UIDM-ISC connector and provisioning set-up</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Apigee X proxies, products and credentials</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r>
      <w:tr>
        <w:trPr>
          <w:cantSplit w:val="true"/>
        </w:trPr>
        <w:tc>
          <w:tcPr>
            <w:tcW w:type="dxa" w:w="3513"/>
            <w:tcMar>
              <w:top w:w="50" w:type="dxa"/>
              <w:bottom w:w="50" w:type="dxa"/>
              <w:left w:w="90" w:type="dxa"/>
              <w:right w:w="90" w:type="dxa"/>
            </w:tcMar>
          </w:tcPr>
          <w:p>
            <w:pPr>
              <w:pStyle w:val="BDOITable"/>
            </w:pPr>
            <w:r>
              <w:rPr>
                <w:sz w:val="15"/>
              </w:rPr>
              <w:t>Integration development on the BIBS side</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r>
              <w:rPr>
                <w:sz w:val="15"/>
              </w:rPr>
              <w:t>A</w:t>
            </w:r>
          </w:p>
        </w:tc>
        <w:tc>
          <w:tcPr>
            <w:tcW w:type="dxa" w:w="538"/>
            <w:tcMar>
              <w:top w:w="50" w:type="dxa"/>
              <w:bottom w:w="50" w:type="dxa"/>
              <w:left w:w="90" w:type="dxa"/>
              <w:right w:w="90" w:type="dxa"/>
            </w:tcMar>
          </w:tcPr>
          <w:p>
            <w:pPr>
              <w:pStyle w:val="BDOITable"/>
            </w:pPr>
            <w:r>
              <w:rPr>
                <w:sz w:val="15"/>
              </w:rPr>
              <w:t>R</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Configuration inputs (lists, parameters, products, chart of accounts)</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A</w:t>
            </w:r>
          </w:p>
        </w:tc>
        <w:tc>
          <w:tcPr>
            <w:tcW w:type="dxa" w:w="538"/>
            <w:tcMar>
              <w:top w:w="50" w:type="dxa"/>
              <w:bottom w:w="50" w:type="dxa"/>
              <w:left w:w="90" w:type="dxa"/>
              <w:right w:w="90" w:type="dxa"/>
            </w:tcMar>
            <w:shd w:val="clear" w:color="auto" w:fill="E5F5FF"/>
          </w:tcPr>
          <w:p>
            <w:pPr>
              <w:pStyle w:val="BDOITable"/>
            </w:pPr>
            <w:r>
              <w:rPr>
                <w:sz w:val="15"/>
              </w:rPr>
              <w:t>R</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r>
      <w:tr>
        <w:trPr>
          <w:cantSplit w:val="true"/>
        </w:trPr>
        <w:tc>
          <w:tcPr>
            <w:tcW w:type="dxa" w:w="3513"/>
            <w:tcMar>
              <w:top w:w="50" w:type="dxa"/>
              <w:bottom w:w="50" w:type="dxa"/>
              <w:left w:w="90" w:type="dxa"/>
              <w:right w:w="90" w:type="dxa"/>
            </w:tcMar>
          </w:tcPr>
          <w:p>
            <w:pPr>
              <w:pStyle w:val="BDOITable"/>
            </w:pPr>
            <w:r>
              <w:rPr>
                <w:sz w:val="15"/>
              </w:rPr>
              <w:t>Test plans and test cases per BRD</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A</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R</w:t>
            </w:r>
          </w:p>
        </w:tc>
        <w:tc>
          <w:tcPr>
            <w:tcW w:type="dxa" w:w="538"/>
            <w:tcMar>
              <w:top w:w="50" w:type="dxa"/>
              <w:bottom w:w="50" w:type="dxa"/>
              <w:left w:w="90" w:type="dxa"/>
              <w:right w:w="90" w:type="dxa"/>
            </w:tcMar>
          </w:tcPr>
          <w:p>
            <w:pPr>
              <w:pStyle w:val="BDOITable"/>
            </w:pP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System integration test (SIT) and regression</w:t>
            </w: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A</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r>
              <w:rPr>
                <w:sz w:val="15"/>
              </w:rPr>
              <w:t>R</w:t>
            </w:r>
          </w:p>
        </w:tc>
        <w:tc>
          <w:tcPr>
            <w:tcW w:type="dxa" w:w="538"/>
            <w:tcMar>
              <w:top w:w="50" w:type="dxa"/>
              <w:bottom w:w="50" w:type="dxa"/>
              <w:left w:w="90" w:type="dxa"/>
              <w:right w:w="90" w:type="dxa"/>
            </w:tcMar>
            <w:shd w:val="clear" w:color="auto" w:fill="E5F5FF"/>
          </w:tcPr>
          <w:p>
            <w:pPr>
              <w:pStyle w:val="BDOITable"/>
            </w:pPr>
          </w:p>
        </w:tc>
      </w:tr>
      <w:tr>
        <w:trPr>
          <w:cantSplit w:val="true"/>
        </w:trPr>
        <w:tc>
          <w:tcPr>
            <w:tcW w:type="dxa" w:w="3513"/>
            <w:tcMar>
              <w:top w:w="50" w:type="dxa"/>
              <w:bottom w:w="50" w:type="dxa"/>
              <w:left w:w="90" w:type="dxa"/>
              <w:right w:w="90" w:type="dxa"/>
            </w:tcMar>
          </w:tcPr>
          <w:p>
            <w:pPr>
              <w:pStyle w:val="BDOITable"/>
            </w:pPr>
            <w:r>
              <w:rPr>
                <w:sz w:val="15"/>
              </w:rPr>
              <w:t>Integration test with BDO systems</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A/R</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R</w:t>
            </w:r>
          </w:p>
        </w:tc>
        <w:tc>
          <w:tcPr>
            <w:tcW w:type="dxa" w:w="538"/>
            <w:tcMar>
              <w:top w:w="50" w:type="dxa"/>
              <w:bottom w:w="50" w:type="dxa"/>
              <w:left w:w="90" w:type="dxa"/>
              <w:right w:w="90" w:type="dxa"/>
            </w:tcMar>
          </w:tcPr>
          <w:p>
            <w:pPr>
              <w:pStyle w:val="BDOITable"/>
            </w:pP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UAT preparation: scenarios, testers, data, sign-off forms</w:t>
            </w:r>
          </w:p>
        </w:tc>
        <w:tc>
          <w:tcPr>
            <w:tcW w:type="dxa" w:w="538"/>
            <w:tcMar>
              <w:top w:w="50" w:type="dxa"/>
              <w:bottom w:w="50" w:type="dxa"/>
              <w:left w:w="90" w:type="dxa"/>
              <w:right w:w="90" w:type="dxa"/>
            </w:tcMar>
            <w:shd w:val="clear" w:color="auto" w:fill="E5F5FF"/>
          </w:tcPr>
          <w:p>
            <w:pPr>
              <w:pStyle w:val="BDOITable"/>
            </w:pPr>
            <w:r>
              <w:rPr>
                <w:sz w:val="15"/>
              </w:rPr>
              <w:t>A</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r>
              <w:rPr>
                <w:sz w:val="15"/>
              </w:rPr>
              <w:t>R</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R</w:t>
            </w:r>
          </w:p>
        </w:tc>
        <w:tc>
          <w:tcPr>
            <w:tcW w:type="dxa" w:w="538"/>
            <w:tcMar>
              <w:top w:w="50" w:type="dxa"/>
              <w:bottom w:w="50" w:type="dxa"/>
              <w:left w:w="90" w:type="dxa"/>
              <w:right w:w="90" w:type="dxa"/>
            </w:tcMar>
            <w:shd w:val="clear" w:color="auto" w:fill="E5F5FF"/>
          </w:tcPr>
          <w:p>
            <w:pPr>
              <w:pStyle w:val="BDOITable"/>
            </w:pPr>
          </w:p>
        </w:tc>
      </w:tr>
      <w:tr>
        <w:trPr>
          <w:cantSplit w:val="true"/>
        </w:trPr>
        <w:tc>
          <w:tcPr>
            <w:tcW w:type="dxa" w:w="3513"/>
            <w:tcMar>
              <w:top w:w="50" w:type="dxa"/>
              <w:bottom w:w="50" w:type="dxa"/>
              <w:left w:w="90" w:type="dxa"/>
              <w:right w:w="90" w:type="dxa"/>
            </w:tcMar>
          </w:tcPr>
          <w:p>
            <w:pPr>
              <w:pStyle w:val="BDOITable"/>
            </w:pPr>
            <w:r>
              <w:rPr>
                <w:sz w:val="15"/>
              </w:rPr>
              <w:t>UAT execution</w:t>
            </w: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r>
              <w:rPr>
                <w:sz w:val="15"/>
              </w:rPr>
              <w:t>A</w:t>
            </w:r>
          </w:p>
        </w:tc>
        <w:tc>
          <w:tcPr>
            <w:tcW w:type="dxa" w:w="538"/>
            <w:tcMar>
              <w:top w:w="50" w:type="dxa"/>
              <w:bottom w:w="50" w:type="dxa"/>
              <w:left w:w="90" w:type="dxa"/>
              <w:right w:w="90" w:type="dxa"/>
            </w:tcMar>
          </w:tcPr>
          <w:p>
            <w:pPr>
              <w:pStyle w:val="BDOITable"/>
            </w:pPr>
            <w:r>
              <w:rPr>
                <w:sz w:val="15"/>
              </w:rPr>
              <w:t>R</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I</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Performance test</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A</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R</w:t>
            </w:r>
          </w:p>
        </w:tc>
        <w:tc>
          <w:tcPr>
            <w:tcW w:type="dxa" w:w="538"/>
            <w:tcMar>
              <w:top w:w="50" w:type="dxa"/>
              <w:bottom w:w="50" w:type="dxa"/>
              <w:left w:w="90" w:type="dxa"/>
              <w:right w:w="90" w:type="dxa"/>
            </w:tcMar>
            <w:shd w:val="clear" w:color="auto" w:fill="E5F5FF"/>
          </w:tcPr>
          <w:p>
            <w:pPr>
              <w:pStyle w:val="BDOITable"/>
            </w:pPr>
          </w:p>
        </w:tc>
      </w:tr>
      <w:tr>
        <w:trPr>
          <w:cantSplit w:val="true"/>
        </w:trPr>
        <w:tc>
          <w:tcPr>
            <w:tcW w:type="dxa" w:w="3513"/>
            <w:tcMar>
              <w:top w:w="50" w:type="dxa"/>
              <w:bottom w:w="50" w:type="dxa"/>
              <w:left w:w="90" w:type="dxa"/>
              <w:right w:w="90" w:type="dxa"/>
            </w:tcMar>
          </w:tcPr>
          <w:p>
            <w:pPr>
              <w:pStyle w:val="BDOITable"/>
            </w:pPr>
            <w:r>
              <w:rPr>
                <w:sz w:val="15"/>
              </w:rPr>
              <w:t>Penetration test and security sign-off</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r>
              <w:rPr>
                <w:sz w:val="15"/>
              </w:rPr>
              <w:t>A/R</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r>
              <w:rPr>
                <w:sz w:val="15"/>
              </w:rPr>
              <w:t>C</w:t>
            </w: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c>
          <w:tcPr>
            <w:tcW w:type="dxa" w:w="538"/>
            <w:tcMar>
              <w:top w:w="50" w:type="dxa"/>
              <w:bottom w:w="50" w:type="dxa"/>
              <w:left w:w="90" w:type="dxa"/>
              <w:right w:w="90" w:type="dxa"/>
            </w:tcMar>
          </w:tcPr>
          <w:p>
            <w:pPr>
              <w:pStyle w:val="BDOITable"/>
            </w:pPr>
          </w:p>
        </w:tc>
      </w:tr>
      <w:tr>
        <w:trPr>
          <w:cantSplit w:val="true"/>
        </w:trPr>
        <w:tc>
          <w:tcPr>
            <w:tcW w:type="dxa" w:w="3513"/>
            <w:tcMar>
              <w:top w:w="50" w:type="dxa"/>
              <w:bottom w:w="50" w:type="dxa"/>
              <w:left w:w="90" w:type="dxa"/>
              <w:right w:w="90" w:type="dxa"/>
            </w:tcMar>
            <w:shd w:val="clear" w:color="auto" w:fill="E5F5FF"/>
          </w:tcPr>
          <w:p>
            <w:pPr>
              <w:pStyle w:val="BDOITable"/>
            </w:pPr>
            <w:r>
              <w:rPr>
                <w:sz w:val="15"/>
              </w:rPr>
              <w:t>Usability tests with users</w:t>
            </w:r>
          </w:p>
        </w:tc>
        <w:tc>
          <w:tcPr>
            <w:tcW w:type="dxa" w:w="538"/>
            <w:tcMar>
              <w:top w:w="50" w:type="dxa"/>
              <w:bottom w:w="50" w:type="dxa"/>
              <w:left w:w="90" w:type="dxa"/>
              <w:right w:w="90" w:type="dxa"/>
            </w:tcMar>
            <w:shd w:val="clear" w:color="auto" w:fill="E5F5FF"/>
          </w:tcPr>
          <w:p>
            <w:pPr>
              <w:pStyle w:val="BDOITable"/>
            </w:pPr>
            <w:r>
              <w:rPr>
                <w:sz w:val="15"/>
              </w:rPr>
              <w:t>A</w:t>
            </w:r>
          </w:p>
        </w:tc>
        <w:tc>
          <w:tcPr>
            <w:tcW w:type="dxa" w:w="538"/>
            <w:tcMar>
              <w:top w:w="50" w:type="dxa"/>
              <w:bottom w:w="50" w:type="dxa"/>
              <w:left w:w="90" w:type="dxa"/>
              <w:right w:w="90" w:type="dxa"/>
            </w:tcMar>
            <w:shd w:val="clear" w:color="auto" w:fill="E5F5FF"/>
          </w:tcPr>
          <w:p>
            <w:pPr>
              <w:pStyle w:val="BDOITable"/>
            </w:pPr>
            <w:r>
              <w:rPr>
                <w:sz w:val="15"/>
              </w:rPr>
              <w:t>I</w:t>
            </w:r>
          </w:p>
        </w:tc>
        <w:tc>
          <w:tcPr>
            <w:tcW w:type="dxa" w:w="538"/>
            <w:tcMar>
              <w:top w:w="50" w:type="dxa"/>
              <w:bottom w:w="50" w:type="dxa"/>
              <w:left w:w="90" w:type="dxa"/>
              <w:right w:w="90" w:type="dxa"/>
            </w:tcMar>
            <w:shd w:val="clear" w:color="auto" w:fill="E5F5FF"/>
          </w:tcPr>
          <w:p>
            <w:pPr>
              <w:pStyle w:val="BDOITable"/>
            </w:pPr>
            <w:r>
              <w:rPr>
                <w:sz w:val="15"/>
              </w:rPr>
              <w:t>C</w:t>
            </w: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p>
        </w:tc>
        <w:tc>
          <w:tcPr>
            <w:tcW w:type="dxa" w:w="538"/>
            <w:tcMar>
              <w:top w:w="50" w:type="dxa"/>
              <w:bottom w:w="50" w:type="dxa"/>
              <w:left w:w="90" w:type="dxa"/>
              <w:right w:w="90" w:type="dxa"/>
            </w:tcMar>
            <w:shd w:val="clear" w:color="auto" w:fill="E5F5FF"/>
          </w:tcPr>
          <w:p>
            <w:pPr>
              <w:pStyle w:val="BDOITable"/>
            </w:pPr>
            <w:r>
              <w:rPr>
                <w:sz w:val="15"/>
              </w:rPr>
              <w:t>R</w:t>
            </w:r>
          </w:p>
        </w:tc>
      </w:tr>
    </w:tbl>
    <w:p>
      <w:pPr>
        <w:pStyle w:val="BDOISpacer"/>
      </w:pPr>
    </w:p>
    <w:p>
      <w:pPr>
        <w:pStyle w:val="Caption"/>
        <w:keepNext/>
        <w:spacing w:after="60"/>
      </w:pPr>
      <w:r>
        <w:rPr>
          <w:b/>
          <w:i w:val="0"/>
        </w:rPr>
        <w:t xml:space="preserve">Table 14: </w:t>
      </w:r>
      <w:r>
        <w:rPr/>
        <w:t>Roles of the programme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2403"/>
        <w:gridCol w:w="1682"/>
        <w:gridCol w:w="5166"/>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6"/>
              </w:rPr>
              <w:t>Organisation</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6"/>
              </w:rPr>
              <w:t>Responsibility</w:t>
            </w:r>
          </w:p>
        </w:tc>
      </w:tr>
      <w:tr>
        <w:trPr>
          <w:cantSplit w:val="true"/>
        </w:trPr>
        <w:tc>
          <w:tcPr>
            <w:tcW w:type="dxa" w:w="721"/>
            <w:tcMar>
              <w:top w:w="50" w:type="dxa"/>
              <w:bottom w:w="50" w:type="dxa"/>
              <w:left w:w="90" w:type="dxa"/>
              <w:right w:w="90" w:type="dxa"/>
            </w:tcMar>
          </w:tcPr>
          <w:p>
            <w:pPr>
              <w:pStyle w:val="BDOITable"/>
            </w:pPr>
            <w:r>
              <w:rPr>
                <w:sz w:val="16"/>
              </w:rPr>
              <w:t>SC</w:t>
            </w:r>
          </w:p>
        </w:tc>
        <w:tc>
          <w:tcPr>
            <w:tcW w:type="dxa" w:w="2403"/>
            <w:tcMar>
              <w:top w:w="50" w:type="dxa"/>
              <w:bottom w:w="50" w:type="dxa"/>
              <w:left w:w="90" w:type="dxa"/>
              <w:right w:w="90" w:type="dxa"/>
            </w:tcMar>
          </w:tcPr>
          <w:p>
            <w:pPr>
              <w:pStyle w:val="BDOITable"/>
            </w:pPr>
            <w:r>
              <w:rPr>
                <w:sz w:val="16"/>
              </w:rPr>
              <w:t>Steering committee</w:t>
            </w:r>
          </w:p>
        </w:tc>
        <w:tc>
          <w:tcPr>
            <w:tcW w:type="dxa" w:w="1682"/>
            <w:tcMar>
              <w:top w:w="50" w:type="dxa"/>
              <w:bottom w:w="50" w:type="dxa"/>
              <w:left w:w="90" w:type="dxa"/>
              <w:right w:w="90" w:type="dxa"/>
            </w:tcMar>
          </w:tcPr>
          <w:p>
            <w:pPr>
              <w:pStyle w:val="BDOITable"/>
            </w:pPr>
            <w:r>
              <w:rPr>
                <w:sz w:val="16"/>
              </w:rPr>
              <w:t>BDOI</w:t>
            </w:r>
          </w:p>
        </w:tc>
        <w:tc>
          <w:tcPr>
            <w:tcW w:type="dxa" w:w="5166"/>
            <w:tcMar>
              <w:top w:w="50" w:type="dxa"/>
              <w:bottom w:w="50" w:type="dxa"/>
              <w:left w:w="90" w:type="dxa"/>
              <w:right w:w="90" w:type="dxa"/>
            </w:tcMar>
          </w:tcPr>
          <w:p>
            <w:pPr>
              <w:pStyle w:val="BDOITable"/>
            </w:pPr>
            <w:r>
              <w:rPr>
                <w:sz w:val="16"/>
              </w:rPr>
              <w:t>Chaired by the Program Manager, Business Project Services; BIBS Product Owner, heads of Operations, Comptrollership, Marketing, Compliance, BDOI IT and Information Security; iorta TechNXT engagement lead</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PGM</w:t>
            </w:r>
          </w:p>
        </w:tc>
        <w:tc>
          <w:tcPr>
            <w:tcW w:type="dxa" w:w="2403"/>
            <w:tcMar>
              <w:top w:w="50" w:type="dxa"/>
              <w:bottom w:w="50" w:type="dxa"/>
              <w:left w:w="90" w:type="dxa"/>
              <w:right w:w="90" w:type="dxa"/>
            </w:tcMar>
            <w:shd w:val="clear" w:color="auto" w:fill="E5F5FF"/>
          </w:tcPr>
          <w:p>
            <w:pPr>
              <w:pStyle w:val="BDOITable"/>
            </w:pPr>
            <w:r>
              <w:rPr>
                <w:sz w:val="16"/>
              </w:rPr>
              <w:t>Program Manager, Business Project Services</w:t>
            </w:r>
          </w:p>
        </w:tc>
        <w:tc>
          <w:tcPr>
            <w:tcW w:type="dxa" w:w="1682"/>
            <w:tcMar>
              <w:top w:w="50" w:type="dxa"/>
              <w:bottom w:w="50" w:type="dxa"/>
              <w:left w:w="90" w:type="dxa"/>
              <w:right w:w="90" w:type="dxa"/>
            </w:tcMar>
            <w:shd w:val="clear" w:color="auto" w:fill="E5F5FF"/>
          </w:tcPr>
          <w:p>
            <w:pPr>
              <w:pStyle w:val="BDOITable"/>
            </w:pPr>
            <w:r>
              <w:rPr>
                <w:sz w:val="16"/>
              </w:rPr>
              <w:t>BDO Unibank ESG</w:t>
            </w:r>
          </w:p>
        </w:tc>
        <w:tc>
          <w:tcPr>
            <w:tcW w:type="dxa" w:w="5166"/>
            <w:tcMar>
              <w:top w:w="50" w:type="dxa"/>
              <w:bottom w:w="50" w:type="dxa"/>
              <w:left w:w="90" w:type="dxa"/>
              <w:right w:w="90" w:type="dxa"/>
            </w:tcMar>
            <w:shd w:val="clear" w:color="auto" w:fill="E5F5FF"/>
          </w:tcPr>
          <w:p>
            <w:pPr>
              <w:pStyle w:val="BDOITable"/>
            </w:pPr>
            <w:r>
              <w:rPr>
                <w:sz w:val="16"/>
              </w:rPr>
              <w:t>Plan, drops, budget and traceability check against the BRDs</w:t>
            </w:r>
          </w:p>
        </w:tc>
      </w:tr>
      <w:tr>
        <w:trPr>
          <w:cantSplit w:val="true"/>
        </w:trPr>
        <w:tc>
          <w:tcPr>
            <w:tcW w:type="dxa" w:w="721"/>
            <w:tcMar>
              <w:top w:w="50" w:type="dxa"/>
              <w:bottom w:w="50" w:type="dxa"/>
              <w:left w:w="90" w:type="dxa"/>
              <w:right w:w="90" w:type="dxa"/>
            </w:tcMar>
          </w:tcPr>
          <w:p>
            <w:pPr>
              <w:pStyle w:val="BDOITable"/>
            </w:pPr>
            <w:r>
              <w:rPr>
                <w:sz w:val="16"/>
              </w:rPr>
              <w:t>BPO</w:t>
            </w:r>
          </w:p>
        </w:tc>
        <w:tc>
          <w:tcPr>
            <w:tcW w:type="dxa" w:w="2403"/>
            <w:tcMar>
              <w:top w:w="50" w:type="dxa"/>
              <w:bottom w:w="50" w:type="dxa"/>
              <w:left w:w="90" w:type="dxa"/>
              <w:right w:w="90" w:type="dxa"/>
            </w:tcMar>
          </w:tcPr>
          <w:p>
            <w:pPr>
              <w:pStyle w:val="BDOITable"/>
            </w:pPr>
            <w:r>
              <w:rPr>
                <w:sz w:val="16"/>
              </w:rPr>
              <w:t>BIBS Product Owner</w:t>
            </w:r>
          </w:p>
        </w:tc>
        <w:tc>
          <w:tcPr>
            <w:tcW w:type="dxa" w:w="1682"/>
            <w:tcMar>
              <w:top w:w="50" w:type="dxa"/>
              <w:bottom w:w="50" w:type="dxa"/>
              <w:left w:w="90" w:type="dxa"/>
              <w:right w:w="90" w:type="dxa"/>
            </w:tcMar>
          </w:tcPr>
          <w:p>
            <w:pPr>
              <w:pStyle w:val="BDOITable"/>
            </w:pPr>
            <w:r>
              <w:rPr>
                <w:sz w:val="16"/>
              </w:rPr>
              <w:t>BDOI</w:t>
            </w:r>
          </w:p>
        </w:tc>
        <w:tc>
          <w:tcPr>
            <w:tcW w:type="dxa" w:w="5166"/>
            <w:tcMar>
              <w:top w:w="50" w:type="dxa"/>
              <w:bottom w:w="50" w:type="dxa"/>
              <w:left w:w="90" w:type="dxa"/>
              <w:right w:w="90" w:type="dxa"/>
            </w:tcMar>
          </w:tcPr>
          <w:p>
            <w:pPr>
              <w:pStyle w:val="BDOITable"/>
            </w:pPr>
            <w:r>
              <w:rPr>
                <w:sz w:val="16"/>
              </w:rPr>
              <w:t>Owner of the BIBS scope and backlog of change requests; chairs the Change Control Board</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BO</w:t>
            </w:r>
          </w:p>
        </w:tc>
        <w:tc>
          <w:tcPr>
            <w:tcW w:type="dxa" w:w="2403"/>
            <w:tcMar>
              <w:top w:w="50" w:type="dxa"/>
              <w:bottom w:w="50" w:type="dxa"/>
              <w:left w:w="90" w:type="dxa"/>
              <w:right w:w="90" w:type="dxa"/>
            </w:tcMar>
            <w:shd w:val="clear" w:color="auto" w:fill="E5F5FF"/>
          </w:tcPr>
          <w:p>
            <w:pPr>
              <w:pStyle w:val="BDOITable"/>
            </w:pPr>
            <w:r>
              <w:rPr>
                <w:sz w:val="16"/>
              </w:rPr>
              <w:t>Business owner of the BRD</w:t>
            </w:r>
          </w:p>
        </w:tc>
        <w:tc>
          <w:tcPr>
            <w:tcW w:type="dxa" w:w="1682"/>
            <w:tcMar>
              <w:top w:w="50" w:type="dxa"/>
              <w:bottom w:w="50" w:type="dxa"/>
              <w:left w:w="90" w:type="dxa"/>
              <w:right w:w="90" w:type="dxa"/>
            </w:tcMar>
            <w:shd w:val="clear" w:color="auto" w:fill="E5F5FF"/>
          </w:tcPr>
          <w:p>
            <w:pPr>
              <w:pStyle w:val="BDOITable"/>
            </w:pPr>
            <w:r>
              <w:rPr>
                <w:sz w:val="16"/>
              </w:rPr>
              <w:t>BDOI</w:t>
            </w:r>
          </w:p>
        </w:tc>
        <w:tc>
          <w:tcPr>
            <w:tcW w:type="dxa" w:w="5166"/>
            <w:tcMar>
              <w:top w:w="50" w:type="dxa"/>
              <w:bottom w:w="50" w:type="dxa"/>
              <w:left w:w="90" w:type="dxa"/>
              <w:right w:w="90" w:type="dxa"/>
            </w:tcMar>
            <w:shd w:val="clear" w:color="auto" w:fill="E5F5FF"/>
          </w:tcPr>
          <w:p>
            <w:pPr>
              <w:pStyle w:val="BDOITable"/>
            </w:pPr>
            <w:r>
              <w:rPr>
                <w:sz w:val="16"/>
              </w:rPr>
              <w:t>Product owner or department head named on the BRD approval sheet (for example Head, Comptrollership for BRD-05; Product Owner, Renewal for BRD-06)</w:t>
            </w:r>
          </w:p>
        </w:tc>
      </w:tr>
      <w:tr>
        <w:trPr>
          <w:cantSplit w:val="true"/>
        </w:trPr>
        <w:tc>
          <w:tcPr>
            <w:tcW w:type="dxa" w:w="721"/>
            <w:tcMar>
              <w:top w:w="50" w:type="dxa"/>
              <w:bottom w:w="50" w:type="dxa"/>
              <w:left w:w="90" w:type="dxa"/>
              <w:right w:w="90" w:type="dxa"/>
            </w:tcMar>
          </w:tcPr>
          <w:p>
            <w:pPr>
              <w:pStyle w:val="BDOITable"/>
            </w:pPr>
            <w:r>
              <w:rPr>
                <w:sz w:val="16"/>
              </w:rPr>
              <w:t>BPS</w:t>
            </w:r>
          </w:p>
        </w:tc>
        <w:tc>
          <w:tcPr>
            <w:tcW w:type="dxa" w:w="2403"/>
            <w:tcMar>
              <w:top w:w="50" w:type="dxa"/>
              <w:bottom w:w="50" w:type="dxa"/>
              <w:left w:w="90" w:type="dxa"/>
              <w:right w:w="90" w:type="dxa"/>
            </w:tcMar>
          </w:tcPr>
          <w:p>
            <w:pPr>
              <w:pStyle w:val="BDOITable"/>
            </w:pPr>
            <w:r>
              <w:rPr>
                <w:sz w:val="16"/>
              </w:rPr>
              <w:t>Business Project Services analysts</w:t>
            </w:r>
          </w:p>
        </w:tc>
        <w:tc>
          <w:tcPr>
            <w:tcW w:type="dxa" w:w="1682"/>
            <w:tcMar>
              <w:top w:w="50" w:type="dxa"/>
              <w:bottom w:w="50" w:type="dxa"/>
              <w:left w:w="90" w:type="dxa"/>
              <w:right w:w="90" w:type="dxa"/>
            </w:tcMar>
          </w:tcPr>
          <w:p>
            <w:pPr>
              <w:pStyle w:val="BDOITable"/>
            </w:pPr>
            <w:r>
              <w:rPr>
                <w:sz w:val="16"/>
              </w:rPr>
              <w:t>BDO Unibank ESG</w:t>
            </w:r>
          </w:p>
        </w:tc>
        <w:tc>
          <w:tcPr>
            <w:tcW w:type="dxa" w:w="5166"/>
            <w:tcMar>
              <w:top w:w="50" w:type="dxa"/>
              <w:bottom w:w="50" w:type="dxa"/>
              <w:left w:w="90" w:type="dxa"/>
              <w:right w:w="90" w:type="dxa"/>
            </w:tcMar>
          </w:tcPr>
          <w:p>
            <w:pPr>
              <w:pStyle w:val="BDOITable"/>
            </w:pPr>
            <w:r>
              <w:rPr>
                <w:sz w:val="16"/>
              </w:rPr>
              <w:t>BRD owners; traceability review of the FRS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KU</w:t>
            </w:r>
          </w:p>
        </w:tc>
        <w:tc>
          <w:tcPr>
            <w:tcW w:type="dxa" w:w="2403"/>
            <w:tcMar>
              <w:top w:w="50" w:type="dxa"/>
              <w:bottom w:w="50" w:type="dxa"/>
              <w:left w:w="90" w:type="dxa"/>
              <w:right w:w="90" w:type="dxa"/>
            </w:tcMar>
            <w:shd w:val="clear" w:color="auto" w:fill="E5F5FF"/>
          </w:tcPr>
          <w:p>
            <w:pPr>
              <w:pStyle w:val="BDOITable"/>
            </w:pPr>
            <w:r>
              <w:rPr>
                <w:sz w:val="16"/>
              </w:rPr>
              <w:t>Key users and UAT testers</w:t>
            </w:r>
          </w:p>
        </w:tc>
        <w:tc>
          <w:tcPr>
            <w:tcW w:type="dxa" w:w="1682"/>
            <w:tcMar>
              <w:top w:w="50" w:type="dxa"/>
              <w:bottom w:w="50" w:type="dxa"/>
              <w:left w:w="90" w:type="dxa"/>
              <w:right w:w="90" w:type="dxa"/>
            </w:tcMar>
            <w:shd w:val="clear" w:color="auto" w:fill="E5F5FF"/>
          </w:tcPr>
          <w:p>
            <w:pPr>
              <w:pStyle w:val="BDOITable"/>
            </w:pPr>
            <w:r>
              <w:rPr>
                <w:sz w:val="16"/>
              </w:rPr>
              <w:t>BDOI</w:t>
            </w:r>
          </w:p>
        </w:tc>
        <w:tc>
          <w:tcPr>
            <w:tcW w:type="dxa" w:w="5166"/>
            <w:tcMar>
              <w:top w:w="50" w:type="dxa"/>
              <w:bottom w:w="50" w:type="dxa"/>
              <w:left w:w="90" w:type="dxa"/>
              <w:right w:w="90" w:type="dxa"/>
            </w:tcMar>
            <w:shd w:val="clear" w:color="auto" w:fill="E5F5FF"/>
          </w:tcPr>
          <w:p>
            <w:pPr>
              <w:pStyle w:val="BDOITable"/>
            </w:pPr>
            <w:r>
              <w:rPr>
                <w:sz w:val="16"/>
              </w:rPr>
              <w:t>Named business users per unit and persona; test, coach and feed back</w:t>
            </w:r>
          </w:p>
        </w:tc>
      </w:tr>
      <w:tr>
        <w:trPr>
          <w:cantSplit w:val="true"/>
        </w:trPr>
        <w:tc>
          <w:tcPr>
            <w:tcW w:type="dxa" w:w="721"/>
            <w:tcMar>
              <w:top w:w="50" w:type="dxa"/>
              <w:bottom w:w="50" w:type="dxa"/>
              <w:left w:w="90" w:type="dxa"/>
              <w:right w:w="90" w:type="dxa"/>
            </w:tcMar>
          </w:tcPr>
          <w:p>
            <w:pPr>
              <w:pStyle w:val="BDOITable"/>
            </w:pPr>
            <w:r>
              <w:rPr>
                <w:sz w:val="16"/>
              </w:rPr>
              <w:t>DML</w:t>
            </w:r>
          </w:p>
        </w:tc>
        <w:tc>
          <w:tcPr>
            <w:tcW w:type="dxa" w:w="2403"/>
            <w:tcMar>
              <w:top w:w="50" w:type="dxa"/>
              <w:bottom w:w="50" w:type="dxa"/>
              <w:left w:w="90" w:type="dxa"/>
              <w:right w:w="90" w:type="dxa"/>
            </w:tcMar>
          </w:tcPr>
          <w:p>
            <w:pPr>
              <w:pStyle w:val="BDOITable"/>
            </w:pPr>
            <w:r>
              <w:rPr>
                <w:sz w:val="16"/>
              </w:rPr>
              <w:t>Data Migration Lead and data owners</w:t>
            </w:r>
          </w:p>
        </w:tc>
        <w:tc>
          <w:tcPr>
            <w:tcW w:type="dxa" w:w="1682"/>
            <w:tcMar>
              <w:top w:w="50" w:type="dxa"/>
              <w:bottom w:w="50" w:type="dxa"/>
              <w:left w:w="90" w:type="dxa"/>
              <w:right w:w="90" w:type="dxa"/>
            </w:tcMar>
          </w:tcPr>
          <w:p>
            <w:pPr>
              <w:pStyle w:val="BDOITable"/>
            </w:pPr>
            <w:r>
              <w:rPr>
                <w:sz w:val="16"/>
              </w:rPr>
              <w:t>BDOI</w:t>
            </w:r>
          </w:p>
        </w:tc>
        <w:tc>
          <w:tcPr>
            <w:tcW w:type="dxa" w:w="5166"/>
            <w:tcMar>
              <w:top w:w="50" w:type="dxa"/>
              <w:bottom w:w="50" w:type="dxa"/>
              <w:left w:w="90" w:type="dxa"/>
              <w:right w:w="90" w:type="dxa"/>
            </w:tcMar>
          </w:tcPr>
          <w:p>
            <w:pPr>
              <w:pStyle w:val="BDOITable"/>
            </w:pPr>
            <w:r>
              <w:rPr>
                <w:sz w:val="16"/>
              </w:rPr>
              <w:t>Owner of the migration objects, extracts, code maps and reconciliation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COMP</w:t>
            </w:r>
          </w:p>
        </w:tc>
        <w:tc>
          <w:tcPr>
            <w:tcW w:type="dxa" w:w="2403"/>
            <w:tcMar>
              <w:top w:w="50" w:type="dxa"/>
              <w:bottom w:w="50" w:type="dxa"/>
              <w:left w:w="90" w:type="dxa"/>
              <w:right w:w="90" w:type="dxa"/>
            </w:tcMar>
            <w:shd w:val="clear" w:color="auto" w:fill="E5F5FF"/>
          </w:tcPr>
          <w:p>
            <w:pPr>
              <w:pStyle w:val="BDOITable"/>
            </w:pPr>
            <w:r>
              <w:rPr>
                <w:sz w:val="16"/>
              </w:rPr>
              <w:t>Head, Comptrollership</w:t>
            </w:r>
          </w:p>
        </w:tc>
        <w:tc>
          <w:tcPr>
            <w:tcW w:type="dxa" w:w="1682"/>
            <w:tcMar>
              <w:top w:w="50" w:type="dxa"/>
              <w:bottom w:w="50" w:type="dxa"/>
              <w:left w:w="90" w:type="dxa"/>
              <w:right w:w="90" w:type="dxa"/>
            </w:tcMar>
            <w:shd w:val="clear" w:color="auto" w:fill="E5F5FF"/>
          </w:tcPr>
          <w:p>
            <w:pPr>
              <w:pStyle w:val="BDOITable"/>
            </w:pPr>
            <w:r>
              <w:rPr>
                <w:sz w:val="16"/>
              </w:rPr>
              <w:t>BDOI</w:t>
            </w:r>
          </w:p>
        </w:tc>
        <w:tc>
          <w:tcPr>
            <w:tcW w:type="dxa" w:w="5166"/>
            <w:tcMar>
              <w:top w:w="50" w:type="dxa"/>
              <w:bottom w:w="50" w:type="dxa"/>
              <w:left w:w="90" w:type="dxa"/>
              <w:right w:w="90" w:type="dxa"/>
            </w:tcMar>
            <w:shd w:val="clear" w:color="auto" w:fill="E5F5FF"/>
          </w:tcPr>
          <w:p>
            <w:pPr>
              <w:pStyle w:val="BDOITable"/>
            </w:pPr>
            <w:r>
              <w:rPr>
                <w:sz w:val="16"/>
              </w:rPr>
              <w:t>Owner of the finance set-up, the GL opening and the reconciliation of the financial objects</w:t>
            </w:r>
          </w:p>
        </w:tc>
      </w:tr>
      <w:tr>
        <w:trPr>
          <w:cantSplit w:val="true"/>
        </w:trPr>
        <w:tc>
          <w:tcPr>
            <w:tcW w:type="dxa" w:w="721"/>
            <w:tcMar>
              <w:top w:w="50" w:type="dxa"/>
              <w:bottom w:w="50" w:type="dxa"/>
              <w:left w:w="90" w:type="dxa"/>
              <w:right w:w="90" w:type="dxa"/>
            </w:tcMar>
          </w:tcPr>
          <w:p>
            <w:pPr>
              <w:pStyle w:val="BDOITable"/>
            </w:pPr>
            <w:r>
              <w:rPr>
                <w:sz w:val="16"/>
              </w:rPr>
              <w:t>CMP</w:t>
            </w:r>
          </w:p>
        </w:tc>
        <w:tc>
          <w:tcPr>
            <w:tcW w:type="dxa" w:w="2403"/>
            <w:tcMar>
              <w:top w:w="50" w:type="dxa"/>
              <w:bottom w:w="50" w:type="dxa"/>
              <w:left w:w="90" w:type="dxa"/>
              <w:right w:w="90" w:type="dxa"/>
            </w:tcMar>
          </w:tcPr>
          <w:p>
            <w:pPr>
              <w:pStyle w:val="BDOITable"/>
            </w:pPr>
            <w:r>
              <w:rPr>
                <w:sz w:val="16"/>
              </w:rPr>
              <w:t>Compliance</w:t>
            </w:r>
          </w:p>
        </w:tc>
        <w:tc>
          <w:tcPr>
            <w:tcW w:type="dxa" w:w="1682"/>
            <w:tcMar>
              <w:top w:w="50" w:type="dxa"/>
              <w:bottom w:w="50" w:type="dxa"/>
              <w:left w:w="90" w:type="dxa"/>
              <w:right w:w="90" w:type="dxa"/>
            </w:tcMar>
          </w:tcPr>
          <w:p>
            <w:pPr>
              <w:pStyle w:val="BDOITable"/>
            </w:pPr>
            <w:r>
              <w:rPr>
                <w:sz w:val="16"/>
              </w:rPr>
              <w:t>BDOI</w:t>
            </w:r>
          </w:p>
        </w:tc>
        <w:tc>
          <w:tcPr>
            <w:tcW w:type="dxa" w:w="5166"/>
            <w:tcMar>
              <w:top w:w="50" w:type="dxa"/>
              <w:bottom w:w="50" w:type="dxa"/>
              <w:left w:w="90" w:type="dxa"/>
              <w:right w:w="90" w:type="dxa"/>
            </w:tcMar>
          </w:tcPr>
          <w:p>
            <w:pPr>
              <w:pStyle w:val="BDOITable"/>
            </w:pPr>
            <w:r>
              <w:rPr>
                <w:sz w:val="16"/>
              </w:rPr>
              <w:t>Chief Compliance Officer and unit: screening, KYC, retention, audit</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BIT</w:t>
            </w:r>
          </w:p>
        </w:tc>
        <w:tc>
          <w:tcPr>
            <w:tcW w:type="dxa" w:w="2403"/>
            <w:tcMar>
              <w:top w:w="50" w:type="dxa"/>
              <w:bottom w:w="50" w:type="dxa"/>
              <w:left w:w="90" w:type="dxa"/>
              <w:right w:w="90" w:type="dxa"/>
            </w:tcMar>
            <w:shd w:val="clear" w:color="auto" w:fill="E5F5FF"/>
          </w:tcPr>
          <w:p>
            <w:pPr>
              <w:pStyle w:val="BDOITable"/>
            </w:pPr>
            <w:r>
              <w:rPr>
                <w:sz w:val="16"/>
              </w:rPr>
              <w:t>BDOI IT</w:t>
            </w:r>
          </w:p>
        </w:tc>
        <w:tc>
          <w:tcPr>
            <w:tcW w:type="dxa" w:w="1682"/>
            <w:tcMar>
              <w:top w:w="50" w:type="dxa"/>
              <w:bottom w:w="50" w:type="dxa"/>
              <w:left w:w="90" w:type="dxa"/>
              <w:right w:w="90" w:type="dxa"/>
            </w:tcMar>
            <w:shd w:val="clear" w:color="auto" w:fill="E5F5FF"/>
          </w:tcPr>
          <w:p>
            <w:pPr>
              <w:pStyle w:val="BDOITable"/>
            </w:pPr>
            <w:r>
              <w:rPr>
                <w:sz w:val="16"/>
              </w:rPr>
              <w:t>BDOI</w:t>
            </w:r>
          </w:p>
        </w:tc>
        <w:tc>
          <w:tcPr>
            <w:tcW w:type="dxa" w:w="5166"/>
            <w:tcMar>
              <w:top w:w="50" w:type="dxa"/>
              <w:bottom w:w="50" w:type="dxa"/>
              <w:left w:w="90" w:type="dxa"/>
              <w:right w:w="90" w:type="dxa"/>
            </w:tcMar>
            <w:shd w:val="clear" w:color="auto" w:fill="E5F5FF"/>
          </w:tcPr>
          <w:p>
            <w:pPr>
              <w:pStyle w:val="BDOITable"/>
            </w:pPr>
            <w:r>
              <w:rPr>
                <w:sz w:val="16"/>
              </w:rPr>
              <w:t>Owner of the environments, extracts, interfaces and the Technical Specification review</w:t>
            </w:r>
          </w:p>
        </w:tc>
      </w:tr>
      <w:tr>
        <w:trPr>
          <w:cantSplit w:val="true"/>
        </w:trPr>
        <w:tc>
          <w:tcPr>
            <w:tcW w:type="dxa" w:w="721"/>
            <w:tcMar>
              <w:top w:w="50" w:type="dxa"/>
              <w:bottom w:w="50" w:type="dxa"/>
              <w:left w:w="90" w:type="dxa"/>
              <w:right w:w="90" w:type="dxa"/>
            </w:tcMar>
          </w:tcPr>
          <w:p>
            <w:pPr>
              <w:pStyle w:val="BDOITable"/>
            </w:pPr>
            <w:r>
              <w:rPr>
                <w:sz w:val="16"/>
              </w:rPr>
              <w:t>ISEC</w:t>
            </w:r>
          </w:p>
        </w:tc>
        <w:tc>
          <w:tcPr>
            <w:tcW w:type="dxa" w:w="2403"/>
            <w:tcMar>
              <w:top w:w="50" w:type="dxa"/>
              <w:bottom w:w="50" w:type="dxa"/>
              <w:left w:w="90" w:type="dxa"/>
              <w:right w:w="90" w:type="dxa"/>
            </w:tcMar>
          </w:tcPr>
          <w:p>
            <w:pPr>
              <w:pStyle w:val="BDOITable"/>
            </w:pPr>
            <w:r>
              <w:rPr>
                <w:sz w:val="16"/>
              </w:rPr>
              <w:t>BDOI Information Security</w:t>
            </w:r>
          </w:p>
        </w:tc>
        <w:tc>
          <w:tcPr>
            <w:tcW w:type="dxa" w:w="1682"/>
            <w:tcMar>
              <w:top w:w="50" w:type="dxa"/>
              <w:bottom w:w="50" w:type="dxa"/>
              <w:left w:w="90" w:type="dxa"/>
              <w:right w:w="90" w:type="dxa"/>
            </w:tcMar>
          </w:tcPr>
          <w:p>
            <w:pPr>
              <w:pStyle w:val="BDOITable"/>
            </w:pPr>
            <w:r>
              <w:rPr>
                <w:sz w:val="16"/>
              </w:rPr>
              <w:t>BDOI</w:t>
            </w:r>
          </w:p>
        </w:tc>
        <w:tc>
          <w:tcPr>
            <w:tcW w:type="dxa" w:w="5166"/>
            <w:tcMar>
              <w:top w:w="50" w:type="dxa"/>
              <w:bottom w:w="50" w:type="dxa"/>
              <w:left w:w="90" w:type="dxa"/>
              <w:right w:w="90" w:type="dxa"/>
            </w:tcMar>
          </w:tcPr>
          <w:p>
            <w:pPr>
              <w:pStyle w:val="BDOITable"/>
            </w:pPr>
            <w:r>
              <w:rPr>
                <w:sz w:val="16"/>
              </w:rPr>
              <w:t>Owner of the security settings, role matrix, separation of duties and security tests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EIAM</w:t>
            </w:r>
          </w:p>
        </w:tc>
        <w:tc>
          <w:tcPr>
            <w:tcW w:type="dxa" w:w="2403"/>
            <w:tcMar>
              <w:top w:w="50" w:type="dxa"/>
              <w:bottom w:w="50" w:type="dxa"/>
              <w:left w:w="90" w:type="dxa"/>
              <w:right w:w="90" w:type="dxa"/>
            </w:tcMar>
            <w:shd w:val="clear" w:color="auto" w:fill="E5F5FF"/>
          </w:tcPr>
          <w:p>
            <w:pPr>
              <w:pStyle w:val="BDOITable"/>
            </w:pPr>
            <w:r>
              <w:rPr>
                <w:sz w:val="16"/>
              </w:rPr>
              <w:t>BDO IT EIAM team</w:t>
            </w:r>
          </w:p>
        </w:tc>
        <w:tc>
          <w:tcPr>
            <w:tcW w:type="dxa" w:w="1682"/>
            <w:tcMar>
              <w:top w:w="50" w:type="dxa"/>
              <w:bottom w:w="50" w:type="dxa"/>
              <w:left w:w="90" w:type="dxa"/>
              <w:right w:w="90" w:type="dxa"/>
            </w:tcMar>
            <w:shd w:val="clear" w:color="auto" w:fill="E5F5FF"/>
          </w:tcPr>
          <w:p>
            <w:pPr>
              <w:pStyle w:val="BDOITable"/>
            </w:pPr>
            <w:r>
              <w:rPr>
                <w:sz w:val="16"/>
              </w:rPr>
              <w:t>BDO Unibank</w:t>
            </w:r>
          </w:p>
        </w:tc>
        <w:tc>
          <w:tcPr>
            <w:tcW w:type="dxa" w:w="5166"/>
            <w:tcMar>
              <w:top w:w="50" w:type="dxa"/>
              <w:bottom w:w="50" w:type="dxa"/>
              <w:left w:w="90" w:type="dxa"/>
              <w:right w:w="90" w:type="dxa"/>
            </w:tcMar>
            <w:shd w:val="clear" w:color="auto" w:fill="E5F5FF"/>
          </w:tcPr>
          <w:p>
            <w:pPr>
              <w:pStyle w:val="BDOITable"/>
            </w:pPr>
            <w:r>
              <w:rPr>
                <w:sz w:val="16"/>
              </w:rPr>
              <w:t>Microsoft Entra ID: application registration, single sign-on, conditional access</w:t>
            </w:r>
          </w:p>
        </w:tc>
      </w:tr>
      <w:tr>
        <w:trPr>
          <w:cantSplit w:val="true"/>
        </w:trPr>
        <w:tc>
          <w:tcPr>
            <w:tcW w:type="dxa" w:w="721"/>
            <w:tcMar>
              <w:top w:w="50" w:type="dxa"/>
              <w:bottom w:w="50" w:type="dxa"/>
              <w:left w:w="90" w:type="dxa"/>
              <w:right w:w="90" w:type="dxa"/>
            </w:tcMar>
          </w:tcPr>
          <w:p>
            <w:pPr>
              <w:pStyle w:val="BDOITable"/>
            </w:pPr>
            <w:r>
              <w:rPr>
                <w:sz w:val="16"/>
              </w:rPr>
              <w:t>IGA</w:t>
            </w:r>
          </w:p>
        </w:tc>
        <w:tc>
          <w:tcPr>
            <w:tcW w:type="dxa" w:w="2403"/>
            <w:tcMar>
              <w:top w:w="50" w:type="dxa"/>
              <w:bottom w:w="50" w:type="dxa"/>
              <w:left w:w="90" w:type="dxa"/>
              <w:right w:w="90" w:type="dxa"/>
            </w:tcMar>
          </w:tcPr>
          <w:p>
            <w:pPr>
              <w:pStyle w:val="BDOITable"/>
            </w:pPr>
            <w:r>
              <w:rPr>
                <w:sz w:val="16"/>
              </w:rPr>
              <w:t>BDO IT IGA team</w:t>
            </w:r>
          </w:p>
        </w:tc>
        <w:tc>
          <w:tcPr>
            <w:tcW w:type="dxa" w:w="1682"/>
            <w:tcMar>
              <w:top w:w="50" w:type="dxa"/>
              <w:bottom w:w="50" w:type="dxa"/>
              <w:left w:w="90" w:type="dxa"/>
              <w:right w:w="90" w:type="dxa"/>
            </w:tcMar>
          </w:tcPr>
          <w:p>
            <w:pPr>
              <w:pStyle w:val="BDOITable"/>
            </w:pPr>
            <w:r>
              <w:rPr>
                <w:sz w:val="16"/>
              </w:rPr>
              <w:t>BDO Unibank</w:t>
            </w:r>
          </w:p>
        </w:tc>
        <w:tc>
          <w:tcPr>
            <w:tcW w:type="dxa" w:w="5166"/>
            <w:tcMar>
              <w:top w:w="50" w:type="dxa"/>
              <w:bottom w:w="50" w:type="dxa"/>
              <w:left w:w="90" w:type="dxa"/>
              <w:right w:w="90" w:type="dxa"/>
            </w:tcMar>
          </w:tcPr>
          <w:p>
            <w:pPr>
              <w:pStyle w:val="BDOITable"/>
            </w:pPr>
            <w:r>
              <w:rPr>
                <w:sz w:val="16"/>
              </w:rPr>
              <w:t>UIDM-ISC: joiner, mover and leaver provisioning, aggregation and certification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API</w:t>
            </w:r>
          </w:p>
        </w:tc>
        <w:tc>
          <w:tcPr>
            <w:tcW w:type="dxa" w:w="2403"/>
            <w:tcMar>
              <w:top w:w="50" w:type="dxa"/>
              <w:bottom w:w="50" w:type="dxa"/>
              <w:left w:w="90" w:type="dxa"/>
              <w:right w:w="90" w:type="dxa"/>
            </w:tcMar>
            <w:shd w:val="clear" w:color="auto" w:fill="E5F5FF"/>
          </w:tcPr>
          <w:p>
            <w:pPr>
              <w:pStyle w:val="BDOITable"/>
            </w:pPr>
            <w:r>
              <w:rPr>
                <w:sz w:val="16"/>
              </w:rPr>
              <w:t>BDO IT API team</w:t>
            </w:r>
          </w:p>
        </w:tc>
        <w:tc>
          <w:tcPr>
            <w:tcW w:type="dxa" w:w="1682"/>
            <w:tcMar>
              <w:top w:w="50" w:type="dxa"/>
              <w:bottom w:w="50" w:type="dxa"/>
              <w:left w:w="90" w:type="dxa"/>
              <w:right w:w="90" w:type="dxa"/>
            </w:tcMar>
            <w:shd w:val="clear" w:color="auto" w:fill="E5F5FF"/>
          </w:tcPr>
          <w:p>
            <w:pPr>
              <w:pStyle w:val="BDOITable"/>
            </w:pPr>
            <w:r>
              <w:rPr>
                <w:sz w:val="16"/>
              </w:rPr>
              <w:t>BDO Unibank</w:t>
            </w:r>
          </w:p>
        </w:tc>
        <w:tc>
          <w:tcPr>
            <w:tcW w:type="dxa" w:w="5166"/>
            <w:tcMar>
              <w:top w:w="50" w:type="dxa"/>
              <w:bottom w:w="50" w:type="dxa"/>
              <w:left w:w="90" w:type="dxa"/>
              <w:right w:w="90" w:type="dxa"/>
            </w:tcMar>
            <w:shd w:val="clear" w:color="auto" w:fill="E5F5FF"/>
          </w:tcPr>
          <w:p>
            <w:pPr>
              <w:pStyle w:val="BDOITable"/>
            </w:pPr>
            <w:r>
              <w:rPr>
                <w:sz w:val="16"/>
              </w:rPr>
              <w:t>Apigee X gateway: proxies, products, credentials, policies</w:t>
            </w:r>
          </w:p>
        </w:tc>
      </w:tr>
      <w:tr>
        <w:trPr>
          <w:cantSplit w:val="true"/>
        </w:trPr>
        <w:tc>
          <w:tcPr>
            <w:tcW w:type="dxa" w:w="721"/>
            <w:tcMar>
              <w:top w:w="50" w:type="dxa"/>
              <w:bottom w:w="50" w:type="dxa"/>
              <w:left w:w="90" w:type="dxa"/>
              <w:right w:w="90" w:type="dxa"/>
            </w:tcMar>
          </w:tcPr>
          <w:p>
            <w:pPr>
              <w:pStyle w:val="BDOITable"/>
            </w:pPr>
            <w:r>
              <w:rPr>
                <w:sz w:val="16"/>
              </w:rPr>
              <w:t>OPS</w:t>
            </w:r>
          </w:p>
        </w:tc>
        <w:tc>
          <w:tcPr>
            <w:tcW w:type="dxa" w:w="2403"/>
            <w:tcMar>
              <w:top w:w="50" w:type="dxa"/>
              <w:bottom w:w="50" w:type="dxa"/>
              <w:left w:w="90" w:type="dxa"/>
              <w:right w:w="90" w:type="dxa"/>
            </w:tcMar>
          </w:tcPr>
          <w:p>
            <w:pPr>
              <w:pStyle w:val="BDOITable"/>
            </w:pPr>
            <w:r>
              <w:rPr>
                <w:sz w:val="16"/>
              </w:rPr>
              <w:t>BDO IT operations</w:t>
            </w:r>
          </w:p>
        </w:tc>
        <w:tc>
          <w:tcPr>
            <w:tcW w:type="dxa" w:w="1682"/>
            <w:tcMar>
              <w:top w:w="50" w:type="dxa"/>
              <w:bottom w:w="50" w:type="dxa"/>
              <w:left w:w="90" w:type="dxa"/>
              <w:right w:w="90" w:type="dxa"/>
            </w:tcMar>
          </w:tcPr>
          <w:p>
            <w:pPr>
              <w:pStyle w:val="BDOITable"/>
            </w:pPr>
            <w:r>
              <w:rPr>
                <w:sz w:val="16"/>
              </w:rPr>
              <w:t>BDO Unibank</w:t>
            </w:r>
          </w:p>
        </w:tc>
        <w:tc>
          <w:tcPr>
            <w:tcW w:type="dxa" w:w="5166"/>
            <w:tcMar>
              <w:top w:w="50" w:type="dxa"/>
              <w:bottom w:w="50" w:type="dxa"/>
              <w:left w:w="90" w:type="dxa"/>
              <w:right w:w="90" w:type="dxa"/>
            </w:tcMar>
          </w:tcPr>
          <w:p>
            <w:pPr>
              <w:pStyle w:val="BDOITable"/>
            </w:pPr>
            <w:r>
              <w:rPr>
                <w:sz w:val="16"/>
              </w:rPr>
              <w:t>ITIO-SRE and ITSD-AMS: monitoring, backups, DR, service desk tooling</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APS</w:t>
            </w:r>
          </w:p>
        </w:tc>
        <w:tc>
          <w:tcPr>
            <w:tcW w:type="dxa" w:w="2403"/>
            <w:tcMar>
              <w:top w:w="50" w:type="dxa"/>
              <w:bottom w:w="50" w:type="dxa"/>
              <w:left w:w="90" w:type="dxa"/>
              <w:right w:w="90" w:type="dxa"/>
            </w:tcMar>
            <w:shd w:val="clear" w:color="auto" w:fill="E5F5FF"/>
          </w:tcPr>
          <w:p>
            <w:pPr>
              <w:pStyle w:val="BDOITable"/>
            </w:pPr>
            <w:r>
              <w:rPr>
                <w:sz w:val="16"/>
              </w:rPr>
              <w:t>BDOI application support</w:t>
            </w:r>
          </w:p>
        </w:tc>
        <w:tc>
          <w:tcPr>
            <w:tcW w:type="dxa" w:w="1682"/>
            <w:tcMar>
              <w:top w:w="50" w:type="dxa"/>
              <w:bottom w:w="50" w:type="dxa"/>
              <w:left w:w="90" w:type="dxa"/>
              <w:right w:w="90" w:type="dxa"/>
            </w:tcMar>
            <w:shd w:val="clear" w:color="auto" w:fill="E5F5FF"/>
          </w:tcPr>
          <w:p>
            <w:pPr>
              <w:pStyle w:val="BDOITable"/>
            </w:pPr>
            <w:r>
              <w:rPr>
                <w:sz w:val="16"/>
              </w:rPr>
              <w:t>BDOI</w:t>
            </w:r>
          </w:p>
        </w:tc>
        <w:tc>
          <w:tcPr>
            <w:tcW w:type="dxa" w:w="5166"/>
            <w:tcMar>
              <w:top w:w="50" w:type="dxa"/>
              <w:bottom w:w="50" w:type="dxa"/>
              <w:left w:w="90" w:type="dxa"/>
              <w:right w:w="90" w:type="dxa"/>
            </w:tcMar>
            <w:shd w:val="clear" w:color="auto" w:fill="E5F5FF"/>
          </w:tcPr>
          <w:p>
            <w:pPr>
              <w:pStyle w:val="BDOITable"/>
            </w:pPr>
            <w:r>
              <w:rPr>
                <w:sz w:val="16"/>
              </w:rPr>
              <w:t>L1 and L2 support of BIBS after hypercare</w:t>
            </w:r>
          </w:p>
        </w:tc>
      </w:tr>
      <w:tr>
        <w:trPr>
          <w:cantSplit w:val="true"/>
        </w:trPr>
        <w:tc>
          <w:tcPr>
            <w:tcW w:type="dxa" w:w="721"/>
            <w:tcMar>
              <w:top w:w="50" w:type="dxa"/>
              <w:bottom w:w="50" w:type="dxa"/>
              <w:left w:w="90" w:type="dxa"/>
              <w:right w:w="90" w:type="dxa"/>
            </w:tcMar>
          </w:tcPr>
          <w:p>
            <w:pPr>
              <w:pStyle w:val="BDOITable"/>
            </w:pPr>
            <w:r>
              <w:rPr>
                <w:sz w:val="16"/>
              </w:rPr>
              <w:t>IPM</w:t>
            </w:r>
          </w:p>
        </w:tc>
        <w:tc>
          <w:tcPr>
            <w:tcW w:type="dxa" w:w="2403"/>
            <w:tcMar>
              <w:top w:w="50" w:type="dxa"/>
              <w:bottom w:w="50" w:type="dxa"/>
              <w:left w:w="90" w:type="dxa"/>
              <w:right w:w="90" w:type="dxa"/>
            </w:tcMar>
          </w:tcPr>
          <w:p>
            <w:pPr>
              <w:pStyle w:val="BDOITable"/>
            </w:pPr>
            <w:r>
              <w:rPr>
                <w:sz w:val="16"/>
              </w:rPr>
              <w:t>iorta Project Manager</w:t>
            </w:r>
          </w:p>
        </w:tc>
        <w:tc>
          <w:tcPr>
            <w:tcW w:type="dxa" w:w="1682"/>
            <w:tcMar>
              <w:top w:w="50" w:type="dxa"/>
              <w:bottom w:w="50" w:type="dxa"/>
              <w:left w:w="90" w:type="dxa"/>
              <w:right w:w="90" w:type="dxa"/>
            </w:tcMar>
          </w:tcPr>
          <w:p>
            <w:pPr>
              <w:pStyle w:val="BDOITable"/>
            </w:pPr>
            <w:r>
              <w:rPr>
                <w:sz w:val="16"/>
              </w:rPr>
              <w:t>iorta TechNXT</w:t>
            </w:r>
          </w:p>
        </w:tc>
        <w:tc>
          <w:tcPr>
            <w:tcW w:type="dxa" w:w="5166"/>
            <w:tcMar>
              <w:top w:w="50" w:type="dxa"/>
              <w:bottom w:w="50" w:type="dxa"/>
              <w:left w:w="90" w:type="dxa"/>
              <w:right w:w="90" w:type="dxa"/>
            </w:tcMar>
          </w:tcPr>
          <w:p>
            <w:pPr>
              <w:pStyle w:val="BDOITable"/>
            </w:pPr>
            <w:r>
              <w:rPr>
                <w:sz w:val="16"/>
              </w:rPr>
              <w:t>Plan, RAID log, status, change requests, releases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ISA</w:t>
            </w:r>
          </w:p>
        </w:tc>
        <w:tc>
          <w:tcPr>
            <w:tcW w:type="dxa" w:w="2403"/>
            <w:tcMar>
              <w:top w:w="50" w:type="dxa"/>
              <w:bottom w:w="50" w:type="dxa"/>
              <w:left w:w="90" w:type="dxa"/>
              <w:right w:w="90" w:type="dxa"/>
            </w:tcMar>
            <w:shd w:val="clear" w:color="auto" w:fill="E5F5FF"/>
          </w:tcPr>
          <w:p>
            <w:pPr>
              <w:pStyle w:val="BDOITable"/>
            </w:pPr>
            <w:r>
              <w:rPr>
                <w:sz w:val="16"/>
              </w:rPr>
              <w:t>iorta Solution Architect</w:t>
            </w:r>
          </w:p>
        </w:tc>
        <w:tc>
          <w:tcPr>
            <w:tcW w:type="dxa" w:w="1682"/>
            <w:tcMar>
              <w:top w:w="50" w:type="dxa"/>
              <w:bottom w:w="50" w:type="dxa"/>
              <w:left w:w="90" w:type="dxa"/>
              <w:right w:w="90" w:type="dxa"/>
            </w:tcMar>
            <w:shd w:val="clear" w:color="auto" w:fill="E5F5FF"/>
          </w:tcPr>
          <w:p>
            <w:pPr>
              <w:pStyle w:val="BDOITable"/>
            </w:pPr>
            <w:r>
              <w:rPr>
                <w:sz w:val="16"/>
              </w:rPr>
              <w:t>iorta TechNXT</w:t>
            </w:r>
          </w:p>
        </w:tc>
        <w:tc>
          <w:tcPr>
            <w:tcW w:type="dxa" w:w="5166"/>
            <w:tcMar>
              <w:top w:w="50" w:type="dxa"/>
              <w:bottom w:w="50" w:type="dxa"/>
              <w:left w:w="90" w:type="dxa"/>
              <w:right w:w="90" w:type="dxa"/>
            </w:tcMar>
            <w:shd w:val="clear" w:color="auto" w:fill="E5F5FF"/>
          </w:tcPr>
          <w:p>
            <w:pPr>
              <w:pStyle w:val="BDOITable"/>
            </w:pPr>
            <w:r>
              <w:rPr>
                <w:sz w:val="16"/>
              </w:rPr>
              <w:t>Architecture, integrations, security design, technical specification</w:t>
            </w:r>
          </w:p>
        </w:tc>
      </w:tr>
      <w:tr>
        <w:trPr>
          <w:cantSplit w:val="true"/>
        </w:trPr>
        <w:tc>
          <w:tcPr>
            <w:tcW w:type="dxa" w:w="721"/>
            <w:tcMar>
              <w:top w:w="50" w:type="dxa"/>
              <w:bottom w:w="50" w:type="dxa"/>
              <w:left w:w="90" w:type="dxa"/>
              <w:right w:w="90" w:type="dxa"/>
            </w:tcMar>
          </w:tcPr>
          <w:p>
            <w:pPr>
              <w:pStyle w:val="BDOITable"/>
            </w:pPr>
            <w:r>
              <w:rPr>
                <w:sz w:val="16"/>
              </w:rPr>
              <w:t>IBA</w:t>
            </w:r>
          </w:p>
        </w:tc>
        <w:tc>
          <w:tcPr>
            <w:tcW w:type="dxa" w:w="2403"/>
            <w:tcMar>
              <w:top w:w="50" w:type="dxa"/>
              <w:bottom w:w="50" w:type="dxa"/>
              <w:left w:w="90" w:type="dxa"/>
              <w:right w:w="90" w:type="dxa"/>
            </w:tcMar>
          </w:tcPr>
          <w:p>
            <w:pPr>
              <w:pStyle w:val="BDOITable"/>
            </w:pPr>
            <w:r>
              <w:rPr>
                <w:sz w:val="16"/>
              </w:rPr>
              <w:t>iorta Business Analyst lead</w:t>
            </w:r>
          </w:p>
        </w:tc>
        <w:tc>
          <w:tcPr>
            <w:tcW w:type="dxa" w:w="1682"/>
            <w:tcMar>
              <w:top w:w="50" w:type="dxa"/>
              <w:bottom w:w="50" w:type="dxa"/>
              <w:left w:w="90" w:type="dxa"/>
              <w:right w:w="90" w:type="dxa"/>
            </w:tcMar>
          </w:tcPr>
          <w:p>
            <w:pPr>
              <w:pStyle w:val="BDOITable"/>
            </w:pPr>
            <w:r>
              <w:rPr>
                <w:sz w:val="16"/>
              </w:rPr>
              <w:t>iorta TechNXT</w:t>
            </w:r>
          </w:p>
        </w:tc>
        <w:tc>
          <w:tcPr>
            <w:tcW w:type="dxa" w:w="5166"/>
            <w:tcMar>
              <w:top w:w="50" w:type="dxa"/>
              <w:bottom w:w="50" w:type="dxa"/>
              <w:left w:w="90" w:type="dxa"/>
              <w:right w:w="90" w:type="dxa"/>
            </w:tcMar>
          </w:tcPr>
          <w:p>
            <w:pPr>
              <w:pStyle w:val="BDOITable"/>
            </w:pPr>
            <w:r>
              <w:rPr>
                <w:sz w:val="16"/>
              </w:rPr>
              <w:t>FRS, clarifications, traceability, functional configuration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IDEV</w:t>
            </w:r>
          </w:p>
        </w:tc>
        <w:tc>
          <w:tcPr>
            <w:tcW w:type="dxa" w:w="2403"/>
            <w:tcMar>
              <w:top w:w="50" w:type="dxa"/>
              <w:bottom w:w="50" w:type="dxa"/>
              <w:left w:w="90" w:type="dxa"/>
              <w:right w:w="90" w:type="dxa"/>
            </w:tcMar>
            <w:shd w:val="clear" w:color="auto" w:fill="E5F5FF"/>
          </w:tcPr>
          <w:p>
            <w:pPr>
              <w:pStyle w:val="BDOITable"/>
            </w:pPr>
            <w:r>
              <w:rPr>
                <w:sz w:val="16"/>
              </w:rPr>
              <w:t>iorta development team</w:t>
            </w:r>
          </w:p>
        </w:tc>
        <w:tc>
          <w:tcPr>
            <w:tcW w:type="dxa" w:w="1682"/>
            <w:tcMar>
              <w:top w:w="50" w:type="dxa"/>
              <w:bottom w:w="50" w:type="dxa"/>
              <w:left w:w="90" w:type="dxa"/>
              <w:right w:w="90" w:type="dxa"/>
            </w:tcMar>
            <w:shd w:val="clear" w:color="auto" w:fill="E5F5FF"/>
          </w:tcPr>
          <w:p>
            <w:pPr>
              <w:pStyle w:val="BDOITable"/>
            </w:pPr>
            <w:r>
              <w:rPr>
                <w:sz w:val="16"/>
              </w:rPr>
              <w:t>iorta TechNXT</w:t>
            </w:r>
          </w:p>
        </w:tc>
        <w:tc>
          <w:tcPr>
            <w:tcW w:type="dxa" w:w="5166"/>
            <w:tcMar>
              <w:top w:w="50" w:type="dxa"/>
              <w:bottom w:w="50" w:type="dxa"/>
              <w:left w:w="90" w:type="dxa"/>
              <w:right w:w="90" w:type="dxa"/>
            </w:tcMar>
            <w:shd w:val="clear" w:color="auto" w:fill="E5F5FF"/>
          </w:tcPr>
          <w:p>
            <w:pPr>
              <w:pStyle w:val="BDOITable"/>
            </w:pPr>
            <w:r>
              <w:rPr>
                <w:sz w:val="16"/>
              </w:rPr>
              <w:t>Application development, configuration and code review</w:t>
            </w:r>
          </w:p>
        </w:tc>
      </w:tr>
      <w:tr>
        <w:trPr>
          <w:cantSplit w:val="true"/>
        </w:trPr>
        <w:tc>
          <w:tcPr>
            <w:tcW w:type="dxa" w:w="721"/>
            <w:tcMar>
              <w:top w:w="50" w:type="dxa"/>
              <w:bottom w:w="50" w:type="dxa"/>
              <w:left w:w="90" w:type="dxa"/>
              <w:right w:w="90" w:type="dxa"/>
            </w:tcMar>
          </w:tcPr>
          <w:p>
            <w:pPr>
              <w:pStyle w:val="BDOITable"/>
            </w:pPr>
            <w:r>
              <w:rPr>
                <w:sz w:val="16"/>
              </w:rPr>
              <w:t>IQA</w:t>
            </w:r>
          </w:p>
        </w:tc>
        <w:tc>
          <w:tcPr>
            <w:tcW w:type="dxa" w:w="2403"/>
            <w:tcMar>
              <w:top w:w="50" w:type="dxa"/>
              <w:bottom w:w="50" w:type="dxa"/>
              <w:left w:w="90" w:type="dxa"/>
              <w:right w:w="90" w:type="dxa"/>
            </w:tcMar>
          </w:tcPr>
          <w:p>
            <w:pPr>
              <w:pStyle w:val="BDOITable"/>
            </w:pPr>
            <w:r>
              <w:rPr>
                <w:sz w:val="16"/>
              </w:rPr>
              <w:t>iorta QA lead and testers</w:t>
            </w:r>
          </w:p>
        </w:tc>
        <w:tc>
          <w:tcPr>
            <w:tcW w:type="dxa" w:w="1682"/>
            <w:tcMar>
              <w:top w:w="50" w:type="dxa"/>
              <w:bottom w:w="50" w:type="dxa"/>
              <w:left w:w="90" w:type="dxa"/>
              <w:right w:w="90" w:type="dxa"/>
            </w:tcMar>
          </w:tcPr>
          <w:p>
            <w:pPr>
              <w:pStyle w:val="BDOITable"/>
            </w:pPr>
            <w:r>
              <w:rPr>
                <w:sz w:val="16"/>
              </w:rPr>
              <w:t>iorta TechNXT</w:t>
            </w:r>
          </w:p>
        </w:tc>
        <w:tc>
          <w:tcPr>
            <w:tcW w:type="dxa" w:w="5166"/>
            <w:tcMar>
              <w:top w:w="50" w:type="dxa"/>
              <w:bottom w:w="50" w:type="dxa"/>
              <w:left w:w="90" w:type="dxa"/>
              <w:right w:w="90" w:type="dxa"/>
            </w:tcMar>
          </w:tcPr>
          <w:p>
            <w:pPr>
              <w:pStyle w:val="BDOITable"/>
            </w:pPr>
            <w:r>
              <w:rPr>
                <w:sz w:val="16"/>
              </w:rPr>
              <w:t>Test plans, SIT, regression, UAT support</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IDO</w:t>
            </w:r>
          </w:p>
        </w:tc>
        <w:tc>
          <w:tcPr>
            <w:tcW w:type="dxa" w:w="2403"/>
            <w:tcMar>
              <w:top w:w="50" w:type="dxa"/>
              <w:bottom w:w="50" w:type="dxa"/>
              <w:left w:w="90" w:type="dxa"/>
              <w:right w:w="90" w:type="dxa"/>
            </w:tcMar>
            <w:shd w:val="clear" w:color="auto" w:fill="E5F5FF"/>
          </w:tcPr>
          <w:p>
            <w:pPr>
              <w:pStyle w:val="BDOITable"/>
            </w:pPr>
            <w:r>
              <w:rPr>
                <w:sz w:val="16"/>
              </w:rPr>
              <w:t>iorta infrastructure team</w:t>
            </w:r>
          </w:p>
        </w:tc>
        <w:tc>
          <w:tcPr>
            <w:tcW w:type="dxa" w:w="1682"/>
            <w:tcMar>
              <w:top w:w="50" w:type="dxa"/>
              <w:bottom w:w="50" w:type="dxa"/>
              <w:left w:w="90" w:type="dxa"/>
              <w:right w:w="90" w:type="dxa"/>
            </w:tcMar>
            <w:shd w:val="clear" w:color="auto" w:fill="E5F5FF"/>
          </w:tcPr>
          <w:p>
            <w:pPr>
              <w:pStyle w:val="BDOITable"/>
            </w:pPr>
            <w:r>
              <w:rPr>
                <w:sz w:val="16"/>
              </w:rPr>
              <w:t>iorta TechNXT</w:t>
            </w:r>
          </w:p>
        </w:tc>
        <w:tc>
          <w:tcPr>
            <w:tcW w:type="dxa" w:w="5166"/>
            <w:tcMar>
              <w:top w:w="50" w:type="dxa"/>
              <w:bottom w:w="50" w:type="dxa"/>
              <w:left w:w="90" w:type="dxa"/>
              <w:right w:w="90" w:type="dxa"/>
            </w:tcMar>
            <w:shd w:val="clear" w:color="auto" w:fill="E5F5FF"/>
          </w:tcPr>
          <w:p>
            <w:pPr>
              <w:pStyle w:val="BDOITable"/>
            </w:pPr>
            <w:r>
              <w:rPr>
                <w:sz w:val="16"/>
              </w:rPr>
              <w:t>Deployment pipeline, environments set-up support, monitoring, releases</w:t>
            </w:r>
          </w:p>
        </w:tc>
      </w:tr>
      <w:tr>
        <w:trPr>
          <w:cantSplit w:val="true"/>
        </w:trPr>
        <w:tc>
          <w:tcPr>
            <w:tcW w:type="dxa" w:w="721"/>
            <w:tcMar>
              <w:top w:w="50" w:type="dxa"/>
              <w:bottom w:w="50" w:type="dxa"/>
              <w:left w:w="90" w:type="dxa"/>
              <w:right w:w="90" w:type="dxa"/>
            </w:tcMar>
          </w:tcPr>
          <w:p>
            <w:pPr>
              <w:pStyle w:val="BDOITable"/>
            </w:pPr>
            <w:r>
              <w:rPr>
                <w:sz w:val="16"/>
              </w:rPr>
              <w:t>IML</w:t>
            </w:r>
          </w:p>
        </w:tc>
        <w:tc>
          <w:tcPr>
            <w:tcW w:type="dxa" w:w="2403"/>
            <w:tcMar>
              <w:top w:w="50" w:type="dxa"/>
              <w:bottom w:w="50" w:type="dxa"/>
              <w:left w:w="90" w:type="dxa"/>
              <w:right w:w="90" w:type="dxa"/>
            </w:tcMar>
          </w:tcPr>
          <w:p>
            <w:pPr>
              <w:pStyle w:val="BDOITable"/>
            </w:pPr>
            <w:r>
              <w:rPr>
                <w:sz w:val="16"/>
              </w:rPr>
              <w:t>iorta Migration Lead</w:t>
            </w:r>
          </w:p>
        </w:tc>
        <w:tc>
          <w:tcPr>
            <w:tcW w:type="dxa" w:w="1682"/>
            <w:tcMar>
              <w:top w:w="50" w:type="dxa"/>
              <w:bottom w:w="50" w:type="dxa"/>
              <w:left w:w="90" w:type="dxa"/>
              <w:right w:w="90" w:type="dxa"/>
            </w:tcMar>
          </w:tcPr>
          <w:p>
            <w:pPr>
              <w:pStyle w:val="BDOITable"/>
            </w:pPr>
            <w:r>
              <w:rPr>
                <w:sz w:val="16"/>
              </w:rPr>
              <w:t>iorta TechNXT</w:t>
            </w:r>
          </w:p>
        </w:tc>
        <w:tc>
          <w:tcPr>
            <w:tcW w:type="dxa" w:w="5166"/>
            <w:tcMar>
              <w:top w:w="50" w:type="dxa"/>
              <w:bottom w:w="50" w:type="dxa"/>
              <w:left w:w="90" w:type="dxa"/>
              <w:right w:w="90" w:type="dxa"/>
            </w:tcMar>
          </w:tcPr>
          <w:p>
            <w:pPr>
              <w:pStyle w:val="BDOITable"/>
            </w:pPr>
            <w:r>
              <w:rPr>
                <w:sz w:val="16"/>
              </w:rPr>
              <w:t>Migration Console, loads, reconciliation reports, cut-over runbook</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ICT</w:t>
            </w:r>
          </w:p>
        </w:tc>
        <w:tc>
          <w:tcPr>
            <w:tcW w:type="dxa" w:w="2403"/>
            <w:tcMar>
              <w:top w:w="50" w:type="dxa"/>
              <w:bottom w:w="50" w:type="dxa"/>
              <w:left w:w="90" w:type="dxa"/>
              <w:right w:w="90" w:type="dxa"/>
            </w:tcMar>
            <w:shd w:val="clear" w:color="auto" w:fill="E5F5FF"/>
          </w:tcPr>
          <w:p>
            <w:pPr>
              <w:pStyle w:val="BDOITable"/>
            </w:pPr>
            <w:r>
              <w:rPr>
                <w:sz w:val="16"/>
              </w:rPr>
              <w:t>iorta change and training lead</w:t>
            </w:r>
          </w:p>
        </w:tc>
        <w:tc>
          <w:tcPr>
            <w:tcW w:type="dxa" w:w="1682"/>
            <w:tcMar>
              <w:top w:w="50" w:type="dxa"/>
              <w:bottom w:w="50" w:type="dxa"/>
              <w:left w:w="90" w:type="dxa"/>
              <w:right w:w="90" w:type="dxa"/>
            </w:tcMar>
            <w:shd w:val="clear" w:color="auto" w:fill="E5F5FF"/>
          </w:tcPr>
          <w:p>
            <w:pPr>
              <w:pStyle w:val="BDOITable"/>
            </w:pPr>
            <w:r>
              <w:rPr>
                <w:sz w:val="16"/>
              </w:rPr>
              <w:t>iorta TechNXT</w:t>
            </w:r>
          </w:p>
        </w:tc>
        <w:tc>
          <w:tcPr>
            <w:tcW w:type="dxa" w:w="5166"/>
            <w:tcMar>
              <w:top w:w="50" w:type="dxa"/>
              <w:bottom w:w="50" w:type="dxa"/>
              <w:left w:w="90" w:type="dxa"/>
              <w:right w:w="90" w:type="dxa"/>
            </w:tcMar>
            <w:shd w:val="clear" w:color="auto" w:fill="E5F5FF"/>
          </w:tcPr>
          <w:p>
            <w:pPr>
              <w:pStyle w:val="BDOITable"/>
            </w:pPr>
            <w:r>
              <w:rPr>
                <w:sz w:val="16"/>
              </w:rPr>
              <w:t>Change management, training, user guides, knowledge base</w:t>
            </w:r>
          </w:p>
        </w:tc>
      </w:tr>
    </w:tbl>
    <w:p>
      <w:pPr>
        <w:pStyle w:val="BDOISpacer"/>
      </w:pPr>
    </w:p>
    <w:p>
      <w:pPr>
        <w:pStyle w:val="Heading1"/>
        <w:pBdr>
          <w:bottom w:val="single" w:sz="4" w:space="4" w:color="99C1E7"/>
        </w:pBdr>
      </w:pPr>
      <w:bookmarkStart w:id="124" w:name="_Toc000124"/>
      <w:r>
        <w:rPr/>
        <w:t>11 References</w:t>
      </w:r>
      <w:bookmarkEnd w:id="124"/>
    </w:p>
    <w:p>
      <w:pPr>
        <w:tabs>
          <w:tab w:pos="312" w:val="left"/>
        </w:tabs>
        <w:spacing w:after="40"/>
        <w:ind w:left="312" w:hanging="283"/>
      </w:pPr>
      <w:r>
        <w:rPr>
          <w:color w:val="004EA8"/>
        </w:rPr>
        <w:t>•</w:t>
        <w:tab/>
      </w:r>
      <w:r>
        <w:rPr/>
        <w:t>Project Plan workbook and summary, version 1.0 (8-Oct-2026); RACI Matrix; Risk Register (RAID log).</w:t>
      </w:r>
    </w:p>
    <w:p>
      <w:pPr>
        <w:tabs>
          <w:tab w:pos="312" w:val="left"/>
        </w:tabs>
        <w:spacing w:after="40"/>
        <w:ind w:left="312" w:hanging="283"/>
      </w:pPr>
      <w:r>
        <w:rPr>
          <w:color w:val="004EA8"/>
        </w:rPr>
        <w:t>•</w:t>
        <w:tab/>
      </w:r>
      <w:r>
        <w:rPr/>
        <w:t>Change Management Register and summary, version 1.0 (CR process, CCB, sizes).</w:t>
      </w:r>
    </w:p>
    <w:p>
      <w:pPr>
        <w:tabs>
          <w:tab w:pos="312" w:val="left"/>
        </w:tabs>
        <w:spacing w:after="40"/>
        <w:ind w:left="312" w:hanging="283"/>
      </w:pPr>
      <w:r>
        <w:rPr>
          <w:color w:val="004EA8"/>
        </w:rPr>
        <w:t>•</w:t>
        <w:tab/>
      </w:r>
      <w:r>
        <w:rPr/>
        <w:t>Drop 0 closure summary, version 2.0 (change control after signature, configuration inputs).</w:t>
      </w:r>
    </w:p>
    <w:p>
      <w:pPr>
        <w:tabs>
          <w:tab w:pos="312" w:val="left"/>
        </w:tabs>
        <w:spacing w:after="40"/>
        <w:ind w:left="312" w:hanging="283"/>
      </w:pPr>
      <w:r>
        <w:rPr>
          <w:color w:val="004EA8"/>
        </w:rPr>
        <w:t>•</w:t>
        <w:tab/>
      </w:r>
      <w:r>
        <w:rPr/>
        <w:t>Quality gates of the BIBS platform; security baseline of BIBS; BDO UX guidelines and UX readiness checklist.</w:t>
      </w:r>
    </w:p>
    <w:p>
      <w:pPr>
        <w:tabs>
          <w:tab w:pos="312" w:val="left"/>
        </w:tabs>
        <w:spacing w:after="40"/>
        <w:ind w:left="312" w:hanging="283"/>
      </w:pPr>
      <w:r>
        <w:rPr>
          <w:color w:val="004EA8"/>
        </w:rPr>
        <w:t>•</w:t>
        <w:tab/>
      </w:r>
      <w:r>
        <w:rPr/>
        <w:t>Deliverables writing standard and toolkit conventions of the BIBS client pack.</w:t>
      </w:r>
    </w:p>
    <w:p>
      <w:pPr>
        <w:tabs>
          <w:tab w:pos="312" w:val="left"/>
        </w:tabs>
        <w:spacing w:after="120"/>
        <w:ind w:left="312" w:hanging="283"/>
      </w:pPr>
      <w:r>
        <w:rPr>
          <w:color w:val="004EA8"/>
        </w:rPr>
        <w:t>•</w:t>
        <w:tab/>
      </w:r>
      <w:r>
        <w:rPr/>
        <w:t>Client decisions of 8-Oct-2026 on the component baseline.</w:t>
      </w:r>
    </w:p>
    <w:p>
      <w:pPr>
        <w:pStyle w:val="Heading1"/>
        <w:pBdr>
          <w:bottom w:val="single" w:sz="4" w:space="4" w:color="99C1E7"/>
        </w:pBdr>
      </w:pPr>
      <w:bookmarkStart w:id="125" w:name="_Toc000125"/>
      <w:r>
        <w:rPr/>
        <w:t>12 Decisions and open points for BDOI</w:t>
      </w:r>
      <w:bookmarkEnd w:id="125"/>
    </w:p>
    <w:p>
      <w:pPr>
        <w:pStyle w:val="Caption"/>
        <w:keepNext/>
        <w:spacing w:after="60"/>
      </w:pPr>
      <w:r>
        <w:rPr>
          <w:b/>
          <w:i w:val="0"/>
        </w:rPr>
        <w:t xml:space="preserve">Table 15: </w:t>
      </w:r>
      <w:r>
        <w:rPr/>
        <w:t>Decisions and open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5046"/>
        <w:gridCol w:w="2042"/>
        <w:gridCol w:w="1201"/>
        <w:gridCol w:w="961"/>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Decision or open point (our proposal)</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Needed by</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721"/>
            <w:tcMar>
              <w:top w:w="50" w:type="dxa"/>
              <w:bottom w:w="50" w:type="dxa"/>
              <w:left w:w="90" w:type="dxa"/>
              <w:right w:w="90" w:type="dxa"/>
            </w:tcMar>
          </w:tcPr>
          <w:p>
            <w:pPr>
              <w:pStyle w:val="BDOITable"/>
            </w:pPr>
            <w:r>
              <w:rPr>
                <w:sz w:val="17"/>
              </w:rPr>
              <w:t>DM-01</w:t>
            </w:r>
          </w:p>
        </w:tc>
        <w:tc>
          <w:tcPr>
            <w:tcW w:type="dxa" w:w="5046"/>
            <w:tcMar>
              <w:top w:w="50" w:type="dxa"/>
              <w:bottom w:w="50" w:type="dxa"/>
              <w:left w:w="90" w:type="dxa"/>
              <w:right w:w="90" w:type="dxa"/>
            </w:tcMar>
          </w:tcPr>
          <w:p>
            <w:pPr>
              <w:pStyle w:val="BDOITable"/>
            </w:pPr>
            <w:r>
              <w:rPr>
                <w:sz w:val="17"/>
              </w:rPr>
              <w:t>Approve the hybrid approach: two-week iterations inside the BDOI drops, with an iteration review for key users on SIT</w:t>
            </w:r>
          </w:p>
        </w:tc>
        <w:tc>
          <w:tcPr>
            <w:tcW w:type="dxa" w:w="2042"/>
            <w:tcMar>
              <w:top w:w="50" w:type="dxa"/>
              <w:bottom w:w="50" w:type="dxa"/>
              <w:left w:w="90" w:type="dxa"/>
              <w:right w:w="90" w:type="dxa"/>
            </w:tcMar>
          </w:tcPr>
          <w:p>
            <w:pPr>
              <w:pStyle w:val="BDOITable"/>
            </w:pPr>
            <w:r>
              <w:rPr>
                <w:sz w:val="17"/>
              </w:rPr>
              <w:t>Program Manager; BIBS Product Owner</w:t>
            </w:r>
          </w:p>
        </w:tc>
        <w:tc>
          <w:tcPr>
            <w:tcW w:type="dxa" w:w="1201"/>
            <w:tcMar>
              <w:top w:w="50" w:type="dxa"/>
              <w:bottom w:w="50" w:type="dxa"/>
              <w:left w:w="90" w:type="dxa"/>
              <w:right w:w="90" w:type="dxa"/>
            </w:tcMar>
          </w:tcPr>
          <w:p>
            <w:pPr>
              <w:pStyle w:val="BDOITable"/>
            </w:pPr>
            <w:r>
              <w:rPr>
                <w:sz w:val="17"/>
              </w:rPr>
              <w:t>30-Oct-2026</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DM-02</w:t>
            </w:r>
          </w:p>
        </w:tc>
        <w:tc>
          <w:tcPr>
            <w:tcW w:type="dxa" w:w="5046"/>
            <w:tcMar>
              <w:top w:w="50" w:type="dxa"/>
              <w:bottom w:w="50" w:type="dxa"/>
              <w:left w:w="90" w:type="dxa"/>
              <w:right w:w="90" w:type="dxa"/>
            </w:tcMar>
            <w:shd w:val="clear" w:color="auto" w:fill="E5F5FF"/>
          </w:tcPr>
          <w:p>
            <w:pPr>
              <w:pStyle w:val="BDOITable"/>
            </w:pPr>
            <w:r>
              <w:rPr>
                <w:sz w:val="17"/>
              </w:rPr>
              <w:t>Approve the definitions of ready and done and the incident severities</w:t>
            </w:r>
          </w:p>
        </w:tc>
        <w:tc>
          <w:tcPr>
            <w:tcW w:type="dxa" w:w="2042"/>
            <w:tcMar>
              <w:top w:w="50" w:type="dxa"/>
              <w:bottom w:w="50" w:type="dxa"/>
              <w:left w:w="90" w:type="dxa"/>
              <w:right w:w="90" w:type="dxa"/>
            </w:tcMar>
            <w:shd w:val="clear" w:color="auto" w:fill="E5F5FF"/>
          </w:tcPr>
          <w:p>
            <w:pPr>
              <w:pStyle w:val="BDOITable"/>
            </w:pPr>
            <w:r>
              <w:rPr>
                <w:sz w:val="17"/>
              </w:rPr>
              <w:t>BIBS Product Owner; BDOI IT</w:t>
            </w:r>
          </w:p>
        </w:tc>
        <w:tc>
          <w:tcPr>
            <w:tcW w:type="dxa" w:w="1201"/>
            <w:tcMar>
              <w:top w:w="50" w:type="dxa"/>
              <w:bottom w:w="50" w:type="dxa"/>
              <w:left w:w="90" w:type="dxa"/>
              <w:right w:w="90" w:type="dxa"/>
            </w:tcMar>
            <w:shd w:val="clear" w:color="auto" w:fill="E5F5FF"/>
          </w:tcPr>
          <w:p>
            <w:pPr>
              <w:pStyle w:val="BDOITable"/>
            </w:pPr>
            <w:r>
              <w:rPr>
                <w:sz w:val="17"/>
              </w:rPr>
              <w:t>30-Oct-2026</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721"/>
            <w:tcMar>
              <w:top w:w="50" w:type="dxa"/>
              <w:bottom w:w="50" w:type="dxa"/>
              <w:left w:w="90" w:type="dxa"/>
              <w:right w:w="90" w:type="dxa"/>
            </w:tcMar>
          </w:tcPr>
          <w:p>
            <w:pPr>
              <w:pStyle w:val="BDOITable"/>
            </w:pPr>
            <w:r>
              <w:rPr>
                <w:sz w:val="17"/>
              </w:rPr>
              <w:t>DM-03</w:t>
            </w:r>
          </w:p>
        </w:tc>
        <w:tc>
          <w:tcPr>
            <w:tcW w:type="dxa" w:w="5046"/>
            <w:tcMar>
              <w:top w:w="50" w:type="dxa"/>
              <w:bottom w:w="50" w:type="dxa"/>
              <w:left w:w="90" w:type="dxa"/>
              <w:right w:w="90" w:type="dxa"/>
            </w:tcMar>
          </w:tcPr>
          <w:p>
            <w:pPr>
              <w:pStyle w:val="BDOITable"/>
            </w:pPr>
            <w:r>
              <w:rPr>
                <w:sz w:val="17"/>
              </w:rPr>
              <w:t>Confirm the patch times for security findings: critical 7 days, high 30 days</w:t>
            </w:r>
          </w:p>
        </w:tc>
        <w:tc>
          <w:tcPr>
            <w:tcW w:type="dxa" w:w="2042"/>
            <w:tcMar>
              <w:top w:w="50" w:type="dxa"/>
              <w:bottom w:w="50" w:type="dxa"/>
              <w:left w:w="90" w:type="dxa"/>
              <w:right w:w="90" w:type="dxa"/>
            </w:tcMar>
          </w:tcPr>
          <w:p>
            <w:pPr>
              <w:pStyle w:val="BDOITable"/>
            </w:pPr>
            <w:r>
              <w:rPr>
                <w:sz w:val="17"/>
              </w:rPr>
              <w:t>BDOI Information Security</w:t>
            </w:r>
          </w:p>
        </w:tc>
        <w:tc>
          <w:tcPr>
            <w:tcW w:type="dxa" w:w="1201"/>
            <w:tcMar>
              <w:top w:w="50" w:type="dxa"/>
              <w:bottom w:w="50" w:type="dxa"/>
              <w:left w:w="90" w:type="dxa"/>
              <w:right w:w="90" w:type="dxa"/>
            </w:tcMar>
          </w:tcPr>
          <w:p>
            <w:pPr>
              <w:pStyle w:val="BDOITable"/>
            </w:pPr>
            <w:r>
              <w:rPr>
                <w:sz w:val="17"/>
              </w:rPr>
              <w:t>30-Nov-2026</w:t>
            </w:r>
          </w:p>
        </w:tc>
        <w:tc>
          <w:tcPr>
            <w:tcW w:type="dxa" w:w="961"/>
            <w:tcMar>
              <w:top w:w="50" w:type="dxa"/>
              <w:bottom w:w="50" w:type="dxa"/>
              <w:left w:w="90" w:type="dxa"/>
              <w:right w:w="90" w:type="dxa"/>
            </w:tcMar>
          </w:tcPr>
          <w:p>
            <w:pPr>
              <w:pStyle w:val="BDOITable"/>
            </w:pPr>
            <w:r>
              <w:rPr>
                <w:sz w:val="17"/>
              </w:rPr>
              <w:t>R-05</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DM-04</w:t>
            </w:r>
          </w:p>
        </w:tc>
        <w:tc>
          <w:tcPr>
            <w:tcW w:type="dxa" w:w="5046"/>
            <w:tcMar>
              <w:top w:w="50" w:type="dxa"/>
              <w:bottom w:w="50" w:type="dxa"/>
              <w:left w:w="90" w:type="dxa"/>
              <w:right w:w="90" w:type="dxa"/>
            </w:tcMar>
            <w:shd w:val="clear" w:color="auto" w:fill="E5F5FF"/>
          </w:tcPr>
          <w:p>
            <w:pPr>
              <w:pStyle w:val="BDOITable"/>
            </w:pPr>
            <w:r>
              <w:rPr>
                <w:sz w:val="17"/>
              </w:rPr>
              <w:t>Confirm the BDOI change management route for Pre-Prod and production releases (change record, approvers, release windows)</w:t>
            </w:r>
          </w:p>
        </w:tc>
        <w:tc>
          <w:tcPr>
            <w:tcW w:type="dxa" w:w="2042"/>
            <w:tcMar>
              <w:top w:w="50" w:type="dxa"/>
              <w:bottom w:w="50" w:type="dxa"/>
              <w:left w:w="90" w:type="dxa"/>
              <w:right w:w="90" w:type="dxa"/>
            </w:tcMar>
            <w:shd w:val="clear" w:color="auto" w:fill="E5F5FF"/>
          </w:tcPr>
          <w:p>
            <w:pPr>
              <w:pStyle w:val="BDOITable"/>
            </w:pPr>
            <w:r>
              <w:rPr>
                <w:sz w:val="17"/>
              </w:rPr>
              <w:t>BDOI IT</w:t>
            </w:r>
          </w:p>
        </w:tc>
        <w:tc>
          <w:tcPr>
            <w:tcW w:type="dxa" w:w="1201"/>
            <w:tcMar>
              <w:top w:w="50" w:type="dxa"/>
              <w:bottom w:w="50" w:type="dxa"/>
              <w:left w:w="90" w:type="dxa"/>
              <w:right w:w="90" w:type="dxa"/>
            </w:tcMar>
            <w:shd w:val="clear" w:color="auto" w:fill="E5F5FF"/>
          </w:tcPr>
          <w:p>
            <w:pPr>
              <w:pStyle w:val="BDOITable"/>
            </w:pPr>
            <w:r>
              <w:rPr>
                <w:sz w:val="17"/>
              </w:rPr>
              <w:t>31-Mar-2027</w:t>
            </w:r>
          </w:p>
        </w:tc>
        <w:tc>
          <w:tcPr>
            <w:tcW w:type="dxa" w:w="96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721"/>
            <w:tcMar>
              <w:top w:w="50" w:type="dxa"/>
              <w:bottom w:w="50" w:type="dxa"/>
              <w:left w:w="90" w:type="dxa"/>
              <w:right w:w="90" w:type="dxa"/>
            </w:tcMar>
          </w:tcPr>
          <w:p>
            <w:pPr>
              <w:pStyle w:val="BDOITable"/>
            </w:pPr>
            <w:r>
              <w:rPr>
                <w:sz w:val="17"/>
              </w:rPr>
              <w:t>DM-05</w:t>
            </w:r>
          </w:p>
        </w:tc>
        <w:tc>
          <w:tcPr>
            <w:tcW w:type="dxa" w:w="5046"/>
            <w:tcMar>
              <w:top w:w="50" w:type="dxa"/>
              <w:bottom w:w="50" w:type="dxa"/>
              <w:left w:w="90" w:type="dxa"/>
              <w:right w:w="90" w:type="dxa"/>
            </w:tcMar>
          </w:tcPr>
          <w:p>
            <w:pPr>
              <w:pStyle w:val="BDOITable"/>
            </w:pPr>
            <w:r>
              <w:rPr>
                <w:sz w:val="17"/>
              </w:rPr>
              <w:t>Confirm the release freeze for the go-live release from 10-Dec-2027</w:t>
            </w:r>
          </w:p>
        </w:tc>
        <w:tc>
          <w:tcPr>
            <w:tcW w:type="dxa" w:w="2042"/>
            <w:tcMar>
              <w:top w:w="50" w:type="dxa"/>
              <w:bottom w:w="50" w:type="dxa"/>
              <w:left w:w="90" w:type="dxa"/>
              <w:right w:w="90" w:type="dxa"/>
            </w:tcMar>
          </w:tcPr>
          <w:p>
            <w:pPr>
              <w:pStyle w:val="BDOITable"/>
            </w:pPr>
            <w:r>
              <w:rPr>
                <w:sz w:val="17"/>
              </w:rPr>
              <w:t>Steering committee</w:t>
            </w:r>
          </w:p>
        </w:tc>
        <w:tc>
          <w:tcPr>
            <w:tcW w:type="dxa" w:w="1201"/>
            <w:tcMar>
              <w:top w:w="50" w:type="dxa"/>
              <w:bottom w:w="50" w:type="dxa"/>
              <w:left w:w="90" w:type="dxa"/>
              <w:right w:w="90" w:type="dxa"/>
            </w:tcMar>
          </w:tcPr>
          <w:p>
            <w:pPr>
              <w:pStyle w:val="BDOITable"/>
            </w:pPr>
            <w:r>
              <w:rPr>
                <w:sz w:val="17"/>
              </w:rPr>
              <w:t>1-Oct-2027</w:t>
            </w:r>
          </w:p>
        </w:tc>
        <w:tc>
          <w:tcPr>
            <w:tcW w:type="dxa" w:w="961"/>
            <w:tcMar>
              <w:top w:w="50" w:type="dxa"/>
              <w:bottom w:w="50" w:type="dxa"/>
              <w:left w:w="90" w:type="dxa"/>
              <w:right w:w="90" w:type="dxa"/>
            </w:tcMar>
          </w:tcPr>
          <w:p>
            <w:pPr>
              <w:pStyle w:val="BDOITable"/>
            </w:pPr>
            <w:r>
              <w:rPr>
                <w:sz w:val="17"/>
              </w:rPr>
              <w:t>-</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DM-06</w:t>
            </w:r>
          </w:p>
        </w:tc>
        <w:tc>
          <w:tcPr>
            <w:tcW w:type="dxa" w:w="5046"/>
            <w:tcMar>
              <w:top w:w="50" w:type="dxa"/>
              <w:bottom w:w="50" w:type="dxa"/>
              <w:left w:w="90" w:type="dxa"/>
              <w:right w:w="90" w:type="dxa"/>
            </w:tcMar>
            <w:shd w:val="clear" w:color="auto" w:fill="E5F5FF"/>
          </w:tcPr>
          <w:p>
            <w:pPr>
              <w:pStyle w:val="BDOITable"/>
            </w:pPr>
            <w:r>
              <w:rPr>
                <w:sz w:val="17"/>
              </w:rPr>
              <w:t>Name the members of the design authority, including the BDO IT EIAM, IGA and API teams</w:t>
            </w:r>
          </w:p>
        </w:tc>
        <w:tc>
          <w:tcPr>
            <w:tcW w:type="dxa" w:w="2042"/>
            <w:tcMar>
              <w:top w:w="50" w:type="dxa"/>
              <w:bottom w:w="50" w:type="dxa"/>
              <w:left w:w="90" w:type="dxa"/>
              <w:right w:w="90" w:type="dxa"/>
            </w:tcMar>
            <w:shd w:val="clear" w:color="auto" w:fill="E5F5FF"/>
          </w:tcPr>
          <w:p>
            <w:pPr>
              <w:pStyle w:val="BDOITable"/>
            </w:pPr>
            <w:r>
              <w:rPr>
                <w:sz w:val="17"/>
              </w:rPr>
              <w:t>Head, BDOI IT</w:t>
            </w:r>
          </w:p>
        </w:tc>
        <w:tc>
          <w:tcPr>
            <w:tcW w:type="dxa" w:w="1201"/>
            <w:tcMar>
              <w:top w:w="50" w:type="dxa"/>
              <w:bottom w:w="50" w:type="dxa"/>
              <w:left w:w="90" w:type="dxa"/>
              <w:right w:w="90" w:type="dxa"/>
            </w:tcMar>
            <w:shd w:val="clear" w:color="auto" w:fill="E5F5FF"/>
          </w:tcPr>
          <w:p>
            <w:pPr>
              <w:pStyle w:val="BDOITable"/>
            </w:pPr>
            <w:r>
              <w:rPr>
                <w:sz w:val="17"/>
              </w:rPr>
              <w:t>30-Nov-2026</w:t>
            </w:r>
          </w:p>
        </w:tc>
        <w:tc>
          <w:tcPr>
            <w:tcW w:type="dxa" w:w="961"/>
            <w:tcMar>
              <w:top w:w="50" w:type="dxa"/>
              <w:bottom w:w="50" w:type="dxa"/>
              <w:left w:w="90" w:type="dxa"/>
              <w:right w:w="90" w:type="dxa"/>
            </w:tcMar>
            <w:shd w:val="clear" w:color="auto" w:fill="E5F5FF"/>
          </w:tcPr>
          <w:p>
            <w:pPr>
              <w:pStyle w:val="BDOITable"/>
            </w:pPr>
            <w:r>
              <w:rPr>
                <w:sz w:val="17"/>
              </w:rPr>
              <w:t>R-04</w:t>
            </w:r>
          </w:p>
        </w:tc>
      </w:tr>
      <w:tr>
        <w:trPr>
          <w:cantSplit w:val="true"/>
        </w:trPr>
        <w:tc>
          <w:tcPr>
            <w:tcW w:type="dxa" w:w="721"/>
            <w:tcMar>
              <w:top w:w="50" w:type="dxa"/>
              <w:bottom w:w="50" w:type="dxa"/>
              <w:left w:w="90" w:type="dxa"/>
              <w:right w:w="90" w:type="dxa"/>
            </w:tcMar>
          </w:tcPr>
          <w:p>
            <w:pPr>
              <w:pStyle w:val="BDOITable"/>
            </w:pPr>
            <w:r>
              <w:rPr>
                <w:sz w:val="17"/>
              </w:rPr>
              <w:t>DM-07</w:t>
            </w:r>
          </w:p>
        </w:tc>
        <w:tc>
          <w:tcPr>
            <w:tcW w:type="dxa" w:w="5046"/>
            <w:tcMar>
              <w:top w:w="50" w:type="dxa"/>
              <w:bottom w:w="50" w:type="dxa"/>
              <w:left w:w="90" w:type="dxa"/>
              <w:right w:w="90" w:type="dxa"/>
            </w:tcMar>
          </w:tcPr>
          <w:p>
            <w:pPr>
              <w:pStyle w:val="BDOITable"/>
            </w:pPr>
            <w:r>
              <w:rPr>
                <w:sz w:val="17"/>
              </w:rPr>
              <w:t>Confirm the SonarQube instance and the container registry to use in the BDOI environments</w:t>
            </w:r>
          </w:p>
        </w:tc>
        <w:tc>
          <w:tcPr>
            <w:tcW w:type="dxa" w:w="2042"/>
            <w:tcMar>
              <w:top w:w="50" w:type="dxa"/>
              <w:bottom w:w="50" w:type="dxa"/>
              <w:left w:w="90" w:type="dxa"/>
              <w:right w:w="90" w:type="dxa"/>
            </w:tcMar>
          </w:tcPr>
          <w:p>
            <w:pPr>
              <w:pStyle w:val="BDOITable"/>
            </w:pPr>
            <w:r>
              <w:rPr>
                <w:sz w:val="17"/>
              </w:rPr>
              <w:t>BDOI IT</w:t>
            </w:r>
          </w:p>
        </w:tc>
        <w:tc>
          <w:tcPr>
            <w:tcW w:type="dxa" w:w="1201"/>
            <w:tcMar>
              <w:top w:w="50" w:type="dxa"/>
              <w:bottom w:w="50" w:type="dxa"/>
              <w:left w:w="90" w:type="dxa"/>
              <w:right w:w="90" w:type="dxa"/>
            </w:tcMar>
          </w:tcPr>
          <w:p>
            <w:pPr>
              <w:pStyle w:val="BDOITable"/>
            </w:pPr>
            <w:r>
              <w:rPr>
                <w:sz w:val="17"/>
              </w:rPr>
              <w:t>31-Dec-2026</w:t>
            </w:r>
          </w:p>
        </w:tc>
        <w:tc>
          <w:tcPr>
            <w:tcW w:type="dxa" w:w="961"/>
            <w:tcMar>
              <w:top w:w="50" w:type="dxa"/>
              <w:bottom w:w="50" w:type="dxa"/>
              <w:left w:w="90" w:type="dxa"/>
              <w:right w:w="90" w:type="dxa"/>
            </w:tcMar>
          </w:tcPr>
          <w:p>
            <w:pPr>
              <w:pStyle w:val="BDOITable"/>
            </w:pPr>
            <w:r>
              <w:rPr>
                <w:sz w:val="17"/>
              </w:rPr>
              <w:t>IQ29</w:t>
            </w: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BIBS Delivery Methodology</w:t>
    </w:r>
    <w:r>
      <w:rPr>
        <w:color w:val="656565"/>
        <w:sz w:val="16"/>
      </w:rPr>
      <w:t xml:space="preserve">   Delivery Methodology</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Delivery BRD-00 Delivery Methodology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