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DR AND BCP PLAN</w:t>
      </w:r>
    </w:p>
    <w:p>
      <w:pPr>
        <w:spacing w:after="80" w:line="240" w:lineRule="auto"/>
      </w:pPr>
      <w:r>
        <w:rPr>
          <w:b/>
          <w:color w:val="004EA8"/>
          <w:sz w:val="56"/>
        </w:rPr>
        <w:t>Disaster Recovery and Business Continuity Plan</w:t>
      </w:r>
    </w:p>
    <w:p>
      <w:pPr>
        <w:spacing w:after="40"/>
      </w:pPr>
      <w:r>
        <w:rPr>
          <w:color w:val="2E2E2E"/>
          <w:sz w:val="28"/>
        </w:rPr>
        <w:t>Recovery objectives, DR topology, backup and replication, failover and failback, DR drills and the business continuity procedures of BIBS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BIBS-OPS-DRP-BRD-00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DevOps Lead; iorta TechNXT Project Manager</w:t>
            </w:r>
          </w:p>
        </w:tc>
        <w:tc>
          <w:tcPr>
            <w:tcW w:type="dxa" w:w="1700"/>
            <w:tcMar>
              <w:top w:w="50" w:type="dxa"/>
              <w:bottom w:w="50" w:type="dxa"/>
              <w:left w:w="90" w:type="dxa"/>
              <w:right w:w="90" w:type="dxa"/>
            </w:tcMar>
          </w:tcPr>
          <w:p>
            <w:pPr>
              <w:pStyle w:val="BDOITable"/>
            </w:pPr>
            <w:r>
              <w:rPr>
                <w:sz w:val="18"/>
              </w:rPr>
              <w:t>Head, BDOI IT (pending)</w:t>
            </w:r>
          </w:p>
        </w:tc>
        <w:tc>
          <w:tcPr>
            <w:tcW w:type="dxa" w:w="2606"/>
            <w:tcMar>
              <w:top w:w="50" w:type="dxa"/>
              <w:bottom w:w="50" w:type="dxa"/>
              <w:left w:w="90" w:type="dxa"/>
              <w:right w:w="90" w:type="dxa"/>
            </w:tcMar>
          </w:tcPr>
          <w:p>
            <w:pPr>
              <w:pStyle w:val="BDOITable"/>
            </w:pPr>
            <w:r>
              <w:rPr>
                <w:sz w:val="18"/>
              </w:rPr>
              <w:t>First issue. RTO 4 hours and RPO 15 minutes of the IER workbook v20 (register DCR-135, DCR-225), service tiers, warm-standby topology in a second AWS region, failover and failback, drill plan and the continuity procedures of the key business processes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BDOI IT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DR authority, plan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BIBS Product Owner</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Service tiers and business priorities</w:t>
            </w:r>
          </w:p>
        </w:tc>
      </w:tr>
      <w:tr>
        <w:trPr>
          <w:cantSplit w:val="true"/>
        </w:trPr>
        <w:tc>
          <w:tcPr>
            <w:tcW w:type="dxa" w:w="2606"/>
            <w:tcMar>
              <w:top w:w="50" w:type="dxa"/>
              <w:bottom w:w="50" w:type="dxa"/>
              <w:left w:w="90" w:type="dxa"/>
              <w:right w:w="90" w:type="dxa"/>
            </w:tcMar>
          </w:tcPr>
          <w:p>
            <w:pPr>
              <w:pStyle w:val="BDOITable"/>
            </w:pPr>
            <w:r>
              <w:rPr>
                <w:sz w:val="18"/>
              </w:rPr>
              <w:t>Cloud and Digital Operations Engineering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IT</w:t>
            </w:r>
          </w:p>
        </w:tc>
        <w:tc>
          <w:tcPr>
            <w:tcW w:type="dxa" w:w="2833"/>
            <w:tcMar>
              <w:top w:w="50" w:type="dxa"/>
              <w:bottom w:w="50" w:type="dxa"/>
              <w:left w:w="90" w:type="dxa"/>
              <w:right w:w="90" w:type="dxa"/>
            </w:tcMar>
          </w:tcPr>
          <w:p>
            <w:pPr>
              <w:pStyle w:val="BDOITable"/>
            </w:pPr>
            <w:r>
              <w:rPr>
                <w:sz w:val="18"/>
              </w:rPr>
              <w:t>DR topology, failover, backups, drills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Heads of Operations, Comptrollership, Marketing; Head of the Renewal processing team</w:t>
            </w:r>
          </w:p>
        </w:tc>
        <w:tc>
          <w:tcPr>
            <w:tcW w:type="dxa" w:w="2266"/>
            <w:tcMar>
              <w:top w:w="50" w:type="dxa"/>
              <w:bottom w:w="50" w:type="dxa"/>
              <w:left w:w="90" w:type="dxa"/>
              <w:right w:w="90" w:type="dxa"/>
            </w:tcMar>
            <w:shd w:val="clear" w:color="auto" w:fill="E5F5FF"/>
          </w:tcPr>
          <w:p>
            <w:pPr>
              <w:pStyle w:val="BDOITable"/>
            </w:pPr>
            <w:r>
              <w:rPr>
                <w:sz w:val="18"/>
              </w:rPr>
              <w:t>Approvers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Continuity procedures of their processes</w:t>
            </w:r>
          </w:p>
        </w:tc>
      </w:tr>
      <w:tr>
        <w:trPr>
          <w:cantSplit w:val="true"/>
        </w:trPr>
        <w:tc>
          <w:tcPr>
            <w:tcW w:type="dxa" w:w="2606"/>
            <w:tcMar>
              <w:top w:w="50" w:type="dxa"/>
              <w:bottom w:w="50" w:type="dxa"/>
              <w:left w:w="90" w:type="dxa"/>
              <w:right w:w="90" w:type="dxa"/>
            </w:tcMar>
          </w:tcPr>
          <w:p>
            <w:pPr>
              <w:pStyle w:val="BDOITable"/>
            </w:pPr>
            <w:r>
              <w:rPr>
                <w:sz w:val="18"/>
              </w:rPr>
              <w:t>Compliance; Information Security Officer; Data Protection Officer</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Data residency, ransomware scenario, regulatory notices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 Business Continuity Management</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Alignment with the group BCP</w:t>
            </w:r>
          </w:p>
        </w:tc>
      </w:tr>
      <w:tr>
        <w:trPr>
          <w:cantSplit w:val="true"/>
        </w:trPr>
        <w:tc>
          <w:tcPr>
            <w:tcW w:type="dxa" w:w="2606"/>
            <w:tcMar>
              <w:top w:w="50" w:type="dxa"/>
              <w:bottom w:w="50" w:type="dxa"/>
              <w:left w:w="90" w:type="dxa"/>
              <w:right w:w="90" w:type="dxa"/>
            </w:tcMar>
          </w:tcPr>
          <w:p>
            <w:pPr>
              <w:pStyle w:val="BDOITable"/>
            </w:pPr>
            <w:r>
              <w:rPr>
                <w:sz w:val="18"/>
              </w:rPr>
              <w:t>Project and support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Recovery of the application, drills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1.2 Audience</w:t>
        </w:r>
        <w:r>
          <w:t xml:space="preserve">	</w:t>
        </w:r>
        <w:r>
          <w:t xml:space="preserve">4</w:t>
        </w:r>
      </w:hyperlink>
    </w:p>
    <w:p>
      <w:pPr>
        <w:pStyle w:val="toc2"/>
      </w:pPr>
      <w:hyperlink w:anchor="_Toc000104" w:history="1">
        <w:r>
          <w:t xml:space="preserve">1.3 Scope</w:t>
        </w:r>
        <w:r>
          <w:t xml:space="preserve">	</w:t>
        </w:r>
        <w:r>
          <w:t xml:space="preserve">4</w:t>
        </w:r>
      </w:hyperlink>
    </w:p>
    <w:p>
      <w:pPr>
        <w:pStyle w:val="toc2"/>
      </w:pPr>
      <w:hyperlink w:anchor="_Toc000105" w:history="1">
        <w:r>
          <w:t xml:space="preserve">1.4 Reference documents</w:t>
        </w:r>
        <w:r>
          <w:t xml:space="preserve">	</w:t>
        </w:r>
        <w:r>
          <w:t xml:space="preserve">4</w:t>
        </w:r>
      </w:hyperlink>
    </w:p>
    <w:p>
      <w:pPr>
        <w:pStyle w:val="toc1"/>
      </w:pPr>
      <w:hyperlink w:anchor="_Toc000106" w:history="1">
        <w:r>
          <w:t xml:space="preserve">2 What must be recovered</w:t>
        </w:r>
        <w:r>
          <w:t xml:space="preserve">	</w:t>
        </w:r>
        <w:r>
          <w:t xml:space="preserve">5</w:t>
        </w:r>
      </w:hyperlink>
    </w:p>
    <w:p>
      <w:pPr>
        <w:pStyle w:val="toc2"/>
      </w:pPr>
      <w:hyperlink w:anchor="_Toc000107" w:history="1">
        <w:r>
          <w:t xml:space="preserve">2.1 Critical business processes</w:t>
        </w:r>
        <w:r>
          <w:t xml:space="preserve">	</w:t>
        </w:r>
        <w:r>
          <w:t xml:space="preserve">5</w:t>
        </w:r>
      </w:hyperlink>
    </w:p>
    <w:p>
      <w:pPr>
        <w:pStyle w:val="toc2"/>
      </w:pPr>
      <w:hyperlink w:anchor="_Toc000108" w:history="1">
        <w:r>
          <w:t xml:space="preserve">2.2 Service tiers</w:t>
        </w:r>
        <w:r>
          <w:t xml:space="preserve">	</w:t>
        </w:r>
        <w:r>
          <w:t xml:space="preserve">5</w:t>
        </w:r>
      </w:hyperlink>
    </w:p>
    <w:p>
      <w:pPr>
        <w:pStyle w:val="toc1"/>
      </w:pPr>
      <w:hyperlink w:anchor="_Toc000109" w:history="1">
        <w:r>
          <w:t xml:space="preserve">3 Recovery objectives</w:t>
        </w:r>
        <w:r>
          <w:t xml:space="preserve">	</w:t>
        </w:r>
        <w:r>
          <w:t xml:space="preserve">6</w:t>
        </w:r>
      </w:hyperlink>
    </w:p>
    <w:p>
      <w:pPr>
        <w:pStyle w:val="toc2"/>
      </w:pPr>
      <w:hyperlink w:anchor="_Toc000110" w:history="1">
        <w:r>
          <w:t xml:space="preserve">3.1 RTO and RPO per service tier</w:t>
        </w:r>
        <w:r>
          <w:t xml:space="preserve">	</w:t>
        </w:r>
        <w:r>
          <w:t xml:space="preserve">6</w:t>
        </w:r>
      </w:hyperlink>
    </w:p>
    <w:p>
      <w:pPr>
        <w:pStyle w:val="toc2"/>
      </w:pPr>
      <w:hyperlink w:anchor="_Toc000111" w:history="1">
        <w:r>
          <w:t xml:space="preserve">3.2 Objectives per scenario</w:t>
        </w:r>
        <w:r>
          <w:t xml:space="preserve">	</w:t>
        </w:r>
        <w:r>
          <w:t xml:space="preserve">6</w:t>
        </w:r>
      </w:hyperlink>
    </w:p>
    <w:p>
      <w:pPr>
        <w:pStyle w:val="toc2"/>
      </w:pPr>
      <w:hyperlink w:anchor="_Toc000112" w:history="1">
        <w:r>
          <w:t xml:space="preserve">3.3 Availability</w:t>
        </w:r>
        <w:r>
          <w:t xml:space="preserve">	</w:t>
        </w:r>
        <w:r>
          <w:t xml:space="preserve">6</w:t>
        </w:r>
      </w:hyperlink>
    </w:p>
    <w:p>
      <w:pPr>
        <w:pStyle w:val="toc1"/>
      </w:pPr>
      <w:hyperlink w:anchor="_Toc000113" w:history="1">
        <w:r>
          <w:t xml:space="preserve">4 DR topology</w:t>
        </w:r>
        <w:r>
          <w:t xml:space="preserve">	</w:t>
        </w:r>
        <w:r>
          <w:t xml:space="preserve">7</w:t>
        </w:r>
      </w:hyperlink>
    </w:p>
    <w:p>
      <w:pPr>
        <w:pStyle w:val="toc2"/>
      </w:pPr>
      <w:hyperlink w:anchor="_Toc000114" w:history="1">
        <w:r>
          <w:t xml:space="preserve">4.1 Primary and DR</w:t>
        </w:r>
        <w:r>
          <w:t xml:space="preserve">	</w:t>
        </w:r>
        <w:r>
          <w:t xml:space="preserve">7</w:t>
        </w:r>
      </w:hyperlink>
    </w:p>
    <w:p>
      <w:pPr>
        <w:pStyle w:val="toc2"/>
      </w:pPr>
      <w:hyperlink w:anchor="_Toc000115" w:history="1">
        <w:r>
          <w:t xml:space="preserve">4.2 Data loss at failover</w:t>
        </w:r>
        <w:r>
          <w:t xml:space="preserve">	</w:t>
        </w:r>
        <w:r>
          <w:t xml:space="preserve">8</w:t>
        </w:r>
      </w:hyperlink>
    </w:p>
    <w:p>
      <w:pPr>
        <w:pStyle w:val="toc1"/>
      </w:pPr>
      <w:hyperlink w:anchor="_Toc000116" w:history="1">
        <w:r>
          <w:t xml:space="preserve">5 Backup and replication</w:t>
        </w:r>
        <w:r>
          <w:t xml:space="preserve">	</w:t>
        </w:r>
        <w:r>
          <w:t xml:space="preserve">9</w:t>
        </w:r>
      </w:hyperlink>
    </w:p>
    <w:p>
      <w:pPr>
        <w:pStyle w:val="toc1"/>
      </w:pPr>
      <w:hyperlink w:anchor="_Toc000117" w:history="1">
        <w:r>
          <w:t xml:space="preserve">6 Roles and the DR authority</w:t>
        </w:r>
        <w:r>
          <w:t xml:space="preserve">	</w:t>
        </w:r>
        <w:r>
          <w:t xml:space="preserve">10</w:t>
        </w:r>
      </w:hyperlink>
    </w:p>
    <w:p>
      <w:pPr>
        <w:pStyle w:val="toc1"/>
      </w:pPr>
      <w:hyperlink w:anchor="_Toc000118" w:history="1">
        <w:r>
          <w:t xml:space="preserve">7 Disaster declaration and failover</w:t>
        </w:r>
        <w:r>
          <w:t xml:space="preserve">	</w:t>
        </w:r>
        <w:r>
          <w:t xml:space="preserve">11</w:t>
        </w:r>
      </w:hyperlink>
    </w:p>
    <w:p>
      <w:pPr>
        <w:pStyle w:val="toc2"/>
      </w:pPr>
      <w:hyperlink w:anchor="_Toc000119" w:history="1">
        <w:r>
          <w:t xml:space="preserve">7.1 When to fail over</w:t>
        </w:r>
        <w:r>
          <w:t xml:space="preserve">	</w:t>
        </w:r>
        <w:r>
          <w:t xml:space="preserve">11</w:t>
        </w:r>
      </w:hyperlink>
    </w:p>
    <w:p>
      <w:pPr>
        <w:pStyle w:val="toc2"/>
      </w:pPr>
      <w:hyperlink w:anchor="_Toc000120" w:history="1">
        <w:r>
          <w:t xml:space="preserve">7.2 Failover steps</w:t>
        </w:r>
        <w:r>
          <w:t xml:space="preserve">	</w:t>
        </w:r>
        <w:r>
          <w:t xml:space="preserve">11</w:t>
        </w:r>
      </w:hyperlink>
    </w:p>
    <w:p>
      <w:pPr>
        <w:pStyle w:val="toc1"/>
      </w:pPr>
      <w:hyperlink w:anchor="_Toc000121" w:history="1">
        <w:r>
          <w:t xml:space="preserve">8 Failback</w:t>
        </w:r>
        <w:r>
          <w:t xml:space="preserve">	</w:t>
        </w:r>
        <w:r>
          <w:t xml:space="preserve">13</w:t>
        </w:r>
      </w:hyperlink>
    </w:p>
    <w:p>
      <w:pPr>
        <w:pStyle w:val="toc1"/>
      </w:pPr>
      <w:hyperlink w:anchor="_Toc000122" w:history="1">
        <w:r>
          <w:t xml:space="preserve">9 DR drill plan</w:t>
        </w:r>
        <w:r>
          <w:t xml:space="preserve">	</w:t>
        </w:r>
        <w:r>
          <w:t xml:space="preserve">14</w:t>
        </w:r>
      </w:hyperlink>
    </w:p>
    <w:p>
      <w:pPr>
        <w:pStyle w:val="toc1"/>
      </w:pPr>
      <w:hyperlink w:anchor="_Toc000123" w:history="1">
        <w:r>
          <w:t xml:space="preserve">10 Business continuity procedures</w:t>
        </w:r>
        <w:r>
          <w:t xml:space="preserve">	</w:t>
        </w:r>
        <w:r>
          <w:t xml:space="preserve">15</w:t>
        </w:r>
      </w:hyperlink>
    </w:p>
    <w:p>
      <w:pPr>
        <w:pStyle w:val="toc2"/>
      </w:pPr>
      <w:hyperlink w:anchor="_Toc000124" w:history="1">
        <w:r>
          <w:t xml:space="preserve">10.1 When the procedures start</w:t>
        </w:r>
        <w:r>
          <w:t xml:space="preserve">	</w:t>
        </w:r>
        <w:r>
          <w:t xml:space="preserve">15</w:t>
        </w:r>
      </w:hyperlink>
    </w:p>
    <w:p>
      <w:pPr>
        <w:pStyle w:val="toc2"/>
      </w:pPr>
      <w:hyperlink w:anchor="_Toc000125" w:history="1">
        <w:r>
          <w:t xml:space="preserve">10.2 BC-01 Cashiering</w:t>
        </w:r>
        <w:r>
          <w:t xml:space="preserve">	</w:t>
        </w:r>
        <w:r>
          <w:t xml:space="preserve">15</w:t>
        </w:r>
      </w:hyperlink>
    </w:p>
    <w:p>
      <w:pPr>
        <w:pStyle w:val="toc2"/>
      </w:pPr>
      <w:hyperlink w:anchor="_Toc000126" w:history="1">
        <w:r>
          <w:t xml:space="preserve">10.3 BC-02 Remittance</w:t>
        </w:r>
        <w:r>
          <w:t xml:space="preserve">	</w:t>
        </w:r>
        <w:r>
          <w:t xml:space="preserve">16</w:t>
        </w:r>
      </w:hyperlink>
    </w:p>
    <w:p>
      <w:pPr>
        <w:pStyle w:val="toc2"/>
      </w:pPr>
      <w:hyperlink w:anchor="_Toc000127" w:history="1">
        <w:r>
          <w:t xml:space="preserve">10.4 BC-03 Renewal letters and renewals</w:t>
        </w:r>
        <w:r>
          <w:t xml:space="preserve">	</w:t>
        </w:r>
        <w:r>
          <w:t xml:space="preserve">16</w:t>
        </w:r>
      </w:hyperlink>
    </w:p>
    <w:p>
      <w:pPr>
        <w:pStyle w:val="toc2"/>
      </w:pPr>
      <w:hyperlink w:anchor="_Toc000128" w:history="1">
        <w:r>
          <w:t xml:space="preserve">10.5 BC-04 Month-end</w:t>
        </w:r>
        <w:r>
          <w:t xml:space="preserve">	</w:t>
        </w:r>
        <w:r>
          <w:t xml:space="preserve">16</w:t>
        </w:r>
      </w:hyperlink>
    </w:p>
    <w:p>
      <w:pPr>
        <w:pStyle w:val="toc2"/>
      </w:pPr>
      <w:hyperlink w:anchor="_Toc000129" w:history="1">
        <w:r>
          <w:t xml:space="preserve">10.6 BC-05 Booking and issuance</w:t>
        </w:r>
        <w:r>
          <w:t xml:space="preserve">	</w:t>
        </w:r>
        <w:r>
          <w:t xml:space="preserve">16</w:t>
        </w:r>
      </w:hyperlink>
    </w:p>
    <w:p>
      <w:pPr>
        <w:pStyle w:val="toc2"/>
      </w:pPr>
      <w:hyperlink w:anchor="_Toc000130" w:history="1">
        <w:r>
          <w:t xml:space="preserve">10.7 BC-06 Disbursement</w:t>
        </w:r>
        <w:r>
          <w:t xml:space="preserve">	</w:t>
        </w:r>
        <w:r>
          <w:t xml:space="preserve">16</w:t>
        </w:r>
      </w:hyperlink>
    </w:p>
    <w:p>
      <w:pPr>
        <w:pStyle w:val="toc2"/>
      </w:pPr>
      <w:hyperlink w:anchor="_Toc000131" w:history="1">
        <w:r>
          <w:t xml:space="preserve">10.8 BC-07 Collections</w:t>
        </w:r>
        <w:r>
          <w:t xml:space="preserve">	</w:t>
        </w:r>
        <w:r>
          <w:t xml:space="preserve">17</w:t>
        </w:r>
      </w:hyperlink>
    </w:p>
    <w:p>
      <w:pPr>
        <w:pStyle w:val="toc2"/>
      </w:pPr>
      <w:hyperlink w:anchor="_Toc000132" w:history="1">
        <w:r>
          <w:t xml:space="preserve">10.9 BC-08 Sanction screening</w:t>
        </w:r>
        <w:r>
          <w:t xml:space="preserve">	</w:t>
        </w:r>
        <w:r>
          <w:t xml:space="preserve">17</w:t>
        </w:r>
      </w:hyperlink>
    </w:p>
    <w:p>
      <w:pPr>
        <w:pStyle w:val="toc2"/>
      </w:pPr>
      <w:hyperlink w:anchor="_Toc000133" w:history="1">
        <w:r>
          <w:t xml:space="preserve">10.10 BC-09 Sign-in (EIAM outage)</w:t>
        </w:r>
        <w:r>
          <w:t xml:space="preserve">	</w:t>
        </w:r>
        <w:r>
          <w:t xml:space="preserve">17</w:t>
        </w:r>
      </w:hyperlink>
    </w:p>
    <w:p>
      <w:pPr>
        <w:pStyle w:val="toc2"/>
      </w:pPr>
      <w:hyperlink w:anchor="_Toc000134" w:history="1">
        <w:r>
          <w:t xml:space="preserve">10.11 Catch-up and reconciliation</w:t>
        </w:r>
        <w:r>
          <w:t xml:space="preserve">	</w:t>
        </w:r>
        <w:r>
          <w:t xml:space="preserve">17</w:t>
        </w:r>
      </w:hyperlink>
    </w:p>
    <w:p>
      <w:pPr>
        <w:pStyle w:val="toc1"/>
      </w:pPr>
      <w:hyperlink w:anchor="_Toc000135" w:history="1">
        <w:r>
          <w:t xml:space="preserve">11 Communication plan</w:t>
        </w:r>
        <w:r>
          <w:t xml:space="preserve">	</w:t>
        </w:r>
        <w:r>
          <w:t xml:space="preserve">18</w:t>
        </w:r>
      </w:hyperlink>
    </w:p>
    <w:p>
      <w:pPr>
        <w:pStyle w:val="toc1"/>
      </w:pPr>
      <w:hyperlink w:anchor="_Toc000136" w:history="1">
        <w:r>
          <w:t xml:space="preserve">12 Maintaining this plan</w:t>
        </w:r>
        <w:r>
          <w:t xml:space="preserve">	</w:t>
        </w:r>
        <w:r>
          <w:t xml:space="preserve">19</w:t>
        </w:r>
      </w:hyperlink>
    </w:p>
    <w:p>
      <w:pPr>
        <w:pStyle w:val="toc1"/>
      </w:pPr>
      <w:hyperlink w:anchor="_Toc000137" w:history="1">
        <w:r>
          <w:t xml:space="preserve">Decisions and open points for BDOI</w:t>
        </w:r>
        <w:r>
          <w:t xml:space="preserve">	</w:t>
        </w:r>
        <w:r>
          <w:t xml:space="preserve">20</w:t>
        </w:r>
      </w:hyperlink>
    </w:p>
    <w:p>
      <w:pPr>
        <w:pStyle w:val="toc1"/>
      </w:pPr>
      <w:hyperlink w:anchor="_Toc000138" w:history="1">
        <w:r>
          <w:t xml:space="preserve">Glossary</w:t>
        </w:r>
        <w:r>
          <w:t xml:space="preserve">	</w:t>
        </w:r>
        <w:r>
          <w:t xml:space="preserve">21</w:t>
        </w:r>
      </w:hyperlink>
    </w:p>
    <w:p>
      <w:pPr>
        <w:pStyle w:val="toc1"/>
      </w:pPr>
      <w:hyperlink w:anchor="_Toc000139" w:history="1">
        <w:r>
          <w:t xml:space="preserve">Sign-off</w:t>
        </w:r>
        <w:r>
          <w:t xml:space="preserve">	</w:t>
        </w:r>
        <w:r>
          <w:t xml:space="preserve">22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plan states how BIBS is recovered after an outage that the normal high availability of the platform does not absorb, and how BDOI keeps its key processes going while BIBS is not available. It fixes the recovery objectives per service tier and per scenario, the DR topology, the backup and replication scheme, the failover and failback procedures, the DR drills, the continuity procedures of cashiering, remittance, renewal letters and month-end, and the communication plan.</w:t>
      </w:r>
    </w:p>
    <w:p>
      <w:pPr>
        <w:pStyle w:val="Heading2"/>
      </w:pPr>
      <w:bookmarkStart w:id="103" w:name="_Toc000103"/>
      <w:r>
        <w:rPr/>
        <w:t>1.2 Audience</w:t>
      </w:r>
      <w:bookmarkEnd w:id="103"/>
    </w:p>
    <w:p>
      <w:r>
        <w:rPr/>
        <w:t>The DR authority and the BIBS Service Owner (decisions), BDO Cloud Operations and iorta TechNXT (recovery), BDOI application support (L2) and the business process owners (continuity procedures), and BDO Business Continuity Management (alignment with the group plan).</w:t>
      </w:r>
    </w:p>
    <w:p>
      <w:pPr>
        <w:pStyle w:val="Heading2"/>
      </w:pPr>
      <w:bookmarkStart w:id="104" w:name="_Toc000104"/>
      <w:r>
        <w:rPr/>
        <w:t>1.3 Scope</w:t>
      </w:r>
      <w:bookmarkEnd w:id="104"/>
    </w:p>
    <w:p>
      <w:r>
        <w:rPr/>
        <w:t>BIBS production in AWS ap-southeast-1 and its DR environment in the second region, all modules live in January 2028, the documents in S3 and the integrations. The legacy systems after the freeze, and the BDO systems on the other side of each interface (EIAM, Apigee X, CCM, bank channels, EGL, EDP), are covered by their own plans; this plan says what BDOI does with BIBS while one of them is down.</w:t>
      </w:r>
    </w:p>
    <w:p>
      <w:pPr>
        <w:pStyle w:val="Heading2"/>
      </w:pPr>
      <w:bookmarkStart w:id="105" w:name="_Toc000105"/>
      <w:r>
        <w:rPr/>
        <w:t>1.4 Reference documents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4445"/>
        <w:gridCol w:w="4926"/>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601"/>
            <w:tcMar>
              <w:top w:w="50" w:type="dxa"/>
              <w:bottom w:w="50" w:type="dxa"/>
              <w:left w:w="90" w:type="dxa"/>
              <w:right w:w="90" w:type="dxa"/>
            </w:tcMar>
          </w:tcPr>
          <w:p>
            <w:pPr>
              <w:pStyle w:val="BDOITable"/>
            </w:pPr>
            <w:r>
              <w:rPr>
                <w:b/>
                <w:sz w:val="18"/>
              </w:rPr>
              <w:t>R1</w:t>
            </w:r>
          </w:p>
        </w:tc>
        <w:tc>
          <w:tcPr>
            <w:tcW w:type="dxa" w:w="4445"/>
            <w:tcMar>
              <w:top w:w="50" w:type="dxa"/>
              <w:bottom w:w="50" w:type="dxa"/>
              <w:left w:w="90" w:type="dxa"/>
              <w:right w:w="90" w:type="dxa"/>
            </w:tcMar>
          </w:tcPr>
          <w:p>
            <w:pPr>
              <w:pStyle w:val="BDOITable"/>
            </w:pPr>
            <w:r>
              <w:rPr>
                <w:sz w:val="18"/>
              </w:rPr>
              <w:t>IER workbook v20 (BDOI IT), sheets HW and SW Requirements and DR</w:t>
            </w:r>
          </w:p>
        </w:tc>
        <w:tc>
          <w:tcPr>
            <w:tcW w:type="dxa" w:w="4926"/>
            <w:tcMar>
              <w:top w:w="50" w:type="dxa"/>
              <w:bottom w:w="50" w:type="dxa"/>
              <w:left w:w="90" w:type="dxa"/>
              <w:right w:w="90" w:type="dxa"/>
            </w:tcMar>
          </w:tcPr>
          <w:p>
            <w:pPr>
              <w:pStyle w:val="BDOITable"/>
            </w:pPr>
            <w:r>
              <w:rPr>
                <w:sz w:val="18"/>
              </w:rPr>
              <w:t>RPO 15 minutes; DR standby with asynchronous replication</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R2</w:t>
            </w:r>
          </w:p>
        </w:tc>
        <w:tc>
          <w:tcPr>
            <w:tcW w:type="dxa" w:w="4445"/>
            <w:tcMar>
              <w:top w:w="50" w:type="dxa"/>
              <w:bottom w:w="50" w:type="dxa"/>
              <w:left w:w="90" w:type="dxa"/>
              <w:right w:w="90" w:type="dxa"/>
            </w:tcMar>
            <w:shd w:val="clear" w:color="auto" w:fill="E5F5FF"/>
          </w:tcPr>
          <w:p>
            <w:pPr>
              <w:pStyle w:val="BDOITable"/>
            </w:pPr>
            <w:r>
              <w:rPr>
                <w:sz w:val="18"/>
              </w:rPr>
              <w:t>BRD Discrepancy and Clarification Register v1.2, DCR-133 to DCR-136, DCR-225, DCR-228</w:t>
            </w:r>
          </w:p>
        </w:tc>
        <w:tc>
          <w:tcPr>
            <w:tcW w:type="dxa" w:w="4926"/>
            <w:tcMar>
              <w:top w:w="50" w:type="dxa"/>
              <w:bottom w:w="50" w:type="dxa"/>
              <w:left w:w="90" w:type="dxa"/>
              <w:right w:w="90" w:type="dxa"/>
            </w:tcMar>
            <w:shd w:val="clear" w:color="auto" w:fill="E5F5FF"/>
          </w:tcPr>
          <w:p>
            <w:pPr>
              <w:pStyle w:val="BDOITable"/>
            </w:pPr>
            <w:r>
              <w:rPr>
                <w:sz w:val="18"/>
              </w:rPr>
              <w:t>Service window, availability, RPO and RTO, DR region, backup retention, Valkey mode</w:t>
            </w:r>
          </w:p>
        </w:tc>
      </w:tr>
      <w:tr>
        <w:trPr>
          <w:cantSplit w:val="true"/>
        </w:trPr>
        <w:tc>
          <w:tcPr>
            <w:tcW w:type="dxa" w:w="601"/>
            <w:tcMar>
              <w:top w:w="50" w:type="dxa"/>
              <w:bottom w:w="50" w:type="dxa"/>
              <w:left w:w="90" w:type="dxa"/>
              <w:right w:w="90" w:type="dxa"/>
            </w:tcMar>
          </w:tcPr>
          <w:p>
            <w:pPr>
              <w:pStyle w:val="BDOITable"/>
            </w:pPr>
            <w:r>
              <w:rPr>
                <w:b/>
                <w:sz w:val="18"/>
              </w:rPr>
              <w:t>R3</w:t>
            </w:r>
          </w:p>
        </w:tc>
        <w:tc>
          <w:tcPr>
            <w:tcW w:type="dxa" w:w="4445"/>
            <w:tcMar>
              <w:top w:w="50" w:type="dxa"/>
              <w:bottom w:w="50" w:type="dxa"/>
              <w:left w:w="90" w:type="dxa"/>
              <w:right w:w="90" w:type="dxa"/>
            </w:tcMar>
          </w:tcPr>
          <w:p>
            <w:pPr>
              <w:pStyle w:val="BDOITable"/>
            </w:pPr>
            <w:r>
              <w:rPr>
                <w:sz w:val="18"/>
              </w:rPr>
              <w:t>FRS BRD-00 Core Replacement v1.0, chapter Non-functional requirements</w:t>
            </w:r>
          </w:p>
        </w:tc>
        <w:tc>
          <w:tcPr>
            <w:tcW w:type="dxa" w:w="4926"/>
            <w:tcMar>
              <w:top w:w="50" w:type="dxa"/>
              <w:bottom w:w="50" w:type="dxa"/>
              <w:left w:w="90" w:type="dxa"/>
              <w:right w:w="90" w:type="dxa"/>
            </w:tcMar>
          </w:tcPr>
          <w:p>
            <w:pPr>
              <w:pStyle w:val="BDOITable"/>
            </w:pPr>
            <w:r>
              <w:rPr>
                <w:sz w:val="18"/>
              </w:rPr>
              <w:t>Availability, backup and retention targets; hosting in ap-southeast-1 with access from the Philippines</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R4</w:t>
            </w:r>
          </w:p>
        </w:tc>
        <w:tc>
          <w:tcPr>
            <w:tcW w:type="dxa" w:w="4445"/>
            <w:tcMar>
              <w:top w:w="50" w:type="dxa"/>
              <w:bottom w:w="50" w:type="dxa"/>
              <w:left w:w="90" w:type="dxa"/>
              <w:right w:w="90" w:type="dxa"/>
            </w:tcMar>
            <w:shd w:val="clear" w:color="auto" w:fill="E5F5FF"/>
          </w:tcPr>
          <w:p>
            <w:pPr>
              <w:pStyle w:val="BDOITable"/>
            </w:pPr>
            <w:r>
              <w:rPr>
                <w:sz w:val="18"/>
              </w:rPr>
              <w:t>Programme Alignment - Drops, Integrations and Infrastructure v1.0</w:t>
            </w:r>
          </w:p>
        </w:tc>
        <w:tc>
          <w:tcPr>
            <w:tcW w:type="dxa" w:w="4926"/>
            <w:tcMar>
              <w:top w:w="50" w:type="dxa"/>
              <w:bottom w:w="50" w:type="dxa"/>
              <w:left w:w="90" w:type="dxa"/>
              <w:right w:w="90" w:type="dxa"/>
            </w:tcMar>
            <w:shd w:val="clear" w:color="auto" w:fill="E5F5FF"/>
          </w:tcPr>
          <w:p>
            <w:pPr>
              <w:pStyle w:val="BDOITable"/>
            </w:pPr>
            <w:r>
              <w:rPr>
                <w:sz w:val="18"/>
              </w:rPr>
              <w:t>Environments, Kubernetes sizing including DR, component baseline</w:t>
            </w:r>
          </w:p>
        </w:tc>
      </w:tr>
      <w:tr>
        <w:trPr>
          <w:cantSplit w:val="true"/>
        </w:trPr>
        <w:tc>
          <w:tcPr>
            <w:tcW w:type="dxa" w:w="601"/>
            <w:tcMar>
              <w:top w:w="50" w:type="dxa"/>
              <w:bottom w:w="50" w:type="dxa"/>
              <w:left w:w="90" w:type="dxa"/>
              <w:right w:w="90" w:type="dxa"/>
            </w:tcMar>
          </w:tcPr>
          <w:p>
            <w:pPr>
              <w:pStyle w:val="BDOITable"/>
            </w:pPr>
            <w:r>
              <w:rPr>
                <w:b/>
                <w:sz w:val="18"/>
              </w:rPr>
              <w:t>R5</w:t>
            </w:r>
          </w:p>
        </w:tc>
        <w:tc>
          <w:tcPr>
            <w:tcW w:type="dxa" w:w="4445"/>
            <w:tcMar>
              <w:top w:w="50" w:type="dxa"/>
              <w:bottom w:w="50" w:type="dxa"/>
              <w:left w:w="90" w:type="dxa"/>
              <w:right w:w="90" w:type="dxa"/>
            </w:tcMar>
          </w:tcPr>
          <w:p>
            <w:pPr>
              <w:pStyle w:val="BDOITable"/>
            </w:pPr>
            <w:r>
              <w:rPr>
                <w:sz w:val="18"/>
              </w:rPr>
              <w:t>Document storage proposal (approved 26 September 2026)</w:t>
            </w:r>
          </w:p>
        </w:tc>
        <w:tc>
          <w:tcPr>
            <w:tcW w:type="dxa" w:w="4926"/>
            <w:tcMar>
              <w:top w:w="50" w:type="dxa"/>
              <w:bottom w:w="50" w:type="dxa"/>
              <w:left w:w="90" w:type="dxa"/>
              <w:right w:w="90" w:type="dxa"/>
            </w:tcMar>
          </w:tcPr>
          <w:p>
            <w:pPr>
              <w:pStyle w:val="BDOITable"/>
            </w:pPr>
            <w:r>
              <w:rPr>
                <w:sz w:val="18"/>
              </w:rPr>
              <w:t>S3 replication with replication time control, Object Lock, BDOI keys</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R6</w:t>
            </w:r>
          </w:p>
        </w:tc>
        <w:tc>
          <w:tcPr>
            <w:tcW w:type="dxa" w:w="4445"/>
            <w:tcMar>
              <w:top w:w="50" w:type="dxa"/>
              <w:bottom w:w="50" w:type="dxa"/>
              <w:left w:w="90" w:type="dxa"/>
              <w:right w:w="90" w:type="dxa"/>
            </w:tcMar>
            <w:shd w:val="clear" w:color="auto" w:fill="E5F5FF"/>
          </w:tcPr>
          <w:p>
            <w:pPr>
              <w:pStyle w:val="BDOITable"/>
            </w:pPr>
            <w:r>
              <w:rPr>
                <w:sz w:val="18"/>
              </w:rPr>
              <w:t>Operations Runbook and Observability v1.0</w:t>
            </w:r>
          </w:p>
        </w:tc>
        <w:tc>
          <w:tcPr>
            <w:tcW w:type="dxa" w:w="4926"/>
            <w:tcMar>
              <w:top w:w="50" w:type="dxa"/>
              <w:bottom w:w="50" w:type="dxa"/>
              <w:left w:w="90" w:type="dxa"/>
              <w:right w:w="90" w:type="dxa"/>
            </w:tcMar>
            <w:shd w:val="clear" w:color="auto" w:fill="E5F5FF"/>
          </w:tcPr>
          <w:p>
            <w:pPr>
              <w:pStyle w:val="BDOITable"/>
            </w:pPr>
            <w:r>
              <w:rPr>
                <w:sz w:val="18"/>
              </w:rPr>
              <w:t>Backups, restore tests, alerts, playbooks</w:t>
            </w:r>
          </w:p>
        </w:tc>
      </w:tr>
      <w:tr>
        <w:trPr>
          <w:cantSplit w:val="true"/>
        </w:trPr>
        <w:tc>
          <w:tcPr>
            <w:tcW w:type="dxa" w:w="601"/>
            <w:tcMar>
              <w:top w:w="50" w:type="dxa"/>
              <w:bottom w:w="50" w:type="dxa"/>
              <w:left w:w="90" w:type="dxa"/>
              <w:right w:w="90" w:type="dxa"/>
            </w:tcMar>
          </w:tcPr>
          <w:p>
            <w:pPr>
              <w:pStyle w:val="BDOITable"/>
            </w:pPr>
            <w:r>
              <w:rPr>
                <w:b/>
                <w:sz w:val="18"/>
              </w:rPr>
              <w:t>R7</w:t>
            </w:r>
          </w:p>
        </w:tc>
        <w:tc>
          <w:tcPr>
            <w:tcW w:type="dxa" w:w="4445"/>
            <w:tcMar>
              <w:top w:w="50" w:type="dxa"/>
              <w:bottom w:w="50" w:type="dxa"/>
              <w:left w:w="90" w:type="dxa"/>
              <w:right w:w="90" w:type="dxa"/>
            </w:tcMar>
          </w:tcPr>
          <w:p>
            <w:pPr>
              <w:pStyle w:val="BDOITable"/>
            </w:pPr>
            <w:r>
              <w:rPr>
                <w:sz w:val="18"/>
              </w:rPr>
              <w:t>Support Model and Support Guide v1.0</w:t>
            </w:r>
          </w:p>
        </w:tc>
        <w:tc>
          <w:tcPr>
            <w:tcW w:type="dxa" w:w="4926"/>
            <w:tcMar>
              <w:top w:w="50" w:type="dxa"/>
              <w:bottom w:w="50" w:type="dxa"/>
              <w:left w:w="90" w:type="dxa"/>
              <w:right w:w="90" w:type="dxa"/>
            </w:tcMar>
          </w:tcPr>
          <w:p>
            <w:pPr>
              <w:pStyle w:val="BDOITable"/>
            </w:pPr>
            <w:r>
              <w:rPr>
                <w:sz w:val="18"/>
              </w:rPr>
              <w:t>Severities, major incident, escalation</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R8</w:t>
            </w:r>
          </w:p>
        </w:tc>
        <w:tc>
          <w:tcPr>
            <w:tcW w:type="dxa" w:w="4445"/>
            <w:tcMar>
              <w:top w:w="50" w:type="dxa"/>
              <w:bottom w:w="50" w:type="dxa"/>
              <w:left w:w="90" w:type="dxa"/>
              <w:right w:w="90" w:type="dxa"/>
            </w:tcMar>
            <w:shd w:val="clear" w:color="auto" w:fill="E5F5FF"/>
          </w:tcPr>
          <w:p>
            <w:pPr>
              <w:pStyle w:val="BDOITable"/>
            </w:pPr>
            <w:r>
              <w:rPr>
                <w:sz w:val="18"/>
              </w:rPr>
              <w:t>Data Migration Handbook BRD-13 v2.1</w:t>
            </w:r>
          </w:p>
        </w:tc>
        <w:tc>
          <w:tcPr>
            <w:tcW w:type="dxa" w:w="4926"/>
            <w:tcMar>
              <w:top w:w="50" w:type="dxa"/>
              <w:bottom w:w="50" w:type="dxa"/>
              <w:left w:w="90" w:type="dxa"/>
              <w:right w:w="90" w:type="dxa"/>
            </w:tcMar>
            <w:shd w:val="clear" w:color="auto" w:fill="E5F5FF"/>
          </w:tcPr>
          <w:p>
            <w:pPr>
              <w:pStyle w:val="BDOITable"/>
            </w:pPr>
            <w:r>
              <w:rPr>
                <w:sz w:val="18"/>
              </w:rPr>
              <w:t>Rollback point of the cutover, legacy read-only access</w:t>
            </w:r>
          </w:p>
        </w:tc>
      </w:tr>
    </w:tbl>
    <w:p>
      <w:pPr>
        <w:pStyle w:val="BDOISpacer"/>
      </w:pPr>
    </w:p>
    <w:p>
      <w:pPr>
        <w:pStyle w:val="Heading1"/>
        <w:pageBreakBefore/>
        <w:pBdr>
          <w:bottom w:val="single" w:sz="4" w:space="4" w:color="99C1E7"/>
        </w:pBdr>
      </w:pPr>
      <w:bookmarkStart w:id="106" w:name="_Toc000106"/>
      <w:r>
        <w:rPr/>
        <w:t>2 What must be recovered</w:t>
      </w:r>
      <w:bookmarkEnd w:id="106"/>
    </w:p>
    <w:p>
      <w:pPr>
        <w:pStyle w:val="Heading2"/>
      </w:pPr>
      <w:bookmarkStart w:id="107" w:name="_Toc000107"/>
      <w:r>
        <w:rPr/>
        <w:t>2.1 Critical business processes</w:t>
      </w:r>
      <w:bookmarkEnd w:id="107"/>
    </w:p>
    <w:p>
      <w:pPr>
        <w:pStyle w:val="Caption"/>
        <w:keepNext/>
        <w:spacing w:after="60"/>
      </w:pPr>
      <w:r>
        <w:rPr>
          <w:b/>
          <w:i w:val="0"/>
        </w:rPr>
        <w:t xml:space="preserve">Table 2: </w:t>
      </w:r>
      <w:r>
        <w:rPr/>
        <w:t>Critical business processes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042"/>
        <w:gridCol w:w="1441"/>
        <w:gridCol w:w="2042"/>
        <w:gridCol w:w="2283"/>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Process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Tolerable outage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Peak periods</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Continuity procedure (chapter 10)</w:t>
            </w:r>
          </w:p>
        </w:tc>
      </w:tr>
      <w:tr>
        <w:trPr>
          <w:cantSplit w:val="true"/>
        </w:trPr>
        <w:tc>
          <w:tcPr>
            <w:tcW w:type="dxa" w:w="2163"/>
            <w:tcMar>
              <w:top w:w="50" w:type="dxa"/>
              <w:bottom w:w="50" w:type="dxa"/>
              <w:left w:w="90" w:type="dxa"/>
              <w:right w:w="90" w:type="dxa"/>
            </w:tcMar>
          </w:tcPr>
          <w:p>
            <w:pPr>
              <w:pStyle w:val="BDOITable"/>
            </w:pPr>
            <w:r>
              <w:rPr>
                <w:b/>
                <w:sz w:val="17"/>
              </w:rPr>
              <w:t>Cashiering: receipts, payment application, payment uploads, PDCs</w:t>
            </w:r>
          </w:p>
        </w:tc>
        <w:tc>
          <w:tcPr>
            <w:tcW w:type="dxa" w:w="2042"/>
            <w:tcMar>
              <w:top w:w="50" w:type="dxa"/>
              <w:bottom w:w="50" w:type="dxa"/>
              <w:left w:w="90" w:type="dxa"/>
              <w:right w:w="90" w:type="dxa"/>
            </w:tcMar>
          </w:tcPr>
          <w:p>
            <w:pPr>
              <w:pStyle w:val="BDOITable"/>
            </w:pPr>
            <w:r>
              <w:rPr>
                <w:sz w:val="17"/>
              </w:rPr>
              <w:t>Head, Operations (Cashiering)</w:t>
            </w:r>
          </w:p>
        </w:tc>
        <w:tc>
          <w:tcPr>
            <w:tcW w:type="dxa" w:w="1442"/>
            <w:tcMar>
              <w:top w:w="50" w:type="dxa"/>
              <w:bottom w:w="50" w:type="dxa"/>
              <w:left w:w="90" w:type="dxa"/>
              <w:right w:w="90" w:type="dxa"/>
            </w:tcMar>
          </w:tcPr>
          <w:p>
            <w:pPr>
              <w:pStyle w:val="BDOITable"/>
            </w:pPr>
            <w:r>
              <w:rPr>
                <w:sz w:val="17"/>
              </w:rPr>
              <w:t>4 hours</w:t>
            </w:r>
          </w:p>
        </w:tc>
        <w:tc>
          <w:tcPr>
            <w:tcW w:type="dxa" w:w="2042"/>
            <w:tcMar>
              <w:top w:w="50" w:type="dxa"/>
              <w:bottom w:w="50" w:type="dxa"/>
              <w:left w:w="90" w:type="dxa"/>
              <w:right w:w="90" w:type="dxa"/>
            </w:tcMar>
          </w:tcPr>
          <w:p>
            <w:pPr>
              <w:pStyle w:val="BDOITable"/>
            </w:pPr>
            <w:r>
              <w:rPr>
                <w:sz w:val="17"/>
              </w:rPr>
              <w:t>Daily 09:00-15:00; month-end; January</w:t>
            </w:r>
          </w:p>
        </w:tc>
        <w:tc>
          <w:tcPr>
            <w:tcW w:type="dxa" w:w="2283"/>
            <w:tcMar>
              <w:top w:w="50" w:type="dxa"/>
              <w:bottom w:w="50" w:type="dxa"/>
              <w:left w:w="90" w:type="dxa"/>
              <w:right w:w="90" w:type="dxa"/>
            </w:tcMar>
          </w:tcPr>
          <w:p>
            <w:pPr>
              <w:pStyle w:val="BDOITable"/>
            </w:pPr>
            <w:r>
              <w:rPr>
                <w:sz w:val="17"/>
              </w:rPr>
              <w:t>BC-01</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Remittance to insurers</w:t>
            </w:r>
          </w:p>
        </w:tc>
        <w:tc>
          <w:tcPr>
            <w:tcW w:type="dxa" w:w="2042"/>
            <w:tcMar>
              <w:top w:w="50" w:type="dxa"/>
              <w:bottom w:w="50" w:type="dxa"/>
              <w:left w:w="90" w:type="dxa"/>
              <w:right w:w="90" w:type="dxa"/>
            </w:tcMar>
            <w:shd w:val="clear" w:color="auto" w:fill="E5F5FF"/>
          </w:tcPr>
          <w:p>
            <w:pPr>
              <w:pStyle w:val="BDOITable"/>
            </w:pPr>
            <w:r>
              <w:rPr>
                <w:sz w:val="17"/>
              </w:rPr>
              <w:t>Head, Operations (Remittance)</w:t>
            </w:r>
          </w:p>
        </w:tc>
        <w:tc>
          <w:tcPr>
            <w:tcW w:type="dxa" w:w="1442"/>
            <w:tcMar>
              <w:top w:w="50" w:type="dxa"/>
              <w:bottom w:w="50" w:type="dxa"/>
              <w:left w:w="90" w:type="dxa"/>
              <w:right w:w="90" w:type="dxa"/>
            </w:tcMar>
            <w:shd w:val="clear" w:color="auto" w:fill="E5F5FF"/>
          </w:tcPr>
          <w:p>
            <w:pPr>
              <w:pStyle w:val="BDOITable"/>
            </w:pPr>
            <w:r>
              <w:rPr>
                <w:sz w:val="17"/>
              </w:rPr>
              <w:t>1 business day</w:t>
            </w:r>
          </w:p>
        </w:tc>
        <w:tc>
          <w:tcPr>
            <w:tcW w:type="dxa" w:w="2042"/>
            <w:tcMar>
              <w:top w:w="50" w:type="dxa"/>
              <w:bottom w:w="50" w:type="dxa"/>
              <w:left w:w="90" w:type="dxa"/>
              <w:right w:w="90" w:type="dxa"/>
            </w:tcMar>
            <w:shd w:val="clear" w:color="auto" w:fill="E5F5FF"/>
          </w:tcPr>
          <w:p>
            <w:pPr>
              <w:pStyle w:val="BDOITable"/>
            </w:pPr>
            <w:r>
              <w:rPr>
                <w:sz w:val="17"/>
              </w:rPr>
              <w:t>Insurer remittance due dates; month-end</w:t>
            </w:r>
          </w:p>
        </w:tc>
        <w:tc>
          <w:tcPr>
            <w:tcW w:type="dxa" w:w="2283"/>
            <w:tcMar>
              <w:top w:w="50" w:type="dxa"/>
              <w:bottom w:w="50" w:type="dxa"/>
              <w:left w:w="90" w:type="dxa"/>
              <w:right w:w="90" w:type="dxa"/>
            </w:tcMar>
            <w:shd w:val="clear" w:color="auto" w:fill="E5F5FF"/>
          </w:tcPr>
          <w:p>
            <w:pPr>
              <w:pStyle w:val="BDOITable"/>
            </w:pPr>
            <w:r>
              <w:rPr>
                <w:sz w:val="17"/>
              </w:rPr>
              <w:t>BC-02</w:t>
            </w:r>
          </w:p>
        </w:tc>
      </w:tr>
      <w:tr>
        <w:trPr>
          <w:cantSplit w:val="true"/>
        </w:trPr>
        <w:tc>
          <w:tcPr>
            <w:tcW w:type="dxa" w:w="2163"/>
            <w:tcMar>
              <w:top w:w="50" w:type="dxa"/>
              <w:bottom w:w="50" w:type="dxa"/>
              <w:left w:w="90" w:type="dxa"/>
              <w:right w:w="90" w:type="dxa"/>
            </w:tcMar>
          </w:tcPr>
          <w:p>
            <w:pPr>
              <w:pStyle w:val="BDOITable"/>
            </w:pPr>
            <w:r>
              <w:rPr>
                <w:b/>
                <w:sz w:val="17"/>
              </w:rPr>
              <w:t>Booking and policy issuance</w:t>
            </w:r>
          </w:p>
        </w:tc>
        <w:tc>
          <w:tcPr>
            <w:tcW w:type="dxa" w:w="2042"/>
            <w:tcMar>
              <w:top w:w="50" w:type="dxa"/>
              <w:bottom w:w="50" w:type="dxa"/>
              <w:left w:w="90" w:type="dxa"/>
              <w:right w:w="90" w:type="dxa"/>
            </w:tcMar>
          </w:tcPr>
          <w:p>
            <w:pPr>
              <w:pStyle w:val="BDOITable"/>
            </w:pPr>
            <w:r>
              <w:rPr>
                <w:sz w:val="17"/>
              </w:rPr>
              <w:t>Heads of Retail and Corporate Marketing</w:t>
            </w:r>
          </w:p>
        </w:tc>
        <w:tc>
          <w:tcPr>
            <w:tcW w:type="dxa" w:w="1442"/>
            <w:tcMar>
              <w:top w:w="50" w:type="dxa"/>
              <w:bottom w:w="50" w:type="dxa"/>
              <w:left w:w="90" w:type="dxa"/>
              <w:right w:w="90" w:type="dxa"/>
            </w:tcMar>
          </w:tcPr>
          <w:p>
            <w:pPr>
              <w:pStyle w:val="BDOITable"/>
            </w:pPr>
            <w:r>
              <w:rPr>
                <w:sz w:val="17"/>
              </w:rPr>
              <w:t>1 business day</w:t>
            </w:r>
          </w:p>
        </w:tc>
        <w:tc>
          <w:tcPr>
            <w:tcW w:type="dxa" w:w="2042"/>
            <w:tcMar>
              <w:top w:w="50" w:type="dxa"/>
              <w:bottom w:w="50" w:type="dxa"/>
              <w:left w:w="90" w:type="dxa"/>
              <w:right w:w="90" w:type="dxa"/>
            </w:tcMar>
          </w:tcPr>
          <w:p>
            <w:pPr>
              <w:pStyle w:val="BDOITable"/>
            </w:pPr>
            <w:r>
              <w:rPr>
                <w:sz w:val="17"/>
              </w:rPr>
              <w:t>January renewal peak</w:t>
            </w:r>
          </w:p>
        </w:tc>
        <w:tc>
          <w:tcPr>
            <w:tcW w:type="dxa" w:w="2283"/>
            <w:tcMar>
              <w:top w:w="50" w:type="dxa"/>
              <w:bottom w:w="50" w:type="dxa"/>
              <w:left w:w="90" w:type="dxa"/>
              <w:right w:w="90" w:type="dxa"/>
            </w:tcMar>
          </w:tcPr>
          <w:p>
            <w:pPr>
              <w:pStyle w:val="BDOITable"/>
            </w:pPr>
            <w:r>
              <w:rPr>
                <w:sz w:val="17"/>
              </w:rPr>
              <w:t>BC-05</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Renewal: extraction, renewal advices and letters, insurer requests</w:t>
            </w:r>
          </w:p>
        </w:tc>
        <w:tc>
          <w:tcPr>
            <w:tcW w:type="dxa" w:w="2042"/>
            <w:tcMar>
              <w:top w:w="50" w:type="dxa"/>
              <w:bottom w:w="50" w:type="dxa"/>
              <w:left w:w="90" w:type="dxa"/>
              <w:right w:w="90" w:type="dxa"/>
            </w:tcMar>
            <w:shd w:val="clear" w:color="auto" w:fill="E5F5FF"/>
          </w:tcPr>
          <w:p>
            <w:pPr>
              <w:pStyle w:val="BDOITable"/>
            </w:pPr>
            <w:r>
              <w:rPr>
                <w:sz w:val="17"/>
              </w:rPr>
              <w:t>Head of the Renewal processing team</w:t>
            </w:r>
          </w:p>
        </w:tc>
        <w:tc>
          <w:tcPr>
            <w:tcW w:type="dxa" w:w="1442"/>
            <w:tcMar>
              <w:top w:w="50" w:type="dxa"/>
              <w:bottom w:w="50" w:type="dxa"/>
              <w:left w:w="90" w:type="dxa"/>
              <w:right w:w="90" w:type="dxa"/>
            </w:tcMar>
            <w:shd w:val="clear" w:color="auto" w:fill="E5F5FF"/>
          </w:tcPr>
          <w:p>
            <w:pPr>
              <w:pStyle w:val="BDOITable"/>
            </w:pPr>
            <w:r>
              <w:rPr>
                <w:sz w:val="17"/>
              </w:rPr>
              <w:t>1 business day (expiries within 7 days: 4 hours)</w:t>
            </w:r>
          </w:p>
        </w:tc>
        <w:tc>
          <w:tcPr>
            <w:tcW w:type="dxa" w:w="2042"/>
            <w:tcMar>
              <w:top w:w="50" w:type="dxa"/>
              <w:bottom w:w="50" w:type="dxa"/>
              <w:left w:w="90" w:type="dxa"/>
              <w:right w:w="90" w:type="dxa"/>
            </w:tcMar>
            <w:shd w:val="clear" w:color="auto" w:fill="E5F5FF"/>
          </w:tcPr>
          <w:p>
            <w:pPr>
              <w:pStyle w:val="BDOITable"/>
            </w:pPr>
            <w:r>
              <w:rPr>
                <w:sz w:val="17"/>
              </w:rPr>
              <w:t>January to May; daily 01:00 extraction</w:t>
            </w:r>
          </w:p>
        </w:tc>
        <w:tc>
          <w:tcPr>
            <w:tcW w:type="dxa" w:w="2283"/>
            <w:tcMar>
              <w:top w:w="50" w:type="dxa"/>
              <w:bottom w:w="50" w:type="dxa"/>
              <w:left w:w="90" w:type="dxa"/>
              <w:right w:w="90" w:type="dxa"/>
            </w:tcMar>
            <w:shd w:val="clear" w:color="auto" w:fill="E5F5FF"/>
          </w:tcPr>
          <w:p>
            <w:pPr>
              <w:pStyle w:val="BDOITable"/>
            </w:pPr>
            <w:r>
              <w:rPr>
                <w:sz w:val="17"/>
              </w:rPr>
              <w:t>BC-03</w:t>
            </w:r>
          </w:p>
        </w:tc>
      </w:tr>
      <w:tr>
        <w:trPr>
          <w:cantSplit w:val="true"/>
        </w:trPr>
        <w:tc>
          <w:tcPr>
            <w:tcW w:type="dxa" w:w="2163"/>
            <w:tcMar>
              <w:top w:w="50" w:type="dxa"/>
              <w:bottom w:w="50" w:type="dxa"/>
              <w:left w:w="90" w:type="dxa"/>
              <w:right w:w="90" w:type="dxa"/>
            </w:tcMar>
          </w:tcPr>
          <w:p>
            <w:pPr>
              <w:pStyle w:val="BDOITable"/>
            </w:pPr>
            <w:r>
              <w:rPr>
                <w:b/>
                <w:sz w:val="17"/>
              </w:rPr>
              <w:t>Accounting: GL posting, month-end close, BIR books</w:t>
            </w:r>
          </w:p>
        </w:tc>
        <w:tc>
          <w:tcPr>
            <w:tcW w:type="dxa" w:w="2042"/>
            <w:tcMar>
              <w:top w:w="50" w:type="dxa"/>
              <w:bottom w:w="50" w:type="dxa"/>
              <w:left w:w="90" w:type="dxa"/>
              <w:right w:w="90" w:type="dxa"/>
            </w:tcMar>
          </w:tcPr>
          <w:p>
            <w:pPr>
              <w:pStyle w:val="BDOITable"/>
            </w:pPr>
            <w:r>
              <w:rPr>
                <w:sz w:val="17"/>
              </w:rPr>
              <w:t>Head, Comptrollership</w:t>
            </w:r>
          </w:p>
        </w:tc>
        <w:tc>
          <w:tcPr>
            <w:tcW w:type="dxa" w:w="1442"/>
            <w:tcMar>
              <w:top w:w="50" w:type="dxa"/>
              <w:bottom w:w="50" w:type="dxa"/>
              <w:left w:w="90" w:type="dxa"/>
              <w:right w:w="90" w:type="dxa"/>
            </w:tcMar>
          </w:tcPr>
          <w:p>
            <w:pPr>
              <w:pStyle w:val="BDOITable"/>
            </w:pPr>
            <w:r>
              <w:rPr>
                <w:sz w:val="17"/>
              </w:rPr>
              <w:t>1 business day; 4 hours on the last and first business days of a month</w:t>
            </w:r>
          </w:p>
        </w:tc>
        <w:tc>
          <w:tcPr>
            <w:tcW w:type="dxa" w:w="2042"/>
            <w:tcMar>
              <w:top w:w="50" w:type="dxa"/>
              <w:bottom w:w="50" w:type="dxa"/>
              <w:left w:w="90" w:type="dxa"/>
              <w:right w:w="90" w:type="dxa"/>
            </w:tcMar>
          </w:tcPr>
          <w:p>
            <w:pPr>
              <w:pStyle w:val="BDOITable"/>
            </w:pPr>
            <w:r>
              <w:rPr>
                <w:sz w:val="17"/>
              </w:rPr>
              <w:t>Month-end; year-end; BIR deadlines</w:t>
            </w:r>
          </w:p>
        </w:tc>
        <w:tc>
          <w:tcPr>
            <w:tcW w:type="dxa" w:w="2283"/>
            <w:tcMar>
              <w:top w:w="50" w:type="dxa"/>
              <w:bottom w:w="50" w:type="dxa"/>
              <w:left w:w="90" w:type="dxa"/>
              <w:right w:w="90" w:type="dxa"/>
            </w:tcMar>
          </w:tcPr>
          <w:p>
            <w:pPr>
              <w:pStyle w:val="BDOITable"/>
            </w:pPr>
            <w:r>
              <w:rPr>
                <w:sz w:val="17"/>
              </w:rPr>
              <w:t>BC-04</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Disbursement: payment release to payees and insurers</w:t>
            </w:r>
          </w:p>
        </w:tc>
        <w:tc>
          <w:tcPr>
            <w:tcW w:type="dxa" w:w="2042"/>
            <w:tcMar>
              <w:top w:w="50" w:type="dxa"/>
              <w:bottom w:w="50" w:type="dxa"/>
              <w:left w:w="90" w:type="dxa"/>
              <w:right w:w="90" w:type="dxa"/>
            </w:tcMar>
            <w:shd w:val="clear" w:color="auto" w:fill="E5F5FF"/>
          </w:tcPr>
          <w:p>
            <w:pPr>
              <w:pStyle w:val="BDOITable"/>
            </w:pPr>
            <w:r>
              <w:rPr>
                <w:sz w:val="17"/>
              </w:rPr>
              <w:t>Head, Comptrollership (Disbursement)</w:t>
            </w:r>
          </w:p>
        </w:tc>
        <w:tc>
          <w:tcPr>
            <w:tcW w:type="dxa" w:w="1442"/>
            <w:tcMar>
              <w:top w:w="50" w:type="dxa"/>
              <w:bottom w:w="50" w:type="dxa"/>
              <w:left w:w="90" w:type="dxa"/>
              <w:right w:w="90" w:type="dxa"/>
            </w:tcMar>
            <w:shd w:val="clear" w:color="auto" w:fill="E5F5FF"/>
          </w:tcPr>
          <w:p>
            <w:pPr>
              <w:pStyle w:val="BDOITable"/>
            </w:pPr>
            <w:r>
              <w:rPr>
                <w:sz w:val="17"/>
              </w:rPr>
              <w:t>1 business day</w:t>
            </w:r>
          </w:p>
        </w:tc>
        <w:tc>
          <w:tcPr>
            <w:tcW w:type="dxa" w:w="2042"/>
            <w:tcMar>
              <w:top w:w="50" w:type="dxa"/>
              <w:bottom w:w="50" w:type="dxa"/>
              <w:left w:w="90" w:type="dxa"/>
              <w:right w:w="90" w:type="dxa"/>
            </w:tcMar>
            <w:shd w:val="clear" w:color="auto" w:fill="E5F5FF"/>
          </w:tcPr>
          <w:p>
            <w:pPr>
              <w:pStyle w:val="BDOITable"/>
            </w:pPr>
            <w:r>
              <w:rPr>
                <w:sz w:val="17"/>
              </w:rPr>
              <w:t>Month-end</w:t>
            </w:r>
          </w:p>
        </w:tc>
        <w:tc>
          <w:tcPr>
            <w:tcW w:type="dxa" w:w="2283"/>
            <w:tcMar>
              <w:top w:w="50" w:type="dxa"/>
              <w:bottom w:w="50" w:type="dxa"/>
              <w:left w:w="90" w:type="dxa"/>
              <w:right w:w="90" w:type="dxa"/>
            </w:tcMar>
            <w:shd w:val="clear" w:color="auto" w:fill="E5F5FF"/>
          </w:tcPr>
          <w:p>
            <w:pPr>
              <w:pStyle w:val="BDOITable"/>
            </w:pPr>
            <w:r>
              <w:rPr>
                <w:sz w:val="17"/>
              </w:rPr>
              <w:t>BC-06</w:t>
            </w:r>
          </w:p>
        </w:tc>
      </w:tr>
      <w:tr>
        <w:trPr>
          <w:cantSplit w:val="true"/>
        </w:trPr>
        <w:tc>
          <w:tcPr>
            <w:tcW w:type="dxa" w:w="2163"/>
            <w:tcMar>
              <w:top w:w="50" w:type="dxa"/>
              <w:bottom w:w="50" w:type="dxa"/>
              <w:left w:w="90" w:type="dxa"/>
              <w:right w:w="90" w:type="dxa"/>
            </w:tcMar>
          </w:tcPr>
          <w:p>
            <w:pPr>
              <w:pStyle w:val="BDOITable"/>
            </w:pPr>
            <w:r>
              <w:rPr>
                <w:b/>
                <w:sz w:val="17"/>
              </w:rPr>
              <w:t>Collections: worklist, files for the bank</w:t>
            </w:r>
          </w:p>
        </w:tc>
        <w:tc>
          <w:tcPr>
            <w:tcW w:type="dxa" w:w="2042"/>
            <w:tcMar>
              <w:top w:w="50" w:type="dxa"/>
              <w:bottom w:w="50" w:type="dxa"/>
              <w:left w:w="90" w:type="dxa"/>
              <w:right w:w="90" w:type="dxa"/>
            </w:tcMar>
          </w:tcPr>
          <w:p>
            <w:pPr>
              <w:pStyle w:val="BDOITable"/>
            </w:pPr>
            <w:r>
              <w:rPr>
                <w:sz w:val="17"/>
              </w:rPr>
              <w:t>Head, Operations (Collections)</w:t>
            </w:r>
          </w:p>
        </w:tc>
        <w:tc>
          <w:tcPr>
            <w:tcW w:type="dxa" w:w="1442"/>
            <w:tcMar>
              <w:top w:w="50" w:type="dxa"/>
              <w:bottom w:w="50" w:type="dxa"/>
              <w:left w:w="90" w:type="dxa"/>
              <w:right w:w="90" w:type="dxa"/>
            </w:tcMar>
          </w:tcPr>
          <w:p>
            <w:pPr>
              <w:pStyle w:val="BDOITable"/>
            </w:pPr>
            <w:r>
              <w:rPr>
                <w:sz w:val="17"/>
              </w:rPr>
              <w:t>1 business day</w:t>
            </w:r>
          </w:p>
        </w:tc>
        <w:tc>
          <w:tcPr>
            <w:tcW w:type="dxa" w:w="2042"/>
            <w:tcMar>
              <w:top w:w="50" w:type="dxa"/>
              <w:bottom w:w="50" w:type="dxa"/>
              <w:left w:w="90" w:type="dxa"/>
              <w:right w:w="90" w:type="dxa"/>
            </w:tcMar>
          </w:tcPr>
          <w:p>
            <w:pPr>
              <w:pStyle w:val="BDOITable"/>
            </w:pPr>
            <w:r>
              <w:rPr>
                <w:sz w:val="17"/>
              </w:rPr>
              <w:t>Daily files by 06:00</w:t>
            </w:r>
          </w:p>
        </w:tc>
        <w:tc>
          <w:tcPr>
            <w:tcW w:type="dxa" w:w="2283"/>
            <w:tcMar>
              <w:top w:w="50" w:type="dxa"/>
              <w:bottom w:w="50" w:type="dxa"/>
              <w:left w:w="90" w:type="dxa"/>
              <w:right w:w="90" w:type="dxa"/>
            </w:tcMar>
          </w:tcPr>
          <w:p>
            <w:pPr>
              <w:pStyle w:val="BDOITable"/>
            </w:pPr>
            <w:r>
              <w:rPr>
                <w:sz w:val="17"/>
              </w:rPr>
              <w:t>BC-07</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Sanction screening of new clients</w:t>
            </w:r>
          </w:p>
        </w:tc>
        <w:tc>
          <w:tcPr>
            <w:tcW w:type="dxa" w:w="2042"/>
            <w:tcMar>
              <w:top w:w="50" w:type="dxa"/>
              <w:bottom w:w="50" w:type="dxa"/>
              <w:left w:w="90" w:type="dxa"/>
              <w:right w:w="90" w:type="dxa"/>
            </w:tcMar>
            <w:shd w:val="clear" w:color="auto" w:fill="E5F5FF"/>
          </w:tcPr>
          <w:p>
            <w:pPr>
              <w:pStyle w:val="BDOITable"/>
            </w:pPr>
            <w:r>
              <w:rPr>
                <w:sz w:val="17"/>
              </w:rPr>
              <w:t>Compliance</w:t>
            </w:r>
          </w:p>
        </w:tc>
        <w:tc>
          <w:tcPr>
            <w:tcW w:type="dxa" w:w="1442"/>
            <w:tcMar>
              <w:top w:w="50" w:type="dxa"/>
              <w:bottom w:w="50" w:type="dxa"/>
              <w:left w:w="90" w:type="dxa"/>
              <w:right w:w="90" w:type="dxa"/>
            </w:tcMar>
            <w:shd w:val="clear" w:color="auto" w:fill="E5F5FF"/>
          </w:tcPr>
          <w:p>
            <w:pPr>
              <w:pStyle w:val="BDOITable"/>
            </w:pPr>
            <w:r>
              <w:rPr>
                <w:sz w:val="17"/>
              </w:rPr>
              <w:t>1 business day</w:t>
            </w:r>
          </w:p>
        </w:tc>
        <w:tc>
          <w:tcPr>
            <w:tcW w:type="dxa" w:w="2042"/>
            <w:tcMar>
              <w:top w:w="50" w:type="dxa"/>
              <w:bottom w:w="50" w:type="dxa"/>
              <w:left w:w="90" w:type="dxa"/>
              <w:right w:w="90" w:type="dxa"/>
            </w:tcMar>
            <w:shd w:val="clear" w:color="auto" w:fill="E5F5FF"/>
          </w:tcPr>
          <w:p>
            <w:pPr>
              <w:pStyle w:val="BDOITable"/>
            </w:pPr>
            <w:r>
              <w:rPr>
                <w:sz w:val="17"/>
              </w:rPr>
              <w:t>Client onboarding</w:t>
            </w:r>
          </w:p>
        </w:tc>
        <w:tc>
          <w:tcPr>
            <w:tcW w:type="dxa" w:w="2283"/>
            <w:tcMar>
              <w:top w:w="50" w:type="dxa"/>
              <w:bottom w:w="50" w:type="dxa"/>
              <w:left w:w="90" w:type="dxa"/>
              <w:right w:w="90" w:type="dxa"/>
            </w:tcMar>
            <w:shd w:val="clear" w:color="auto" w:fill="E5F5FF"/>
          </w:tcPr>
          <w:p>
            <w:pPr>
              <w:pStyle w:val="BDOITable"/>
            </w:pPr>
            <w:r>
              <w:rPr>
                <w:sz w:val="17"/>
              </w:rPr>
              <w:t>BC-08</w:t>
            </w:r>
          </w:p>
        </w:tc>
      </w:tr>
      <w:tr>
        <w:trPr>
          <w:cantSplit w:val="true"/>
        </w:trPr>
        <w:tc>
          <w:tcPr>
            <w:tcW w:type="dxa" w:w="2163"/>
            <w:tcMar>
              <w:top w:w="50" w:type="dxa"/>
              <w:bottom w:w="50" w:type="dxa"/>
              <w:left w:w="90" w:type="dxa"/>
              <w:right w:w="90" w:type="dxa"/>
            </w:tcMar>
          </w:tcPr>
          <w:p>
            <w:pPr>
              <w:pStyle w:val="BDOITable"/>
            </w:pPr>
            <w:r>
              <w:rPr>
                <w:b/>
                <w:sz w:val="17"/>
              </w:rPr>
              <w:t>Sign-in and user access</w:t>
            </w:r>
          </w:p>
        </w:tc>
        <w:tc>
          <w:tcPr>
            <w:tcW w:type="dxa" w:w="2042"/>
            <w:tcMar>
              <w:top w:w="50" w:type="dxa"/>
              <w:bottom w:w="50" w:type="dxa"/>
              <w:left w:w="90" w:type="dxa"/>
              <w:right w:w="90" w:type="dxa"/>
            </w:tcMar>
          </w:tcPr>
          <w:p>
            <w:pPr>
              <w:pStyle w:val="BDOITable"/>
            </w:pPr>
            <w:r>
              <w:rPr>
                <w:sz w:val="17"/>
              </w:rPr>
              <w:t>BDOI IT</w:t>
            </w:r>
          </w:p>
        </w:tc>
        <w:tc>
          <w:tcPr>
            <w:tcW w:type="dxa" w:w="1442"/>
            <w:tcMar>
              <w:top w:w="50" w:type="dxa"/>
              <w:bottom w:w="50" w:type="dxa"/>
              <w:left w:w="90" w:type="dxa"/>
              <w:right w:w="90" w:type="dxa"/>
            </w:tcMar>
          </w:tcPr>
          <w:p>
            <w:pPr>
              <w:pStyle w:val="BDOITable"/>
            </w:pPr>
            <w:r>
              <w:rPr>
                <w:sz w:val="17"/>
              </w:rPr>
              <w:t>4 hours</w:t>
            </w:r>
          </w:p>
        </w:tc>
        <w:tc>
          <w:tcPr>
            <w:tcW w:type="dxa" w:w="2042"/>
            <w:tcMar>
              <w:top w:w="50" w:type="dxa"/>
              <w:bottom w:w="50" w:type="dxa"/>
              <w:left w:w="90" w:type="dxa"/>
              <w:right w:w="90" w:type="dxa"/>
            </w:tcMar>
          </w:tcPr>
          <w:p>
            <w:pPr>
              <w:pStyle w:val="BDOITable"/>
            </w:pPr>
            <w:r>
              <w:rPr>
                <w:sz w:val="17"/>
              </w:rPr>
              <w:t>Start of the business day</w:t>
            </w:r>
          </w:p>
        </w:tc>
        <w:tc>
          <w:tcPr>
            <w:tcW w:type="dxa" w:w="2283"/>
            <w:tcMar>
              <w:top w:w="50" w:type="dxa"/>
              <w:bottom w:w="50" w:type="dxa"/>
              <w:left w:w="90" w:type="dxa"/>
              <w:right w:w="90" w:type="dxa"/>
            </w:tcMar>
          </w:tcPr>
          <w:p>
            <w:pPr>
              <w:pStyle w:val="BDOITable"/>
            </w:pPr>
            <w:r>
              <w:rPr>
                <w:sz w:val="17"/>
              </w:rPr>
              <w:t>BC-09</w:t>
            </w:r>
          </w:p>
        </w:tc>
      </w:tr>
    </w:tbl>
    <w:p>
      <w:pPr>
        <w:pStyle w:val="BDOISpacer"/>
      </w:pPr>
    </w:p>
    <w:p>
      <w:pPr>
        <w:pStyle w:val="Heading2"/>
      </w:pPr>
      <w:bookmarkStart w:id="108" w:name="_Toc000108"/>
      <w:r>
        <w:rPr/>
        <w:t>2.2 Service tiers</w:t>
      </w:r>
      <w:bookmarkEnd w:id="108"/>
    </w:p>
    <w:p>
      <w:pPr>
        <w:pStyle w:val="Caption"/>
        <w:keepNext/>
        <w:spacing w:after="60"/>
      </w:pPr>
      <w:r>
        <w:rPr>
          <w:b/>
          <w:i w:val="0"/>
        </w:rPr>
        <w:t xml:space="preserve">Table 3: </w:t>
      </w:r>
      <w:r>
        <w:rPr/>
        <w:t>Service tiers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566"/>
        <w:gridCol w:w="3965"/>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7"/>
              </w:rPr>
              <w:t>Tier</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BIBS functions</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Why</w:t>
            </w:r>
          </w:p>
        </w:tc>
      </w:tr>
      <w:tr>
        <w:trPr>
          <w:cantSplit w:val="true"/>
        </w:trPr>
        <w:tc>
          <w:tcPr>
            <w:tcW w:type="dxa" w:w="1442"/>
            <w:tcMar>
              <w:top w:w="50" w:type="dxa"/>
              <w:bottom w:w="50" w:type="dxa"/>
              <w:left w:w="90" w:type="dxa"/>
              <w:right w:w="90" w:type="dxa"/>
            </w:tcMar>
          </w:tcPr>
          <w:p>
            <w:pPr>
              <w:pStyle w:val="BDOITable"/>
            </w:pPr>
            <w:r>
              <w:rPr>
                <w:b/>
                <w:sz w:val="17"/>
              </w:rPr>
              <w:t>Tier 1 - Critical</w:t>
            </w:r>
          </w:p>
        </w:tc>
        <w:tc>
          <w:tcPr>
            <w:tcW w:type="dxa" w:w="4565"/>
            <w:tcMar>
              <w:top w:w="50" w:type="dxa"/>
              <w:bottom w:w="50" w:type="dxa"/>
              <w:left w:w="90" w:type="dxa"/>
              <w:right w:w="90" w:type="dxa"/>
            </w:tcMar>
          </w:tcPr>
          <w:p>
            <w:pPr>
              <w:pStyle w:val="BDOITable"/>
            </w:pPr>
            <w:r>
              <w:rPr>
                <w:sz w:val="17"/>
              </w:rPr>
              <w:t>Sign-in; cashiering (receipts, payment application, uploads); remittance; booking; GL posting and the period close; disbursement release; documents (download of stored files)</w:t>
            </w:r>
          </w:p>
        </w:tc>
        <w:tc>
          <w:tcPr>
            <w:tcW w:type="dxa" w:w="3965"/>
            <w:tcMar>
              <w:top w:w="50" w:type="dxa"/>
              <w:bottom w:w="50" w:type="dxa"/>
              <w:left w:w="90" w:type="dxa"/>
              <w:right w:w="90" w:type="dxa"/>
            </w:tcMar>
          </w:tcPr>
          <w:p>
            <w:pPr>
              <w:pStyle w:val="BDOITable"/>
            </w:pPr>
            <w:r>
              <w:rPr>
                <w:sz w:val="17"/>
              </w:rPr>
              <w:t>Money received and owed, books of account; a gap creates financial and regulatory exposure within hours</w:t>
            </w:r>
          </w:p>
        </w:tc>
      </w:tr>
      <w:tr>
        <w:trPr>
          <w:cantSplit w:val="true"/>
        </w:trPr>
        <w:tc>
          <w:tcPr>
            <w:tcW w:type="dxa" w:w="1442"/>
            <w:tcMar>
              <w:top w:w="50" w:type="dxa"/>
              <w:bottom w:w="50" w:type="dxa"/>
              <w:left w:w="90" w:type="dxa"/>
              <w:right w:w="90" w:type="dxa"/>
            </w:tcMar>
            <w:shd w:val="clear" w:color="auto" w:fill="E5F5FF"/>
          </w:tcPr>
          <w:p>
            <w:pPr>
              <w:pStyle w:val="BDOITable"/>
            </w:pPr>
            <w:r>
              <w:rPr>
                <w:b/>
                <w:sz w:val="17"/>
              </w:rPr>
              <w:t>Tier 2 - Essential</w:t>
            </w:r>
          </w:p>
        </w:tc>
        <w:tc>
          <w:tcPr>
            <w:tcW w:type="dxa" w:w="4565"/>
            <w:tcMar>
              <w:top w:w="50" w:type="dxa"/>
              <w:bottom w:w="50" w:type="dxa"/>
              <w:left w:w="90" w:type="dxa"/>
              <w:right w:w="90" w:type="dxa"/>
            </w:tcMar>
            <w:shd w:val="clear" w:color="auto" w:fill="E5F5FF"/>
          </w:tcPr>
          <w:p>
            <w:pPr>
              <w:pStyle w:val="BDOITable"/>
            </w:pPr>
            <w:r>
              <w:rPr>
                <w:sz w:val="17"/>
              </w:rPr>
              <w:t>Renewal; collections; adjustments and endorsements; submitted policies; claims handling; Employee Benefits; customer servicing; sanction screening; user access requests; e-mail and letters; inbound bank, insurer and watchlist files</w:t>
            </w:r>
          </w:p>
        </w:tc>
        <w:tc>
          <w:tcPr>
            <w:tcW w:type="dxa" w:w="3965"/>
            <w:tcMar>
              <w:top w:w="50" w:type="dxa"/>
              <w:bottom w:w="50" w:type="dxa"/>
              <w:left w:w="90" w:type="dxa"/>
              <w:right w:w="90" w:type="dxa"/>
            </w:tcMar>
            <w:shd w:val="clear" w:color="auto" w:fill="E5F5FF"/>
          </w:tcPr>
          <w:p>
            <w:pPr>
              <w:pStyle w:val="BDOITable"/>
            </w:pPr>
            <w:r>
              <w:rPr>
                <w:sz w:val="17"/>
              </w:rPr>
              <w:t>Service to clients and insurers; can wait a business day with the continuity procedures</w:t>
            </w:r>
          </w:p>
        </w:tc>
      </w:tr>
      <w:tr>
        <w:trPr>
          <w:cantSplit w:val="true"/>
        </w:trPr>
        <w:tc>
          <w:tcPr>
            <w:tcW w:type="dxa" w:w="1442"/>
            <w:tcMar>
              <w:top w:w="50" w:type="dxa"/>
              <w:bottom w:w="50" w:type="dxa"/>
              <w:left w:w="90" w:type="dxa"/>
              <w:right w:w="90" w:type="dxa"/>
            </w:tcMar>
          </w:tcPr>
          <w:p>
            <w:pPr>
              <w:pStyle w:val="BDOITable"/>
            </w:pPr>
            <w:r>
              <w:rPr>
                <w:b/>
                <w:sz w:val="17"/>
              </w:rPr>
              <w:t>Tier 3 - Deferrable</w:t>
            </w:r>
          </w:p>
        </w:tc>
        <w:tc>
          <w:tcPr>
            <w:tcW w:type="dxa" w:w="4565"/>
            <w:tcMar>
              <w:top w:w="50" w:type="dxa"/>
              <w:bottom w:w="50" w:type="dxa"/>
              <w:left w:w="90" w:type="dxa"/>
              <w:right w:w="90" w:type="dxa"/>
            </w:tcMar>
          </w:tcPr>
          <w:p>
            <w:pPr>
              <w:pStyle w:val="BDOITable"/>
            </w:pPr>
            <w:r>
              <w:rPr>
                <w:sz w:val="17"/>
              </w:rPr>
              <w:t>Analytical reports and the Report Pack; extracts to EDP and EGL; ECM archive of final records; Legacy Inquiry; production reconciliation; housekeeping jobs</w:t>
            </w:r>
          </w:p>
        </w:tc>
        <w:tc>
          <w:tcPr>
            <w:tcW w:type="dxa" w:w="3965"/>
            <w:tcMar>
              <w:top w:w="50" w:type="dxa"/>
              <w:bottom w:w="50" w:type="dxa"/>
              <w:left w:w="90" w:type="dxa"/>
              <w:right w:w="90" w:type="dxa"/>
            </w:tcMar>
          </w:tcPr>
          <w:p>
            <w:pPr>
              <w:pStyle w:val="BDOITable"/>
            </w:pPr>
            <w:r>
              <w:rPr>
                <w:sz w:val="17"/>
              </w:rPr>
              <w:t>Derived or periodic; caught up after recovery</w:t>
            </w:r>
          </w:p>
        </w:tc>
      </w:tr>
    </w:tbl>
    <w:p>
      <w:pPr>
        <w:pStyle w:val="BDOISpacer"/>
      </w:pPr>
    </w:p>
    <w:p>
      <w:pPr>
        <w:pStyle w:val="Heading1"/>
        <w:pageBreakBefore/>
        <w:pBdr>
          <w:bottom w:val="single" w:sz="4" w:space="4" w:color="99C1E7"/>
        </w:pBdr>
      </w:pPr>
      <w:bookmarkStart w:id="109" w:name="_Toc000109"/>
      <w:r>
        <w:rPr/>
        <w:t>3 Recovery objectives</w:t>
      </w:r>
      <w:bookmarkEnd w:id="109"/>
    </w:p>
    <w:p>
      <w:pPr>
        <w:pStyle w:val="Heading2"/>
      </w:pPr>
      <w:bookmarkStart w:id="110" w:name="_Toc000110"/>
      <w:r>
        <w:rPr/>
        <w:t>3.1 RTO and RPO per service tier</w:t>
      </w:r>
      <w:bookmarkEnd w:id="110"/>
    </w:p>
    <w:p>
      <w:r>
        <w:rPr/>
        <w:t>The IER sets RPO 15 minutes and RTO 4 hours for the platform (R1); register item DCR-135 proposed the same values and DCR-225 accepted them, subject to the BRD owners' confirmation. BIBS is one application on one database, so the platform comes back as a whole; the tiers set the order of the checks and of the catch-up work after the platform is back.</w:t>
      </w:r>
    </w:p>
    <w:p>
      <w:pPr>
        <w:pStyle w:val="Caption"/>
        <w:keepNext/>
        <w:spacing w:after="60"/>
      </w:pPr>
      <w:r>
        <w:rPr>
          <w:b/>
          <w:i w:val="0"/>
        </w:rPr>
        <w:t xml:space="preserve">Table 4: </w:t>
      </w:r>
      <w:r>
        <w:rPr/>
        <w:t>Recovery objectives per tier (production)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1441"/>
        <w:gridCol w:w="1441"/>
        <w:gridCol w:w="5527"/>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Tier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RTO</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RPO</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1562"/>
            <w:tcMar>
              <w:top w:w="50" w:type="dxa"/>
              <w:bottom w:w="50" w:type="dxa"/>
              <w:left w:w="90" w:type="dxa"/>
              <w:right w:w="90" w:type="dxa"/>
            </w:tcMar>
          </w:tcPr>
          <w:p>
            <w:pPr>
              <w:pStyle w:val="BDOITable"/>
            </w:pPr>
            <w:r>
              <w:rPr>
                <w:b/>
                <w:sz w:val="17"/>
              </w:rPr>
              <w:t>Tier 1</w:t>
            </w:r>
          </w:p>
        </w:tc>
        <w:tc>
          <w:tcPr>
            <w:tcW w:type="dxa" w:w="1442"/>
            <w:tcMar>
              <w:top w:w="50" w:type="dxa"/>
              <w:bottom w:w="50" w:type="dxa"/>
              <w:left w:w="90" w:type="dxa"/>
              <w:right w:w="90" w:type="dxa"/>
            </w:tcMar>
          </w:tcPr>
          <w:p>
            <w:pPr>
              <w:pStyle w:val="BDOITable"/>
            </w:pPr>
            <w:r>
              <w:rPr>
                <w:sz w:val="17"/>
              </w:rPr>
              <w:t>4 hours</w:t>
            </w:r>
          </w:p>
        </w:tc>
        <w:tc>
          <w:tcPr>
            <w:tcW w:type="dxa" w:w="1442"/>
            <w:tcMar>
              <w:top w:w="50" w:type="dxa"/>
              <w:bottom w:w="50" w:type="dxa"/>
              <w:left w:w="90" w:type="dxa"/>
              <w:right w:w="90" w:type="dxa"/>
            </w:tcMar>
          </w:tcPr>
          <w:p>
            <w:pPr>
              <w:pStyle w:val="BDOITable"/>
            </w:pPr>
            <w:r>
              <w:rPr>
                <w:sz w:val="17"/>
              </w:rPr>
              <w:t>15 minutes</w:t>
            </w:r>
          </w:p>
        </w:tc>
        <w:tc>
          <w:tcPr>
            <w:tcW w:type="dxa" w:w="5527"/>
            <w:tcMar>
              <w:top w:w="50" w:type="dxa"/>
              <w:bottom w:w="50" w:type="dxa"/>
              <w:left w:w="90" w:type="dxa"/>
              <w:right w:w="90" w:type="dxa"/>
            </w:tcMar>
          </w:tcPr>
          <w:p>
            <w:pPr>
              <w:pStyle w:val="BDOITable"/>
            </w:pPr>
            <w:r>
              <w:rPr>
                <w:sz w:val="17"/>
              </w:rPr>
              <w:t>Platform back, Tier 1 functions verified by the key users, users signed in</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Tier 2</w:t>
            </w:r>
          </w:p>
        </w:tc>
        <w:tc>
          <w:tcPr>
            <w:tcW w:type="dxa" w:w="1442"/>
            <w:tcMar>
              <w:top w:w="50" w:type="dxa"/>
              <w:bottom w:w="50" w:type="dxa"/>
              <w:left w:w="90" w:type="dxa"/>
              <w:right w:w="90" w:type="dxa"/>
            </w:tcMar>
            <w:shd w:val="clear" w:color="auto" w:fill="E5F5FF"/>
          </w:tcPr>
          <w:p>
            <w:pPr>
              <w:pStyle w:val="BDOITable"/>
            </w:pPr>
            <w:r>
              <w:rPr>
                <w:sz w:val="17"/>
              </w:rPr>
              <w:t>8 hours</w:t>
            </w:r>
          </w:p>
        </w:tc>
        <w:tc>
          <w:tcPr>
            <w:tcW w:type="dxa" w:w="1442"/>
            <w:tcMar>
              <w:top w:w="50" w:type="dxa"/>
              <w:bottom w:w="50" w:type="dxa"/>
              <w:left w:w="90" w:type="dxa"/>
              <w:right w:w="90" w:type="dxa"/>
            </w:tcMar>
            <w:shd w:val="clear" w:color="auto" w:fill="E5F5FF"/>
          </w:tcPr>
          <w:p>
            <w:pPr>
              <w:pStyle w:val="BDOITable"/>
            </w:pPr>
            <w:r>
              <w:rPr>
                <w:sz w:val="17"/>
              </w:rPr>
              <w:t>15 minutes</w:t>
            </w:r>
          </w:p>
        </w:tc>
        <w:tc>
          <w:tcPr>
            <w:tcW w:type="dxa" w:w="5527"/>
            <w:tcMar>
              <w:top w:w="50" w:type="dxa"/>
              <w:bottom w:w="50" w:type="dxa"/>
              <w:left w:w="90" w:type="dxa"/>
              <w:right w:w="90" w:type="dxa"/>
            </w:tcMar>
            <w:shd w:val="clear" w:color="auto" w:fill="E5F5FF"/>
          </w:tcPr>
          <w:p>
            <w:pPr>
              <w:pStyle w:val="BDOITable"/>
            </w:pPr>
            <w:r>
              <w:rPr>
                <w:sz w:val="17"/>
              </w:rPr>
              <w:t>Integrations re-established, the jobs missed during the outage caught up, queued e-mails and letters sent</w:t>
            </w:r>
          </w:p>
        </w:tc>
      </w:tr>
      <w:tr>
        <w:trPr>
          <w:cantSplit w:val="true"/>
        </w:trPr>
        <w:tc>
          <w:tcPr>
            <w:tcW w:type="dxa" w:w="1562"/>
            <w:tcMar>
              <w:top w:w="50" w:type="dxa"/>
              <w:bottom w:w="50" w:type="dxa"/>
              <w:left w:w="90" w:type="dxa"/>
              <w:right w:w="90" w:type="dxa"/>
            </w:tcMar>
          </w:tcPr>
          <w:p>
            <w:pPr>
              <w:pStyle w:val="BDOITable"/>
            </w:pPr>
            <w:r>
              <w:rPr>
                <w:b/>
                <w:sz w:val="17"/>
              </w:rPr>
              <w:t>Tier 3</w:t>
            </w:r>
          </w:p>
        </w:tc>
        <w:tc>
          <w:tcPr>
            <w:tcW w:type="dxa" w:w="1442"/>
            <w:tcMar>
              <w:top w:w="50" w:type="dxa"/>
              <w:bottom w:w="50" w:type="dxa"/>
              <w:left w:w="90" w:type="dxa"/>
              <w:right w:w="90" w:type="dxa"/>
            </w:tcMar>
          </w:tcPr>
          <w:p>
            <w:pPr>
              <w:pStyle w:val="BDOITable"/>
            </w:pPr>
            <w:r>
              <w:rPr>
                <w:sz w:val="17"/>
              </w:rPr>
              <w:t>24 hours</w:t>
            </w:r>
          </w:p>
        </w:tc>
        <w:tc>
          <w:tcPr>
            <w:tcW w:type="dxa" w:w="1442"/>
            <w:tcMar>
              <w:top w:w="50" w:type="dxa"/>
              <w:bottom w:w="50" w:type="dxa"/>
              <w:left w:w="90" w:type="dxa"/>
              <w:right w:w="90" w:type="dxa"/>
            </w:tcMar>
          </w:tcPr>
          <w:p>
            <w:pPr>
              <w:pStyle w:val="BDOITable"/>
            </w:pPr>
            <w:r>
              <w:rPr>
                <w:sz w:val="17"/>
              </w:rPr>
              <w:t>15 minutes for data; next run for derived extracts</w:t>
            </w:r>
          </w:p>
        </w:tc>
        <w:tc>
          <w:tcPr>
            <w:tcW w:type="dxa" w:w="5527"/>
            <w:tcMar>
              <w:top w:w="50" w:type="dxa"/>
              <w:bottom w:w="50" w:type="dxa"/>
              <w:left w:w="90" w:type="dxa"/>
              <w:right w:w="90" w:type="dxa"/>
            </w:tcMar>
          </w:tcPr>
          <w:p>
            <w:pPr>
              <w:pStyle w:val="BDOITable"/>
            </w:pPr>
            <w:r>
              <w:rPr>
                <w:sz w:val="17"/>
              </w:rPr>
              <w:t>Reports, extracts and archives caught up</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Non-production</w:t>
            </w:r>
          </w:p>
        </w:tc>
        <w:tc>
          <w:tcPr>
            <w:tcW w:type="dxa" w:w="1442"/>
            <w:tcMar>
              <w:top w:w="50" w:type="dxa"/>
              <w:bottom w:w="50" w:type="dxa"/>
              <w:left w:w="90" w:type="dxa"/>
              <w:right w:w="90" w:type="dxa"/>
            </w:tcMar>
            <w:shd w:val="clear" w:color="auto" w:fill="E5F5FF"/>
          </w:tcPr>
          <w:p>
            <w:pPr>
              <w:pStyle w:val="BDOITable"/>
            </w:pPr>
            <w:r>
              <w:rPr>
                <w:sz w:val="17"/>
              </w:rPr>
              <w:t>5 business days</w:t>
            </w:r>
          </w:p>
        </w:tc>
        <w:tc>
          <w:tcPr>
            <w:tcW w:type="dxa" w:w="1442"/>
            <w:tcMar>
              <w:top w:w="50" w:type="dxa"/>
              <w:bottom w:w="50" w:type="dxa"/>
              <w:left w:w="90" w:type="dxa"/>
              <w:right w:w="90" w:type="dxa"/>
            </w:tcMar>
            <w:shd w:val="clear" w:color="auto" w:fill="E5F5FF"/>
          </w:tcPr>
          <w:p>
            <w:pPr>
              <w:pStyle w:val="BDOITable"/>
            </w:pPr>
            <w:r>
              <w:rPr>
                <w:sz w:val="17"/>
              </w:rPr>
              <w:t>24 hours</w:t>
            </w:r>
          </w:p>
        </w:tc>
        <w:tc>
          <w:tcPr>
            <w:tcW w:type="dxa" w:w="5527"/>
            <w:tcMar>
              <w:top w:w="50" w:type="dxa"/>
              <w:bottom w:w="50" w:type="dxa"/>
              <w:left w:w="90" w:type="dxa"/>
              <w:right w:w="90" w:type="dxa"/>
            </w:tcMar>
            <w:shd w:val="clear" w:color="auto" w:fill="E5F5FF"/>
          </w:tcPr>
          <w:p>
            <w:pPr>
              <w:pStyle w:val="BDOITable"/>
            </w:pPr>
            <w:r>
              <w:rPr>
                <w:sz w:val="17"/>
              </w:rPr>
              <w:t>Restored from the release packages and a masked copy when needed</w:t>
            </w:r>
          </w:p>
        </w:tc>
      </w:tr>
    </w:tbl>
    <w:p>
      <w:pPr>
        <w:pStyle w:val="BDOISpacer"/>
      </w:pPr>
    </w:p>
    <w:p>
      <w:pPr>
        <w:pStyle w:val="Heading2"/>
      </w:pPr>
      <w:bookmarkStart w:id="111" w:name="_Toc000111"/>
      <w:r>
        <w:rPr/>
        <w:t>3.2 Objectives per scenario</w:t>
      </w:r>
      <w:bookmarkEnd w:id="111"/>
    </w:p>
    <w:p>
      <w:pPr>
        <w:pStyle w:val="Caption"/>
        <w:keepNext/>
        <w:spacing w:after="60"/>
      </w:pPr>
      <w:r>
        <w:rPr>
          <w:b/>
          <w:i w:val="0"/>
        </w:rPr>
        <w:t xml:space="preserve">Table 5: </w:t>
      </w:r>
      <w:r>
        <w:rPr/>
        <w:t>Recovery objectives per scenario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1201"/>
        <w:gridCol w:w="1201"/>
        <w:gridCol w:w="5046"/>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RTO</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RPO</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How</w:t>
            </w:r>
          </w:p>
        </w:tc>
      </w:tr>
      <w:tr>
        <w:trPr>
          <w:cantSplit w:val="true"/>
        </w:trPr>
        <w:tc>
          <w:tcPr>
            <w:tcW w:type="dxa" w:w="2523"/>
            <w:tcMar>
              <w:top w:w="50" w:type="dxa"/>
              <w:bottom w:w="50" w:type="dxa"/>
              <w:left w:w="90" w:type="dxa"/>
              <w:right w:w="90" w:type="dxa"/>
            </w:tcMar>
          </w:tcPr>
          <w:p>
            <w:pPr>
              <w:pStyle w:val="BDOITable"/>
            </w:pPr>
            <w:r>
              <w:rPr>
                <w:b/>
                <w:sz w:val="17"/>
              </w:rPr>
              <w:t>Loss of a pod or a node</w:t>
            </w:r>
          </w:p>
        </w:tc>
        <w:tc>
          <w:tcPr>
            <w:tcW w:type="dxa" w:w="1201"/>
            <w:tcMar>
              <w:top w:w="50" w:type="dxa"/>
              <w:bottom w:w="50" w:type="dxa"/>
              <w:left w:w="90" w:type="dxa"/>
              <w:right w:w="90" w:type="dxa"/>
            </w:tcMar>
          </w:tcPr>
          <w:p>
            <w:pPr>
              <w:pStyle w:val="BDOITable"/>
            </w:pPr>
            <w:r>
              <w:rPr>
                <w:sz w:val="17"/>
              </w:rPr>
              <w:t>Minutes, automatic</w:t>
            </w:r>
          </w:p>
        </w:tc>
        <w:tc>
          <w:tcPr>
            <w:tcW w:type="dxa" w:w="1201"/>
            <w:tcMar>
              <w:top w:w="50" w:type="dxa"/>
              <w:bottom w:w="50" w:type="dxa"/>
              <w:left w:w="90" w:type="dxa"/>
              <w:right w:w="90" w:type="dxa"/>
            </w:tcMar>
          </w:tcPr>
          <w:p>
            <w:pPr>
              <w:pStyle w:val="BDOITable"/>
            </w:pPr>
            <w:r>
              <w:rPr>
                <w:sz w:val="17"/>
              </w:rPr>
              <w:t>0</w:t>
            </w:r>
          </w:p>
        </w:tc>
        <w:tc>
          <w:tcPr>
            <w:tcW w:type="dxa" w:w="5046"/>
            <w:tcMar>
              <w:top w:w="50" w:type="dxa"/>
              <w:bottom w:w="50" w:type="dxa"/>
              <w:left w:w="90" w:type="dxa"/>
              <w:right w:w="90" w:type="dxa"/>
            </w:tcMar>
          </w:tcPr>
          <w:p>
            <w:pPr>
              <w:pStyle w:val="BDOITable"/>
            </w:pPr>
            <w:r>
              <w:rPr>
                <w:sz w:val="17"/>
              </w:rPr>
              <w:t>Kubernetes replaces the pod; at least one pod of each workload always running</w:t>
            </w:r>
          </w:p>
        </w:tc>
      </w:tr>
      <w:tr>
        <w:trPr>
          <w:cantSplit w:val="true"/>
        </w:trPr>
        <w:tc>
          <w:tcPr>
            <w:tcW w:type="dxa" w:w="2523"/>
            <w:tcMar>
              <w:top w:w="50" w:type="dxa"/>
              <w:bottom w:w="50" w:type="dxa"/>
              <w:left w:w="90" w:type="dxa"/>
              <w:right w:w="90" w:type="dxa"/>
            </w:tcMar>
            <w:shd w:val="clear" w:color="auto" w:fill="E5F5FF"/>
          </w:tcPr>
          <w:p>
            <w:pPr>
              <w:pStyle w:val="BDOITable"/>
            </w:pPr>
            <w:r>
              <w:rPr>
                <w:b/>
                <w:sz w:val="17"/>
              </w:rPr>
              <w:t>Loss of an availability zone</w:t>
            </w:r>
          </w:p>
        </w:tc>
        <w:tc>
          <w:tcPr>
            <w:tcW w:type="dxa" w:w="1201"/>
            <w:tcMar>
              <w:top w:w="50" w:type="dxa"/>
              <w:bottom w:w="50" w:type="dxa"/>
              <w:left w:w="90" w:type="dxa"/>
              <w:right w:w="90" w:type="dxa"/>
            </w:tcMar>
            <w:shd w:val="clear" w:color="auto" w:fill="E5F5FF"/>
          </w:tcPr>
          <w:p>
            <w:pPr>
              <w:pStyle w:val="BDOITable"/>
            </w:pPr>
            <w:r>
              <w:rPr>
                <w:sz w:val="17"/>
              </w:rPr>
              <w:t>15 minutes, automatic</w:t>
            </w:r>
          </w:p>
        </w:tc>
        <w:tc>
          <w:tcPr>
            <w:tcW w:type="dxa" w:w="1201"/>
            <w:tcMar>
              <w:top w:w="50" w:type="dxa"/>
              <w:bottom w:w="50" w:type="dxa"/>
              <w:left w:w="90" w:type="dxa"/>
              <w:right w:w="90" w:type="dxa"/>
            </w:tcMar>
            <w:shd w:val="clear" w:color="auto" w:fill="E5F5FF"/>
          </w:tcPr>
          <w:p>
            <w:pPr>
              <w:pStyle w:val="BDOITable"/>
            </w:pPr>
            <w:r>
              <w:rPr>
                <w:sz w:val="17"/>
              </w:rPr>
              <w:t>0</w:t>
            </w:r>
          </w:p>
        </w:tc>
        <w:tc>
          <w:tcPr>
            <w:tcW w:type="dxa" w:w="5046"/>
            <w:tcMar>
              <w:top w:w="50" w:type="dxa"/>
              <w:bottom w:w="50" w:type="dxa"/>
              <w:left w:w="90" w:type="dxa"/>
              <w:right w:w="90" w:type="dxa"/>
            </w:tcMar>
            <w:shd w:val="clear" w:color="auto" w:fill="E5F5FF"/>
          </w:tcPr>
          <w:p>
            <w:pPr>
              <w:pStyle w:val="BDOITable"/>
            </w:pPr>
            <w:r>
              <w:rPr>
                <w:sz w:val="17"/>
              </w:rPr>
              <w:t>Pods spread over three zones; RDS Multi-AZ synchronous standby; Valkey replica; MSK brokers in three zones</w:t>
            </w:r>
          </w:p>
        </w:tc>
      </w:tr>
      <w:tr>
        <w:trPr>
          <w:cantSplit w:val="true"/>
        </w:trPr>
        <w:tc>
          <w:tcPr>
            <w:tcW w:type="dxa" w:w="2523"/>
            <w:tcMar>
              <w:top w:w="50" w:type="dxa"/>
              <w:bottom w:w="50" w:type="dxa"/>
              <w:left w:w="90" w:type="dxa"/>
              <w:right w:w="90" w:type="dxa"/>
            </w:tcMar>
          </w:tcPr>
          <w:p>
            <w:pPr>
              <w:pStyle w:val="BDOITable"/>
            </w:pPr>
            <w:r>
              <w:rPr>
                <w:b/>
                <w:sz w:val="17"/>
              </w:rPr>
              <w:t>Database corruption or wrong mass change</w:t>
            </w:r>
          </w:p>
        </w:tc>
        <w:tc>
          <w:tcPr>
            <w:tcW w:type="dxa" w:w="1201"/>
            <w:tcMar>
              <w:top w:w="50" w:type="dxa"/>
              <w:bottom w:w="50" w:type="dxa"/>
              <w:left w:w="90" w:type="dxa"/>
              <w:right w:w="90" w:type="dxa"/>
            </w:tcMar>
          </w:tcPr>
          <w:p>
            <w:pPr>
              <w:pStyle w:val="BDOITable"/>
            </w:pPr>
            <w:r>
              <w:rPr>
                <w:sz w:val="17"/>
              </w:rPr>
              <w:t>4 hours</w:t>
            </w:r>
          </w:p>
        </w:tc>
        <w:tc>
          <w:tcPr>
            <w:tcW w:type="dxa" w:w="1201"/>
            <w:tcMar>
              <w:top w:w="50" w:type="dxa"/>
              <w:bottom w:w="50" w:type="dxa"/>
              <w:left w:w="90" w:type="dxa"/>
              <w:right w:w="90" w:type="dxa"/>
            </w:tcMar>
          </w:tcPr>
          <w:p>
            <w:pPr>
              <w:pStyle w:val="BDOITable"/>
            </w:pPr>
            <w:r>
              <w:rPr>
                <w:sz w:val="17"/>
              </w:rPr>
              <w:t>To the point before the event (point-in-time recovery to the second)</w:t>
            </w:r>
          </w:p>
        </w:tc>
        <w:tc>
          <w:tcPr>
            <w:tcW w:type="dxa" w:w="5046"/>
            <w:tcMar>
              <w:top w:w="50" w:type="dxa"/>
              <w:bottom w:w="50" w:type="dxa"/>
              <w:left w:w="90" w:type="dxa"/>
              <w:right w:w="90" w:type="dxa"/>
            </w:tcMar>
          </w:tcPr>
          <w:p>
            <w:pPr>
              <w:pStyle w:val="BDOITable"/>
            </w:pPr>
            <w:r>
              <w:rPr>
                <w:sz w:val="17"/>
              </w:rPr>
              <w:t>Restore to a new instance before the event; transactions after that point re-keyed from source documents</w:t>
            </w:r>
          </w:p>
        </w:tc>
      </w:tr>
      <w:tr>
        <w:trPr>
          <w:cantSplit w:val="true"/>
        </w:trPr>
        <w:tc>
          <w:tcPr>
            <w:tcW w:type="dxa" w:w="2523"/>
            <w:tcMar>
              <w:top w:w="50" w:type="dxa"/>
              <w:bottom w:w="50" w:type="dxa"/>
              <w:left w:w="90" w:type="dxa"/>
              <w:right w:w="90" w:type="dxa"/>
            </w:tcMar>
            <w:shd w:val="clear" w:color="auto" w:fill="E5F5FF"/>
          </w:tcPr>
          <w:p>
            <w:pPr>
              <w:pStyle w:val="BDOITable"/>
            </w:pPr>
            <w:r>
              <w:rPr>
                <w:b/>
                <w:sz w:val="17"/>
              </w:rPr>
              <w:t>Loss of the region</w:t>
            </w:r>
          </w:p>
        </w:tc>
        <w:tc>
          <w:tcPr>
            <w:tcW w:type="dxa" w:w="1201"/>
            <w:tcMar>
              <w:top w:w="50" w:type="dxa"/>
              <w:bottom w:w="50" w:type="dxa"/>
              <w:left w:w="90" w:type="dxa"/>
              <w:right w:w="90" w:type="dxa"/>
            </w:tcMar>
            <w:shd w:val="clear" w:color="auto" w:fill="E5F5FF"/>
          </w:tcPr>
          <w:p>
            <w:pPr>
              <w:pStyle w:val="BDOITable"/>
            </w:pPr>
            <w:r>
              <w:rPr>
                <w:sz w:val="17"/>
              </w:rPr>
              <w:t>4 hours</w:t>
            </w:r>
          </w:p>
        </w:tc>
        <w:tc>
          <w:tcPr>
            <w:tcW w:type="dxa" w:w="1201"/>
            <w:tcMar>
              <w:top w:w="50" w:type="dxa"/>
              <w:bottom w:w="50" w:type="dxa"/>
              <w:left w:w="90" w:type="dxa"/>
              <w:right w:w="90" w:type="dxa"/>
            </w:tcMar>
            <w:shd w:val="clear" w:color="auto" w:fill="E5F5FF"/>
          </w:tcPr>
          <w:p>
            <w:pPr>
              <w:pStyle w:val="BDOITable"/>
            </w:pPr>
            <w:r>
              <w:rPr>
                <w:sz w:val="17"/>
              </w:rPr>
              <w:t>15 minutes</w:t>
            </w:r>
          </w:p>
        </w:tc>
        <w:tc>
          <w:tcPr>
            <w:tcW w:type="dxa" w:w="5046"/>
            <w:tcMar>
              <w:top w:w="50" w:type="dxa"/>
              <w:bottom w:w="50" w:type="dxa"/>
              <w:left w:w="90" w:type="dxa"/>
              <w:right w:w="90" w:type="dxa"/>
            </w:tcMar>
            <w:shd w:val="clear" w:color="auto" w:fill="E5F5FF"/>
          </w:tcPr>
          <w:p>
            <w:pPr>
              <w:pStyle w:val="BDOITable"/>
            </w:pPr>
            <w:r>
              <w:rPr>
                <w:sz w:val="17"/>
              </w:rPr>
              <w:t>Failover to the DR region (chapter 7)</w:t>
            </w:r>
          </w:p>
        </w:tc>
      </w:tr>
      <w:tr>
        <w:trPr>
          <w:cantSplit w:val="true"/>
        </w:trPr>
        <w:tc>
          <w:tcPr>
            <w:tcW w:type="dxa" w:w="2523"/>
            <w:tcMar>
              <w:top w:w="50" w:type="dxa"/>
              <w:bottom w:w="50" w:type="dxa"/>
              <w:left w:w="90" w:type="dxa"/>
              <w:right w:w="90" w:type="dxa"/>
            </w:tcMar>
          </w:tcPr>
          <w:p>
            <w:pPr>
              <w:pStyle w:val="BDOITable"/>
            </w:pPr>
            <w:r>
              <w:rPr>
                <w:b/>
                <w:sz w:val="17"/>
              </w:rPr>
              <w:t>Ransomware or destructive attack on the account</w:t>
            </w:r>
          </w:p>
        </w:tc>
        <w:tc>
          <w:tcPr>
            <w:tcW w:type="dxa" w:w="1201"/>
            <w:tcMar>
              <w:top w:w="50" w:type="dxa"/>
              <w:bottom w:w="50" w:type="dxa"/>
              <w:left w:w="90" w:type="dxa"/>
              <w:right w:w="90" w:type="dxa"/>
            </w:tcMar>
          </w:tcPr>
          <w:p>
            <w:pPr>
              <w:pStyle w:val="BDOITable"/>
            </w:pPr>
            <w:r>
              <w:rPr>
                <w:sz w:val="17"/>
              </w:rPr>
              <w:t>24 hours</w:t>
            </w:r>
          </w:p>
        </w:tc>
        <w:tc>
          <w:tcPr>
            <w:tcW w:type="dxa" w:w="1201"/>
            <w:tcMar>
              <w:top w:w="50" w:type="dxa"/>
              <w:bottom w:w="50" w:type="dxa"/>
              <w:left w:w="90" w:type="dxa"/>
              <w:right w:w="90" w:type="dxa"/>
            </w:tcMar>
          </w:tcPr>
          <w:p>
            <w:pPr>
              <w:pStyle w:val="BDOITable"/>
            </w:pPr>
            <w:r>
              <w:rPr>
                <w:sz w:val="17"/>
              </w:rPr>
              <w:t>4 hours (last clean snapshot)</w:t>
            </w:r>
          </w:p>
        </w:tc>
        <w:tc>
          <w:tcPr>
            <w:tcW w:type="dxa" w:w="5046"/>
            <w:tcMar>
              <w:top w:w="50" w:type="dxa"/>
              <w:bottom w:w="50" w:type="dxa"/>
              <w:left w:w="90" w:type="dxa"/>
              <w:right w:w="90" w:type="dxa"/>
            </w:tcMar>
          </w:tcPr>
          <w:p>
            <w:pPr>
              <w:pStyle w:val="BDOITable"/>
            </w:pPr>
            <w:r>
              <w:rPr>
                <w:sz w:val="17"/>
              </w:rPr>
              <w:t>Clean restore from the release packages and from snapshots in the locked backup vault of a separate account (OP-04)</w:t>
            </w:r>
          </w:p>
        </w:tc>
      </w:tr>
      <w:tr>
        <w:trPr>
          <w:cantSplit w:val="true"/>
        </w:trPr>
        <w:tc>
          <w:tcPr>
            <w:tcW w:type="dxa" w:w="2523"/>
            <w:tcMar>
              <w:top w:w="50" w:type="dxa"/>
              <w:bottom w:w="50" w:type="dxa"/>
              <w:left w:w="90" w:type="dxa"/>
              <w:right w:w="90" w:type="dxa"/>
            </w:tcMar>
            <w:shd w:val="clear" w:color="auto" w:fill="E5F5FF"/>
          </w:tcPr>
          <w:p>
            <w:pPr>
              <w:pStyle w:val="BDOITable"/>
            </w:pPr>
            <w:r>
              <w:rPr>
                <w:b/>
                <w:sz w:val="17"/>
              </w:rPr>
              <w:t>Outage of a BDO system (EIAM, Apigee X, CCM, bank channels)</w:t>
            </w:r>
          </w:p>
        </w:tc>
        <w:tc>
          <w:tcPr>
            <w:tcW w:type="dxa" w:w="1201"/>
            <w:tcMar>
              <w:top w:w="50" w:type="dxa"/>
              <w:bottom w:w="50" w:type="dxa"/>
              <w:left w:w="90" w:type="dxa"/>
              <w:right w:w="90" w:type="dxa"/>
            </w:tcMar>
            <w:shd w:val="clear" w:color="auto" w:fill="E5F5FF"/>
          </w:tcPr>
          <w:p>
            <w:pPr>
              <w:pStyle w:val="BDOITable"/>
            </w:pPr>
            <w:r>
              <w:rPr>
                <w:sz w:val="17"/>
              </w:rPr>
              <w:t>Owner's plan</w:t>
            </w:r>
          </w:p>
        </w:tc>
        <w:tc>
          <w:tcPr>
            <w:tcW w:type="dxa" w:w="1201"/>
            <w:tcMar>
              <w:top w:w="50" w:type="dxa"/>
              <w:bottom w:w="50" w:type="dxa"/>
              <w:left w:w="90" w:type="dxa"/>
              <w:right w:w="90" w:type="dxa"/>
            </w:tcMar>
            <w:shd w:val="clear" w:color="auto" w:fill="E5F5FF"/>
          </w:tcPr>
          <w:p>
            <w:pPr>
              <w:pStyle w:val="BDOITable"/>
            </w:pPr>
            <w:r>
              <w:rPr>
                <w:sz w:val="17"/>
              </w:rPr>
              <w:t>-</w:t>
            </w:r>
          </w:p>
        </w:tc>
        <w:tc>
          <w:tcPr>
            <w:tcW w:type="dxa" w:w="5046"/>
            <w:tcMar>
              <w:top w:w="50" w:type="dxa"/>
              <w:bottom w:w="50" w:type="dxa"/>
              <w:left w:w="90" w:type="dxa"/>
              <w:right w:w="90" w:type="dxa"/>
            </w:tcMar>
            <w:shd w:val="clear" w:color="auto" w:fill="E5F5FF"/>
          </w:tcPr>
          <w:p>
            <w:pPr>
              <w:pStyle w:val="BDOITable"/>
            </w:pPr>
            <w:r>
              <w:rPr>
                <w:sz w:val="17"/>
              </w:rPr>
              <w:t>BIBS stays up; continuity procedures of chapter 10 where the business is affected</w:t>
            </w:r>
          </w:p>
        </w:tc>
      </w:tr>
    </w:tbl>
    <w:p>
      <w:pPr>
        <w:pStyle w:val="BDOISpacer"/>
      </w:pPr>
    </w:p>
    <w:p>
      <w:pPr>
        <w:pStyle w:val="Heading2"/>
      </w:pPr>
      <w:bookmarkStart w:id="112" w:name="_Toc000112"/>
      <w:r>
        <w:rPr/>
        <w:t>3.3 Availability</w:t>
      </w:r>
      <w:bookmarkEnd w:id="112"/>
    </w:p>
    <w:p>
      <w:r>
        <w:rPr/>
        <w:t>The availability objective is 99.9 % of the service window (06:00-22:00 Monday to Saturday and month-end Sundays) per month, about 25 minutes of unavailability a month (Support Model, section 4.3). A disaster recovery spends the error budget of the month; it is reported in the monthly service report.</w:t>
      </w:r>
    </w:p>
    <w:p>
      <w:pPr>
        <w:pStyle w:val="Heading1"/>
        <w:pageBreakBefore/>
        <w:pBdr>
          <w:bottom w:val="single" w:sz="4" w:space="4" w:color="99C1E7"/>
        </w:pBdr>
      </w:pPr>
      <w:bookmarkStart w:id="113" w:name="_Toc000113"/>
      <w:r>
        <w:rPr/>
        <w:t>4 DR topology</w:t>
      </w:r>
      <w:bookmarkEnd w:id="113"/>
    </w:p>
    <w:p>
      <w:pPr>
        <w:pStyle w:val="Heading2"/>
      </w:pPr>
      <w:bookmarkStart w:id="114" w:name="_Toc000114"/>
      <w:r>
        <w:rPr/>
        <w:t>4.1 Primary and DR</w:t>
      </w:r>
      <w:bookmarkEnd w:id="114"/>
    </w:p>
    <w:p>
      <w:r>
        <w:rPr/>
        <w:t>Figure 1 shows production in ap-southeast-1 across three availability zones and the warm standby in the DR region. The DR region is still to be approved by BDOI under the same cross-border basis as the primary region (IQ26, DCR-225, DSQ01); the hosting appendix places BIBS in ap-southeast-1 with access restricted to personnel in the Philippines.</w:t>
      </w:r>
    </w:p>
    <w:p>
      <w:pPr>
        <w:keepNext/>
        <w:spacing w:before="80" w:after="0"/>
        <w:jc w:val="center"/>
      </w:pPr>
      <w:r>
        <w:drawing>
          <wp:inline xmlns:a="http://schemas.openxmlformats.org/drawingml/2006/main" xmlns:pic="http://schemas.openxmlformats.org/drawingml/2006/picture">
            <wp:extent cx="5400000" cy="4247856"/>
            <wp:docPr id="3" name="Picture 3"/>
            <wp:cNvGraphicFramePr>
              <a:graphicFrameLocks noChangeAspect="1"/>
            </wp:cNvGraphicFramePr>
            <a:graphic>
              <a:graphicData uri="http://schemas.openxmlformats.org/drawingml/2006/picture">
                <pic:pic>
                  <pic:nvPicPr>
                    <pic:cNvPr id="0" name="dr_topology_1003.jpg"/>
                    <pic:cNvPicPr/>
                  </pic:nvPicPr>
                  <pic:blipFill>
                    <a:blip r:embed="rId15"/>
                    <a:stretch>
                      <a:fillRect/>
                    </a:stretch>
                  </pic:blipFill>
                  <pic:spPr>
                    <a:xfrm>
                      <a:off x="0" y="0"/>
                      <a:ext cx="5400000" cy="4247856"/>
                    </a:xfrm>
                    <a:prstGeom prst="rect"/>
                  </pic:spPr>
                </pic:pic>
              </a:graphicData>
            </a:graphic>
          </wp:inline>
        </w:drawing>
      </w:r>
    </w:p>
    <w:p>
      <w:pPr>
        <w:pStyle w:val="Caption"/>
        <w:jc w:val="center"/>
      </w:pPr>
      <w:r>
        <w:rPr>
          <w:b/>
          <w:i w:val="0"/>
        </w:rPr>
        <w:t xml:space="preserve">Figure 1: </w:t>
      </w:r>
      <w:r>
        <w:rPr/>
        <w:t>DR topology: production and warm standby</w:t>
      </w:r>
    </w:p>
    <w:p>
      <w:pPr>
        <w:pStyle w:val="Caption"/>
        <w:keepNext/>
        <w:spacing w:after="60"/>
      </w:pPr>
      <w:r>
        <w:rPr>
          <w:b/>
          <w:i w:val="0"/>
        </w:rPr>
        <w:t xml:space="preserve">Table 6: </w:t>
      </w:r>
      <w:r>
        <w:rPr/>
        <w:t>Components in production and in DR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643"/>
        <w:gridCol w:w="2643"/>
        <w:gridCol w:w="2523"/>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Component</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Production</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DR (warm standby)</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Replication and data at failover</w:t>
            </w:r>
          </w:p>
        </w:tc>
      </w:tr>
      <w:tr>
        <w:trPr>
          <w:cantSplit w:val="true"/>
        </w:trPr>
        <w:tc>
          <w:tcPr>
            <w:tcW w:type="dxa" w:w="2163"/>
            <w:tcMar>
              <w:top w:w="50" w:type="dxa"/>
              <w:bottom w:w="50" w:type="dxa"/>
              <w:left w:w="90" w:type="dxa"/>
              <w:right w:w="90" w:type="dxa"/>
            </w:tcMar>
          </w:tcPr>
          <w:p>
            <w:pPr>
              <w:pStyle w:val="BDOITable"/>
            </w:pPr>
            <w:r>
              <w:rPr>
                <w:b/>
                <w:sz w:val="17"/>
              </w:rPr>
              <w:t>Kubernetes (EKS)</w:t>
            </w:r>
          </w:p>
        </w:tc>
        <w:tc>
          <w:tcPr>
            <w:tcW w:type="dxa" w:w="2643"/>
            <w:tcMar>
              <w:top w:w="50" w:type="dxa"/>
              <w:bottom w:w="50" w:type="dxa"/>
              <w:left w:w="90" w:type="dxa"/>
              <w:right w:w="90" w:type="dxa"/>
            </w:tcMar>
          </w:tcPr>
          <w:p>
            <w:pPr>
              <w:pStyle w:val="BDOITable"/>
            </w:pPr>
            <w:r>
              <w:rPr>
                <w:sz w:val="17"/>
              </w:rPr>
              <w:t>Four workloads; web 3-10 pods, jobs 2, integration 2, frontend 2-4</w:t>
            </w:r>
          </w:p>
        </w:tc>
        <w:tc>
          <w:tcPr>
            <w:tcW w:type="dxa" w:w="2643"/>
            <w:tcMar>
              <w:top w:w="50" w:type="dxa"/>
              <w:bottom w:w="50" w:type="dxa"/>
              <w:left w:w="90" w:type="dxa"/>
              <w:right w:w="90" w:type="dxa"/>
            </w:tcMar>
          </w:tcPr>
          <w:p>
            <w:pPr>
              <w:pStyle w:val="BDOITable"/>
            </w:pPr>
            <w:r>
              <w:rPr>
                <w:sz w:val="17"/>
              </w:rPr>
              <w:t>Cluster running with the current release; backend at 0 pods, scaled to production size at failover</w:t>
            </w:r>
          </w:p>
        </w:tc>
        <w:tc>
          <w:tcPr>
            <w:tcW w:type="dxa" w:w="2523"/>
            <w:tcMar>
              <w:top w:w="50" w:type="dxa"/>
              <w:bottom w:w="50" w:type="dxa"/>
              <w:left w:w="90" w:type="dxa"/>
              <w:right w:w="90" w:type="dxa"/>
            </w:tcMar>
          </w:tcPr>
          <w:p>
            <w:pPr>
              <w:pStyle w:val="BDOITable"/>
            </w:pPr>
            <w:r>
              <w:rPr>
                <w:sz w:val="17"/>
              </w:rPr>
              <w:t>Release packages and configuration deployed to DR with every production release</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Database (RDS PostgreSQL 16)</w:t>
            </w:r>
          </w:p>
        </w:tc>
        <w:tc>
          <w:tcPr>
            <w:tcW w:type="dxa" w:w="2643"/>
            <w:tcMar>
              <w:top w:w="50" w:type="dxa"/>
              <w:bottom w:w="50" w:type="dxa"/>
              <w:left w:w="90" w:type="dxa"/>
              <w:right w:w="90" w:type="dxa"/>
            </w:tcMar>
            <w:shd w:val="clear" w:color="auto" w:fill="E5F5FF"/>
          </w:tcPr>
          <w:p>
            <w:pPr>
              <w:pStyle w:val="BDOITable"/>
            </w:pPr>
            <w:r>
              <w:rPr>
                <w:sz w:val="17"/>
              </w:rPr>
              <w:t>Multi-AZ, encrypted</w:t>
            </w:r>
          </w:p>
        </w:tc>
        <w:tc>
          <w:tcPr>
            <w:tcW w:type="dxa" w:w="2643"/>
            <w:tcMar>
              <w:top w:w="50" w:type="dxa"/>
              <w:bottom w:w="50" w:type="dxa"/>
              <w:left w:w="90" w:type="dxa"/>
              <w:right w:w="90" w:type="dxa"/>
            </w:tcMar>
            <w:shd w:val="clear" w:color="auto" w:fill="E5F5FF"/>
          </w:tcPr>
          <w:p>
            <w:pPr>
              <w:pStyle w:val="BDOITable"/>
            </w:pPr>
            <w:r>
              <w:rPr>
                <w:sz w:val="17"/>
              </w:rPr>
              <w:t>Cross-region read replica</w:t>
            </w:r>
          </w:p>
        </w:tc>
        <w:tc>
          <w:tcPr>
            <w:tcW w:type="dxa" w:w="2523"/>
            <w:tcMar>
              <w:top w:w="50" w:type="dxa"/>
              <w:bottom w:w="50" w:type="dxa"/>
              <w:left w:w="90" w:type="dxa"/>
              <w:right w:w="90" w:type="dxa"/>
            </w:tcMar>
            <w:shd w:val="clear" w:color="auto" w:fill="E5F5FF"/>
          </w:tcPr>
          <w:p>
            <w:pPr>
              <w:pStyle w:val="BDOITable"/>
            </w:pPr>
            <w:r>
              <w:rPr>
                <w:sz w:val="17"/>
              </w:rPr>
              <w:t>Asynchronous log shipping; lag alert at 5 minutes; promoted at failover</w:t>
            </w:r>
          </w:p>
        </w:tc>
      </w:tr>
      <w:tr>
        <w:trPr>
          <w:cantSplit w:val="true"/>
        </w:trPr>
        <w:tc>
          <w:tcPr>
            <w:tcW w:type="dxa" w:w="2163"/>
            <w:tcMar>
              <w:top w:w="50" w:type="dxa"/>
              <w:bottom w:w="50" w:type="dxa"/>
              <w:left w:w="90" w:type="dxa"/>
              <w:right w:w="90" w:type="dxa"/>
            </w:tcMar>
          </w:tcPr>
          <w:p>
            <w:pPr>
              <w:pStyle w:val="BDOITable"/>
            </w:pPr>
            <w:r>
              <w:rPr>
                <w:b/>
                <w:sz w:val="17"/>
              </w:rPr>
              <w:t>Valkey 8</w:t>
            </w:r>
          </w:p>
        </w:tc>
        <w:tc>
          <w:tcPr>
            <w:tcW w:type="dxa" w:w="2643"/>
            <w:tcMar>
              <w:top w:w="50" w:type="dxa"/>
              <w:bottom w:w="50" w:type="dxa"/>
              <w:left w:w="90" w:type="dxa"/>
              <w:right w:w="90" w:type="dxa"/>
            </w:tcMar>
          </w:tcPr>
          <w:p>
            <w:pPr>
              <w:pStyle w:val="BDOITable"/>
            </w:pPr>
            <w:r>
              <w:rPr>
                <w:sz w:val="17"/>
              </w:rPr>
              <w:t>Primary and replica</w:t>
            </w:r>
          </w:p>
        </w:tc>
        <w:tc>
          <w:tcPr>
            <w:tcW w:type="dxa" w:w="2643"/>
            <w:tcMar>
              <w:top w:w="50" w:type="dxa"/>
              <w:bottom w:w="50" w:type="dxa"/>
              <w:left w:w="90" w:type="dxa"/>
              <w:right w:w="90" w:type="dxa"/>
            </w:tcMar>
          </w:tcPr>
          <w:p>
            <w:pPr>
              <w:pStyle w:val="BDOITable"/>
            </w:pPr>
            <w:r>
              <w:rPr>
                <w:sz w:val="17"/>
              </w:rPr>
              <w:t>None</w:t>
            </w:r>
          </w:p>
        </w:tc>
        <w:tc>
          <w:tcPr>
            <w:tcW w:type="dxa" w:w="2523"/>
            <w:tcMar>
              <w:top w:w="50" w:type="dxa"/>
              <w:bottom w:w="50" w:type="dxa"/>
              <w:left w:w="90" w:type="dxa"/>
              <w:right w:w="90" w:type="dxa"/>
            </w:tcMar>
          </w:tcPr>
          <w:p>
            <w:pPr>
              <w:pStyle w:val="BDOITable"/>
            </w:pPr>
            <w:r>
              <w:rPr>
                <w:sz w:val="17"/>
              </w:rPr>
              <w:t>Created at failover; caches refill on use; job locks start empty</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Kafka 3.9 (MSK)</w:t>
            </w:r>
          </w:p>
        </w:tc>
        <w:tc>
          <w:tcPr>
            <w:tcW w:type="dxa" w:w="2643"/>
            <w:tcMar>
              <w:top w:w="50" w:type="dxa"/>
              <w:bottom w:w="50" w:type="dxa"/>
              <w:left w:w="90" w:type="dxa"/>
              <w:right w:w="90" w:type="dxa"/>
            </w:tcMar>
            <w:shd w:val="clear" w:color="auto" w:fill="E5F5FF"/>
          </w:tcPr>
          <w:p>
            <w:pPr>
              <w:pStyle w:val="BDOITable"/>
            </w:pPr>
            <w:r>
              <w:rPr>
                <w:sz w:val="17"/>
              </w:rPr>
              <w:t>Three brokers</w:t>
            </w:r>
          </w:p>
        </w:tc>
        <w:tc>
          <w:tcPr>
            <w:tcW w:type="dxa" w:w="2643"/>
            <w:tcMar>
              <w:top w:w="50" w:type="dxa"/>
              <w:bottom w:w="50" w:type="dxa"/>
              <w:left w:w="90" w:type="dxa"/>
              <w:right w:w="90" w:type="dxa"/>
            </w:tcMar>
            <w:shd w:val="clear" w:color="auto" w:fill="E5F5FF"/>
          </w:tcPr>
          <w:p>
            <w:pPr>
              <w:pStyle w:val="BDOITable"/>
            </w:pPr>
            <w:r>
              <w:rPr>
                <w:sz w:val="17"/>
              </w:rPr>
              <w:t>Created at failover (or a standby cluster, OP-05)</w:t>
            </w:r>
          </w:p>
        </w:tc>
        <w:tc>
          <w:tcPr>
            <w:tcW w:type="dxa" w:w="2523"/>
            <w:tcMar>
              <w:top w:w="50" w:type="dxa"/>
              <w:bottom w:w="50" w:type="dxa"/>
              <w:left w:w="90" w:type="dxa"/>
              <w:right w:w="90" w:type="dxa"/>
            </w:tcMar>
            <w:shd w:val="clear" w:color="auto" w:fill="E5F5FF"/>
          </w:tcPr>
          <w:p>
            <w:pPr>
              <w:pStyle w:val="BDOITable"/>
            </w:pPr>
            <w:r>
              <w:rPr>
                <w:sz w:val="17"/>
              </w:rPr>
              <w:t>Not replicated: events not yet delivered are resent from the database outbox</w:t>
            </w:r>
          </w:p>
        </w:tc>
      </w:tr>
      <w:tr>
        <w:trPr>
          <w:cantSplit w:val="true"/>
        </w:trPr>
        <w:tc>
          <w:tcPr>
            <w:tcW w:type="dxa" w:w="2163"/>
            <w:tcMar>
              <w:top w:w="50" w:type="dxa"/>
              <w:bottom w:w="50" w:type="dxa"/>
              <w:left w:w="90" w:type="dxa"/>
              <w:right w:w="90" w:type="dxa"/>
            </w:tcMar>
          </w:tcPr>
          <w:p>
            <w:pPr>
              <w:pStyle w:val="BDOITable"/>
            </w:pPr>
            <w:r>
              <w:rPr>
                <w:b/>
                <w:sz w:val="17"/>
              </w:rPr>
              <w:t>Documents (S3)</w:t>
            </w:r>
          </w:p>
        </w:tc>
        <w:tc>
          <w:tcPr>
            <w:tcW w:type="dxa" w:w="2643"/>
            <w:tcMar>
              <w:top w:w="50" w:type="dxa"/>
              <w:bottom w:w="50" w:type="dxa"/>
              <w:left w:w="90" w:type="dxa"/>
              <w:right w:w="90" w:type="dxa"/>
            </w:tcMar>
          </w:tcPr>
          <w:p>
            <w:pPr>
              <w:pStyle w:val="BDOITable"/>
            </w:pPr>
            <w:r>
              <w:rPr>
                <w:sz w:val="17"/>
              </w:rPr>
              <w:t>Four buckets with versioning; Object Lock on documents</w:t>
            </w:r>
          </w:p>
        </w:tc>
        <w:tc>
          <w:tcPr>
            <w:tcW w:type="dxa" w:w="2643"/>
            <w:tcMar>
              <w:top w:w="50" w:type="dxa"/>
              <w:bottom w:w="50" w:type="dxa"/>
              <w:left w:w="90" w:type="dxa"/>
              <w:right w:w="90" w:type="dxa"/>
            </w:tcMar>
          </w:tcPr>
          <w:p>
            <w:pPr>
              <w:pStyle w:val="BDOITable"/>
            </w:pPr>
            <w:r>
              <w:rPr>
                <w:sz w:val="17"/>
              </w:rPr>
              <w:t>Replica buckets</w:t>
            </w:r>
          </w:p>
        </w:tc>
        <w:tc>
          <w:tcPr>
            <w:tcW w:type="dxa" w:w="2523"/>
            <w:tcMar>
              <w:top w:w="50" w:type="dxa"/>
              <w:bottom w:w="50" w:type="dxa"/>
              <w:left w:w="90" w:type="dxa"/>
              <w:right w:w="90" w:type="dxa"/>
            </w:tcMar>
          </w:tcPr>
          <w:p>
            <w:pPr>
              <w:pStyle w:val="BDOITable"/>
            </w:pPr>
            <w:r>
              <w:rPr>
                <w:sz w:val="17"/>
              </w:rPr>
              <w:t>Cross-region replication with replication time control (15 minutes)</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Container images and secrets</w:t>
            </w:r>
          </w:p>
        </w:tc>
        <w:tc>
          <w:tcPr>
            <w:tcW w:type="dxa" w:w="2643"/>
            <w:tcMar>
              <w:top w:w="50" w:type="dxa"/>
              <w:bottom w:w="50" w:type="dxa"/>
              <w:left w:w="90" w:type="dxa"/>
              <w:right w:w="90" w:type="dxa"/>
            </w:tcMar>
            <w:shd w:val="clear" w:color="auto" w:fill="E5F5FF"/>
          </w:tcPr>
          <w:p>
            <w:pPr>
              <w:pStyle w:val="BDOITable"/>
            </w:pPr>
            <w:r>
              <w:rPr>
                <w:sz w:val="17"/>
              </w:rPr>
              <w:t>Registry and secrets store</w:t>
            </w:r>
          </w:p>
        </w:tc>
        <w:tc>
          <w:tcPr>
            <w:tcW w:type="dxa" w:w="2643"/>
            <w:tcMar>
              <w:top w:w="50" w:type="dxa"/>
              <w:bottom w:w="50" w:type="dxa"/>
              <w:left w:w="90" w:type="dxa"/>
              <w:right w:w="90" w:type="dxa"/>
            </w:tcMar>
            <w:shd w:val="clear" w:color="auto" w:fill="E5F5FF"/>
          </w:tcPr>
          <w:p>
            <w:pPr>
              <w:pStyle w:val="BDOITable"/>
            </w:pPr>
            <w:r>
              <w:rPr>
                <w:sz w:val="17"/>
              </w:rPr>
              <w:t>Replicated registry and secrets</w:t>
            </w:r>
          </w:p>
        </w:tc>
        <w:tc>
          <w:tcPr>
            <w:tcW w:type="dxa" w:w="2523"/>
            <w:tcMar>
              <w:top w:w="50" w:type="dxa"/>
              <w:bottom w:w="50" w:type="dxa"/>
              <w:left w:w="90" w:type="dxa"/>
              <w:right w:w="90" w:type="dxa"/>
            </w:tcMar>
            <w:shd w:val="clear" w:color="auto" w:fill="E5F5FF"/>
          </w:tcPr>
          <w:p>
            <w:pPr>
              <w:pStyle w:val="BDOITable"/>
            </w:pPr>
            <w:r>
              <w:rPr>
                <w:sz w:val="17"/>
              </w:rPr>
              <w:t>Replicated continuously; KMS multi-Region keys or BDOI keys in DR</w:t>
            </w:r>
          </w:p>
        </w:tc>
      </w:tr>
      <w:tr>
        <w:trPr>
          <w:cantSplit w:val="true"/>
        </w:trPr>
        <w:tc>
          <w:tcPr>
            <w:tcW w:type="dxa" w:w="2163"/>
            <w:tcMar>
              <w:top w:w="50" w:type="dxa"/>
              <w:bottom w:w="50" w:type="dxa"/>
              <w:left w:w="90" w:type="dxa"/>
              <w:right w:w="90" w:type="dxa"/>
            </w:tcMar>
          </w:tcPr>
          <w:p>
            <w:pPr>
              <w:pStyle w:val="BDOITable"/>
            </w:pPr>
            <w:r>
              <w:rPr>
                <w:b/>
                <w:sz w:val="17"/>
              </w:rPr>
              <w:t>Edge</w:t>
            </w:r>
          </w:p>
        </w:tc>
        <w:tc>
          <w:tcPr>
            <w:tcW w:type="dxa" w:w="2643"/>
            <w:tcMar>
              <w:top w:w="50" w:type="dxa"/>
              <w:bottom w:w="50" w:type="dxa"/>
              <w:left w:w="90" w:type="dxa"/>
              <w:right w:w="90" w:type="dxa"/>
            </w:tcMar>
          </w:tcPr>
          <w:p>
            <w:pPr>
              <w:pStyle w:val="BDOITable"/>
            </w:pPr>
            <w:r>
              <w:rPr>
                <w:sz w:val="17"/>
              </w:rPr>
              <w:t>WAF, Gateway, internal load balancer</w:t>
            </w:r>
          </w:p>
        </w:tc>
        <w:tc>
          <w:tcPr>
            <w:tcW w:type="dxa" w:w="2643"/>
            <w:tcMar>
              <w:top w:w="50" w:type="dxa"/>
              <w:bottom w:w="50" w:type="dxa"/>
              <w:left w:w="90" w:type="dxa"/>
              <w:right w:w="90" w:type="dxa"/>
            </w:tcMar>
          </w:tcPr>
          <w:p>
            <w:pPr>
              <w:pStyle w:val="BDOITable"/>
            </w:pPr>
            <w:r>
              <w:rPr>
                <w:sz w:val="17"/>
              </w:rPr>
              <w:t>Pre-provisioned</w:t>
            </w:r>
          </w:p>
        </w:tc>
        <w:tc>
          <w:tcPr>
            <w:tcW w:type="dxa" w:w="2523"/>
            <w:tcMar>
              <w:top w:w="50" w:type="dxa"/>
              <w:bottom w:w="50" w:type="dxa"/>
              <w:left w:w="90" w:type="dxa"/>
              <w:right w:w="90" w:type="dxa"/>
            </w:tcMar>
          </w:tcPr>
          <w:p>
            <w:pPr>
              <w:pStyle w:val="BDOITable"/>
            </w:pPr>
            <w:r>
              <w:rPr>
                <w:sz w:val="17"/>
              </w:rPr>
              <w:t>Route 53 private zone record switched; Apigee X target switched by the BDOI API team</w:t>
            </w:r>
          </w:p>
        </w:tc>
      </w:tr>
    </w:tbl>
    <w:p>
      <w:pPr>
        <w:pStyle w:val="BDOISpacer"/>
      </w:pPr>
    </w:p>
    <w:p>
      <w:pPr>
        <w:pStyle w:val="Heading2"/>
      </w:pPr>
      <w:bookmarkStart w:id="115" w:name="_Toc000115"/>
      <w:r>
        <w:rPr/>
        <w:t>4.2 Data loss at failover</w:t>
      </w:r>
      <w:bookmarkEnd w:id="115"/>
    </w:p>
    <w:p>
      <w:r>
        <w:rPr/>
        <w:t>At a regional failover, transactions committed in the last minutes before the loss may not have reached the DR replica (the RPO allows up to 15 minutes). After the failover:</w:t>
      </w:r>
    </w:p>
    <w:p>
      <w:pPr>
        <w:tabs>
          <w:tab w:pos="312" w:val="left"/>
        </w:tabs>
        <w:spacing w:after="40"/>
        <w:ind w:left="312" w:hanging="283"/>
      </w:pPr>
      <w:r>
        <w:rPr>
          <w:color w:val="004EA8"/>
        </w:rPr>
        <w:t>•</w:t>
        <w:tab/>
      </w:r>
      <w:r>
        <w:rPr/>
        <w:t>L2 lists the last records per module in DR (receipts, applications, bookings, journals) with their times, and the key users compare them with their own records and source documents of the same period;</w:t>
      </w:r>
    </w:p>
    <w:p>
      <w:pPr>
        <w:tabs>
          <w:tab w:pos="312" w:val="left"/>
        </w:tabs>
        <w:spacing w:after="40"/>
        <w:ind w:left="312" w:hanging="283"/>
      </w:pPr>
      <w:r>
        <w:rPr>
          <w:color w:val="004EA8"/>
        </w:rPr>
        <w:t>•</w:t>
        <w:tab/>
      </w:r>
      <w:r>
        <w:rPr/>
        <w:t>missing transactions are keyed again in BIBS from the source documents; bank and insurer files of the period are uploaded again (BIBS refuses a file it already loaded);</w:t>
      </w:r>
    </w:p>
    <w:p>
      <w:pPr>
        <w:tabs>
          <w:tab w:pos="312" w:val="left"/>
        </w:tabs>
        <w:spacing w:after="120"/>
        <w:ind w:left="312" w:hanging="283"/>
      </w:pPr>
      <w:r>
        <w:rPr>
          <w:color w:val="004EA8"/>
        </w:rPr>
        <w:t>•</w:t>
        <w:tab/>
      </w:r>
      <w:r>
        <w:rPr/>
        <w:t>integration events written in the database are resent from the outbox; e-mails queued in the database are sent again by the mail job.</w:t>
      </w:r>
    </w:p>
    <w:p>
      <w:pPr>
        <w:pStyle w:val="Heading1"/>
        <w:pageBreakBefore/>
        <w:pBdr>
          <w:bottom w:val="single" w:sz="4" w:space="4" w:color="99C1E7"/>
        </w:pBdr>
      </w:pPr>
      <w:bookmarkStart w:id="116" w:name="_Toc000116"/>
      <w:r>
        <w:rPr/>
        <w:t>5 Backup and replication</w:t>
      </w:r>
      <w:bookmarkEnd w:id="116"/>
    </w:p>
    <w:p>
      <w:pPr>
        <w:pStyle w:val="Caption"/>
        <w:keepNext/>
        <w:spacing w:after="60"/>
      </w:pPr>
      <w:r>
        <w:rPr>
          <w:b/>
          <w:i w:val="0"/>
        </w:rPr>
        <w:t xml:space="preserve">Table 7: </w:t>
      </w:r>
      <w:r>
        <w:rPr/>
        <w:t>Backup and replication scheme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5166"/>
        <w:gridCol w:w="2643"/>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7"/>
              </w:rPr>
              <w:t>Scheme</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Retention</w:t>
            </w:r>
          </w:p>
        </w:tc>
      </w:tr>
      <w:tr>
        <w:trPr>
          <w:cantSplit w:val="true"/>
        </w:trPr>
        <w:tc>
          <w:tcPr>
            <w:tcW w:type="dxa" w:w="2163"/>
            <w:tcMar>
              <w:top w:w="50" w:type="dxa"/>
              <w:bottom w:w="50" w:type="dxa"/>
              <w:left w:w="90" w:type="dxa"/>
              <w:right w:w="90" w:type="dxa"/>
            </w:tcMar>
          </w:tcPr>
          <w:p>
            <w:pPr>
              <w:pStyle w:val="BDOITable"/>
            </w:pPr>
            <w:r>
              <w:rPr>
                <w:b/>
                <w:sz w:val="17"/>
              </w:rPr>
              <w:t>Database: continuous log archiving</w:t>
            </w:r>
          </w:p>
        </w:tc>
        <w:tc>
          <w:tcPr>
            <w:tcW w:type="dxa" w:w="5166"/>
            <w:tcMar>
              <w:top w:w="50" w:type="dxa"/>
              <w:bottom w:w="50" w:type="dxa"/>
              <w:left w:w="90" w:type="dxa"/>
              <w:right w:w="90" w:type="dxa"/>
            </w:tcMar>
          </w:tcPr>
          <w:p>
            <w:pPr>
              <w:pStyle w:val="BDOITable"/>
            </w:pPr>
            <w:r>
              <w:rPr>
                <w:sz w:val="17"/>
              </w:rPr>
              <w:t>Point-in-time recovery to any second</w:t>
            </w:r>
          </w:p>
        </w:tc>
        <w:tc>
          <w:tcPr>
            <w:tcW w:type="dxa" w:w="2643"/>
            <w:tcMar>
              <w:top w:w="50" w:type="dxa"/>
              <w:bottom w:w="50" w:type="dxa"/>
              <w:left w:w="90" w:type="dxa"/>
              <w:right w:w="90" w:type="dxa"/>
            </w:tcMar>
          </w:tcPr>
          <w:p>
            <w:pPr>
              <w:pStyle w:val="BDOITable"/>
            </w:pPr>
            <w:r>
              <w:rPr>
                <w:sz w:val="17"/>
              </w:rPr>
              <w:t>35 days</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Database: snapshots</w:t>
            </w:r>
          </w:p>
        </w:tc>
        <w:tc>
          <w:tcPr>
            <w:tcW w:type="dxa" w:w="5166"/>
            <w:tcMar>
              <w:top w:w="50" w:type="dxa"/>
              <w:bottom w:w="50" w:type="dxa"/>
              <w:left w:w="90" w:type="dxa"/>
              <w:right w:w="90" w:type="dxa"/>
            </w:tcMar>
            <w:shd w:val="clear" w:color="auto" w:fill="E5F5FF"/>
          </w:tcPr>
          <w:p>
            <w:pPr>
              <w:pStyle w:val="BDOITable"/>
            </w:pPr>
            <w:r>
              <w:rPr>
                <w:sz w:val="17"/>
              </w:rPr>
              <w:t>Every 4 hours, copied to the DR region</w:t>
            </w:r>
          </w:p>
        </w:tc>
        <w:tc>
          <w:tcPr>
            <w:tcW w:type="dxa" w:w="2643"/>
            <w:tcMar>
              <w:top w:w="50" w:type="dxa"/>
              <w:bottom w:w="50" w:type="dxa"/>
              <w:left w:w="90" w:type="dxa"/>
              <w:right w:w="90" w:type="dxa"/>
            </w:tcMar>
            <w:shd w:val="clear" w:color="auto" w:fill="E5F5FF"/>
          </w:tcPr>
          <w:p>
            <w:pPr>
              <w:pStyle w:val="BDOITable"/>
            </w:pPr>
            <w:r>
              <w:rPr>
                <w:sz w:val="17"/>
              </w:rPr>
              <w:t>35 days</w:t>
            </w:r>
          </w:p>
        </w:tc>
      </w:tr>
      <w:tr>
        <w:trPr>
          <w:cantSplit w:val="true"/>
        </w:trPr>
        <w:tc>
          <w:tcPr>
            <w:tcW w:type="dxa" w:w="2163"/>
            <w:tcMar>
              <w:top w:w="50" w:type="dxa"/>
              <w:bottom w:w="50" w:type="dxa"/>
              <w:left w:w="90" w:type="dxa"/>
              <w:right w:w="90" w:type="dxa"/>
            </w:tcMar>
          </w:tcPr>
          <w:p>
            <w:pPr>
              <w:pStyle w:val="BDOITable"/>
            </w:pPr>
            <w:r>
              <w:rPr>
                <w:b/>
                <w:sz w:val="17"/>
              </w:rPr>
              <w:t>Database: monthly copy</w:t>
            </w:r>
          </w:p>
        </w:tc>
        <w:tc>
          <w:tcPr>
            <w:tcW w:type="dxa" w:w="5166"/>
            <w:tcMar>
              <w:top w:w="50" w:type="dxa"/>
              <w:bottom w:w="50" w:type="dxa"/>
              <w:left w:w="90" w:type="dxa"/>
              <w:right w:w="90" w:type="dxa"/>
            </w:tcMar>
          </w:tcPr>
          <w:p>
            <w:pPr>
              <w:pStyle w:val="BDOITable"/>
            </w:pPr>
            <w:r>
              <w:rPr>
                <w:sz w:val="17"/>
              </w:rPr>
              <w:t>First day of each month, copied to the DR region and to a locked backup vault in a separate AWS account</w:t>
            </w:r>
          </w:p>
        </w:tc>
        <w:tc>
          <w:tcPr>
            <w:tcW w:type="dxa" w:w="2643"/>
            <w:tcMar>
              <w:top w:w="50" w:type="dxa"/>
              <w:bottom w:w="50" w:type="dxa"/>
              <w:left w:w="90" w:type="dxa"/>
              <w:right w:w="90" w:type="dxa"/>
            </w:tcMar>
          </w:tcPr>
          <w:p>
            <w:pPr>
              <w:pStyle w:val="BDOITable"/>
            </w:pPr>
            <w:r>
              <w:rPr>
                <w:sz w:val="17"/>
              </w:rPr>
              <w:t>7 years (umbrella NFR and DCR-136)</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Database: before a release, a data correction and the cutover load</w:t>
            </w:r>
          </w:p>
        </w:tc>
        <w:tc>
          <w:tcPr>
            <w:tcW w:type="dxa" w:w="5166"/>
            <w:tcMar>
              <w:top w:w="50" w:type="dxa"/>
              <w:bottom w:w="50" w:type="dxa"/>
              <w:left w:w="90" w:type="dxa"/>
              <w:right w:w="90" w:type="dxa"/>
            </w:tcMar>
            <w:shd w:val="clear" w:color="auto" w:fill="E5F5FF"/>
          </w:tcPr>
          <w:p>
            <w:pPr>
              <w:pStyle w:val="BDOITable"/>
            </w:pPr>
            <w:r>
              <w:rPr>
                <w:sz w:val="17"/>
              </w:rPr>
              <w:t>Manual snapshot (the rollback point of the cutover is taken at T-2 02:00)</w:t>
            </w:r>
          </w:p>
        </w:tc>
        <w:tc>
          <w:tcPr>
            <w:tcW w:type="dxa" w:w="2643"/>
            <w:tcMar>
              <w:top w:w="50" w:type="dxa"/>
              <w:bottom w:w="50" w:type="dxa"/>
              <w:left w:w="90" w:type="dxa"/>
              <w:right w:w="90" w:type="dxa"/>
            </w:tcMar>
            <w:shd w:val="clear" w:color="auto" w:fill="E5F5FF"/>
          </w:tcPr>
          <w:p>
            <w:pPr>
              <w:pStyle w:val="BDOITable"/>
            </w:pPr>
            <w:r>
              <w:rPr>
                <w:sz w:val="17"/>
              </w:rPr>
              <w:t>90 days; the cutover snapshot until true-ups close (2 May 2028)</w:t>
            </w:r>
          </w:p>
        </w:tc>
      </w:tr>
      <w:tr>
        <w:trPr>
          <w:cantSplit w:val="true"/>
        </w:trPr>
        <w:tc>
          <w:tcPr>
            <w:tcW w:type="dxa" w:w="2163"/>
            <w:tcMar>
              <w:top w:w="50" w:type="dxa"/>
              <w:bottom w:w="50" w:type="dxa"/>
              <w:left w:w="90" w:type="dxa"/>
              <w:right w:w="90" w:type="dxa"/>
            </w:tcMar>
          </w:tcPr>
          <w:p>
            <w:pPr>
              <w:pStyle w:val="BDOITable"/>
            </w:pPr>
            <w:r>
              <w:rPr>
                <w:b/>
                <w:sz w:val="17"/>
              </w:rPr>
              <w:t>DR replica</w:t>
            </w:r>
          </w:p>
        </w:tc>
        <w:tc>
          <w:tcPr>
            <w:tcW w:type="dxa" w:w="5166"/>
            <w:tcMar>
              <w:top w:w="50" w:type="dxa"/>
              <w:bottom w:w="50" w:type="dxa"/>
              <w:left w:w="90" w:type="dxa"/>
              <w:right w:w="90" w:type="dxa"/>
            </w:tcMar>
          </w:tcPr>
          <w:p>
            <w:pPr>
              <w:pStyle w:val="BDOITable"/>
            </w:pPr>
            <w:r>
              <w:rPr>
                <w:sz w:val="17"/>
              </w:rPr>
              <w:t>Cross-region read replica, continuous</w:t>
            </w:r>
          </w:p>
        </w:tc>
        <w:tc>
          <w:tcPr>
            <w:tcW w:type="dxa" w:w="2643"/>
            <w:tcMar>
              <w:top w:w="50" w:type="dxa"/>
              <w:bottom w:w="50" w:type="dxa"/>
              <w:left w:w="90" w:type="dxa"/>
              <w:right w:w="90" w:type="dxa"/>
            </w:tcMar>
          </w:tcPr>
          <w:p>
            <w:pPr>
              <w:pStyle w:val="BDOITable"/>
            </w:pPr>
            <w:r>
              <w:rPr>
                <w:sz w:val="17"/>
              </w:rPr>
              <w:t>Current</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Documents and reports</w:t>
            </w:r>
          </w:p>
        </w:tc>
        <w:tc>
          <w:tcPr>
            <w:tcW w:type="dxa" w:w="5166"/>
            <w:tcMar>
              <w:top w:w="50" w:type="dxa"/>
              <w:bottom w:w="50" w:type="dxa"/>
              <w:left w:w="90" w:type="dxa"/>
              <w:right w:w="90" w:type="dxa"/>
            </w:tcMar>
            <w:shd w:val="clear" w:color="auto" w:fill="E5F5FF"/>
          </w:tcPr>
          <w:p>
            <w:pPr>
              <w:pStyle w:val="BDOITable"/>
            </w:pPr>
            <w:r>
              <w:rPr>
                <w:sz w:val="17"/>
              </w:rPr>
              <w:t>Versioning; cross-region replication with replication time control; Object Lock governance on documents; legal holds</w:t>
            </w:r>
          </w:p>
        </w:tc>
        <w:tc>
          <w:tcPr>
            <w:tcW w:type="dxa" w:w="2643"/>
            <w:tcMar>
              <w:top w:w="50" w:type="dxa"/>
              <w:bottom w:w="50" w:type="dxa"/>
              <w:left w:w="90" w:type="dxa"/>
              <w:right w:w="90" w:type="dxa"/>
            </w:tcMar>
            <w:shd w:val="clear" w:color="auto" w:fill="E5F5FF"/>
          </w:tcPr>
          <w:p>
            <w:pPr>
              <w:pStyle w:val="BDOITable"/>
            </w:pPr>
            <w:r>
              <w:rPr>
                <w:sz w:val="17"/>
              </w:rPr>
              <w:t>Per record class (5 / 15 years by default; 10 / 15 years for claims; AMLA periods for screening)</w:t>
            </w:r>
          </w:p>
        </w:tc>
      </w:tr>
      <w:tr>
        <w:trPr>
          <w:cantSplit w:val="true"/>
        </w:trPr>
        <w:tc>
          <w:tcPr>
            <w:tcW w:type="dxa" w:w="2163"/>
            <w:tcMar>
              <w:top w:w="50" w:type="dxa"/>
              <w:bottom w:w="50" w:type="dxa"/>
              <w:left w:w="90" w:type="dxa"/>
              <w:right w:w="90" w:type="dxa"/>
            </w:tcMar>
          </w:tcPr>
          <w:p>
            <w:pPr>
              <w:pStyle w:val="BDOITable"/>
            </w:pPr>
            <w:r>
              <w:rPr>
                <w:b/>
                <w:sz w:val="17"/>
              </w:rPr>
              <w:t>Release packages and configuration</w:t>
            </w:r>
          </w:p>
        </w:tc>
        <w:tc>
          <w:tcPr>
            <w:tcW w:type="dxa" w:w="5166"/>
            <w:tcMar>
              <w:top w:w="50" w:type="dxa"/>
              <w:bottom w:w="50" w:type="dxa"/>
              <w:left w:w="90" w:type="dxa"/>
              <w:right w:w="90" w:type="dxa"/>
            </w:tcMar>
          </w:tcPr>
          <w:p>
            <w:pPr>
              <w:pStyle w:val="BDOITable"/>
            </w:pPr>
            <w:r>
              <w:rPr>
                <w:sz w:val="17"/>
              </w:rPr>
              <w:t>Every production release kept in the BDO release store and deployed to DR</w:t>
            </w:r>
          </w:p>
        </w:tc>
        <w:tc>
          <w:tcPr>
            <w:tcW w:type="dxa" w:w="2643"/>
            <w:tcMar>
              <w:top w:w="50" w:type="dxa"/>
              <w:bottom w:w="50" w:type="dxa"/>
              <w:left w:w="90" w:type="dxa"/>
              <w:right w:w="90" w:type="dxa"/>
            </w:tcMar>
          </w:tcPr>
          <w:p>
            <w:pPr>
              <w:pStyle w:val="BDOITable"/>
            </w:pPr>
            <w:r>
              <w:rPr>
                <w:sz w:val="17"/>
              </w:rPr>
              <w:t>Current and two previous releases</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Secrets and keys</w:t>
            </w:r>
          </w:p>
        </w:tc>
        <w:tc>
          <w:tcPr>
            <w:tcW w:type="dxa" w:w="5166"/>
            <w:tcMar>
              <w:top w:w="50" w:type="dxa"/>
              <w:bottom w:w="50" w:type="dxa"/>
              <w:left w:w="90" w:type="dxa"/>
              <w:right w:w="90" w:type="dxa"/>
            </w:tcMar>
            <w:shd w:val="clear" w:color="auto" w:fill="E5F5FF"/>
          </w:tcPr>
          <w:p>
            <w:pPr>
              <w:pStyle w:val="BDOITable"/>
            </w:pPr>
            <w:r>
              <w:rPr>
                <w:sz w:val="17"/>
              </w:rPr>
              <w:t>Secrets store replicated to DR; KMS keys rotated yearly</w:t>
            </w:r>
          </w:p>
        </w:tc>
        <w:tc>
          <w:tcPr>
            <w:tcW w:type="dxa" w:w="2643"/>
            <w:tcMar>
              <w:top w:w="50" w:type="dxa"/>
              <w:bottom w:w="50" w:type="dxa"/>
              <w:left w:w="90" w:type="dxa"/>
              <w:right w:w="90" w:type="dxa"/>
            </w:tcMar>
            <w:shd w:val="clear" w:color="auto" w:fill="E5F5FF"/>
          </w:tcPr>
          <w:p>
            <w:pPr>
              <w:pStyle w:val="BDOITable"/>
            </w:pPr>
            <w:r>
              <w:rPr>
                <w:sz w:val="17"/>
              </w:rPr>
              <w:t>Current and previous key until every secret is re-encrypted</w:t>
            </w:r>
          </w:p>
        </w:tc>
      </w:tr>
    </w:tbl>
    <w:p>
      <w:pPr>
        <w:pStyle w:val="BDOISpacer"/>
      </w:pPr>
    </w:p>
    <w:p>
      <w:r>
        <w:rPr/>
        <w:t>The backup jobs, the restore tests and their evidence are in the Operations Runbook (R6, section 7.3).</w:t>
      </w:r>
    </w:p>
    <w:p>
      <w:pPr>
        <w:pStyle w:val="Heading1"/>
        <w:pageBreakBefore/>
        <w:pBdr>
          <w:bottom w:val="single" w:sz="4" w:space="4" w:color="99C1E7"/>
        </w:pBdr>
      </w:pPr>
      <w:bookmarkStart w:id="117" w:name="_Toc000117"/>
      <w:r>
        <w:rPr/>
        <w:t>6 Roles and the DR authority</w:t>
      </w:r>
      <w:bookmarkEnd w:id="117"/>
    </w:p>
    <w:p>
      <w:pPr>
        <w:pStyle w:val="Caption"/>
        <w:keepNext/>
        <w:spacing w:after="60"/>
      </w:pPr>
      <w:r>
        <w:rPr>
          <w:b/>
          <w:i w:val="0"/>
        </w:rPr>
        <w:t xml:space="preserve">Table 8: </w:t>
      </w:r>
      <w:r>
        <w:rPr/>
        <w:t>DR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2162"/>
        <w:gridCol w:w="5407"/>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7"/>
              </w:rPr>
              <w:t>Responsibility</w:t>
            </w:r>
          </w:p>
        </w:tc>
      </w:tr>
      <w:tr>
        <w:trPr>
          <w:cantSplit w:val="true"/>
        </w:trPr>
        <w:tc>
          <w:tcPr>
            <w:tcW w:type="dxa" w:w="2403"/>
            <w:tcMar>
              <w:top w:w="50" w:type="dxa"/>
              <w:bottom w:w="50" w:type="dxa"/>
              <w:left w:w="90" w:type="dxa"/>
              <w:right w:w="90" w:type="dxa"/>
            </w:tcMar>
          </w:tcPr>
          <w:p>
            <w:pPr>
              <w:pStyle w:val="BDOITable"/>
            </w:pPr>
            <w:r>
              <w:rPr>
                <w:b/>
                <w:sz w:val="17"/>
              </w:rPr>
              <w:t>DR authority</w:t>
            </w:r>
          </w:p>
        </w:tc>
        <w:tc>
          <w:tcPr>
            <w:tcW w:type="dxa" w:w="2163"/>
            <w:tcMar>
              <w:top w:w="50" w:type="dxa"/>
              <w:bottom w:w="50" w:type="dxa"/>
              <w:left w:w="90" w:type="dxa"/>
              <w:right w:w="90" w:type="dxa"/>
            </w:tcMar>
          </w:tcPr>
          <w:p>
            <w:pPr>
              <w:pStyle w:val="BDOITable"/>
            </w:pPr>
            <w:r>
              <w:rPr>
                <w:sz w:val="17"/>
              </w:rPr>
              <w:t>Head, BDOI IT, with the BIBS Product Owner (deputies: BIBS Service Owner and the Head of Operations)</w:t>
            </w:r>
          </w:p>
        </w:tc>
        <w:tc>
          <w:tcPr>
            <w:tcW w:type="dxa" w:w="5407"/>
            <w:tcMar>
              <w:top w:w="50" w:type="dxa"/>
              <w:bottom w:w="50" w:type="dxa"/>
              <w:left w:w="90" w:type="dxa"/>
              <w:right w:w="90" w:type="dxa"/>
            </w:tcMar>
          </w:tcPr>
          <w:p>
            <w:pPr>
              <w:pStyle w:val="BDOITable"/>
            </w:pPr>
            <w:r>
              <w:rPr>
                <w:sz w:val="17"/>
              </w:rPr>
              <w:t>Declares the disaster, decides failover and failback</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DR coordinator</w:t>
            </w:r>
          </w:p>
        </w:tc>
        <w:tc>
          <w:tcPr>
            <w:tcW w:type="dxa" w:w="2163"/>
            <w:tcMar>
              <w:top w:w="50" w:type="dxa"/>
              <w:bottom w:w="50" w:type="dxa"/>
              <w:left w:w="90" w:type="dxa"/>
              <w:right w:w="90" w:type="dxa"/>
            </w:tcMar>
            <w:shd w:val="clear" w:color="auto" w:fill="E5F5FF"/>
          </w:tcPr>
          <w:p>
            <w:pPr>
              <w:pStyle w:val="BDOITable"/>
            </w:pPr>
            <w:r>
              <w:rPr>
                <w:sz w:val="17"/>
              </w:rPr>
              <w:t>BDO Cloud Operations lead on duty</w:t>
            </w:r>
          </w:p>
        </w:tc>
        <w:tc>
          <w:tcPr>
            <w:tcW w:type="dxa" w:w="5407"/>
            <w:tcMar>
              <w:top w:w="50" w:type="dxa"/>
              <w:bottom w:w="50" w:type="dxa"/>
              <w:left w:w="90" w:type="dxa"/>
              <w:right w:w="90" w:type="dxa"/>
            </w:tcMar>
            <w:shd w:val="clear" w:color="auto" w:fill="E5F5FF"/>
          </w:tcPr>
          <w:p>
            <w:pPr>
              <w:pStyle w:val="BDOITable"/>
            </w:pPr>
            <w:r>
              <w:rPr>
                <w:sz w:val="17"/>
              </w:rPr>
              <w:t>Runs the failover and failback steps, keeps the timeline</w:t>
            </w:r>
          </w:p>
        </w:tc>
      </w:tr>
      <w:tr>
        <w:trPr>
          <w:cantSplit w:val="true"/>
        </w:trPr>
        <w:tc>
          <w:tcPr>
            <w:tcW w:type="dxa" w:w="2403"/>
            <w:tcMar>
              <w:top w:w="50" w:type="dxa"/>
              <w:bottom w:w="50" w:type="dxa"/>
              <w:left w:w="90" w:type="dxa"/>
              <w:right w:w="90" w:type="dxa"/>
            </w:tcMar>
          </w:tcPr>
          <w:p>
            <w:pPr>
              <w:pStyle w:val="BDOITable"/>
            </w:pPr>
            <w:r>
              <w:rPr>
                <w:b/>
                <w:sz w:val="17"/>
              </w:rPr>
              <w:t>Application recovery</w:t>
            </w:r>
          </w:p>
        </w:tc>
        <w:tc>
          <w:tcPr>
            <w:tcW w:type="dxa" w:w="2163"/>
            <w:tcMar>
              <w:top w:w="50" w:type="dxa"/>
              <w:bottom w:w="50" w:type="dxa"/>
              <w:left w:w="90" w:type="dxa"/>
              <w:right w:w="90" w:type="dxa"/>
            </w:tcMar>
          </w:tcPr>
          <w:p>
            <w:pPr>
              <w:pStyle w:val="BDOITable"/>
            </w:pPr>
            <w:r>
              <w:rPr>
                <w:sz w:val="17"/>
              </w:rPr>
              <w:t>iorta TechNXT L3 on-call and DevOps</w:t>
            </w:r>
          </w:p>
        </w:tc>
        <w:tc>
          <w:tcPr>
            <w:tcW w:type="dxa" w:w="5407"/>
            <w:tcMar>
              <w:top w:w="50" w:type="dxa"/>
              <w:bottom w:w="50" w:type="dxa"/>
              <w:left w:w="90" w:type="dxa"/>
              <w:right w:w="90" w:type="dxa"/>
            </w:tcMar>
          </w:tcPr>
          <w:p>
            <w:pPr>
              <w:pStyle w:val="BDOITable"/>
            </w:pPr>
            <w:r>
              <w:rPr>
                <w:sz w:val="17"/>
              </w:rPr>
              <w:t>Scales and checks BIBS in DR, outbox resend, job release, smoke test</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Business verification</w:t>
            </w:r>
          </w:p>
        </w:tc>
        <w:tc>
          <w:tcPr>
            <w:tcW w:type="dxa" w:w="2163"/>
            <w:tcMar>
              <w:top w:w="50" w:type="dxa"/>
              <w:bottom w:w="50" w:type="dxa"/>
              <w:left w:w="90" w:type="dxa"/>
              <w:right w:w="90" w:type="dxa"/>
            </w:tcMar>
            <w:shd w:val="clear" w:color="auto" w:fill="E5F5FF"/>
          </w:tcPr>
          <w:p>
            <w:pPr>
              <w:pStyle w:val="BDOITable"/>
            </w:pPr>
            <w:r>
              <w:rPr>
                <w:sz w:val="17"/>
              </w:rPr>
              <w:t>Key users of Cashiering, Remittance, Booking, Accounting</w:t>
            </w:r>
          </w:p>
        </w:tc>
        <w:tc>
          <w:tcPr>
            <w:tcW w:type="dxa" w:w="5407"/>
            <w:tcMar>
              <w:top w:w="50" w:type="dxa"/>
              <w:bottom w:w="50" w:type="dxa"/>
              <w:left w:w="90" w:type="dxa"/>
              <w:right w:w="90" w:type="dxa"/>
            </w:tcMar>
            <w:shd w:val="clear" w:color="auto" w:fill="E5F5FF"/>
          </w:tcPr>
          <w:p>
            <w:pPr>
              <w:pStyle w:val="BDOITable"/>
            </w:pPr>
            <w:r>
              <w:rPr>
                <w:sz w:val="17"/>
              </w:rPr>
              <w:t>Tier 1 checks before the service opens</w:t>
            </w:r>
          </w:p>
        </w:tc>
      </w:tr>
      <w:tr>
        <w:trPr>
          <w:cantSplit w:val="true"/>
        </w:trPr>
        <w:tc>
          <w:tcPr>
            <w:tcW w:type="dxa" w:w="2403"/>
            <w:tcMar>
              <w:top w:w="50" w:type="dxa"/>
              <w:bottom w:w="50" w:type="dxa"/>
              <w:left w:w="90" w:type="dxa"/>
              <w:right w:w="90" w:type="dxa"/>
            </w:tcMar>
          </w:tcPr>
          <w:p>
            <w:pPr>
              <w:pStyle w:val="BDOITable"/>
            </w:pPr>
            <w:r>
              <w:rPr>
                <w:b/>
                <w:sz w:val="17"/>
              </w:rPr>
              <w:t>Continuity lead</w:t>
            </w:r>
          </w:p>
        </w:tc>
        <w:tc>
          <w:tcPr>
            <w:tcW w:type="dxa" w:w="2163"/>
            <w:tcMar>
              <w:top w:w="50" w:type="dxa"/>
              <w:bottom w:w="50" w:type="dxa"/>
              <w:left w:w="90" w:type="dxa"/>
              <w:right w:w="90" w:type="dxa"/>
            </w:tcMar>
          </w:tcPr>
          <w:p>
            <w:pPr>
              <w:pStyle w:val="BDOITable"/>
            </w:pPr>
            <w:r>
              <w:rPr>
                <w:sz w:val="17"/>
              </w:rPr>
              <w:t>BIBS Service Owner</w:t>
            </w:r>
          </w:p>
        </w:tc>
        <w:tc>
          <w:tcPr>
            <w:tcW w:type="dxa" w:w="5407"/>
            <w:tcMar>
              <w:top w:w="50" w:type="dxa"/>
              <w:bottom w:w="50" w:type="dxa"/>
              <w:left w:w="90" w:type="dxa"/>
              <w:right w:w="90" w:type="dxa"/>
            </w:tcMar>
          </w:tcPr>
          <w:p>
            <w:pPr>
              <w:pStyle w:val="BDOITable"/>
            </w:pPr>
            <w:r>
              <w:rPr>
                <w:sz w:val="17"/>
              </w:rPr>
              <w:t>Activates the continuity procedures, communication</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Integration owners</w:t>
            </w:r>
          </w:p>
        </w:tc>
        <w:tc>
          <w:tcPr>
            <w:tcW w:type="dxa" w:w="2163"/>
            <w:tcMar>
              <w:top w:w="50" w:type="dxa"/>
              <w:bottom w:w="50" w:type="dxa"/>
              <w:left w:w="90" w:type="dxa"/>
              <w:right w:w="90" w:type="dxa"/>
            </w:tcMar>
            <w:shd w:val="clear" w:color="auto" w:fill="E5F5FF"/>
          </w:tcPr>
          <w:p>
            <w:pPr>
              <w:pStyle w:val="BDOITable"/>
            </w:pPr>
            <w:r>
              <w:rPr>
                <w:sz w:val="17"/>
              </w:rPr>
              <w:t>BDOI IT (Apigee X, EIAM, CCM, bank channels)</w:t>
            </w:r>
          </w:p>
        </w:tc>
        <w:tc>
          <w:tcPr>
            <w:tcW w:type="dxa" w:w="5407"/>
            <w:tcMar>
              <w:top w:w="50" w:type="dxa"/>
              <w:bottom w:w="50" w:type="dxa"/>
              <w:left w:w="90" w:type="dxa"/>
              <w:right w:w="90" w:type="dxa"/>
            </w:tcMar>
            <w:shd w:val="clear" w:color="auto" w:fill="E5F5FF"/>
          </w:tcPr>
          <w:p>
            <w:pPr>
              <w:pStyle w:val="BDOITable"/>
            </w:pPr>
            <w:r>
              <w:rPr>
                <w:sz w:val="17"/>
              </w:rPr>
              <w:t>Switch the targets of their systems to DR; confirm the interfaces</w:t>
            </w:r>
          </w:p>
        </w:tc>
      </w:tr>
      <w:tr>
        <w:trPr>
          <w:cantSplit w:val="true"/>
        </w:trPr>
        <w:tc>
          <w:tcPr>
            <w:tcW w:type="dxa" w:w="2403"/>
            <w:tcMar>
              <w:top w:w="50" w:type="dxa"/>
              <w:bottom w:w="50" w:type="dxa"/>
              <w:left w:w="90" w:type="dxa"/>
              <w:right w:w="90" w:type="dxa"/>
            </w:tcMar>
          </w:tcPr>
          <w:p>
            <w:pPr>
              <w:pStyle w:val="BDOITable"/>
            </w:pPr>
            <w:r>
              <w:rPr>
                <w:b/>
                <w:sz w:val="17"/>
              </w:rPr>
              <w:t>Communication</w:t>
            </w:r>
          </w:p>
        </w:tc>
        <w:tc>
          <w:tcPr>
            <w:tcW w:type="dxa" w:w="2163"/>
            <w:tcMar>
              <w:top w:w="50" w:type="dxa"/>
              <w:bottom w:w="50" w:type="dxa"/>
              <w:left w:w="90" w:type="dxa"/>
              <w:right w:w="90" w:type="dxa"/>
            </w:tcMar>
          </w:tcPr>
          <w:p>
            <w:pPr>
              <w:pStyle w:val="BDOITable"/>
            </w:pPr>
            <w:r>
              <w:rPr>
                <w:sz w:val="17"/>
              </w:rPr>
              <w:t>L1 service desk lead; Program Manager during hypercare</w:t>
            </w:r>
          </w:p>
        </w:tc>
        <w:tc>
          <w:tcPr>
            <w:tcW w:type="dxa" w:w="5407"/>
            <w:tcMar>
              <w:top w:w="50" w:type="dxa"/>
              <w:bottom w:w="50" w:type="dxa"/>
              <w:left w:w="90" w:type="dxa"/>
              <w:right w:w="90" w:type="dxa"/>
            </w:tcMar>
          </w:tcPr>
          <w:p>
            <w:pPr>
              <w:pStyle w:val="BDOITable"/>
            </w:pPr>
            <w:r>
              <w:rPr>
                <w:sz w:val="17"/>
              </w:rPr>
              <w:t>Notices to users, branches, insurers and bank channels</w:t>
            </w:r>
          </w:p>
        </w:tc>
      </w:tr>
    </w:tbl>
    <w:p>
      <w:pPr>
        <w:pStyle w:val="BDOISpacer"/>
      </w:pPr>
    </w:p>
    <w:p>
      <w:pPr>
        <w:pStyle w:val="Caption"/>
        <w:keepNext/>
        <w:spacing w:after="60"/>
      </w:pPr>
      <w:r>
        <w:rPr>
          <w:b/>
          <w:i w:val="0"/>
        </w:rPr>
        <w:t xml:space="preserve">Table 9: </w:t>
      </w:r>
      <w:r>
        <w:rPr/>
        <w:t>RACI. DA = DR authority; DC = DR coordinator; L3 = iorta TechNXT; L2 = BDOI application support; BU = business owners; IO = integration owners; SO = BIBS Service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26"/>
        <w:gridCol w:w="906"/>
        <w:gridCol w:w="906"/>
        <w:gridCol w:w="906"/>
        <w:gridCol w:w="906"/>
        <w:gridCol w:w="906"/>
        <w:gridCol w:w="906"/>
        <w:gridCol w:w="906"/>
      </w:tblGrid>
      <w:tr>
        <w:trPr>
          <w:tblHeader w:val="true"/>
          <w:cantSplit w:val="true"/>
        </w:trPr>
        <w:tc>
          <w:tcPr>
            <w:tcW w:type="dxa" w:w="3626"/>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6"/>
              </w:rPr>
              <w:t>DA</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6"/>
              </w:rPr>
              <w:t>DC</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6"/>
              </w:rPr>
              <w:t>L3</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6"/>
              </w:rPr>
              <w:t>L2</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6"/>
              </w:rPr>
              <w:t>BU</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6"/>
              </w:rPr>
              <w:t>IO</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6"/>
              </w:rPr>
              <w:t>SO</w:t>
            </w:r>
          </w:p>
        </w:tc>
      </w:tr>
      <w:tr>
        <w:trPr>
          <w:cantSplit w:val="true"/>
        </w:trPr>
        <w:tc>
          <w:tcPr>
            <w:tcW w:type="dxa" w:w="3626"/>
            <w:tcMar>
              <w:top w:w="50" w:type="dxa"/>
              <w:bottom w:w="50" w:type="dxa"/>
              <w:left w:w="90" w:type="dxa"/>
              <w:right w:w="90" w:type="dxa"/>
            </w:tcMar>
          </w:tcPr>
          <w:p>
            <w:pPr>
              <w:pStyle w:val="BDOITable"/>
            </w:pPr>
            <w:r>
              <w:rPr>
                <w:sz w:val="16"/>
              </w:rPr>
              <w:t>Assess the outage</w:t>
            </w:r>
          </w:p>
        </w:tc>
        <w:tc>
          <w:tcPr>
            <w:tcW w:type="dxa" w:w="907"/>
            <w:tcMar>
              <w:top w:w="50" w:type="dxa"/>
              <w:bottom w:w="50" w:type="dxa"/>
              <w:left w:w="90" w:type="dxa"/>
              <w:right w:w="90" w:type="dxa"/>
            </w:tcMar>
          </w:tcPr>
          <w:p>
            <w:pPr>
              <w:pStyle w:val="BDOITable"/>
            </w:pPr>
            <w:r>
              <w:rPr>
                <w:sz w:val="16"/>
              </w:rPr>
              <w:t>I</w:t>
            </w:r>
          </w:p>
        </w:tc>
        <w:tc>
          <w:tcPr>
            <w:tcW w:type="dxa" w:w="907"/>
            <w:tcMar>
              <w:top w:w="50" w:type="dxa"/>
              <w:bottom w:w="50" w:type="dxa"/>
              <w:left w:w="90" w:type="dxa"/>
              <w:right w:w="90" w:type="dxa"/>
            </w:tcMar>
          </w:tcPr>
          <w:p>
            <w:pPr>
              <w:pStyle w:val="BDOITable"/>
            </w:pPr>
            <w:r>
              <w:rPr>
                <w:sz w:val="16"/>
              </w:rPr>
              <w:t>R</w:t>
            </w:r>
          </w:p>
        </w:tc>
        <w:tc>
          <w:tcPr>
            <w:tcW w:type="dxa" w:w="907"/>
            <w:tcMar>
              <w:top w:w="50" w:type="dxa"/>
              <w:bottom w:w="50" w:type="dxa"/>
              <w:left w:w="90" w:type="dxa"/>
              <w:right w:w="90" w:type="dxa"/>
            </w:tcMar>
          </w:tcPr>
          <w:p>
            <w:pPr>
              <w:pStyle w:val="BDOITable"/>
            </w:pPr>
            <w:r>
              <w:rPr>
                <w:sz w:val="16"/>
              </w:rPr>
              <w:t>R</w:t>
            </w:r>
          </w:p>
        </w:tc>
        <w:tc>
          <w:tcPr>
            <w:tcW w:type="dxa" w:w="907"/>
            <w:tcMar>
              <w:top w:w="50" w:type="dxa"/>
              <w:bottom w:w="50" w:type="dxa"/>
              <w:left w:w="90" w:type="dxa"/>
              <w:right w:w="90" w:type="dxa"/>
            </w:tcMar>
          </w:tcPr>
          <w:p>
            <w:pPr>
              <w:pStyle w:val="BDOITable"/>
            </w:pPr>
            <w:r>
              <w:rPr>
                <w:sz w:val="16"/>
              </w:rPr>
              <w:t>C</w:t>
            </w:r>
          </w:p>
        </w:tc>
        <w:tc>
          <w:tcPr>
            <w:tcW w:type="dxa" w:w="907"/>
            <w:tcMar>
              <w:top w:w="50" w:type="dxa"/>
              <w:bottom w:w="50" w:type="dxa"/>
              <w:left w:w="90" w:type="dxa"/>
              <w:right w:w="90" w:type="dxa"/>
            </w:tcMar>
          </w:tcPr>
          <w:p>
            <w:pPr>
              <w:pStyle w:val="BDOITable"/>
            </w:pPr>
            <w:r>
              <w:rPr>
                <w:sz w:val="16"/>
              </w:rPr>
              <w:t>I</w:t>
            </w:r>
          </w:p>
        </w:tc>
        <w:tc>
          <w:tcPr>
            <w:tcW w:type="dxa" w:w="907"/>
            <w:tcMar>
              <w:top w:w="50" w:type="dxa"/>
              <w:bottom w:w="50" w:type="dxa"/>
              <w:left w:w="90" w:type="dxa"/>
              <w:right w:w="90" w:type="dxa"/>
            </w:tcMar>
          </w:tcPr>
          <w:p>
            <w:pPr>
              <w:pStyle w:val="BDOITable"/>
            </w:pPr>
            <w:r>
              <w:rPr>
                <w:sz w:val="16"/>
              </w:rPr>
              <w:t>C</w:t>
            </w:r>
          </w:p>
        </w:tc>
        <w:tc>
          <w:tcPr>
            <w:tcW w:type="dxa" w:w="907"/>
            <w:tcMar>
              <w:top w:w="50" w:type="dxa"/>
              <w:bottom w:w="50" w:type="dxa"/>
              <w:left w:w="90" w:type="dxa"/>
              <w:right w:w="90" w:type="dxa"/>
            </w:tcMar>
          </w:tcPr>
          <w:p>
            <w:pPr>
              <w:pStyle w:val="BDOITable"/>
            </w:pPr>
            <w:r>
              <w:rPr>
                <w:sz w:val="16"/>
              </w:rPr>
              <w:t>A</w:t>
            </w:r>
          </w:p>
        </w:tc>
      </w:tr>
      <w:tr>
        <w:trPr>
          <w:cantSplit w:val="true"/>
        </w:trPr>
        <w:tc>
          <w:tcPr>
            <w:tcW w:type="dxa" w:w="3626"/>
            <w:tcMar>
              <w:top w:w="50" w:type="dxa"/>
              <w:bottom w:w="50" w:type="dxa"/>
              <w:left w:w="90" w:type="dxa"/>
              <w:right w:w="90" w:type="dxa"/>
            </w:tcMar>
            <w:shd w:val="clear" w:color="auto" w:fill="E5F5FF"/>
          </w:tcPr>
          <w:p>
            <w:pPr>
              <w:pStyle w:val="BDOITable"/>
            </w:pPr>
            <w:r>
              <w:rPr>
                <w:sz w:val="16"/>
              </w:rPr>
              <w:t>Declare the disaster</w:t>
            </w:r>
          </w:p>
        </w:tc>
        <w:tc>
          <w:tcPr>
            <w:tcW w:type="dxa" w:w="907"/>
            <w:tcMar>
              <w:top w:w="50" w:type="dxa"/>
              <w:bottom w:w="50" w:type="dxa"/>
              <w:left w:w="90" w:type="dxa"/>
              <w:right w:w="90" w:type="dxa"/>
            </w:tcMar>
            <w:shd w:val="clear" w:color="auto" w:fill="E5F5FF"/>
          </w:tcPr>
          <w:p>
            <w:pPr>
              <w:pStyle w:val="BDOITable"/>
            </w:pPr>
            <w:r>
              <w:rPr>
                <w:sz w:val="16"/>
              </w:rPr>
              <w:t>A</w:t>
            </w:r>
          </w:p>
        </w:tc>
        <w:tc>
          <w:tcPr>
            <w:tcW w:type="dxa" w:w="907"/>
            <w:tcMar>
              <w:top w:w="50" w:type="dxa"/>
              <w:bottom w:w="50" w:type="dxa"/>
              <w:left w:w="90" w:type="dxa"/>
              <w:right w:w="90" w:type="dxa"/>
            </w:tcMar>
            <w:shd w:val="clear" w:color="auto" w:fill="E5F5FF"/>
          </w:tcPr>
          <w:p>
            <w:pPr>
              <w:pStyle w:val="BDOITable"/>
            </w:pPr>
            <w:r>
              <w:rPr>
                <w:sz w:val="16"/>
              </w:rPr>
              <w:t>C</w:t>
            </w:r>
          </w:p>
        </w:tc>
        <w:tc>
          <w:tcPr>
            <w:tcW w:type="dxa" w:w="907"/>
            <w:tcMar>
              <w:top w:w="50" w:type="dxa"/>
              <w:bottom w:w="50" w:type="dxa"/>
              <w:left w:w="90" w:type="dxa"/>
              <w:right w:w="90" w:type="dxa"/>
            </w:tcMar>
            <w:shd w:val="clear" w:color="auto" w:fill="E5F5FF"/>
          </w:tcPr>
          <w:p>
            <w:pPr>
              <w:pStyle w:val="BDOITable"/>
            </w:pPr>
            <w:r>
              <w:rPr>
                <w:sz w:val="16"/>
              </w:rPr>
              <w:t>C</w:t>
            </w:r>
          </w:p>
        </w:tc>
        <w:tc>
          <w:tcPr>
            <w:tcW w:type="dxa" w:w="907"/>
            <w:tcMar>
              <w:top w:w="50" w:type="dxa"/>
              <w:bottom w:w="50" w:type="dxa"/>
              <w:left w:w="90" w:type="dxa"/>
              <w:right w:w="90" w:type="dxa"/>
            </w:tcMar>
            <w:shd w:val="clear" w:color="auto" w:fill="E5F5FF"/>
          </w:tcPr>
          <w:p>
            <w:pPr>
              <w:pStyle w:val="BDOITable"/>
            </w:pPr>
            <w:r>
              <w:rPr>
                <w:sz w:val="16"/>
              </w:rPr>
              <w:t>I</w:t>
            </w:r>
          </w:p>
        </w:tc>
        <w:tc>
          <w:tcPr>
            <w:tcW w:type="dxa" w:w="907"/>
            <w:tcMar>
              <w:top w:w="50" w:type="dxa"/>
              <w:bottom w:w="50" w:type="dxa"/>
              <w:left w:w="90" w:type="dxa"/>
              <w:right w:w="90" w:type="dxa"/>
            </w:tcMar>
            <w:shd w:val="clear" w:color="auto" w:fill="E5F5FF"/>
          </w:tcPr>
          <w:p>
            <w:pPr>
              <w:pStyle w:val="BDOITable"/>
            </w:pPr>
            <w:r>
              <w:rPr>
                <w:sz w:val="16"/>
              </w:rPr>
              <w:t>C</w:t>
            </w:r>
          </w:p>
        </w:tc>
        <w:tc>
          <w:tcPr>
            <w:tcW w:type="dxa" w:w="907"/>
            <w:tcMar>
              <w:top w:w="50" w:type="dxa"/>
              <w:bottom w:w="50" w:type="dxa"/>
              <w:left w:w="90" w:type="dxa"/>
              <w:right w:w="90" w:type="dxa"/>
            </w:tcMar>
            <w:shd w:val="clear" w:color="auto" w:fill="E5F5FF"/>
          </w:tcPr>
          <w:p>
            <w:pPr>
              <w:pStyle w:val="BDOITable"/>
            </w:pPr>
            <w:r>
              <w:rPr>
                <w:sz w:val="16"/>
              </w:rPr>
              <w:t>I</w:t>
            </w:r>
          </w:p>
        </w:tc>
        <w:tc>
          <w:tcPr>
            <w:tcW w:type="dxa" w:w="907"/>
            <w:tcMar>
              <w:top w:w="50" w:type="dxa"/>
              <w:bottom w:w="50" w:type="dxa"/>
              <w:left w:w="90" w:type="dxa"/>
              <w:right w:w="90" w:type="dxa"/>
            </w:tcMar>
            <w:shd w:val="clear" w:color="auto" w:fill="E5F5FF"/>
          </w:tcPr>
          <w:p>
            <w:pPr>
              <w:pStyle w:val="BDOITable"/>
            </w:pPr>
            <w:r>
              <w:rPr>
                <w:sz w:val="16"/>
              </w:rPr>
              <w:t>R</w:t>
            </w:r>
          </w:p>
        </w:tc>
      </w:tr>
      <w:tr>
        <w:trPr>
          <w:cantSplit w:val="true"/>
        </w:trPr>
        <w:tc>
          <w:tcPr>
            <w:tcW w:type="dxa" w:w="3626"/>
            <w:tcMar>
              <w:top w:w="50" w:type="dxa"/>
              <w:bottom w:w="50" w:type="dxa"/>
              <w:left w:w="90" w:type="dxa"/>
              <w:right w:w="90" w:type="dxa"/>
            </w:tcMar>
          </w:tcPr>
          <w:p>
            <w:pPr>
              <w:pStyle w:val="BDOITable"/>
            </w:pPr>
            <w:r>
              <w:rPr>
                <w:sz w:val="16"/>
              </w:rPr>
              <w:t>Failover of the platform</w:t>
            </w:r>
          </w:p>
        </w:tc>
        <w:tc>
          <w:tcPr>
            <w:tcW w:type="dxa" w:w="907"/>
            <w:tcMar>
              <w:top w:w="50" w:type="dxa"/>
              <w:bottom w:w="50" w:type="dxa"/>
              <w:left w:w="90" w:type="dxa"/>
              <w:right w:w="90" w:type="dxa"/>
            </w:tcMar>
          </w:tcPr>
          <w:p>
            <w:pPr>
              <w:pStyle w:val="BDOITable"/>
            </w:pPr>
            <w:r>
              <w:rPr>
                <w:sz w:val="16"/>
              </w:rPr>
              <w:t>I</w:t>
            </w:r>
          </w:p>
        </w:tc>
        <w:tc>
          <w:tcPr>
            <w:tcW w:type="dxa" w:w="907"/>
            <w:tcMar>
              <w:top w:w="50" w:type="dxa"/>
              <w:bottom w:w="50" w:type="dxa"/>
              <w:left w:w="90" w:type="dxa"/>
              <w:right w:w="90" w:type="dxa"/>
            </w:tcMar>
          </w:tcPr>
          <w:p>
            <w:pPr>
              <w:pStyle w:val="BDOITable"/>
            </w:pPr>
            <w:r>
              <w:rPr>
                <w:sz w:val="16"/>
              </w:rPr>
              <w:t>A</w:t>
            </w:r>
          </w:p>
        </w:tc>
        <w:tc>
          <w:tcPr>
            <w:tcW w:type="dxa" w:w="907"/>
            <w:tcMar>
              <w:top w:w="50" w:type="dxa"/>
              <w:bottom w:w="50" w:type="dxa"/>
              <w:left w:w="90" w:type="dxa"/>
              <w:right w:w="90" w:type="dxa"/>
            </w:tcMar>
          </w:tcPr>
          <w:p>
            <w:pPr>
              <w:pStyle w:val="BDOITable"/>
            </w:pPr>
            <w:r>
              <w:rPr>
                <w:sz w:val="16"/>
              </w:rPr>
              <w:t>R</w:t>
            </w:r>
          </w:p>
        </w:tc>
        <w:tc>
          <w:tcPr>
            <w:tcW w:type="dxa" w:w="907"/>
            <w:tcMar>
              <w:top w:w="50" w:type="dxa"/>
              <w:bottom w:w="50" w:type="dxa"/>
              <w:left w:w="90" w:type="dxa"/>
              <w:right w:w="90" w:type="dxa"/>
            </w:tcMar>
          </w:tcPr>
          <w:p>
            <w:pPr>
              <w:pStyle w:val="BDOITable"/>
            </w:pPr>
            <w:r>
              <w:rPr>
                <w:sz w:val="16"/>
              </w:rPr>
              <w:t>C</w:t>
            </w:r>
          </w:p>
        </w:tc>
        <w:tc>
          <w:tcPr>
            <w:tcW w:type="dxa" w:w="907"/>
            <w:tcMar>
              <w:top w:w="50" w:type="dxa"/>
              <w:bottom w:w="50" w:type="dxa"/>
              <w:left w:w="90" w:type="dxa"/>
              <w:right w:w="90" w:type="dxa"/>
            </w:tcMar>
          </w:tcPr>
          <w:p>
            <w:pPr>
              <w:pStyle w:val="BDOITable"/>
            </w:pPr>
            <w:r>
              <w:rPr>
                <w:sz w:val="16"/>
              </w:rPr>
              <w:t>-</w:t>
            </w:r>
          </w:p>
        </w:tc>
        <w:tc>
          <w:tcPr>
            <w:tcW w:type="dxa" w:w="907"/>
            <w:tcMar>
              <w:top w:w="50" w:type="dxa"/>
              <w:bottom w:w="50" w:type="dxa"/>
              <w:left w:w="90" w:type="dxa"/>
              <w:right w:w="90" w:type="dxa"/>
            </w:tcMar>
          </w:tcPr>
          <w:p>
            <w:pPr>
              <w:pStyle w:val="BDOITable"/>
            </w:pPr>
            <w:r>
              <w:rPr>
                <w:sz w:val="16"/>
              </w:rPr>
              <w:t>C</w:t>
            </w:r>
          </w:p>
        </w:tc>
        <w:tc>
          <w:tcPr>
            <w:tcW w:type="dxa" w:w="907"/>
            <w:tcMar>
              <w:top w:w="50" w:type="dxa"/>
              <w:bottom w:w="50" w:type="dxa"/>
              <w:left w:w="90" w:type="dxa"/>
              <w:right w:w="90" w:type="dxa"/>
            </w:tcMar>
          </w:tcPr>
          <w:p>
            <w:pPr>
              <w:pStyle w:val="BDOITable"/>
            </w:pPr>
            <w:r>
              <w:rPr>
                <w:sz w:val="16"/>
              </w:rPr>
              <w:t>I</w:t>
            </w:r>
          </w:p>
        </w:tc>
      </w:tr>
      <w:tr>
        <w:trPr>
          <w:cantSplit w:val="true"/>
        </w:trPr>
        <w:tc>
          <w:tcPr>
            <w:tcW w:type="dxa" w:w="3626"/>
            <w:tcMar>
              <w:top w:w="50" w:type="dxa"/>
              <w:bottom w:w="50" w:type="dxa"/>
              <w:left w:w="90" w:type="dxa"/>
              <w:right w:w="90" w:type="dxa"/>
            </w:tcMar>
            <w:shd w:val="clear" w:color="auto" w:fill="E5F5FF"/>
          </w:tcPr>
          <w:p>
            <w:pPr>
              <w:pStyle w:val="BDOITable"/>
            </w:pPr>
            <w:r>
              <w:rPr>
                <w:sz w:val="16"/>
              </w:rPr>
              <w:t>Switch the integrations</w:t>
            </w:r>
          </w:p>
        </w:tc>
        <w:tc>
          <w:tcPr>
            <w:tcW w:type="dxa" w:w="907"/>
            <w:tcMar>
              <w:top w:w="50" w:type="dxa"/>
              <w:bottom w:w="50" w:type="dxa"/>
              <w:left w:w="90" w:type="dxa"/>
              <w:right w:w="90" w:type="dxa"/>
            </w:tcMar>
            <w:shd w:val="clear" w:color="auto" w:fill="E5F5FF"/>
          </w:tcPr>
          <w:p>
            <w:pPr>
              <w:pStyle w:val="BDOITable"/>
            </w:pPr>
            <w:r>
              <w:rPr>
                <w:sz w:val="16"/>
              </w:rPr>
              <w:t>I</w:t>
            </w:r>
          </w:p>
        </w:tc>
        <w:tc>
          <w:tcPr>
            <w:tcW w:type="dxa" w:w="907"/>
            <w:tcMar>
              <w:top w:w="50" w:type="dxa"/>
              <w:bottom w:w="50" w:type="dxa"/>
              <w:left w:w="90" w:type="dxa"/>
              <w:right w:w="90" w:type="dxa"/>
            </w:tcMar>
            <w:shd w:val="clear" w:color="auto" w:fill="E5F5FF"/>
          </w:tcPr>
          <w:p>
            <w:pPr>
              <w:pStyle w:val="BDOITable"/>
            </w:pPr>
            <w:r>
              <w:rPr>
                <w:sz w:val="16"/>
              </w:rPr>
              <w:t>C</w:t>
            </w:r>
          </w:p>
        </w:tc>
        <w:tc>
          <w:tcPr>
            <w:tcW w:type="dxa" w:w="907"/>
            <w:tcMar>
              <w:top w:w="50" w:type="dxa"/>
              <w:bottom w:w="50" w:type="dxa"/>
              <w:left w:w="90" w:type="dxa"/>
              <w:right w:w="90" w:type="dxa"/>
            </w:tcMar>
            <w:shd w:val="clear" w:color="auto" w:fill="E5F5FF"/>
          </w:tcPr>
          <w:p>
            <w:pPr>
              <w:pStyle w:val="BDOITable"/>
            </w:pPr>
            <w:r>
              <w:rPr>
                <w:sz w:val="16"/>
              </w:rPr>
              <w:t>C</w:t>
            </w:r>
          </w:p>
        </w:tc>
        <w:tc>
          <w:tcPr>
            <w:tcW w:type="dxa" w:w="907"/>
            <w:tcMar>
              <w:top w:w="50" w:type="dxa"/>
              <w:bottom w:w="50" w:type="dxa"/>
              <w:left w:w="90" w:type="dxa"/>
              <w:right w:w="90" w:type="dxa"/>
            </w:tcMar>
            <w:shd w:val="clear" w:color="auto" w:fill="E5F5FF"/>
          </w:tcPr>
          <w:p>
            <w:pPr>
              <w:pStyle w:val="BDOITable"/>
            </w:pPr>
            <w:r>
              <w:rPr>
                <w:sz w:val="16"/>
              </w:rPr>
              <w:t>C</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907"/>
            <w:tcMar>
              <w:top w:w="50" w:type="dxa"/>
              <w:bottom w:w="50" w:type="dxa"/>
              <w:left w:w="90" w:type="dxa"/>
              <w:right w:w="90" w:type="dxa"/>
            </w:tcMar>
            <w:shd w:val="clear" w:color="auto" w:fill="E5F5FF"/>
          </w:tcPr>
          <w:p>
            <w:pPr>
              <w:pStyle w:val="BDOITable"/>
            </w:pPr>
            <w:r>
              <w:rPr>
                <w:sz w:val="16"/>
              </w:rPr>
              <w:t>R</w:t>
            </w:r>
          </w:p>
        </w:tc>
        <w:tc>
          <w:tcPr>
            <w:tcW w:type="dxa" w:w="907"/>
            <w:tcMar>
              <w:top w:w="50" w:type="dxa"/>
              <w:bottom w:w="50" w:type="dxa"/>
              <w:left w:w="90" w:type="dxa"/>
              <w:right w:w="90" w:type="dxa"/>
            </w:tcMar>
            <w:shd w:val="clear" w:color="auto" w:fill="E5F5FF"/>
          </w:tcPr>
          <w:p>
            <w:pPr>
              <w:pStyle w:val="BDOITable"/>
            </w:pPr>
            <w:r>
              <w:rPr>
                <w:sz w:val="16"/>
              </w:rPr>
              <w:t>A</w:t>
            </w:r>
          </w:p>
        </w:tc>
      </w:tr>
      <w:tr>
        <w:trPr>
          <w:cantSplit w:val="true"/>
        </w:trPr>
        <w:tc>
          <w:tcPr>
            <w:tcW w:type="dxa" w:w="3626"/>
            <w:tcMar>
              <w:top w:w="50" w:type="dxa"/>
              <w:bottom w:w="50" w:type="dxa"/>
              <w:left w:w="90" w:type="dxa"/>
              <w:right w:w="90" w:type="dxa"/>
            </w:tcMar>
          </w:tcPr>
          <w:p>
            <w:pPr>
              <w:pStyle w:val="BDOITable"/>
            </w:pPr>
            <w:r>
              <w:rPr>
                <w:sz w:val="16"/>
              </w:rPr>
              <w:t>Business verification</w:t>
            </w:r>
          </w:p>
        </w:tc>
        <w:tc>
          <w:tcPr>
            <w:tcW w:type="dxa" w:w="907"/>
            <w:tcMar>
              <w:top w:w="50" w:type="dxa"/>
              <w:bottom w:w="50" w:type="dxa"/>
              <w:left w:w="90" w:type="dxa"/>
              <w:right w:w="90" w:type="dxa"/>
            </w:tcMar>
          </w:tcPr>
          <w:p>
            <w:pPr>
              <w:pStyle w:val="BDOITable"/>
            </w:pPr>
            <w:r>
              <w:rPr>
                <w:sz w:val="16"/>
              </w:rPr>
              <w:t>I</w:t>
            </w:r>
          </w:p>
        </w:tc>
        <w:tc>
          <w:tcPr>
            <w:tcW w:type="dxa" w:w="907"/>
            <w:tcMar>
              <w:top w:w="50" w:type="dxa"/>
              <w:bottom w:w="50" w:type="dxa"/>
              <w:left w:w="90" w:type="dxa"/>
              <w:right w:w="90" w:type="dxa"/>
            </w:tcMar>
          </w:tcPr>
          <w:p>
            <w:pPr>
              <w:pStyle w:val="BDOITable"/>
            </w:pPr>
            <w:r>
              <w:rPr>
                <w:sz w:val="16"/>
              </w:rPr>
              <w:t>I</w:t>
            </w:r>
          </w:p>
        </w:tc>
        <w:tc>
          <w:tcPr>
            <w:tcW w:type="dxa" w:w="907"/>
            <w:tcMar>
              <w:top w:w="50" w:type="dxa"/>
              <w:bottom w:w="50" w:type="dxa"/>
              <w:left w:w="90" w:type="dxa"/>
              <w:right w:w="90" w:type="dxa"/>
            </w:tcMar>
          </w:tcPr>
          <w:p>
            <w:pPr>
              <w:pStyle w:val="BDOITable"/>
            </w:pPr>
            <w:r>
              <w:rPr>
                <w:sz w:val="16"/>
              </w:rPr>
              <w:t>C</w:t>
            </w:r>
          </w:p>
        </w:tc>
        <w:tc>
          <w:tcPr>
            <w:tcW w:type="dxa" w:w="907"/>
            <w:tcMar>
              <w:top w:w="50" w:type="dxa"/>
              <w:bottom w:w="50" w:type="dxa"/>
              <w:left w:w="90" w:type="dxa"/>
              <w:right w:w="90" w:type="dxa"/>
            </w:tcMar>
          </w:tcPr>
          <w:p>
            <w:pPr>
              <w:pStyle w:val="BDOITable"/>
            </w:pPr>
            <w:r>
              <w:rPr>
                <w:sz w:val="16"/>
              </w:rPr>
              <w:t>R</w:t>
            </w:r>
          </w:p>
        </w:tc>
        <w:tc>
          <w:tcPr>
            <w:tcW w:type="dxa" w:w="907"/>
            <w:tcMar>
              <w:top w:w="50" w:type="dxa"/>
              <w:bottom w:w="50" w:type="dxa"/>
              <w:left w:w="90" w:type="dxa"/>
              <w:right w:w="90" w:type="dxa"/>
            </w:tcMar>
          </w:tcPr>
          <w:p>
            <w:pPr>
              <w:pStyle w:val="BDOITable"/>
            </w:pPr>
            <w:r>
              <w:rPr>
                <w:sz w:val="16"/>
              </w:rPr>
              <w:t>A</w:t>
            </w:r>
          </w:p>
        </w:tc>
        <w:tc>
          <w:tcPr>
            <w:tcW w:type="dxa" w:w="907"/>
            <w:tcMar>
              <w:top w:w="50" w:type="dxa"/>
              <w:bottom w:w="50" w:type="dxa"/>
              <w:left w:w="90" w:type="dxa"/>
              <w:right w:w="90" w:type="dxa"/>
            </w:tcMar>
          </w:tcPr>
          <w:p>
            <w:pPr>
              <w:pStyle w:val="BDOITable"/>
            </w:pPr>
            <w:r>
              <w:rPr>
                <w:sz w:val="16"/>
              </w:rPr>
              <w:t>-</w:t>
            </w:r>
          </w:p>
        </w:tc>
        <w:tc>
          <w:tcPr>
            <w:tcW w:type="dxa" w:w="907"/>
            <w:tcMar>
              <w:top w:w="50" w:type="dxa"/>
              <w:bottom w:w="50" w:type="dxa"/>
              <w:left w:w="90" w:type="dxa"/>
              <w:right w:w="90" w:type="dxa"/>
            </w:tcMar>
          </w:tcPr>
          <w:p>
            <w:pPr>
              <w:pStyle w:val="BDOITable"/>
            </w:pPr>
            <w:r>
              <w:rPr>
                <w:sz w:val="16"/>
              </w:rPr>
              <w:t>C</w:t>
            </w:r>
          </w:p>
        </w:tc>
      </w:tr>
      <w:tr>
        <w:trPr>
          <w:cantSplit w:val="true"/>
        </w:trPr>
        <w:tc>
          <w:tcPr>
            <w:tcW w:type="dxa" w:w="3626"/>
            <w:tcMar>
              <w:top w:w="50" w:type="dxa"/>
              <w:bottom w:w="50" w:type="dxa"/>
              <w:left w:w="90" w:type="dxa"/>
              <w:right w:w="90" w:type="dxa"/>
            </w:tcMar>
            <w:shd w:val="clear" w:color="auto" w:fill="E5F5FF"/>
          </w:tcPr>
          <w:p>
            <w:pPr>
              <w:pStyle w:val="BDOITable"/>
            </w:pPr>
            <w:r>
              <w:rPr>
                <w:sz w:val="16"/>
              </w:rPr>
              <w:t>Continuity procedures</w:t>
            </w:r>
          </w:p>
        </w:tc>
        <w:tc>
          <w:tcPr>
            <w:tcW w:type="dxa" w:w="907"/>
            <w:tcMar>
              <w:top w:w="50" w:type="dxa"/>
              <w:bottom w:w="50" w:type="dxa"/>
              <w:left w:w="90" w:type="dxa"/>
              <w:right w:w="90" w:type="dxa"/>
            </w:tcMar>
            <w:shd w:val="clear" w:color="auto" w:fill="E5F5FF"/>
          </w:tcPr>
          <w:p>
            <w:pPr>
              <w:pStyle w:val="BDOITable"/>
            </w:pPr>
            <w:r>
              <w:rPr>
                <w:sz w:val="16"/>
              </w:rPr>
              <w:t>I</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907"/>
            <w:tcMar>
              <w:top w:w="50" w:type="dxa"/>
              <w:bottom w:w="50" w:type="dxa"/>
              <w:left w:w="90" w:type="dxa"/>
              <w:right w:w="90" w:type="dxa"/>
            </w:tcMar>
            <w:shd w:val="clear" w:color="auto" w:fill="E5F5FF"/>
          </w:tcPr>
          <w:p>
            <w:pPr>
              <w:pStyle w:val="BDOITable"/>
            </w:pPr>
            <w:r>
              <w:rPr>
                <w:sz w:val="16"/>
              </w:rPr>
              <w:t>C</w:t>
            </w:r>
          </w:p>
        </w:tc>
        <w:tc>
          <w:tcPr>
            <w:tcW w:type="dxa" w:w="907"/>
            <w:tcMar>
              <w:top w:w="50" w:type="dxa"/>
              <w:bottom w:w="50" w:type="dxa"/>
              <w:left w:w="90" w:type="dxa"/>
              <w:right w:w="90" w:type="dxa"/>
            </w:tcMar>
            <w:shd w:val="clear" w:color="auto" w:fill="E5F5FF"/>
          </w:tcPr>
          <w:p>
            <w:pPr>
              <w:pStyle w:val="BDOITable"/>
            </w:pPr>
            <w:r>
              <w:rPr>
                <w:sz w:val="16"/>
              </w:rPr>
              <w:t>R</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907"/>
            <w:tcMar>
              <w:top w:w="50" w:type="dxa"/>
              <w:bottom w:w="50" w:type="dxa"/>
              <w:left w:w="90" w:type="dxa"/>
              <w:right w:w="90" w:type="dxa"/>
            </w:tcMar>
            <w:shd w:val="clear" w:color="auto" w:fill="E5F5FF"/>
          </w:tcPr>
          <w:p>
            <w:pPr>
              <w:pStyle w:val="BDOITable"/>
            </w:pPr>
            <w:r>
              <w:rPr>
                <w:sz w:val="16"/>
              </w:rPr>
              <w:t>A</w:t>
            </w:r>
          </w:p>
        </w:tc>
      </w:tr>
      <w:tr>
        <w:trPr>
          <w:cantSplit w:val="true"/>
        </w:trPr>
        <w:tc>
          <w:tcPr>
            <w:tcW w:type="dxa" w:w="3626"/>
            <w:tcMar>
              <w:top w:w="50" w:type="dxa"/>
              <w:bottom w:w="50" w:type="dxa"/>
              <w:left w:w="90" w:type="dxa"/>
              <w:right w:w="90" w:type="dxa"/>
            </w:tcMar>
          </w:tcPr>
          <w:p>
            <w:pPr>
              <w:pStyle w:val="BDOITable"/>
            </w:pPr>
            <w:r>
              <w:rPr>
                <w:sz w:val="16"/>
              </w:rPr>
              <w:t>Failback</w:t>
            </w:r>
          </w:p>
        </w:tc>
        <w:tc>
          <w:tcPr>
            <w:tcW w:type="dxa" w:w="907"/>
            <w:tcMar>
              <w:top w:w="50" w:type="dxa"/>
              <w:bottom w:w="50" w:type="dxa"/>
              <w:left w:w="90" w:type="dxa"/>
              <w:right w:w="90" w:type="dxa"/>
            </w:tcMar>
          </w:tcPr>
          <w:p>
            <w:pPr>
              <w:pStyle w:val="BDOITable"/>
            </w:pPr>
            <w:r>
              <w:rPr>
                <w:sz w:val="16"/>
              </w:rPr>
              <w:t>A</w:t>
            </w:r>
          </w:p>
        </w:tc>
        <w:tc>
          <w:tcPr>
            <w:tcW w:type="dxa" w:w="907"/>
            <w:tcMar>
              <w:top w:w="50" w:type="dxa"/>
              <w:bottom w:w="50" w:type="dxa"/>
              <w:left w:w="90" w:type="dxa"/>
              <w:right w:w="90" w:type="dxa"/>
            </w:tcMar>
          </w:tcPr>
          <w:p>
            <w:pPr>
              <w:pStyle w:val="BDOITable"/>
            </w:pPr>
            <w:r>
              <w:rPr>
                <w:sz w:val="16"/>
              </w:rPr>
              <w:t>R</w:t>
            </w:r>
          </w:p>
        </w:tc>
        <w:tc>
          <w:tcPr>
            <w:tcW w:type="dxa" w:w="907"/>
            <w:tcMar>
              <w:top w:w="50" w:type="dxa"/>
              <w:bottom w:w="50" w:type="dxa"/>
              <w:left w:w="90" w:type="dxa"/>
              <w:right w:w="90" w:type="dxa"/>
            </w:tcMar>
          </w:tcPr>
          <w:p>
            <w:pPr>
              <w:pStyle w:val="BDOITable"/>
            </w:pPr>
            <w:r>
              <w:rPr>
                <w:sz w:val="16"/>
              </w:rPr>
              <w:t>R</w:t>
            </w:r>
          </w:p>
        </w:tc>
        <w:tc>
          <w:tcPr>
            <w:tcW w:type="dxa" w:w="907"/>
            <w:tcMar>
              <w:top w:w="50" w:type="dxa"/>
              <w:bottom w:w="50" w:type="dxa"/>
              <w:left w:w="90" w:type="dxa"/>
              <w:right w:w="90" w:type="dxa"/>
            </w:tcMar>
          </w:tcPr>
          <w:p>
            <w:pPr>
              <w:pStyle w:val="BDOITable"/>
            </w:pPr>
            <w:r>
              <w:rPr>
                <w:sz w:val="16"/>
              </w:rPr>
              <w:t>C</w:t>
            </w:r>
          </w:p>
        </w:tc>
        <w:tc>
          <w:tcPr>
            <w:tcW w:type="dxa" w:w="907"/>
            <w:tcMar>
              <w:top w:w="50" w:type="dxa"/>
              <w:bottom w:w="50" w:type="dxa"/>
              <w:left w:w="90" w:type="dxa"/>
              <w:right w:w="90" w:type="dxa"/>
            </w:tcMar>
          </w:tcPr>
          <w:p>
            <w:pPr>
              <w:pStyle w:val="BDOITable"/>
            </w:pPr>
            <w:r>
              <w:rPr>
                <w:sz w:val="16"/>
              </w:rPr>
              <w:t>C</w:t>
            </w:r>
          </w:p>
        </w:tc>
        <w:tc>
          <w:tcPr>
            <w:tcW w:type="dxa" w:w="907"/>
            <w:tcMar>
              <w:top w:w="50" w:type="dxa"/>
              <w:bottom w:w="50" w:type="dxa"/>
              <w:left w:w="90" w:type="dxa"/>
              <w:right w:w="90" w:type="dxa"/>
            </w:tcMar>
          </w:tcPr>
          <w:p>
            <w:pPr>
              <w:pStyle w:val="BDOITable"/>
            </w:pPr>
            <w:r>
              <w:rPr>
                <w:sz w:val="16"/>
              </w:rPr>
              <w:t>R</w:t>
            </w:r>
          </w:p>
        </w:tc>
        <w:tc>
          <w:tcPr>
            <w:tcW w:type="dxa" w:w="907"/>
            <w:tcMar>
              <w:top w:w="50" w:type="dxa"/>
              <w:bottom w:w="50" w:type="dxa"/>
              <w:left w:w="90" w:type="dxa"/>
              <w:right w:w="90" w:type="dxa"/>
            </w:tcMar>
          </w:tcPr>
          <w:p>
            <w:pPr>
              <w:pStyle w:val="BDOITable"/>
            </w:pPr>
            <w:r>
              <w:rPr>
                <w:sz w:val="16"/>
              </w:rPr>
              <w:t>C</w:t>
            </w:r>
          </w:p>
        </w:tc>
      </w:tr>
      <w:tr>
        <w:trPr>
          <w:cantSplit w:val="true"/>
        </w:trPr>
        <w:tc>
          <w:tcPr>
            <w:tcW w:type="dxa" w:w="3626"/>
            <w:tcMar>
              <w:top w:w="50" w:type="dxa"/>
              <w:bottom w:w="50" w:type="dxa"/>
              <w:left w:w="90" w:type="dxa"/>
              <w:right w:w="90" w:type="dxa"/>
            </w:tcMar>
            <w:shd w:val="clear" w:color="auto" w:fill="E5F5FF"/>
          </w:tcPr>
          <w:p>
            <w:pPr>
              <w:pStyle w:val="BDOITable"/>
            </w:pPr>
            <w:r>
              <w:rPr>
                <w:sz w:val="16"/>
              </w:rPr>
              <w:t>DR drill</w:t>
            </w:r>
          </w:p>
        </w:tc>
        <w:tc>
          <w:tcPr>
            <w:tcW w:type="dxa" w:w="907"/>
            <w:tcMar>
              <w:top w:w="50" w:type="dxa"/>
              <w:bottom w:w="50" w:type="dxa"/>
              <w:left w:w="90" w:type="dxa"/>
              <w:right w:w="90" w:type="dxa"/>
            </w:tcMar>
            <w:shd w:val="clear" w:color="auto" w:fill="E5F5FF"/>
          </w:tcPr>
          <w:p>
            <w:pPr>
              <w:pStyle w:val="BDOITable"/>
            </w:pPr>
            <w:r>
              <w:rPr>
                <w:sz w:val="16"/>
              </w:rPr>
              <w:t>A</w:t>
            </w:r>
          </w:p>
        </w:tc>
        <w:tc>
          <w:tcPr>
            <w:tcW w:type="dxa" w:w="907"/>
            <w:tcMar>
              <w:top w:w="50" w:type="dxa"/>
              <w:bottom w:w="50" w:type="dxa"/>
              <w:left w:w="90" w:type="dxa"/>
              <w:right w:w="90" w:type="dxa"/>
            </w:tcMar>
            <w:shd w:val="clear" w:color="auto" w:fill="E5F5FF"/>
          </w:tcPr>
          <w:p>
            <w:pPr>
              <w:pStyle w:val="BDOITable"/>
            </w:pPr>
            <w:r>
              <w:rPr>
                <w:sz w:val="16"/>
              </w:rPr>
              <w:t>R</w:t>
            </w:r>
          </w:p>
        </w:tc>
        <w:tc>
          <w:tcPr>
            <w:tcW w:type="dxa" w:w="907"/>
            <w:tcMar>
              <w:top w:w="50" w:type="dxa"/>
              <w:bottom w:w="50" w:type="dxa"/>
              <w:left w:w="90" w:type="dxa"/>
              <w:right w:w="90" w:type="dxa"/>
            </w:tcMar>
            <w:shd w:val="clear" w:color="auto" w:fill="E5F5FF"/>
          </w:tcPr>
          <w:p>
            <w:pPr>
              <w:pStyle w:val="BDOITable"/>
            </w:pPr>
            <w:r>
              <w:rPr>
                <w:sz w:val="16"/>
              </w:rPr>
              <w:t>R</w:t>
            </w:r>
          </w:p>
        </w:tc>
        <w:tc>
          <w:tcPr>
            <w:tcW w:type="dxa" w:w="907"/>
            <w:tcMar>
              <w:top w:w="50" w:type="dxa"/>
              <w:bottom w:w="50" w:type="dxa"/>
              <w:left w:w="90" w:type="dxa"/>
              <w:right w:w="90" w:type="dxa"/>
            </w:tcMar>
            <w:shd w:val="clear" w:color="auto" w:fill="E5F5FF"/>
          </w:tcPr>
          <w:p>
            <w:pPr>
              <w:pStyle w:val="BDOITable"/>
            </w:pPr>
            <w:r>
              <w:rPr>
                <w:sz w:val="16"/>
              </w:rPr>
              <w:t>C</w:t>
            </w:r>
          </w:p>
        </w:tc>
        <w:tc>
          <w:tcPr>
            <w:tcW w:type="dxa" w:w="907"/>
            <w:tcMar>
              <w:top w:w="50" w:type="dxa"/>
              <w:bottom w:w="50" w:type="dxa"/>
              <w:left w:w="90" w:type="dxa"/>
              <w:right w:w="90" w:type="dxa"/>
            </w:tcMar>
            <w:shd w:val="clear" w:color="auto" w:fill="E5F5FF"/>
          </w:tcPr>
          <w:p>
            <w:pPr>
              <w:pStyle w:val="BDOITable"/>
            </w:pPr>
            <w:r>
              <w:rPr>
                <w:sz w:val="16"/>
              </w:rPr>
              <w:t>C</w:t>
            </w:r>
          </w:p>
        </w:tc>
        <w:tc>
          <w:tcPr>
            <w:tcW w:type="dxa" w:w="907"/>
            <w:tcMar>
              <w:top w:w="50" w:type="dxa"/>
              <w:bottom w:w="50" w:type="dxa"/>
              <w:left w:w="90" w:type="dxa"/>
              <w:right w:w="90" w:type="dxa"/>
            </w:tcMar>
            <w:shd w:val="clear" w:color="auto" w:fill="E5F5FF"/>
          </w:tcPr>
          <w:p>
            <w:pPr>
              <w:pStyle w:val="BDOITable"/>
            </w:pPr>
            <w:r>
              <w:rPr>
                <w:sz w:val="16"/>
              </w:rPr>
              <w:t>C</w:t>
            </w:r>
          </w:p>
        </w:tc>
        <w:tc>
          <w:tcPr>
            <w:tcW w:type="dxa" w:w="907"/>
            <w:tcMar>
              <w:top w:w="50" w:type="dxa"/>
              <w:bottom w:w="50" w:type="dxa"/>
              <w:left w:w="90" w:type="dxa"/>
              <w:right w:w="90" w:type="dxa"/>
            </w:tcMar>
            <w:shd w:val="clear" w:color="auto" w:fill="E5F5FF"/>
          </w:tcPr>
          <w:p>
            <w:pPr>
              <w:pStyle w:val="BDOITable"/>
            </w:pPr>
            <w:r>
              <w:rPr>
                <w:sz w:val="16"/>
              </w:rPr>
              <w:t>R</w:t>
            </w:r>
          </w:p>
        </w:tc>
      </w:tr>
    </w:tbl>
    <w:p>
      <w:pPr>
        <w:pStyle w:val="BDOISpacer"/>
      </w:pPr>
    </w:p>
    <w:p>
      <w:pPr>
        <w:pStyle w:val="Heading1"/>
        <w:pageBreakBefore/>
        <w:pBdr>
          <w:bottom w:val="single" w:sz="4" w:space="4" w:color="99C1E7"/>
        </w:pBdr>
      </w:pPr>
      <w:bookmarkStart w:id="118" w:name="_Toc000118"/>
      <w:r>
        <w:rPr/>
        <w:t>7 Disaster declaration and failover</w:t>
      </w:r>
      <w:bookmarkEnd w:id="118"/>
    </w:p>
    <w:p>
      <w:pPr>
        <w:pStyle w:val="Heading2"/>
      </w:pPr>
      <w:bookmarkStart w:id="119" w:name="_Toc000119"/>
      <w:r>
        <w:rPr/>
        <w:t>7.1 When to fail over</w:t>
      </w:r>
      <w:bookmarkEnd w:id="119"/>
    </w:p>
    <w:p>
      <w:r>
        <w:rPr/>
        <w:t>A failover to the DR region is declared when the production region cannot give the Tier 1 service back within the RTO: AWS reports a regional impairment of EKS, RDS or the network; the database cannot be recovered in the region within 2 hours; or the security team requires the production account to be isolated. An outage of one availability zone, one managed service with a working failover, or a BDO system is not a disaster: the playbooks of the runbook apply.</w:t>
      </w:r>
    </w:p>
    <w:p>
      <w:pPr>
        <w:pStyle w:val="Heading2"/>
      </w:pPr>
      <w:bookmarkStart w:id="120" w:name="_Toc000120"/>
      <w:r>
        <w:rPr/>
        <w:t>7.2 Failover steps</w:t>
      </w:r>
      <w:bookmarkEnd w:id="120"/>
    </w:p>
    <w:p>
      <w:r>
        <w:rPr/>
        <w:t>Figure 2 gives the timeline against the 4-hour RTO; the table gives every step.</w:t>
      </w:r>
    </w:p>
    <w:p>
      <w:pPr>
        <w:keepNext/>
        <w:spacing w:before="80" w:after="0"/>
        <w:jc w:val="center"/>
      </w:pPr>
      <w:r>
        <w:drawing>
          <wp:inline xmlns:a="http://schemas.openxmlformats.org/drawingml/2006/main" xmlns:pic="http://schemas.openxmlformats.org/drawingml/2006/picture">
            <wp:extent cx="5040000" cy="4684995"/>
            <wp:docPr id="4" name="Picture 4"/>
            <wp:cNvGraphicFramePr>
              <a:graphicFrameLocks noChangeAspect="1"/>
            </wp:cNvGraphicFramePr>
            <a:graphic>
              <a:graphicData uri="http://schemas.openxmlformats.org/drawingml/2006/picture">
                <pic:pic>
                  <pic:nvPicPr>
                    <pic:cNvPr id="0" name="dr_failover_937.jpg"/>
                    <pic:cNvPicPr/>
                  </pic:nvPicPr>
                  <pic:blipFill>
                    <a:blip r:embed="rId16"/>
                    <a:stretch>
                      <a:fillRect/>
                    </a:stretch>
                  </pic:blipFill>
                  <pic:spPr>
                    <a:xfrm>
                      <a:off x="0" y="0"/>
                      <a:ext cx="5040000" cy="4684995"/>
                    </a:xfrm>
                    <a:prstGeom prst="rect"/>
                  </pic:spPr>
                </pic:pic>
              </a:graphicData>
            </a:graphic>
          </wp:inline>
        </w:drawing>
      </w:r>
    </w:p>
    <w:p>
      <w:pPr>
        <w:pStyle w:val="Caption"/>
        <w:jc w:val="center"/>
      </w:pPr>
      <w:r>
        <w:rPr>
          <w:b/>
          <w:i w:val="0"/>
        </w:rPr>
        <w:t xml:space="preserve">Figure 2: </w:t>
      </w:r>
      <w:r>
        <w:rPr/>
        <w:t>Regional failover against the 4-hour RTO</w:t>
      </w:r>
    </w:p>
    <w:p>
      <w:pPr>
        <w:pStyle w:val="Caption"/>
        <w:keepNext/>
        <w:spacing w:after="60"/>
      </w:pPr>
      <w:r>
        <w:rPr>
          <w:b/>
          <w:i w:val="0"/>
        </w:rPr>
        <w:t xml:space="preserve">Table 10: </w:t>
      </w:r>
      <w:r>
        <w:rPr/>
        <w:t>Failover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1081"/>
        <w:gridCol w:w="5166"/>
        <w:gridCol w:w="1562"/>
        <w:gridCol w:w="1321"/>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Time</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Evidence</w:t>
            </w:r>
          </w:p>
        </w:tc>
      </w:tr>
      <w:tr>
        <w:trPr>
          <w:cantSplit w:val="true"/>
        </w:trPr>
        <w:tc>
          <w:tcPr>
            <w:tcW w:type="dxa" w:w="841"/>
            <w:tcMar>
              <w:top w:w="50" w:type="dxa"/>
              <w:bottom w:w="50" w:type="dxa"/>
              <w:left w:w="90" w:type="dxa"/>
              <w:right w:w="90" w:type="dxa"/>
            </w:tcMar>
          </w:tcPr>
          <w:p>
            <w:pPr>
              <w:pStyle w:val="BDOITable"/>
            </w:pPr>
            <w:r>
              <w:rPr>
                <w:b/>
                <w:sz w:val="16"/>
              </w:rPr>
              <w:t>FO-01</w:t>
            </w:r>
          </w:p>
        </w:tc>
        <w:tc>
          <w:tcPr>
            <w:tcW w:type="dxa" w:w="1081"/>
            <w:tcMar>
              <w:top w:w="50" w:type="dxa"/>
              <w:bottom w:w="50" w:type="dxa"/>
              <w:left w:w="90" w:type="dxa"/>
              <w:right w:w="90" w:type="dxa"/>
            </w:tcMar>
          </w:tcPr>
          <w:p>
            <w:pPr>
              <w:pStyle w:val="BDOITable"/>
            </w:pPr>
            <w:r>
              <w:rPr>
                <w:sz w:val="16"/>
              </w:rPr>
              <w:t>T0</w:t>
            </w:r>
          </w:p>
        </w:tc>
        <w:tc>
          <w:tcPr>
            <w:tcW w:type="dxa" w:w="5166"/>
            <w:tcMar>
              <w:top w:w="50" w:type="dxa"/>
              <w:bottom w:w="50" w:type="dxa"/>
              <w:left w:w="90" w:type="dxa"/>
              <w:right w:w="90" w:type="dxa"/>
            </w:tcMar>
          </w:tcPr>
          <w:p>
            <w:pPr>
              <w:pStyle w:val="BDOITable"/>
            </w:pPr>
            <w:r>
              <w:rPr>
                <w:sz w:val="16"/>
              </w:rPr>
              <w:t>P1 opened; bridge opened; first user notice (communication item 1)</w:t>
            </w:r>
          </w:p>
        </w:tc>
        <w:tc>
          <w:tcPr>
            <w:tcW w:type="dxa" w:w="1562"/>
            <w:tcMar>
              <w:top w:w="50" w:type="dxa"/>
              <w:bottom w:w="50" w:type="dxa"/>
              <w:left w:w="90" w:type="dxa"/>
              <w:right w:w="90" w:type="dxa"/>
            </w:tcMar>
          </w:tcPr>
          <w:p>
            <w:pPr>
              <w:pStyle w:val="BDOITable"/>
            </w:pPr>
            <w:r>
              <w:rPr>
                <w:sz w:val="16"/>
              </w:rPr>
              <w:t>L2 lead</w:t>
            </w:r>
          </w:p>
        </w:tc>
        <w:tc>
          <w:tcPr>
            <w:tcW w:type="dxa" w:w="1322"/>
            <w:tcMar>
              <w:top w:w="50" w:type="dxa"/>
              <w:bottom w:w="50" w:type="dxa"/>
              <w:left w:w="90" w:type="dxa"/>
              <w:right w:w="90" w:type="dxa"/>
            </w:tcMar>
          </w:tcPr>
          <w:p>
            <w:pPr>
              <w:pStyle w:val="BDOITable"/>
            </w:pPr>
            <w:r>
              <w:rPr>
                <w:sz w:val="16"/>
              </w:rPr>
              <w:t>Ticket, bridge log</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FO-02</w:t>
            </w:r>
          </w:p>
        </w:tc>
        <w:tc>
          <w:tcPr>
            <w:tcW w:type="dxa" w:w="1081"/>
            <w:tcMar>
              <w:top w:w="50" w:type="dxa"/>
              <w:bottom w:w="50" w:type="dxa"/>
              <w:left w:w="90" w:type="dxa"/>
              <w:right w:w="90" w:type="dxa"/>
            </w:tcMar>
            <w:shd w:val="clear" w:color="auto" w:fill="E5F5FF"/>
          </w:tcPr>
          <w:p>
            <w:pPr>
              <w:pStyle w:val="BDOITable"/>
            </w:pPr>
            <w:r>
              <w:rPr>
                <w:sz w:val="16"/>
              </w:rPr>
              <w:t>T0 + 30 min</w:t>
            </w:r>
          </w:p>
        </w:tc>
        <w:tc>
          <w:tcPr>
            <w:tcW w:type="dxa" w:w="5166"/>
            <w:tcMar>
              <w:top w:w="50" w:type="dxa"/>
              <w:bottom w:w="50" w:type="dxa"/>
              <w:left w:w="90" w:type="dxa"/>
              <w:right w:w="90" w:type="dxa"/>
            </w:tcMar>
            <w:shd w:val="clear" w:color="auto" w:fill="E5F5FF"/>
          </w:tcPr>
          <w:p>
            <w:pPr>
              <w:pStyle w:val="BDOITable"/>
            </w:pPr>
            <w:r>
              <w:rPr>
                <w:sz w:val="16"/>
              </w:rPr>
              <w:t>Assessment: scope of the outage, AWS status, expected recovery time in the region; replica lag at the time of the loss</w:t>
            </w:r>
          </w:p>
        </w:tc>
        <w:tc>
          <w:tcPr>
            <w:tcW w:type="dxa" w:w="1562"/>
            <w:tcMar>
              <w:top w:w="50" w:type="dxa"/>
              <w:bottom w:w="50" w:type="dxa"/>
              <w:left w:w="90" w:type="dxa"/>
              <w:right w:w="90" w:type="dxa"/>
            </w:tcMar>
            <w:shd w:val="clear" w:color="auto" w:fill="E5F5FF"/>
          </w:tcPr>
          <w:p>
            <w:pPr>
              <w:pStyle w:val="BDOITable"/>
            </w:pPr>
            <w:r>
              <w:rPr>
                <w:sz w:val="16"/>
              </w:rPr>
              <w:t>DR coordinator, L3</w:t>
            </w:r>
          </w:p>
        </w:tc>
        <w:tc>
          <w:tcPr>
            <w:tcW w:type="dxa" w:w="1322"/>
            <w:tcMar>
              <w:top w:w="50" w:type="dxa"/>
              <w:bottom w:w="50" w:type="dxa"/>
              <w:left w:w="90" w:type="dxa"/>
              <w:right w:w="90" w:type="dxa"/>
            </w:tcMar>
            <w:shd w:val="clear" w:color="auto" w:fill="E5F5FF"/>
          </w:tcPr>
          <w:p>
            <w:pPr>
              <w:pStyle w:val="BDOITable"/>
            </w:pPr>
            <w:r>
              <w:rPr>
                <w:sz w:val="16"/>
              </w:rPr>
              <w:t>Assessment note</w:t>
            </w:r>
          </w:p>
        </w:tc>
      </w:tr>
      <w:tr>
        <w:trPr>
          <w:cantSplit w:val="true"/>
        </w:trPr>
        <w:tc>
          <w:tcPr>
            <w:tcW w:type="dxa" w:w="841"/>
            <w:tcMar>
              <w:top w:w="50" w:type="dxa"/>
              <w:bottom w:w="50" w:type="dxa"/>
              <w:left w:w="90" w:type="dxa"/>
              <w:right w:w="90" w:type="dxa"/>
            </w:tcMar>
          </w:tcPr>
          <w:p>
            <w:pPr>
              <w:pStyle w:val="BDOITable"/>
            </w:pPr>
            <w:r>
              <w:rPr>
                <w:b/>
                <w:sz w:val="16"/>
              </w:rPr>
              <w:t>FO-03</w:t>
            </w:r>
          </w:p>
        </w:tc>
        <w:tc>
          <w:tcPr>
            <w:tcW w:type="dxa" w:w="1081"/>
            <w:tcMar>
              <w:top w:w="50" w:type="dxa"/>
              <w:bottom w:w="50" w:type="dxa"/>
              <w:left w:w="90" w:type="dxa"/>
              <w:right w:w="90" w:type="dxa"/>
            </w:tcMar>
          </w:tcPr>
          <w:p>
            <w:pPr>
              <w:pStyle w:val="BDOITable"/>
            </w:pPr>
            <w:r>
              <w:rPr>
                <w:sz w:val="16"/>
              </w:rPr>
              <w:t>T0 + 60 min</w:t>
            </w:r>
          </w:p>
        </w:tc>
        <w:tc>
          <w:tcPr>
            <w:tcW w:type="dxa" w:w="5166"/>
            <w:tcMar>
              <w:top w:w="50" w:type="dxa"/>
              <w:bottom w:w="50" w:type="dxa"/>
              <w:left w:w="90" w:type="dxa"/>
              <w:right w:w="90" w:type="dxa"/>
            </w:tcMar>
          </w:tcPr>
          <w:p>
            <w:pPr>
              <w:pStyle w:val="BDOITable"/>
            </w:pPr>
            <w:r>
              <w:rPr>
                <w:sz w:val="16"/>
              </w:rPr>
              <w:t>Decision by the DR authority; continuity procedures activated (chapter 10); notice of DR to users and business heads</w:t>
            </w:r>
          </w:p>
        </w:tc>
        <w:tc>
          <w:tcPr>
            <w:tcW w:type="dxa" w:w="1562"/>
            <w:tcMar>
              <w:top w:w="50" w:type="dxa"/>
              <w:bottom w:w="50" w:type="dxa"/>
              <w:left w:w="90" w:type="dxa"/>
              <w:right w:w="90" w:type="dxa"/>
            </w:tcMar>
          </w:tcPr>
          <w:p>
            <w:pPr>
              <w:pStyle w:val="BDOITable"/>
            </w:pPr>
            <w:r>
              <w:rPr>
                <w:sz w:val="16"/>
              </w:rPr>
              <w:t>DR authority</w:t>
            </w:r>
          </w:p>
        </w:tc>
        <w:tc>
          <w:tcPr>
            <w:tcW w:type="dxa" w:w="1322"/>
            <w:tcMar>
              <w:top w:w="50" w:type="dxa"/>
              <w:bottom w:w="50" w:type="dxa"/>
              <w:left w:w="90" w:type="dxa"/>
              <w:right w:w="90" w:type="dxa"/>
            </w:tcMar>
          </w:tcPr>
          <w:p>
            <w:pPr>
              <w:pStyle w:val="BDOITable"/>
            </w:pPr>
            <w:r>
              <w:rPr>
                <w:sz w:val="16"/>
              </w:rPr>
              <w:t>Decision record</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FO-04</w:t>
            </w:r>
          </w:p>
        </w:tc>
        <w:tc>
          <w:tcPr>
            <w:tcW w:type="dxa" w:w="1081"/>
            <w:tcMar>
              <w:top w:w="50" w:type="dxa"/>
              <w:bottom w:w="50" w:type="dxa"/>
              <w:left w:w="90" w:type="dxa"/>
              <w:right w:w="90" w:type="dxa"/>
            </w:tcMar>
            <w:shd w:val="clear" w:color="auto" w:fill="E5F5FF"/>
          </w:tcPr>
          <w:p>
            <w:pPr>
              <w:pStyle w:val="BDOITable"/>
            </w:pPr>
            <w:r>
              <w:rPr>
                <w:sz w:val="16"/>
              </w:rPr>
              <w:t>+ 0:10</w:t>
            </w:r>
          </w:p>
        </w:tc>
        <w:tc>
          <w:tcPr>
            <w:tcW w:type="dxa" w:w="5166"/>
            <w:tcMar>
              <w:top w:w="50" w:type="dxa"/>
              <w:bottom w:w="50" w:type="dxa"/>
              <w:left w:w="90" w:type="dxa"/>
              <w:right w:w="90" w:type="dxa"/>
            </w:tcMar>
            <w:shd w:val="clear" w:color="auto" w:fill="E5F5FF"/>
          </w:tcPr>
          <w:p>
            <w:pPr>
              <w:pStyle w:val="BDOITable"/>
            </w:pPr>
            <w:r>
              <w:rPr>
                <w:sz w:val="16"/>
              </w:rPr>
              <w:t>Stop writes to production if it is still partly reachable (backend scaled to zero) so that the two regions never both take transactions</w:t>
            </w:r>
          </w:p>
        </w:tc>
        <w:tc>
          <w:tcPr>
            <w:tcW w:type="dxa" w:w="1562"/>
            <w:tcMar>
              <w:top w:w="50" w:type="dxa"/>
              <w:bottom w:w="50" w:type="dxa"/>
              <w:left w:w="90" w:type="dxa"/>
              <w:right w:w="90" w:type="dxa"/>
            </w:tcMar>
            <w:shd w:val="clear" w:color="auto" w:fill="E5F5FF"/>
          </w:tcPr>
          <w:p>
            <w:pPr>
              <w:pStyle w:val="BDOITable"/>
            </w:pPr>
            <w:r>
              <w:rPr>
                <w:sz w:val="16"/>
              </w:rPr>
              <w:t>DR coordinator</w:t>
            </w:r>
          </w:p>
        </w:tc>
        <w:tc>
          <w:tcPr>
            <w:tcW w:type="dxa" w:w="1322"/>
            <w:tcMar>
              <w:top w:w="50" w:type="dxa"/>
              <w:bottom w:w="50" w:type="dxa"/>
              <w:left w:w="90" w:type="dxa"/>
              <w:right w:w="90" w:type="dxa"/>
            </w:tcMar>
            <w:shd w:val="clear" w:color="auto" w:fill="E5F5FF"/>
          </w:tcPr>
          <w:p>
            <w:pPr>
              <w:pStyle w:val="BDOITable"/>
            </w:pPr>
            <w:r>
              <w:rPr>
                <w:sz w:val="16"/>
              </w:rPr>
              <w:t>Change record</w:t>
            </w:r>
          </w:p>
        </w:tc>
      </w:tr>
      <w:tr>
        <w:trPr>
          <w:cantSplit w:val="true"/>
        </w:trPr>
        <w:tc>
          <w:tcPr>
            <w:tcW w:type="dxa" w:w="841"/>
            <w:tcMar>
              <w:top w:w="50" w:type="dxa"/>
              <w:bottom w:w="50" w:type="dxa"/>
              <w:left w:w="90" w:type="dxa"/>
              <w:right w:w="90" w:type="dxa"/>
            </w:tcMar>
          </w:tcPr>
          <w:p>
            <w:pPr>
              <w:pStyle w:val="BDOITable"/>
            </w:pPr>
            <w:r>
              <w:rPr>
                <w:b/>
                <w:sz w:val="16"/>
              </w:rPr>
              <w:t>FO-05</w:t>
            </w:r>
          </w:p>
        </w:tc>
        <w:tc>
          <w:tcPr>
            <w:tcW w:type="dxa" w:w="1081"/>
            <w:tcMar>
              <w:top w:w="50" w:type="dxa"/>
              <w:bottom w:w="50" w:type="dxa"/>
              <w:left w:w="90" w:type="dxa"/>
              <w:right w:w="90" w:type="dxa"/>
            </w:tcMar>
          </w:tcPr>
          <w:p>
            <w:pPr>
              <w:pStyle w:val="BDOITable"/>
            </w:pPr>
            <w:r>
              <w:rPr>
                <w:sz w:val="16"/>
              </w:rPr>
              <w:t>+ 0:30</w:t>
            </w:r>
          </w:p>
        </w:tc>
        <w:tc>
          <w:tcPr>
            <w:tcW w:type="dxa" w:w="5166"/>
            <w:tcMar>
              <w:top w:w="50" w:type="dxa"/>
              <w:bottom w:w="50" w:type="dxa"/>
              <w:left w:w="90" w:type="dxa"/>
              <w:right w:w="90" w:type="dxa"/>
            </w:tcMar>
          </w:tcPr>
          <w:p>
            <w:pPr>
              <w:pStyle w:val="BDOITable"/>
            </w:pPr>
            <w:r>
              <w:rPr>
                <w:sz w:val="16"/>
              </w:rPr>
              <w:t>Promote the DR read replica to a standalone database; record its last transaction time (the recovery point)</w:t>
            </w:r>
          </w:p>
        </w:tc>
        <w:tc>
          <w:tcPr>
            <w:tcW w:type="dxa" w:w="1562"/>
            <w:tcMar>
              <w:top w:w="50" w:type="dxa"/>
              <w:bottom w:w="50" w:type="dxa"/>
              <w:left w:w="90" w:type="dxa"/>
              <w:right w:w="90" w:type="dxa"/>
            </w:tcMar>
          </w:tcPr>
          <w:p>
            <w:pPr>
              <w:pStyle w:val="BDOITable"/>
            </w:pPr>
            <w:r>
              <w:rPr>
                <w:sz w:val="16"/>
              </w:rPr>
              <w:t>DR coordinator</w:t>
            </w:r>
          </w:p>
        </w:tc>
        <w:tc>
          <w:tcPr>
            <w:tcW w:type="dxa" w:w="1322"/>
            <w:tcMar>
              <w:top w:w="50" w:type="dxa"/>
              <w:bottom w:w="50" w:type="dxa"/>
              <w:left w:w="90" w:type="dxa"/>
              <w:right w:w="90" w:type="dxa"/>
            </w:tcMar>
          </w:tcPr>
          <w:p>
            <w:pPr>
              <w:pStyle w:val="BDOITable"/>
            </w:pPr>
            <w:r>
              <w:rPr>
                <w:sz w:val="16"/>
              </w:rPr>
              <w:t>Promotion event; recovery point</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FO-06</w:t>
            </w:r>
          </w:p>
        </w:tc>
        <w:tc>
          <w:tcPr>
            <w:tcW w:type="dxa" w:w="1081"/>
            <w:tcMar>
              <w:top w:w="50" w:type="dxa"/>
              <w:bottom w:w="50" w:type="dxa"/>
              <w:left w:w="90" w:type="dxa"/>
              <w:right w:w="90" w:type="dxa"/>
            </w:tcMar>
            <w:shd w:val="clear" w:color="auto" w:fill="E5F5FF"/>
          </w:tcPr>
          <w:p>
            <w:pPr>
              <w:pStyle w:val="BDOITable"/>
            </w:pPr>
            <w:r>
              <w:rPr>
                <w:sz w:val="16"/>
              </w:rPr>
              <w:t>+ 0:40</w:t>
            </w:r>
          </w:p>
        </w:tc>
        <w:tc>
          <w:tcPr>
            <w:tcW w:type="dxa" w:w="5166"/>
            <w:tcMar>
              <w:top w:w="50" w:type="dxa"/>
              <w:bottom w:w="50" w:type="dxa"/>
              <w:left w:w="90" w:type="dxa"/>
              <w:right w:w="90" w:type="dxa"/>
            </w:tcMar>
            <w:shd w:val="clear" w:color="auto" w:fill="E5F5FF"/>
          </w:tcPr>
          <w:p>
            <w:pPr>
              <w:pStyle w:val="BDOITable"/>
            </w:pPr>
            <w:r>
              <w:rPr>
                <w:sz w:val="16"/>
              </w:rPr>
              <w:t>Confirm the S3 replica buckets and their latest replicated objects; secrets and keys available in DR</w:t>
            </w:r>
          </w:p>
        </w:tc>
        <w:tc>
          <w:tcPr>
            <w:tcW w:type="dxa" w:w="1562"/>
            <w:tcMar>
              <w:top w:w="50" w:type="dxa"/>
              <w:bottom w:w="50" w:type="dxa"/>
              <w:left w:w="90" w:type="dxa"/>
              <w:right w:w="90" w:type="dxa"/>
            </w:tcMar>
            <w:shd w:val="clear" w:color="auto" w:fill="E5F5FF"/>
          </w:tcPr>
          <w:p>
            <w:pPr>
              <w:pStyle w:val="BDOITable"/>
            </w:pPr>
            <w:r>
              <w:rPr>
                <w:sz w:val="16"/>
              </w:rPr>
              <w:t>DR coordinator</w:t>
            </w:r>
          </w:p>
        </w:tc>
        <w:tc>
          <w:tcPr>
            <w:tcW w:type="dxa" w:w="1322"/>
            <w:tcMar>
              <w:top w:w="50" w:type="dxa"/>
              <w:bottom w:w="50" w:type="dxa"/>
              <w:left w:w="90" w:type="dxa"/>
              <w:right w:w="90" w:type="dxa"/>
            </w:tcMar>
            <w:shd w:val="clear" w:color="auto" w:fill="E5F5FF"/>
          </w:tcPr>
          <w:p>
            <w:pPr>
              <w:pStyle w:val="BDOITable"/>
            </w:pPr>
            <w:r>
              <w:rPr>
                <w:sz w:val="16"/>
              </w:rPr>
              <w:t>Replication status</w:t>
            </w:r>
          </w:p>
        </w:tc>
      </w:tr>
      <w:tr>
        <w:trPr>
          <w:cantSplit w:val="true"/>
        </w:trPr>
        <w:tc>
          <w:tcPr>
            <w:tcW w:type="dxa" w:w="841"/>
            <w:tcMar>
              <w:top w:w="50" w:type="dxa"/>
              <w:bottom w:w="50" w:type="dxa"/>
              <w:left w:w="90" w:type="dxa"/>
              <w:right w:w="90" w:type="dxa"/>
            </w:tcMar>
          </w:tcPr>
          <w:p>
            <w:pPr>
              <w:pStyle w:val="BDOITable"/>
            </w:pPr>
            <w:r>
              <w:rPr>
                <w:b/>
                <w:sz w:val="16"/>
              </w:rPr>
              <w:t>FO-07</w:t>
            </w:r>
          </w:p>
        </w:tc>
        <w:tc>
          <w:tcPr>
            <w:tcW w:type="dxa" w:w="1081"/>
            <w:tcMar>
              <w:top w:w="50" w:type="dxa"/>
              <w:bottom w:w="50" w:type="dxa"/>
              <w:left w:w="90" w:type="dxa"/>
              <w:right w:w="90" w:type="dxa"/>
            </w:tcMar>
          </w:tcPr>
          <w:p>
            <w:pPr>
              <w:pStyle w:val="BDOITable"/>
            </w:pPr>
            <w:r>
              <w:rPr>
                <w:sz w:val="16"/>
              </w:rPr>
              <w:t>+ 0:45</w:t>
            </w:r>
          </w:p>
        </w:tc>
        <w:tc>
          <w:tcPr>
            <w:tcW w:type="dxa" w:w="5166"/>
            <w:tcMar>
              <w:top w:w="50" w:type="dxa"/>
              <w:bottom w:w="50" w:type="dxa"/>
              <w:left w:w="90" w:type="dxa"/>
              <w:right w:w="90" w:type="dxa"/>
            </w:tcMar>
          </w:tcPr>
          <w:p>
            <w:pPr>
              <w:pStyle w:val="BDOITable"/>
            </w:pPr>
            <w:r>
              <w:rPr>
                <w:sz w:val="16"/>
              </w:rPr>
              <w:t>Create Valkey and the Kafka cluster in DR from the stored templates; update their addresses in the DR configuration</w:t>
            </w:r>
          </w:p>
        </w:tc>
        <w:tc>
          <w:tcPr>
            <w:tcW w:type="dxa" w:w="1562"/>
            <w:tcMar>
              <w:top w:w="50" w:type="dxa"/>
              <w:bottom w:w="50" w:type="dxa"/>
              <w:left w:w="90" w:type="dxa"/>
              <w:right w:w="90" w:type="dxa"/>
            </w:tcMar>
          </w:tcPr>
          <w:p>
            <w:pPr>
              <w:pStyle w:val="BDOITable"/>
            </w:pPr>
            <w:r>
              <w:rPr>
                <w:sz w:val="16"/>
              </w:rPr>
              <w:t>DR coordinator</w:t>
            </w:r>
          </w:p>
        </w:tc>
        <w:tc>
          <w:tcPr>
            <w:tcW w:type="dxa" w:w="1322"/>
            <w:tcMar>
              <w:top w:w="50" w:type="dxa"/>
              <w:bottom w:w="50" w:type="dxa"/>
              <w:left w:w="90" w:type="dxa"/>
              <w:right w:w="90" w:type="dxa"/>
            </w:tcMar>
          </w:tcPr>
          <w:p>
            <w:pPr>
              <w:pStyle w:val="BDOITable"/>
            </w:pPr>
            <w:r>
              <w:rPr>
                <w:sz w:val="16"/>
              </w:rPr>
              <w:t>Service status</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FO-08</w:t>
            </w:r>
          </w:p>
        </w:tc>
        <w:tc>
          <w:tcPr>
            <w:tcW w:type="dxa" w:w="1081"/>
            <w:tcMar>
              <w:top w:w="50" w:type="dxa"/>
              <w:bottom w:w="50" w:type="dxa"/>
              <w:left w:w="90" w:type="dxa"/>
              <w:right w:w="90" w:type="dxa"/>
            </w:tcMar>
            <w:shd w:val="clear" w:color="auto" w:fill="E5F5FF"/>
          </w:tcPr>
          <w:p>
            <w:pPr>
              <w:pStyle w:val="BDOITable"/>
            </w:pPr>
            <w:r>
              <w:rPr>
                <w:sz w:val="16"/>
              </w:rPr>
              <w:t>+ 1:15</w:t>
            </w:r>
          </w:p>
        </w:tc>
        <w:tc>
          <w:tcPr>
            <w:tcW w:type="dxa" w:w="5166"/>
            <w:tcMar>
              <w:top w:w="50" w:type="dxa"/>
              <w:bottom w:w="50" w:type="dxa"/>
              <w:left w:w="90" w:type="dxa"/>
              <w:right w:w="90" w:type="dxa"/>
            </w:tcMar>
            <w:shd w:val="clear" w:color="auto" w:fill="E5F5FF"/>
          </w:tcPr>
          <w:p>
            <w:pPr>
              <w:pStyle w:val="BDOITable"/>
            </w:pPr>
            <w:r>
              <w:rPr>
                <w:sz w:val="16"/>
              </w:rPr>
              <w:t>Scale the BIBS workloads in DR to production size with the jobs held</w:t>
            </w:r>
          </w:p>
        </w:tc>
        <w:tc>
          <w:tcPr>
            <w:tcW w:type="dxa" w:w="1562"/>
            <w:tcMar>
              <w:top w:w="50" w:type="dxa"/>
              <w:bottom w:w="50" w:type="dxa"/>
              <w:left w:w="90" w:type="dxa"/>
              <w:right w:w="90" w:type="dxa"/>
            </w:tcMar>
            <w:shd w:val="clear" w:color="auto" w:fill="E5F5FF"/>
          </w:tcPr>
          <w:p>
            <w:pPr>
              <w:pStyle w:val="BDOITable"/>
            </w:pPr>
            <w:r>
              <w:rPr>
                <w:sz w:val="16"/>
              </w:rPr>
              <w:t>L3</w:t>
            </w:r>
          </w:p>
        </w:tc>
        <w:tc>
          <w:tcPr>
            <w:tcW w:type="dxa" w:w="1322"/>
            <w:tcMar>
              <w:top w:w="50" w:type="dxa"/>
              <w:bottom w:w="50" w:type="dxa"/>
              <w:left w:w="90" w:type="dxa"/>
              <w:right w:w="90" w:type="dxa"/>
            </w:tcMar>
            <w:shd w:val="clear" w:color="auto" w:fill="E5F5FF"/>
          </w:tcPr>
          <w:p>
            <w:pPr>
              <w:pStyle w:val="BDOITable"/>
            </w:pPr>
            <w:r>
              <w:rPr>
                <w:sz w:val="16"/>
              </w:rPr>
              <w:t>Pods ready</w:t>
            </w:r>
          </w:p>
        </w:tc>
      </w:tr>
      <w:tr>
        <w:trPr>
          <w:cantSplit w:val="true"/>
        </w:trPr>
        <w:tc>
          <w:tcPr>
            <w:tcW w:type="dxa" w:w="841"/>
            <w:tcMar>
              <w:top w:w="50" w:type="dxa"/>
              <w:bottom w:w="50" w:type="dxa"/>
              <w:left w:w="90" w:type="dxa"/>
              <w:right w:w="90" w:type="dxa"/>
            </w:tcMar>
          </w:tcPr>
          <w:p>
            <w:pPr>
              <w:pStyle w:val="BDOITable"/>
            </w:pPr>
            <w:r>
              <w:rPr>
                <w:b/>
                <w:sz w:val="16"/>
              </w:rPr>
              <w:t>FO-09</w:t>
            </w:r>
          </w:p>
        </w:tc>
        <w:tc>
          <w:tcPr>
            <w:tcW w:type="dxa" w:w="1081"/>
            <w:tcMar>
              <w:top w:w="50" w:type="dxa"/>
              <w:bottom w:w="50" w:type="dxa"/>
              <w:left w:w="90" w:type="dxa"/>
              <w:right w:w="90" w:type="dxa"/>
            </w:tcMar>
          </w:tcPr>
          <w:p>
            <w:pPr>
              <w:pStyle w:val="BDOITable"/>
            </w:pPr>
            <w:r>
              <w:rPr>
                <w:sz w:val="16"/>
              </w:rPr>
              <w:t>+ 1:30</w:t>
            </w:r>
          </w:p>
        </w:tc>
        <w:tc>
          <w:tcPr>
            <w:tcW w:type="dxa" w:w="5166"/>
            <w:tcMar>
              <w:top w:w="50" w:type="dxa"/>
              <w:bottom w:w="50" w:type="dxa"/>
              <w:left w:w="90" w:type="dxa"/>
              <w:right w:w="90" w:type="dxa"/>
            </w:tcMar>
          </w:tcPr>
          <w:p>
            <w:pPr>
              <w:pStyle w:val="BDOITable"/>
            </w:pPr>
            <w:r>
              <w:rPr>
                <w:sz w:val="16"/>
              </w:rPr>
              <w:t>Switch the private DNS record of BIBS to DR; BDOI API team switches the Apigee X targets; certificates checked</w:t>
            </w:r>
          </w:p>
        </w:tc>
        <w:tc>
          <w:tcPr>
            <w:tcW w:type="dxa" w:w="1562"/>
            <w:tcMar>
              <w:top w:w="50" w:type="dxa"/>
              <w:bottom w:w="50" w:type="dxa"/>
              <w:left w:w="90" w:type="dxa"/>
              <w:right w:w="90" w:type="dxa"/>
            </w:tcMar>
          </w:tcPr>
          <w:p>
            <w:pPr>
              <w:pStyle w:val="BDOITable"/>
            </w:pPr>
            <w:r>
              <w:rPr>
                <w:sz w:val="16"/>
              </w:rPr>
              <w:t>DR coordinator, integration owners</w:t>
            </w:r>
          </w:p>
        </w:tc>
        <w:tc>
          <w:tcPr>
            <w:tcW w:type="dxa" w:w="1322"/>
            <w:tcMar>
              <w:top w:w="50" w:type="dxa"/>
              <w:bottom w:w="50" w:type="dxa"/>
              <w:left w:w="90" w:type="dxa"/>
              <w:right w:w="90" w:type="dxa"/>
            </w:tcMar>
          </w:tcPr>
          <w:p>
            <w:pPr>
              <w:pStyle w:val="BDOITable"/>
            </w:pPr>
            <w:r>
              <w:rPr>
                <w:sz w:val="16"/>
              </w:rPr>
              <w:t>DNS change; Apigee change</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FO-10</w:t>
            </w:r>
          </w:p>
        </w:tc>
        <w:tc>
          <w:tcPr>
            <w:tcW w:type="dxa" w:w="1081"/>
            <w:tcMar>
              <w:top w:w="50" w:type="dxa"/>
              <w:bottom w:w="50" w:type="dxa"/>
              <w:left w:w="90" w:type="dxa"/>
              <w:right w:w="90" w:type="dxa"/>
            </w:tcMar>
            <w:shd w:val="clear" w:color="auto" w:fill="E5F5FF"/>
          </w:tcPr>
          <w:p>
            <w:pPr>
              <w:pStyle w:val="BDOITable"/>
            </w:pPr>
            <w:r>
              <w:rPr>
                <w:sz w:val="16"/>
              </w:rPr>
              <w:t>+ 1:45</w:t>
            </w:r>
          </w:p>
        </w:tc>
        <w:tc>
          <w:tcPr>
            <w:tcW w:type="dxa" w:w="5166"/>
            <w:tcMar>
              <w:top w:w="50" w:type="dxa"/>
              <w:bottom w:w="50" w:type="dxa"/>
              <w:left w:w="90" w:type="dxa"/>
              <w:right w:w="90" w:type="dxa"/>
            </w:tcMar>
            <w:shd w:val="clear" w:color="auto" w:fill="E5F5FF"/>
          </w:tcPr>
          <w:p>
            <w:pPr>
              <w:pStyle w:val="BDOITable"/>
            </w:pPr>
            <w:r>
              <w:rPr>
                <w:sz w:val="16"/>
              </w:rPr>
              <w:t>Technical smoke test: sign-in through EIAM, a read and a test transaction reversed afterwards, a document download, the integration connectivity check</w:t>
            </w:r>
          </w:p>
        </w:tc>
        <w:tc>
          <w:tcPr>
            <w:tcW w:type="dxa" w:w="1562"/>
            <w:tcMar>
              <w:top w:w="50" w:type="dxa"/>
              <w:bottom w:w="50" w:type="dxa"/>
              <w:left w:w="90" w:type="dxa"/>
              <w:right w:w="90" w:type="dxa"/>
            </w:tcMar>
            <w:shd w:val="clear" w:color="auto" w:fill="E5F5FF"/>
          </w:tcPr>
          <w:p>
            <w:pPr>
              <w:pStyle w:val="BDOITable"/>
            </w:pPr>
            <w:r>
              <w:rPr>
                <w:sz w:val="16"/>
              </w:rPr>
              <w:t>L3</w:t>
            </w:r>
          </w:p>
        </w:tc>
        <w:tc>
          <w:tcPr>
            <w:tcW w:type="dxa" w:w="1322"/>
            <w:tcMar>
              <w:top w:w="50" w:type="dxa"/>
              <w:bottom w:w="50" w:type="dxa"/>
              <w:left w:w="90" w:type="dxa"/>
              <w:right w:w="90" w:type="dxa"/>
            </w:tcMar>
            <w:shd w:val="clear" w:color="auto" w:fill="E5F5FF"/>
          </w:tcPr>
          <w:p>
            <w:pPr>
              <w:pStyle w:val="BDOITable"/>
            </w:pPr>
            <w:r>
              <w:rPr>
                <w:sz w:val="16"/>
              </w:rPr>
              <w:t>Smoke test record</w:t>
            </w:r>
          </w:p>
        </w:tc>
      </w:tr>
      <w:tr>
        <w:trPr>
          <w:cantSplit w:val="true"/>
        </w:trPr>
        <w:tc>
          <w:tcPr>
            <w:tcW w:type="dxa" w:w="841"/>
            <w:tcMar>
              <w:top w:w="50" w:type="dxa"/>
              <w:bottom w:w="50" w:type="dxa"/>
              <w:left w:w="90" w:type="dxa"/>
              <w:right w:w="90" w:type="dxa"/>
            </w:tcMar>
          </w:tcPr>
          <w:p>
            <w:pPr>
              <w:pStyle w:val="BDOITable"/>
            </w:pPr>
            <w:r>
              <w:rPr>
                <w:b/>
                <w:sz w:val="16"/>
              </w:rPr>
              <w:t>FO-11</w:t>
            </w:r>
          </w:p>
        </w:tc>
        <w:tc>
          <w:tcPr>
            <w:tcW w:type="dxa" w:w="1081"/>
            <w:tcMar>
              <w:top w:w="50" w:type="dxa"/>
              <w:bottom w:w="50" w:type="dxa"/>
              <w:left w:w="90" w:type="dxa"/>
              <w:right w:w="90" w:type="dxa"/>
            </w:tcMar>
          </w:tcPr>
          <w:p>
            <w:pPr>
              <w:pStyle w:val="BDOITable"/>
            </w:pPr>
            <w:r>
              <w:rPr>
                <w:sz w:val="16"/>
              </w:rPr>
              <w:t>+ 1:50</w:t>
            </w:r>
          </w:p>
        </w:tc>
        <w:tc>
          <w:tcPr>
            <w:tcW w:type="dxa" w:w="5166"/>
            <w:tcMar>
              <w:top w:w="50" w:type="dxa"/>
              <w:bottom w:w="50" w:type="dxa"/>
              <w:left w:w="90" w:type="dxa"/>
              <w:right w:w="90" w:type="dxa"/>
            </w:tcMar>
          </w:tcPr>
          <w:p>
            <w:pPr>
              <w:pStyle w:val="BDOITable"/>
            </w:pPr>
            <w:r>
              <w:rPr>
                <w:sz w:val="16"/>
              </w:rPr>
              <w:t>Integration events resent from the outbox; mail queue released</w:t>
            </w:r>
          </w:p>
        </w:tc>
        <w:tc>
          <w:tcPr>
            <w:tcW w:type="dxa" w:w="1562"/>
            <w:tcMar>
              <w:top w:w="50" w:type="dxa"/>
              <w:bottom w:w="50" w:type="dxa"/>
              <w:left w:w="90" w:type="dxa"/>
              <w:right w:w="90" w:type="dxa"/>
            </w:tcMar>
          </w:tcPr>
          <w:p>
            <w:pPr>
              <w:pStyle w:val="BDOITable"/>
            </w:pPr>
            <w:r>
              <w:rPr>
                <w:sz w:val="16"/>
              </w:rPr>
              <w:t>L3, L2</w:t>
            </w:r>
          </w:p>
        </w:tc>
        <w:tc>
          <w:tcPr>
            <w:tcW w:type="dxa" w:w="1322"/>
            <w:tcMar>
              <w:top w:w="50" w:type="dxa"/>
              <w:bottom w:w="50" w:type="dxa"/>
              <w:left w:w="90" w:type="dxa"/>
              <w:right w:w="90" w:type="dxa"/>
            </w:tcMar>
          </w:tcPr>
          <w:p>
            <w:pPr>
              <w:pStyle w:val="BDOITable"/>
            </w:pPr>
            <w:r>
              <w:rPr>
                <w:sz w:val="16"/>
              </w:rPr>
              <w:t>Outbox drained</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FO-12</w:t>
            </w:r>
          </w:p>
        </w:tc>
        <w:tc>
          <w:tcPr>
            <w:tcW w:type="dxa" w:w="1081"/>
            <w:tcMar>
              <w:top w:w="50" w:type="dxa"/>
              <w:bottom w:w="50" w:type="dxa"/>
              <w:left w:w="90" w:type="dxa"/>
              <w:right w:w="90" w:type="dxa"/>
            </w:tcMar>
            <w:shd w:val="clear" w:color="auto" w:fill="E5F5FF"/>
          </w:tcPr>
          <w:p>
            <w:pPr>
              <w:pStyle w:val="BDOITable"/>
            </w:pPr>
            <w:r>
              <w:rPr>
                <w:sz w:val="16"/>
              </w:rPr>
              <w:t>+ 2:00</w:t>
            </w:r>
          </w:p>
        </w:tc>
        <w:tc>
          <w:tcPr>
            <w:tcW w:type="dxa" w:w="5166"/>
            <w:tcMar>
              <w:top w:w="50" w:type="dxa"/>
              <w:bottom w:w="50" w:type="dxa"/>
              <w:left w:w="90" w:type="dxa"/>
              <w:right w:w="90" w:type="dxa"/>
            </w:tcMar>
            <w:shd w:val="clear" w:color="auto" w:fill="E5F5FF"/>
          </w:tcPr>
          <w:p>
            <w:pPr>
              <w:pStyle w:val="BDOITable"/>
            </w:pPr>
            <w:r>
              <w:rPr>
                <w:sz w:val="16"/>
              </w:rPr>
              <w:t>Business verification of Tier 1 by the key users (receipt, payment application, remittance batch view, booking, GL posting view)</w:t>
            </w:r>
          </w:p>
        </w:tc>
        <w:tc>
          <w:tcPr>
            <w:tcW w:type="dxa" w:w="1562"/>
            <w:tcMar>
              <w:top w:w="50" w:type="dxa"/>
              <w:bottom w:w="50" w:type="dxa"/>
              <w:left w:w="90" w:type="dxa"/>
              <w:right w:w="90" w:type="dxa"/>
            </w:tcMar>
            <w:shd w:val="clear" w:color="auto" w:fill="E5F5FF"/>
          </w:tcPr>
          <w:p>
            <w:pPr>
              <w:pStyle w:val="BDOITable"/>
            </w:pPr>
            <w:r>
              <w:rPr>
                <w:sz w:val="16"/>
              </w:rPr>
              <w:t>Key users</w:t>
            </w:r>
          </w:p>
        </w:tc>
        <w:tc>
          <w:tcPr>
            <w:tcW w:type="dxa" w:w="1322"/>
            <w:tcMar>
              <w:top w:w="50" w:type="dxa"/>
              <w:bottom w:w="50" w:type="dxa"/>
              <w:left w:w="90" w:type="dxa"/>
              <w:right w:w="90" w:type="dxa"/>
            </w:tcMar>
            <w:shd w:val="clear" w:color="auto" w:fill="E5F5FF"/>
          </w:tcPr>
          <w:p>
            <w:pPr>
              <w:pStyle w:val="BDOITable"/>
            </w:pPr>
            <w:r>
              <w:rPr>
                <w:sz w:val="16"/>
              </w:rPr>
              <w:t>Checklist signed</w:t>
            </w:r>
          </w:p>
        </w:tc>
      </w:tr>
      <w:tr>
        <w:trPr>
          <w:cantSplit w:val="true"/>
        </w:trPr>
        <w:tc>
          <w:tcPr>
            <w:tcW w:type="dxa" w:w="841"/>
            <w:tcMar>
              <w:top w:w="50" w:type="dxa"/>
              <w:bottom w:w="50" w:type="dxa"/>
              <w:left w:w="90" w:type="dxa"/>
              <w:right w:w="90" w:type="dxa"/>
            </w:tcMar>
          </w:tcPr>
          <w:p>
            <w:pPr>
              <w:pStyle w:val="BDOITable"/>
            </w:pPr>
            <w:r>
              <w:rPr>
                <w:b/>
                <w:sz w:val="16"/>
              </w:rPr>
              <w:t>FO-13</w:t>
            </w:r>
          </w:p>
        </w:tc>
        <w:tc>
          <w:tcPr>
            <w:tcW w:type="dxa" w:w="1081"/>
            <w:tcMar>
              <w:top w:w="50" w:type="dxa"/>
              <w:bottom w:w="50" w:type="dxa"/>
              <w:left w:w="90" w:type="dxa"/>
              <w:right w:w="90" w:type="dxa"/>
            </w:tcMar>
          </w:tcPr>
          <w:p>
            <w:pPr>
              <w:pStyle w:val="BDOITable"/>
            </w:pPr>
            <w:r>
              <w:rPr>
                <w:sz w:val="16"/>
              </w:rPr>
              <w:t>+ 2:15</w:t>
            </w:r>
          </w:p>
        </w:tc>
        <w:tc>
          <w:tcPr>
            <w:tcW w:type="dxa" w:w="5166"/>
            <w:tcMar>
              <w:top w:w="50" w:type="dxa"/>
              <w:bottom w:w="50" w:type="dxa"/>
              <w:left w:w="90" w:type="dxa"/>
              <w:right w:w="90" w:type="dxa"/>
            </w:tcMar>
          </w:tcPr>
          <w:p>
            <w:pPr>
              <w:pStyle w:val="BDOITable"/>
            </w:pPr>
            <w:r>
              <w:rPr>
                <w:sz w:val="16"/>
              </w:rPr>
              <w:t>Service opened to users; notice (communication item 4)</w:t>
            </w:r>
          </w:p>
        </w:tc>
        <w:tc>
          <w:tcPr>
            <w:tcW w:type="dxa" w:w="1562"/>
            <w:tcMar>
              <w:top w:w="50" w:type="dxa"/>
              <w:bottom w:w="50" w:type="dxa"/>
              <w:left w:w="90" w:type="dxa"/>
              <w:right w:w="90" w:type="dxa"/>
            </w:tcMar>
          </w:tcPr>
          <w:p>
            <w:pPr>
              <w:pStyle w:val="BDOITable"/>
            </w:pPr>
            <w:r>
              <w:rPr>
                <w:sz w:val="16"/>
              </w:rPr>
              <w:t>DR authority</w:t>
            </w:r>
          </w:p>
        </w:tc>
        <w:tc>
          <w:tcPr>
            <w:tcW w:type="dxa" w:w="1322"/>
            <w:tcMar>
              <w:top w:w="50" w:type="dxa"/>
              <w:bottom w:w="50" w:type="dxa"/>
              <w:left w:w="90" w:type="dxa"/>
              <w:right w:w="90" w:type="dxa"/>
            </w:tcMar>
          </w:tcPr>
          <w:p>
            <w:pPr>
              <w:pStyle w:val="BDOITable"/>
            </w:pPr>
            <w:r>
              <w:rPr>
                <w:sz w:val="16"/>
              </w:rPr>
              <w:t>Notice</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FO-14</w:t>
            </w:r>
          </w:p>
        </w:tc>
        <w:tc>
          <w:tcPr>
            <w:tcW w:type="dxa" w:w="1081"/>
            <w:tcMar>
              <w:top w:w="50" w:type="dxa"/>
              <w:bottom w:w="50" w:type="dxa"/>
              <w:left w:w="90" w:type="dxa"/>
              <w:right w:w="90" w:type="dxa"/>
            </w:tcMar>
            <w:shd w:val="clear" w:color="auto" w:fill="E5F5FF"/>
          </w:tcPr>
          <w:p>
            <w:pPr>
              <w:pStyle w:val="BDOITable"/>
            </w:pPr>
            <w:r>
              <w:rPr>
                <w:sz w:val="16"/>
              </w:rPr>
              <w:t>+ 2:30</w:t>
            </w:r>
          </w:p>
        </w:tc>
        <w:tc>
          <w:tcPr>
            <w:tcW w:type="dxa" w:w="5166"/>
            <w:tcMar>
              <w:top w:w="50" w:type="dxa"/>
              <w:bottom w:w="50" w:type="dxa"/>
              <w:left w:w="90" w:type="dxa"/>
              <w:right w:w="90" w:type="dxa"/>
            </w:tcMar>
            <w:shd w:val="clear" w:color="auto" w:fill="E5F5FF"/>
          </w:tcPr>
          <w:p>
            <w:pPr>
              <w:pStyle w:val="BDOITable"/>
            </w:pPr>
            <w:r>
              <w:rPr>
                <w:sz w:val="16"/>
              </w:rPr>
              <w:t>Jobs released in the order of the night batch timeline; missed runs started by hand</w:t>
            </w:r>
          </w:p>
        </w:tc>
        <w:tc>
          <w:tcPr>
            <w:tcW w:type="dxa" w:w="1562"/>
            <w:tcMar>
              <w:top w:w="50" w:type="dxa"/>
              <w:bottom w:w="50" w:type="dxa"/>
              <w:left w:w="90" w:type="dxa"/>
              <w:right w:w="90" w:type="dxa"/>
            </w:tcMar>
            <w:shd w:val="clear" w:color="auto" w:fill="E5F5FF"/>
          </w:tcPr>
          <w:p>
            <w:pPr>
              <w:pStyle w:val="BDOITable"/>
            </w:pPr>
            <w:r>
              <w:rPr>
                <w:sz w:val="16"/>
              </w:rPr>
              <w:t>L2, L3</w:t>
            </w:r>
          </w:p>
        </w:tc>
        <w:tc>
          <w:tcPr>
            <w:tcW w:type="dxa" w:w="1322"/>
            <w:tcMar>
              <w:top w:w="50" w:type="dxa"/>
              <w:bottom w:w="50" w:type="dxa"/>
              <w:left w:w="90" w:type="dxa"/>
              <w:right w:w="90" w:type="dxa"/>
            </w:tcMar>
            <w:shd w:val="clear" w:color="auto" w:fill="E5F5FF"/>
          </w:tcPr>
          <w:p>
            <w:pPr>
              <w:pStyle w:val="BDOITable"/>
            </w:pPr>
            <w:r>
              <w:rPr>
                <w:sz w:val="16"/>
              </w:rPr>
              <w:t>Job runs</w:t>
            </w:r>
          </w:p>
        </w:tc>
      </w:tr>
      <w:tr>
        <w:trPr>
          <w:cantSplit w:val="true"/>
        </w:trPr>
        <w:tc>
          <w:tcPr>
            <w:tcW w:type="dxa" w:w="841"/>
            <w:tcMar>
              <w:top w:w="50" w:type="dxa"/>
              <w:bottom w:w="50" w:type="dxa"/>
              <w:left w:w="90" w:type="dxa"/>
              <w:right w:w="90" w:type="dxa"/>
            </w:tcMar>
          </w:tcPr>
          <w:p>
            <w:pPr>
              <w:pStyle w:val="BDOITable"/>
            </w:pPr>
            <w:r>
              <w:rPr>
                <w:b/>
                <w:sz w:val="16"/>
              </w:rPr>
              <w:t>FO-15</w:t>
            </w:r>
          </w:p>
        </w:tc>
        <w:tc>
          <w:tcPr>
            <w:tcW w:type="dxa" w:w="1081"/>
            <w:tcMar>
              <w:top w:w="50" w:type="dxa"/>
              <w:bottom w:w="50" w:type="dxa"/>
              <w:left w:w="90" w:type="dxa"/>
              <w:right w:w="90" w:type="dxa"/>
            </w:tcMar>
          </w:tcPr>
          <w:p>
            <w:pPr>
              <w:pStyle w:val="BDOITable"/>
            </w:pPr>
            <w:r>
              <w:rPr>
                <w:sz w:val="16"/>
              </w:rPr>
              <w:t>Same day</w:t>
            </w:r>
          </w:p>
        </w:tc>
        <w:tc>
          <w:tcPr>
            <w:tcW w:type="dxa" w:w="5166"/>
            <w:tcMar>
              <w:top w:w="50" w:type="dxa"/>
              <w:bottom w:w="50" w:type="dxa"/>
              <w:left w:w="90" w:type="dxa"/>
              <w:right w:w="90" w:type="dxa"/>
            </w:tcMar>
          </w:tcPr>
          <w:p>
            <w:pPr>
              <w:pStyle w:val="BDOITable"/>
            </w:pPr>
            <w:r>
              <w:rPr>
                <w:sz w:val="16"/>
              </w:rPr>
              <w:t>Data loss check and re-keying (section 4.2); manual records of the continuity procedures keyed and reconciled</w:t>
            </w:r>
          </w:p>
        </w:tc>
        <w:tc>
          <w:tcPr>
            <w:tcW w:type="dxa" w:w="1562"/>
            <w:tcMar>
              <w:top w:w="50" w:type="dxa"/>
              <w:bottom w:w="50" w:type="dxa"/>
              <w:left w:w="90" w:type="dxa"/>
              <w:right w:w="90" w:type="dxa"/>
            </w:tcMar>
          </w:tcPr>
          <w:p>
            <w:pPr>
              <w:pStyle w:val="BDOITable"/>
            </w:pPr>
            <w:r>
              <w:rPr>
                <w:sz w:val="16"/>
              </w:rPr>
              <w:t>L2, business owners</w:t>
            </w:r>
          </w:p>
        </w:tc>
        <w:tc>
          <w:tcPr>
            <w:tcW w:type="dxa" w:w="1322"/>
            <w:tcMar>
              <w:top w:w="50" w:type="dxa"/>
              <w:bottom w:w="50" w:type="dxa"/>
              <w:left w:w="90" w:type="dxa"/>
              <w:right w:w="90" w:type="dxa"/>
            </w:tcMar>
          </w:tcPr>
          <w:p>
            <w:pPr>
              <w:pStyle w:val="BDOITable"/>
            </w:pPr>
            <w:r>
              <w:rPr>
                <w:sz w:val="16"/>
              </w:rPr>
              <w:t>Reconciliation signed by Comptrollership</w:t>
            </w:r>
          </w:p>
        </w:tc>
      </w:tr>
    </w:tbl>
    <w:p>
      <w:pPr>
        <w:pStyle w:val="BDOISpacer"/>
      </w:pPr>
    </w:p>
    <w:p>
      <w:r>
        <w:rPr/>
        <w:t>The timings after FO-03 add up to about 2 h 15 min from the decision, so the service is open within the 4-hour RTO when the decision is taken by T0 + 60 minutes and the failover itself is rehearsed in the drills.</w:t>
      </w:r>
    </w:p>
    <w:p>
      <w:pPr>
        <w:pStyle w:val="Heading1"/>
        <w:pageBreakBefore/>
        <w:pBdr>
          <w:bottom w:val="single" w:sz="4" w:space="4" w:color="99C1E7"/>
        </w:pBdr>
      </w:pPr>
      <w:bookmarkStart w:id="121" w:name="_Toc000121"/>
      <w:r>
        <w:rPr/>
        <w:t>8 Failback</w:t>
      </w:r>
      <w:bookmarkEnd w:id="121"/>
    </w:p>
    <w:p>
      <w:r>
        <w:rPr/>
        <w:t>The return to the primary region is a planned change, done when AWS has restored the region and BDO Cloud Operations has restored the primary environment, at the latest 30 days after the failover.</w:t>
      </w:r>
    </w:p>
    <w:p>
      <w:pPr>
        <w:pStyle w:val="Caption"/>
        <w:keepNext/>
        <w:spacing w:after="60"/>
      </w:pPr>
      <w:r>
        <w:rPr>
          <w:b/>
          <w:i w:val="0"/>
        </w:rPr>
        <w:t xml:space="preserve">Table 11: </w:t>
      </w:r>
      <w:r>
        <w:rPr/>
        <w:t>Failback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6368"/>
        <w:gridCol w:w="2763"/>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6368"/>
            <w:shd w:val="clear" w:color="auto" w:fill="004EA8"/>
            <w:tcMar>
              <w:top w:w="50" w:type="dxa"/>
              <w:bottom w:w="50" w:type="dxa"/>
              <w:left w:w="90" w:type="dxa"/>
              <w:right w:w="90" w:type="dxa"/>
            </w:tcMar>
            <w:vAlign w:val="center"/>
          </w:tcPr>
          <w:p>
            <w:pPr>
              <w:pStyle w:val="BDOITableHeader"/>
            </w:pPr>
            <w:r>
              <w:rPr>
                <w:b/>
                <w:color w:val="FFFFFF"/>
                <w:sz w:val="17"/>
              </w:rPr>
              <w:t>Action</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w:t>
            </w:r>
          </w:p>
        </w:tc>
      </w:tr>
      <w:tr>
        <w:trPr>
          <w:cantSplit w:val="true"/>
        </w:trPr>
        <w:tc>
          <w:tcPr>
            <w:tcW w:type="dxa" w:w="841"/>
            <w:tcMar>
              <w:top w:w="50" w:type="dxa"/>
              <w:bottom w:w="50" w:type="dxa"/>
              <w:left w:w="90" w:type="dxa"/>
              <w:right w:w="90" w:type="dxa"/>
            </w:tcMar>
          </w:tcPr>
          <w:p>
            <w:pPr>
              <w:pStyle w:val="BDOITable"/>
            </w:pPr>
            <w:r>
              <w:rPr>
                <w:b/>
                <w:sz w:val="17"/>
              </w:rPr>
              <w:t>FB-01</w:t>
            </w:r>
          </w:p>
        </w:tc>
        <w:tc>
          <w:tcPr>
            <w:tcW w:type="dxa" w:w="6368"/>
            <w:tcMar>
              <w:top w:w="50" w:type="dxa"/>
              <w:bottom w:w="50" w:type="dxa"/>
              <w:left w:w="90" w:type="dxa"/>
              <w:right w:w="90" w:type="dxa"/>
            </w:tcMar>
          </w:tcPr>
          <w:p>
            <w:pPr>
              <w:pStyle w:val="BDOITable"/>
            </w:pPr>
            <w:r>
              <w:rPr>
                <w:sz w:val="17"/>
              </w:rPr>
              <w:t>Re-create the production environment in ap-southeast-1 from the current release; create a cross-region replica of the DR database in the primary region</w:t>
            </w:r>
          </w:p>
        </w:tc>
        <w:tc>
          <w:tcPr>
            <w:tcW w:type="dxa" w:w="2763"/>
            <w:tcMar>
              <w:top w:w="50" w:type="dxa"/>
              <w:bottom w:w="50" w:type="dxa"/>
              <w:left w:w="90" w:type="dxa"/>
              <w:right w:w="90" w:type="dxa"/>
            </w:tcMar>
          </w:tcPr>
          <w:p>
            <w:pPr>
              <w:pStyle w:val="BDOITable"/>
            </w:pPr>
            <w:r>
              <w:rPr>
                <w:sz w:val="17"/>
              </w:rPr>
              <w:t>DR coordinator</w:t>
            </w:r>
          </w:p>
        </w:tc>
      </w:tr>
      <w:tr>
        <w:trPr>
          <w:cantSplit w:val="true"/>
        </w:trPr>
        <w:tc>
          <w:tcPr>
            <w:tcW w:type="dxa" w:w="841"/>
            <w:tcMar>
              <w:top w:w="50" w:type="dxa"/>
              <w:bottom w:w="50" w:type="dxa"/>
              <w:left w:w="90" w:type="dxa"/>
              <w:right w:w="90" w:type="dxa"/>
            </w:tcMar>
            <w:shd w:val="clear" w:color="auto" w:fill="E5F5FF"/>
          </w:tcPr>
          <w:p>
            <w:pPr>
              <w:pStyle w:val="BDOITable"/>
            </w:pPr>
            <w:r>
              <w:rPr>
                <w:b/>
                <w:sz w:val="17"/>
              </w:rPr>
              <w:t>FB-02</w:t>
            </w:r>
          </w:p>
        </w:tc>
        <w:tc>
          <w:tcPr>
            <w:tcW w:type="dxa" w:w="6368"/>
            <w:tcMar>
              <w:top w:w="50" w:type="dxa"/>
              <w:bottom w:w="50" w:type="dxa"/>
              <w:left w:w="90" w:type="dxa"/>
              <w:right w:w="90" w:type="dxa"/>
            </w:tcMar>
            <w:shd w:val="clear" w:color="auto" w:fill="E5F5FF"/>
          </w:tcPr>
          <w:p>
            <w:pPr>
              <w:pStyle w:val="BDOITable"/>
            </w:pPr>
            <w:r>
              <w:rPr>
                <w:sz w:val="17"/>
              </w:rPr>
              <w:t>Re-establish S3 replication from the DR buckets to the primary buckets and wait until the backlog is replicated</w:t>
            </w:r>
          </w:p>
        </w:tc>
        <w:tc>
          <w:tcPr>
            <w:tcW w:type="dxa" w:w="2763"/>
            <w:tcMar>
              <w:top w:w="50" w:type="dxa"/>
              <w:bottom w:w="50" w:type="dxa"/>
              <w:left w:w="90" w:type="dxa"/>
              <w:right w:w="90" w:type="dxa"/>
            </w:tcMar>
            <w:shd w:val="clear" w:color="auto" w:fill="E5F5FF"/>
          </w:tcPr>
          <w:p>
            <w:pPr>
              <w:pStyle w:val="BDOITable"/>
            </w:pPr>
            <w:r>
              <w:rPr>
                <w:sz w:val="17"/>
              </w:rPr>
              <w:t>DR coordinator</w:t>
            </w:r>
          </w:p>
        </w:tc>
      </w:tr>
      <w:tr>
        <w:trPr>
          <w:cantSplit w:val="true"/>
        </w:trPr>
        <w:tc>
          <w:tcPr>
            <w:tcW w:type="dxa" w:w="841"/>
            <w:tcMar>
              <w:top w:w="50" w:type="dxa"/>
              <w:bottom w:w="50" w:type="dxa"/>
              <w:left w:w="90" w:type="dxa"/>
              <w:right w:w="90" w:type="dxa"/>
            </w:tcMar>
          </w:tcPr>
          <w:p>
            <w:pPr>
              <w:pStyle w:val="BDOITable"/>
            </w:pPr>
            <w:r>
              <w:rPr>
                <w:b/>
                <w:sz w:val="17"/>
              </w:rPr>
              <w:t>FB-03</w:t>
            </w:r>
          </w:p>
        </w:tc>
        <w:tc>
          <w:tcPr>
            <w:tcW w:type="dxa" w:w="6368"/>
            <w:tcMar>
              <w:top w:w="50" w:type="dxa"/>
              <w:bottom w:w="50" w:type="dxa"/>
              <w:left w:w="90" w:type="dxa"/>
              <w:right w:w="90" w:type="dxa"/>
            </w:tcMar>
          </w:tcPr>
          <w:p>
            <w:pPr>
              <w:pStyle w:val="BDOITable"/>
            </w:pPr>
            <w:r>
              <w:rPr>
                <w:sz w:val="17"/>
              </w:rPr>
              <w:t>Agree the failback window with the DR authority (Sunday 00:00-04:00, outside the month-end freeze); notify users 5 business days ahead</w:t>
            </w:r>
          </w:p>
        </w:tc>
        <w:tc>
          <w:tcPr>
            <w:tcW w:type="dxa" w:w="2763"/>
            <w:tcMar>
              <w:top w:w="50" w:type="dxa"/>
              <w:bottom w:w="50" w:type="dxa"/>
              <w:left w:w="90" w:type="dxa"/>
              <w:right w:w="90" w:type="dxa"/>
            </w:tcMar>
          </w:tcPr>
          <w:p>
            <w:pPr>
              <w:pStyle w:val="BDOITable"/>
            </w:pPr>
            <w:r>
              <w:rPr>
                <w:sz w:val="17"/>
              </w:rPr>
              <w:t>DR authority</w:t>
            </w:r>
          </w:p>
        </w:tc>
      </w:tr>
      <w:tr>
        <w:trPr>
          <w:cantSplit w:val="true"/>
        </w:trPr>
        <w:tc>
          <w:tcPr>
            <w:tcW w:type="dxa" w:w="841"/>
            <w:tcMar>
              <w:top w:w="50" w:type="dxa"/>
              <w:bottom w:w="50" w:type="dxa"/>
              <w:left w:w="90" w:type="dxa"/>
              <w:right w:w="90" w:type="dxa"/>
            </w:tcMar>
            <w:shd w:val="clear" w:color="auto" w:fill="E5F5FF"/>
          </w:tcPr>
          <w:p>
            <w:pPr>
              <w:pStyle w:val="BDOITable"/>
            </w:pPr>
            <w:r>
              <w:rPr>
                <w:b/>
                <w:sz w:val="17"/>
              </w:rPr>
              <w:t>FB-04</w:t>
            </w:r>
          </w:p>
        </w:tc>
        <w:tc>
          <w:tcPr>
            <w:tcW w:type="dxa" w:w="6368"/>
            <w:tcMar>
              <w:top w:w="50" w:type="dxa"/>
              <w:bottom w:w="50" w:type="dxa"/>
              <w:left w:w="90" w:type="dxa"/>
              <w:right w:w="90" w:type="dxa"/>
            </w:tcMar>
            <w:shd w:val="clear" w:color="auto" w:fill="E5F5FF"/>
          </w:tcPr>
          <w:p>
            <w:pPr>
              <w:pStyle w:val="BDOITable"/>
            </w:pPr>
            <w:r>
              <w:rPr>
                <w:sz w:val="17"/>
              </w:rPr>
              <w:t>In the window: hold the jobs; stop the BIBS workloads in DR; wait until the replica has applied the last transaction; promote it in the primary region</w:t>
            </w:r>
          </w:p>
        </w:tc>
        <w:tc>
          <w:tcPr>
            <w:tcW w:type="dxa" w:w="2763"/>
            <w:tcMar>
              <w:top w:w="50" w:type="dxa"/>
              <w:bottom w:w="50" w:type="dxa"/>
              <w:left w:w="90" w:type="dxa"/>
              <w:right w:w="90" w:type="dxa"/>
            </w:tcMar>
            <w:shd w:val="clear" w:color="auto" w:fill="E5F5FF"/>
          </w:tcPr>
          <w:p>
            <w:pPr>
              <w:pStyle w:val="BDOITable"/>
            </w:pPr>
            <w:r>
              <w:rPr>
                <w:sz w:val="17"/>
              </w:rPr>
              <w:t>DR coordinator, L3</w:t>
            </w:r>
          </w:p>
        </w:tc>
      </w:tr>
      <w:tr>
        <w:trPr>
          <w:cantSplit w:val="true"/>
        </w:trPr>
        <w:tc>
          <w:tcPr>
            <w:tcW w:type="dxa" w:w="841"/>
            <w:tcMar>
              <w:top w:w="50" w:type="dxa"/>
              <w:bottom w:w="50" w:type="dxa"/>
              <w:left w:w="90" w:type="dxa"/>
              <w:right w:w="90" w:type="dxa"/>
            </w:tcMar>
          </w:tcPr>
          <w:p>
            <w:pPr>
              <w:pStyle w:val="BDOITable"/>
            </w:pPr>
            <w:r>
              <w:rPr>
                <w:b/>
                <w:sz w:val="17"/>
              </w:rPr>
              <w:t>FB-05</w:t>
            </w:r>
          </w:p>
        </w:tc>
        <w:tc>
          <w:tcPr>
            <w:tcW w:type="dxa" w:w="6368"/>
            <w:tcMar>
              <w:top w:w="50" w:type="dxa"/>
              <w:bottom w:w="50" w:type="dxa"/>
              <w:left w:w="90" w:type="dxa"/>
              <w:right w:w="90" w:type="dxa"/>
            </w:tcMar>
          </w:tcPr>
          <w:p>
            <w:pPr>
              <w:pStyle w:val="BDOITable"/>
            </w:pPr>
            <w:r>
              <w:rPr>
                <w:sz w:val="17"/>
              </w:rPr>
              <w:t>Start BIBS in the primary region; switch DNS and the Apigee X targets back; smoke test and Tier 1 verification</w:t>
            </w:r>
          </w:p>
        </w:tc>
        <w:tc>
          <w:tcPr>
            <w:tcW w:type="dxa" w:w="2763"/>
            <w:tcMar>
              <w:top w:w="50" w:type="dxa"/>
              <w:bottom w:w="50" w:type="dxa"/>
              <w:left w:w="90" w:type="dxa"/>
              <w:right w:w="90" w:type="dxa"/>
            </w:tcMar>
          </w:tcPr>
          <w:p>
            <w:pPr>
              <w:pStyle w:val="BDOITable"/>
            </w:pPr>
            <w:r>
              <w:rPr>
                <w:sz w:val="17"/>
              </w:rPr>
              <w:t>L3, integration owners, key users</w:t>
            </w:r>
          </w:p>
        </w:tc>
      </w:tr>
      <w:tr>
        <w:trPr>
          <w:cantSplit w:val="true"/>
        </w:trPr>
        <w:tc>
          <w:tcPr>
            <w:tcW w:type="dxa" w:w="841"/>
            <w:tcMar>
              <w:top w:w="50" w:type="dxa"/>
              <w:bottom w:w="50" w:type="dxa"/>
              <w:left w:w="90" w:type="dxa"/>
              <w:right w:w="90" w:type="dxa"/>
            </w:tcMar>
            <w:shd w:val="clear" w:color="auto" w:fill="E5F5FF"/>
          </w:tcPr>
          <w:p>
            <w:pPr>
              <w:pStyle w:val="BDOITable"/>
            </w:pPr>
            <w:r>
              <w:rPr>
                <w:b/>
                <w:sz w:val="17"/>
              </w:rPr>
              <w:t>FB-06</w:t>
            </w:r>
          </w:p>
        </w:tc>
        <w:tc>
          <w:tcPr>
            <w:tcW w:type="dxa" w:w="6368"/>
            <w:tcMar>
              <w:top w:w="50" w:type="dxa"/>
              <w:bottom w:w="50" w:type="dxa"/>
              <w:left w:w="90" w:type="dxa"/>
              <w:right w:w="90" w:type="dxa"/>
            </w:tcMar>
            <w:shd w:val="clear" w:color="auto" w:fill="E5F5FF"/>
          </w:tcPr>
          <w:p>
            <w:pPr>
              <w:pStyle w:val="BDOITable"/>
            </w:pPr>
            <w:r>
              <w:rPr>
                <w:sz w:val="17"/>
              </w:rPr>
              <w:t>Release the jobs; re-create the DR replica from the primary and return DR to warm standby; close the change</w:t>
            </w:r>
          </w:p>
        </w:tc>
        <w:tc>
          <w:tcPr>
            <w:tcW w:type="dxa" w:w="2763"/>
            <w:tcMar>
              <w:top w:w="50" w:type="dxa"/>
              <w:bottom w:w="50" w:type="dxa"/>
              <w:left w:w="90" w:type="dxa"/>
              <w:right w:w="90" w:type="dxa"/>
            </w:tcMar>
            <w:shd w:val="clear" w:color="auto" w:fill="E5F5FF"/>
          </w:tcPr>
          <w:p>
            <w:pPr>
              <w:pStyle w:val="BDOITable"/>
            </w:pPr>
            <w:r>
              <w:rPr>
                <w:sz w:val="17"/>
              </w:rPr>
              <w:t>DR coordinator</w:t>
            </w:r>
          </w:p>
        </w:tc>
      </w:tr>
      <w:tr>
        <w:trPr>
          <w:cantSplit w:val="true"/>
        </w:trPr>
        <w:tc>
          <w:tcPr>
            <w:tcW w:type="dxa" w:w="841"/>
            <w:tcMar>
              <w:top w:w="50" w:type="dxa"/>
              <w:bottom w:w="50" w:type="dxa"/>
              <w:left w:w="90" w:type="dxa"/>
              <w:right w:w="90" w:type="dxa"/>
            </w:tcMar>
          </w:tcPr>
          <w:p>
            <w:pPr>
              <w:pStyle w:val="BDOITable"/>
            </w:pPr>
            <w:r>
              <w:rPr>
                <w:b/>
                <w:sz w:val="17"/>
              </w:rPr>
              <w:t>FB-07</w:t>
            </w:r>
          </w:p>
        </w:tc>
        <w:tc>
          <w:tcPr>
            <w:tcW w:type="dxa" w:w="6368"/>
            <w:tcMar>
              <w:top w:w="50" w:type="dxa"/>
              <w:bottom w:w="50" w:type="dxa"/>
              <w:left w:w="90" w:type="dxa"/>
              <w:right w:w="90" w:type="dxa"/>
            </w:tcMar>
          </w:tcPr>
          <w:p>
            <w:pPr>
              <w:pStyle w:val="BDOITable"/>
            </w:pPr>
            <w:r>
              <w:rPr>
                <w:sz w:val="17"/>
              </w:rPr>
              <w:t>If the failback fails before FB-05 ends: switch back to DR (still intact) and plan a new window</w:t>
            </w:r>
          </w:p>
        </w:tc>
        <w:tc>
          <w:tcPr>
            <w:tcW w:type="dxa" w:w="2763"/>
            <w:tcMar>
              <w:top w:w="50" w:type="dxa"/>
              <w:bottom w:w="50" w:type="dxa"/>
              <w:left w:w="90" w:type="dxa"/>
              <w:right w:w="90" w:type="dxa"/>
            </w:tcMar>
          </w:tcPr>
          <w:p>
            <w:pPr>
              <w:pStyle w:val="BDOITable"/>
            </w:pPr>
            <w:r>
              <w:rPr>
                <w:sz w:val="17"/>
              </w:rPr>
              <w:t>DR authority</w:t>
            </w:r>
          </w:p>
        </w:tc>
      </w:tr>
    </w:tbl>
    <w:p>
      <w:pPr>
        <w:pStyle w:val="BDOISpacer"/>
      </w:pPr>
    </w:p>
    <w:p>
      <w:pPr>
        <w:pStyle w:val="Heading1"/>
        <w:pageBreakBefore/>
        <w:pBdr>
          <w:bottom w:val="single" w:sz="4" w:space="4" w:color="99C1E7"/>
        </w:pBdr>
      </w:pPr>
      <w:bookmarkStart w:id="122" w:name="_Toc000122"/>
      <w:r>
        <w:rPr/>
        <w:t>9 DR drill plan</w:t>
      </w:r>
      <w:bookmarkEnd w:id="122"/>
    </w:p>
    <w:p>
      <w:pPr>
        <w:pStyle w:val="Caption"/>
        <w:keepNext/>
        <w:spacing w:after="60"/>
      </w:pPr>
      <w:r>
        <w:rPr>
          <w:b/>
          <w:i w:val="0"/>
        </w:rPr>
        <w:t xml:space="preserve">Table 12: </w:t>
      </w:r>
      <w:r>
        <w:rPr/>
        <w:t>DR drill calendar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2042"/>
        <w:gridCol w:w="3003"/>
        <w:gridCol w:w="2643"/>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Drill</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Success criteria</w:t>
            </w:r>
          </w:p>
        </w:tc>
      </w:tr>
      <w:tr>
        <w:trPr>
          <w:cantSplit w:val="true"/>
        </w:trPr>
        <w:tc>
          <w:tcPr>
            <w:tcW w:type="dxa" w:w="2283"/>
            <w:tcMar>
              <w:top w:w="50" w:type="dxa"/>
              <w:bottom w:w="50" w:type="dxa"/>
              <w:left w:w="90" w:type="dxa"/>
              <w:right w:w="90" w:type="dxa"/>
            </w:tcMar>
          </w:tcPr>
          <w:p>
            <w:pPr>
              <w:pStyle w:val="BDOITable"/>
            </w:pPr>
            <w:r>
              <w:rPr>
                <w:b/>
                <w:sz w:val="17"/>
              </w:rPr>
              <w:t>Pre-go-live failover drill</w:t>
            </w:r>
          </w:p>
        </w:tc>
        <w:tc>
          <w:tcPr>
            <w:tcW w:type="dxa" w:w="2042"/>
            <w:tcMar>
              <w:top w:w="50" w:type="dxa"/>
              <w:bottom w:w="50" w:type="dxa"/>
              <w:left w:w="90" w:type="dxa"/>
              <w:right w:w="90" w:type="dxa"/>
            </w:tcMar>
          </w:tcPr>
          <w:p>
            <w:pPr>
              <w:pStyle w:val="BDOITable"/>
            </w:pPr>
            <w:r>
              <w:rPr>
                <w:sz w:val="17"/>
              </w:rPr>
              <w:t>29 Nov to 3 Dec 2027, after the first dress rehearsal</w:t>
            </w:r>
          </w:p>
        </w:tc>
        <w:tc>
          <w:tcPr>
            <w:tcW w:type="dxa" w:w="3004"/>
            <w:tcMar>
              <w:top w:w="50" w:type="dxa"/>
              <w:bottom w:w="50" w:type="dxa"/>
              <w:left w:w="90" w:type="dxa"/>
              <w:right w:w="90" w:type="dxa"/>
            </w:tcMar>
          </w:tcPr>
          <w:p>
            <w:pPr>
              <w:pStyle w:val="BDOITable"/>
            </w:pPr>
            <w:r>
              <w:rPr>
                <w:sz w:val="17"/>
              </w:rPr>
              <w:t>Pre-Prod failed over to the DR environment and failed back, with the dress-rehearsal data</w:t>
            </w:r>
          </w:p>
        </w:tc>
        <w:tc>
          <w:tcPr>
            <w:tcW w:type="dxa" w:w="2643"/>
            <w:tcMar>
              <w:top w:w="50" w:type="dxa"/>
              <w:bottom w:w="50" w:type="dxa"/>
              <w:left w:w="90" w:type="dxa"/>
              <w:right w:w="90" w:type="dxa"/>
            </w:tcMar>
          </w:tcPr>
          <w:p>
            <w:pPr>
              <w:pStyle w:val="BDOITable"/>
            </w:pPr>
            <w:r>
              <w:rPr>
                <w:sz w:val="17"/>
              </w:rPr>
              <w:t>RTO 4 hours and RPO 15 minutes met; steps timed; readiness item OPS-11</w:t>
            </w:r>
          </w:p>
        </w:tc>
      </w:tr>
      <w:tr>
        <w:trPr>
          <w:cantSplit w:val="true"/>
        </w:trPr>
        <w:tc>
          <w:tcPr>
            <w:tcW w:type="dxa" w:w="2283"/>
            <w:tcMar>
              <w:top w:w="50" w:type="dxa"/>
              <w:bottom w:w="50" w:type="dxa"/>
              <w:left w:w="90" w:type="dxa"/>
              <w:right w:w="90" w:type="dxa"/>
            </w:tcMar>
            <w:shd w:val="clear" w:color="auto" w:fill="E5F5FF"/>
          </w:tcPr>
          <w:p>
            <w:pPr>
              <w:pStyle w:val="BDOITable"/>
            </w:pPr>
            <w:r>
              <w:rPr>
                <w:b/>
                <w:sz w:val="17"/>
              </w:rPr>
              <w:t>Pre-go-live restore test</w:t>
            </w:r>
          </w:p>
        </w:tc>
        <w:tc>
          <w:tcPr>
            <w:tcW w:type="dxa" w:w="2042"/>
            <w:tcMar>
              <w:top w:w="50" w:type="dxa"/>
              <w:bottom w:w="50" w:type="dxa"/>
              <w:left w:w="90" w:type="dxa"/>
              <w:right w:w="90" w:type="dxa"/>
            </w:tcMar>
            <w:shd w:val="clear" w:color="auto" w:fill="E5F5FF"/>
          </w:tcPr>
          <w:p>
            <w:pPr>
              <w:pStyle w:val="BDOITable"/>
            </w:pPr>
            <w:r>
              <w:rPr>
                <w:sz w:val="17"/>
              </w:rPr>
              <w:t>By 8 Dec 2027</w:t>
            </w:r>
          </w:p>
        </w:tc>
        <w:tc>
          <w:tcPr>
            <w:tcW w:type="dxa" w:w="3004"/>
            <w:tcMar>
              <w:top w:w="50" w:type="dxa"/>
              <w:bottom w:w="50" w:type="dxa"/>
              <w:left w:w="90" w:type="dxa"/>
              <w:right w:w="90" w:type="dxa"/>
            </w:tcMar>
            <w:shd w:val="clear" w:color="auto" w:fill="E5F5FF"/>
          </w:tcPr>
          <w:p>
            <w:pPr>
              <w:pStyle w:val="BDOITable"/>
            </w:pPr>
            <w:r>
              <w:rPr>
                <w:sz w:val="17"/>
              </w:rPr>
              <w:t>A production snapshot restored into an isolated instance; the restore time proved on a Pre-Prod snapshot with the full dress-rehearsal volume</w:t>
            </w:r>
          </w:p>
        </w:tc>
        <w:tc>
          <w:tcPr>
            <w:tcW w:type="dxa" w:w="2643"/>
            <w:tcMar>
              <w:top w:w="50" w:type="dxa"/>
              <w:bottom w:w="50" w:type="dxa"/>
              <w:left w:w="90" w:type="dxa"/>
              <w:right w:w="90" w:type="dxa"/>
            </w:tcMar>
            <w:shd w:val="clear" w:color="auto" w:fill="E5F5FF"/>
          </w:tcPr>
          <w:p>
            <w:pPr>
              <w:pStyle w:val="BDOITable"/>
            </w:pPr>
            <w:r>
              <w:rPr>
                <w:sz w:val="17"/>
              </w:rPr>
              <w:t>Restore within 2 hours; counts equal (readiness OPS-10)</w:t>
            </w:r>
          </w:p>
        </w:tc>
      </w:tr>
      <w:tr>
        <w:trPr>
          <w:cantSplit w:val="true"/>
        </w:trPr>
        <w:tc>
          <w:tcPr>
            <w:tcW w:type="dxa" w:w="2283"/>
            <w:tcMar>
              <w:top w:w="50" w:type="dxa"/>
              <w:bottom w:w="50" w:type="dxa"/>
              <w:left w:w="90" w:type="dxa"/>
              <w:right w:w="90" w:type="dxa"/>
            </w:tcMar>
          </w:tcPr>
          <w:p>
            <w:pPr>
              <w:pStyle w:val="BDOITable"/>
            </w:pPr>
            <w:r>
              <w:rPr>
                <w:b/>
                <w:sz w:val="17"/>
              </w:rPr>
              <w:t>Tabletop exercise with the business</w:t>
            </w:r>
          </w:p>
        </w:tc>
        <w:tc>
          <w:tcPr>
            <w:tcW w:type="dxa" w:w="2042"/>
            <w:tcMar>
              <w:top w:w="50" w:type="dxa"/>
              <w:bottom w:w="50" w:type="dxa"/>
              <w:left w:w="90" w:type="dxa"/>
              <w:right w:w="90" w:type="dxa"/>
            </w:tcMar>
          </w:tcPr>
          <w:p>
            <w:pPr>
              <w:pStyle w:val="BDOITable"/>
            </w:pPr>
            <w:r>
              <w:rPr>
                <w:sz w:val="17"/>
              </w:rPr>
              <w:t>6 Dec 2027, then yearly in March</w:t>
            </w:r>
          </w:p>
        </w:tc>
        <w:tc>
          <w:tcPr>
            <w:tcW w:type="dxa" w:w="3004"/>
            <w:tcMar>
              <w:top w:w="50" w:type="dxa"/>
              <w:bottom w:w="50" w:type="dxa"/>
              <w:left w:w="90" w:type="dxa"/>
              <w:right w:w="90" w:type="dxa"/>
            </w:tcMar>
          </w:tcPr>
          <w:p>
            <w:pPr>
              <w:pStyle w:val="BDOITable"/>
            </w:pPr>
            <w:r>
              <w:rPr>
                <w:sz w:val="17"/>
              </w:rPr>
              <w:t>Declaration, continuity procedures, communication</w:t>
            </w:r>
          </w:p>
        </w:tc>
        <w:tc>
          <w:tcPr>
            <w:tcW w:type="dxa" w:w="2643"/>
            <w:tcMar>
              <w:top w:w="50" w:type="dxa"/>
              <w:bottom w:w="50" w:type="dxa"/>
              <w:left w:w="90" w:type="dxa"/>
              <w:right w:w="90" w:type="dxa"/>
            </w:tcMar>
          </w:tcPr>
          <w:p>
            <w:pPr>
              <w:pStyle w:val="BDOITable"/>
            </w:pPr>
            <w:r>
              <w:rPr>
                <w:sz w:val="17"/>
              </w:rPr>
              <w:t>Roles and decisions confirmed; actions logged</w:t>
            </w:r>
          </w:p>
        </w:tc>
      </w:tr>
      <w:tr>
        <w:trPr>
          <w:cantSplit w:val="true"/>
        </w:trPr>
        <w:tc>
          <w:tcPr>
            <w:tcW w:type="dxa" w:w="2283"/>
            <w:tcMar>
              <w:top w:w="50" w:type="dxa"/>
              <w:bottom w:w="50" w:type="dxa"/>
              <w:left w:w="90" w:type="dxa"/>
              <w:right w:w="90" w:type="dxa"/>
            </w:tcMar>
            <w:shd w:val="clear" w:color="auto" w:fill="E5F5FF"/>
          </w:tcPr>
          <w:p>
            <w:pPr>
              <w:pStyle w:val="BDOITable"/>
            </w:pPr>
            <w:r>
              <w:rPr>
                <w:b/>
                <w:sz w:val="17"/>
              </w:rPr>
              <w:t>Component drills</w:t>
            </w:r>
          </w:p>
        </w:tc>
        <w:tc>
          <w:tcPr>
            <w:tcW w:type="dxa" w:w="2042"/>
            <w:tcMar>
              <w:top w:w="50" w:type="dxa"/>
              <w:bottom w:w="50" w:type="dxa"/>
              <w:left w:w="90" w:type="dxa"/>
              <w:right w:w="90" w:type="dxa"/>
            </w:tcMar>
            <w:shd w:val="clear" w:color="auto" w:fill="E5F5FF"/>
          </w:tcPr>
          <w:p>
            <w:pPr>
              <w:pStyle w:val="BDOITable"/>
            </w:pPr>
            <w:r>
              <w:rPr>
                <w:sz w:val="17"/>
              </w:rPr>
              <w:t>Twice a year (May and November, from 2028)</w:t>
            </w:r>
          </w:p>
        </w:tc>
        <w:tc>
          <w:tcPr>
            <w:tcW w:type="dxa" w:w="3004"/>
            <w:tcMar>
              <w:top w:w="50" w:type="dxa"/>
              <w:bottom w:w="50" w:type="dxa"/>
              <w:left w:w="90" w:type="dxa"/>
              <w:right w:w="90" w:type="dxa"/>
            </w:tcMar>
            <w:shd w:val="clear" w:color="auto" w:fill="E5F5FF"/>
          </w:tcPr>
          <w:p>
            <w:pPr>
              <w:pStyle w:val="BDOITable"/>
            </w:pPr>
            <w:r>
              <w:rPr>
                <w:sz w:val="17"/>
              </w:rPr>
              <w:t>Point-in-time recovery to a new instance; Valkey re-created; Kafka cluster lost; availability-zone failure simulated in Pre-Prod</w:t>
            </w:r>
          </w:p>
        </w:tc>
        <w:tc>
          <w:tcPr>
            <w:tcW w:type="dxa" w:w="2643"/>
            <w:tcMar>
              <w:top w:w="50" w:type="dxa"/>
              <w:bottom w:w="50" w:type="dxa"/>
              <w:left w:w="90" w:type="dxa"/>
              <w:right w:w="90" w:type="dxa"/>
            </w:tcMar>
            <w:shd w:val="clear" w:color="auto" w:fill="E5F5FF"/>
          </w:tcPr>
          <w:p>
            <w:pPr>
              <w:pStyle w:val="BDOITable"/>
            </w:pPr>
            <w:r>
              <w:rPr>
                <w:sz w:val="17"/>
              </w:rPr>
              <w:t>Each component back within its objective; playbooks corrected</w:t>
            </w:r>
          </w:p>
        </w:tc>
      </w:tr>
      <w:tr>
        <w:trPr>
          <w:cantSplit w:val="true"/>
        </w:trPr>
        <w:tc>
          <w:tcPr>
            <w:tcW w:type="dxa" w:w="2283"/>
            <w:tcMar>
              <w:top w:w="50" w:type="dxa"/>
              <w:bottom w:w="50" w:type="dxa"/>
              <w:left w:w="90" w:type="dxa"/>
              <w:right w:w="90" w:type="dxa"/>
            </w:tcMar>
          </w:tcPr>
          <w:p>
            <w:pPr>
              <w:pStyle w:val="BDOITable"/>
            </w:pPr>
            <w:r>
              <w:rPr>
                <w:b/>
                <w:sz w:val="17"/>
              </w:rPr>
              <w:t>Full regional failover of production</w:t>
            </w:r>
          </w:p>
        </w:tc>
        <w:tc>
          <w:tcPr>
            <w:tcW w:type="dxa" w:w="2042"/>
            <w:tcMar>
              <w:top w:w="50" w:type="dxa"/>
              <w:bottom w:w="50" w:type="dxa"/>
              <w:left w:w="90" w:type="dxa"/>
              <w:right w:w="90" w:type="dxa"/>
            </w:tcMar>
          </w:tcPr>
          <w:p>
            <w:pPr>
              <w:pStyle w:val="BDOITable"/>
            </w:pPr>
            <w:r>
              <w:rPr>
                <w:sz w:val="17"/>
              </w:rPr>
              <w:t>Yearly, first in September 2028, on a Sunday outside the month-end and renewal peaks</w:t>
            </w:r>
          </w:p>
        </w:tc>
        <w:tc>
          <w:tcPr>
            <w:tcW w:type="dxa" w:w="3004"/>
            <w:tcMar>
              <w:top w:w="50" w:type="dxa"/>
              <w:bottom w:w="50" w:type="dxa"/>
              <w:left w:w="90" w:type="dxa"/>
              <w:right w:w="90" w:type="dxa"/>
            </w:tcMar>
          </w:tcPr>
          <w:p>
            <w:pPr>
              <w:pStyle w:val="BDOITable"/>
            </w:pPr>
            <w:r>
              <w:rPr>
                <w:sz w:val="17"/>
              </w:rPr>
              <w:t>Production failed over to DR, run for at least 4 business hours, then failed back</w:t>
            </w:r>
          </w:p>
        </w:tc>
        <w:tc>
          <w:tcPr>
            <w:tcW w:type="dxa" w:w="2643"/>
            <w:tcMar>
              <w:top w:w="50" w:type="dxa"/>
              <w:bottom w:w="50" w:type="dxa"/>
              <w:left w:w="90" w:type="dxa"/>
              <w:right w:w="90" w:type="dxa"/>
            </w:tcMar>
          </w:tcPr>
          <w:p>
            <w:pPr>
              <w:pStyle w:val="BDOITable"/>
            </w:pPr>
            <w:r>
              <w:rPr>
                <w:sz w:val="17"/>
              </w:rPr>
              <w:t>RTO and RPO met; no data lost beyond the RPO; users able to work in DR</w:t>
            </w:r>
          </w:p>
        </w:tc>
      </w:tr>
    </w:tbl>
    <w:p>
      <w:pPr>
        <w:pStyle w:val="BDOISpacer"/>
      </w:pPr>
    </w:p>
    <w:p>
      <w:r>
        <w:rPr>
          <w:b/>
        </w:rPr>
        <w:t>Evidence kept</w:t>
      </w:r>
      <w:r>
        <w:rPr/>
        <w:t xml:space="preserve"> for each drill: plan, timeline with actual times, recovery point and time achieved, issues and actions with owners, sign-off of the DR authority. Drill reports are attached to the monthly service report of the month and reviewed by BDO Business Continuity Management. A drill that misses its objectives is repeated within 3 months after the actions are done.</w:t>
      </w:r>
    </w:p>
    <w:p>
      <w:pPr>
        <w:pStyle w:val="Heading1"/>
        <w:pageBreakBefore/>
        <w:pBdr>
          <w:bottom w:val="single" w:sz="4" w:space="4" w:color="99C1E7"/>
        </w:pBdr>
      </w:pPr>
      <w:bookmarkStart w:id="123" w:name="_Toc000123"/>
      <w:r>
        <w:rPr/>
        <w:t>10 Business continuity procedures</w:t>
      </w:r>
      <w:bookmarkEnd w:id="123"/>
    </w:p>
    <w:p>
      <w:pPr>
        <w:pStyle w:val="Heading2"/>
      </w:pPr>
      <w:bookmarkStart w:id="124" w:name="_Toc000124"/>
      <w:r>
        <w:rPr/>
        <w:t>10.1 When the procedures start</w:t>
      </w:r>
      <w:bookmarkEnd w:id="124"/>
    </w:p>
    <w:p>
      <w:r>
        <w:rPr/>
        <w:t xml:space="preserve">The BIBS Service Owner activates the continuity procedures when BIBS (or EIAM, or a bank channel that a process needs) is unavailable, or expected to be, for more than </w:t>
      </w:r>
      <w:r>
        <w:rPr>
          <w:b/>
        </w:rPr>
        <w:t>1 hour within the service window</w:t>
      </w:r>
      <w:r>
        <w:rPr/>
        <w:t>, or at once when a disaster is declared. The department heads run the procedures of their processes; L1 tells users that the procedures are active.</w:t>
      </w:r>
    </w:p>
    <w:p>
      <w:r>
        <w:rPr>
          <w:b/>
        </w:rPr>
        <w:t>Daily continuity pack.</w:t>
      </w:r>
      <w:r>
        <w:rPr/>
        <w:t xml:space="preserve"> Each department's continuity custodian receives every business day at 06:00 a set of reports by e-mail through BIBS report subscriptions (FR-CR-043), stored by BDOI in a controlled M365 folder and deleted after 7 days. The pack is what the teams work from while BIBS is down:</w:t>
      </w:r>
    </w:p>
    <w:p>
      <w:pPr>
        <w:pStyle w:val="Caption"/>
        <w:keepNext/>
        <w:spacing w:after="60"/>
      </w:pPr>
      <w:r>
        <w:rPr>
          <w:b/>
          <w:i w:val="0"/>
        </w:rPr>
        <w:t xml:space="preserve">Table 13: </w:t>
      </w:r>
      <w:r>
        <w:rPr/>
        <w:t>Daily continuity pack (06:00, by subscription)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3604"/>
        <w:gridCol w:w="3965"/>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Report</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Custodian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Used for</w:t>
            </w:r>
          </w:p>
        </w:tc>
      </w:tr>
      <w:tr>
        <w:trPr>
          <w:cantSplit w:val="true"/>
        </w:trPr>
        <w:tc>
          <w:tcPr>
            <w:tcW w:type="dxa" w:w="2403"/>
            <w:tcMar>
              <w:top w:w="50" w:type="dxa"/>
              <w:bottom w:w="50" w:type="dxa"/>
              <w:left w:w="90" w:type="dxa"/>
              <w:right w:w="90" w:type="dxa"/>
            </w:tcMar>
          </w:tcPr>
          <w:p>
            <w:pPr>
              <w:pStyle w:val="BDOITable"/>
            </w:pPr>
            <w:r>
              <w:rPr>
                <w:b/>
                <w:sz w:val="17"/>
              </w:rPr>
              <w:t>Open invoices by branch and client, with the amount due</w:t>
            </w:r>
          </w:p>
        </w:tc>
        <w:tc>
          <w:tcPr>
            <w:tcW w:type="dxa" w:w="3604"/>
            <w:tcMar>
              <w:top w:w="50" w:type="dxa"/>
              <w:bottom w:w="50" w:type="dxa"/>
              <w:left w:w="90" w:type="dxa"/>
              <w:right w:w="90" w:type="dxa"/>
            </w:tcMar>
          </w:tcPr>
          <w:p>
            <w:pPr>
              <w:pStyle w:val="BDOITable"/>
            </w:pPr>
            <w:r>
              <w:rPr>
                <w:sz w:val="17"/>
              </w:rPr>
              <w:t>Cashiering</w:t>
            </w:r>
          </w:p>
        </w:tc>
        <w:tc>
          <w:tcPr>
            <w:tcW w:type="dxa" w:w="3965"/>
            <w:tcMar>
              <w:top w:w="50" w:type="dxa"/>
              <w:bottom w:w="50" w:type="dxa"/>
              <w:left w:w="90" w:type="dxa"/>
              <w:right w:w="90" w:type="dxa"/>
            </w:tcMar>
          </w:tcPr>
          <w:p>
            <w:pPr>
              <w:pStyle w:val="BDOITable"/>
            </w:pPr>
            <w:r>
              <w:rPr>
                <w:sz w:val="17"/>
              </w:rPr>
              <w:t>Accepting payments and quoting balances</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Unapplied payments and post-dated checks due in 5 days</w:t>
            </w:r>
          </w:p>
        </w:tc>
        <w:tc>
          <w:tcPr>
            <w:tcW w:type="dxa" w:w="3604"/>
            <w:tcMar>
              <w:top w:w="50" w:type="dxa"/>
              <w:bottom w:w="50" w:type="dxa"/>
              <w:left w:w="90" w:type="dxa"/>
              <w:right w:w="90" w:type="dxa"/>
            </w:tcMar>
            <w:shd w:val="clear" w:color="auto" w:fill="E5F5FF"/>
          </w:tcPr>
          <w:p>
            <w:pPr>
              <w:pStyle w:val="BDOITable"/>
            </w:pPr>
            <w:r>
              <w:rPr>
                <w:sz w:val="17"/>
              </w:rPr>
              <w:t>Cashiering</w:t>
            </w:r>
          </w:p>
        </w:tc>
        <w:tc>
          <w:tcPr>
            <w:tcW w:type="dxa" w:w="3965"/>
            <w:tcMar>
              <w:top w:w="50" w:type="dxa"/>
              <w:bottom w:w="50" w:type="dxa"/>
              <w:left w:w="90" w:type="dxa"/>
              <w:right w:w="90" w:type="dxa"/>
            </w:tcMar>
            <w:shd w:val="clear" w:color="auto" w:fill="E5F5FF"/>
          </w:tcPr>
          <w:p>
            <w:pPr>
              <w:pStyle w:val="BDOITable"/>
            </w:pPr>
            <w:r>
              <w:rPr>
                <w:sz w:val="17"/>
              </w:rPr>
              <w:t>Deposits and maturing checks</w:t>
            </w:r>
          </w:p>
        </w:tc>
      </w:tr>
      <w:tr>
        <w:trPr>
          <w:cantSplit w:val="true"/>
        </w:trPr>
        <w:tc>
          <w:tcPr>
            <w:tcW w:type="dxa" w:w="2403"/>
            <w:tcMar>
              <w:top w:w="50" w:type="dxa"/>
              <w:bottom w:w="50" w:type="dxa"/>
              <w:left w:w="90" w:type="dxa"/>
              <w:right w:w="90" w:type="dxa"/>
            </w:tcMar>
          </w:tcPr>
          <w:p>
            <w:pPr>
              <w:pStyle w:val="BDOITable"/>
            </w:pPr>
            <w:r>
              <w:rPr>
                <w:b/>
                <w:sz w:val="17"/>
              </w:rPr>
              <w:t>Remittance due list by insurer and due date</w:t>
            </w:r>
          </w:p>
        </w:tc>
        <w:tc>
          <w:tcPr>
            <w:tcW w:type="dxa" w:w="3604"/>
            <w:tcMar>
              <w:top w:w="50" w:type="dxa"/>
              <w:bottom w:w="50" w:type="dxa"/>
              <w:left w:w="90" w:type="dxa"/>
              <w:right w:w="90" w:type="dxa"/>
            </w:tcMar>
          </w:tcPr>
          <w:p>
            <w:pPr>
              <w:pStyle w:val="BDOITable"/>
            </w:pPr>
            <w:r>
              <w:rPr>
                <w:sz w:val="17"/>
              </w:rPr>
              <w:t>Remittance</w:t>
            </w:r>
          </w:p>
        </w:tc>
        <w:tc>
          <w:tcPr>
            <w:tcW w:type="dxa" w:w="3965"/>
            <w:tcMar>
              <w:top w:w="50" w:type="dxa"/>
              <w:bottom w:w="50" w:type="dxa"/>
              <w:left w:w="90" w:type="dxa"/>
              <w:right w:w="90" w:type="dxa"/>
            </w:tcMar>
          </w:tcPr>
          <w:p>
            <w:pPr>
              <w:pStyle w:val="BDOITable"/>
            </w:pPr>
            <w:r>
              <w:rPr>
                <w:sz w:val="17"/>
              </w:rPr>
              <w:t>Urgent remittances</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Renewals expiring within 30 days with bucket, RA status and insurer</w:t>
            </w:r>
          </w:p>
        </w:tc>
        <w:tc>
          <w:tcPr>
            <w:tcW w:type="dxa" w:w="3604"/>
            <w:tcMar>
              <w:top w:w="50" w:type="dxa"/>
              <w:bottom w:w="50" w:type="dxa"/>
              <w:left w:w="90" w:type="dxa"/>
              <w:right w:w="90" w:type="dxa"/>
            </w:tcMar>
            <w:shd w:val="clear" w:color="auto" w:fill="E5F5FF"/>
          </w:tcPr>
          <w:p>
            <w:pPr>
              <w:pStyle w:val="BDOITable"/>
            </w:pPr>
            <w:r>
              <w:rPr>
                <w:sz w:val="17"/>
              </w:rPr>
              <w:t>Renewal processing team</w:t>
            </w:r>
          </w:p>
        </w:tc>
        <w:tc>
          <w:tcPr>
            <w:tcW w:type="dxa" w:w="3965"/>
            <w:tcMar>
              <w:top w:w="50" w:type="dxa"/>
              <w:bottom w:w="50" w:type="dxa"/>
              <w:left w:w="90" w:type="dxa"/>
              <w:right w:w="90" w:type="dxa"/>
            </w:tcMar>
            <w:shd w:val="clear" w:color="auto" w:fill="E5F5FF"/>
          </w:tcPr>
          <w:p>
            <w:pPr>
              <w:pStyle w:val="BDOITable"/>
            </w:pPr>
            <w:r>
              <w:rPr>
                <w:sz w:val="17"/>
              </w:rPr>
              <w:t>Contacting insurers and clients</w:t>
            </w:r>
          </w:p>
        </w:tc>
      </w:tr>
      <w:tr>
        <w:trPr>
          <w:cantSplit w:val="true"/>
        </w:trPr>
        <w:tc>
          <w:tcPr>
            <w:tcW w:type="dxa" w:w="2403"/>
            <w:tcMar>
              <w:top w:w="50" w:type="dxa"/>
              <w:bottom w:w="50" w:type="dxa"/>
              <w:left w:w="90" w:type="dxa"/>
              <w:right w:w="90" w:type="dxa"/>
            </w:tcMar>
          </w:tcPr>
          <w:p>
            <w:pPr>
              <w:pStyle w:val="BDOITable"/>
            </w:pPr>
            <w:r>
              <w:rPr>
                <w:b/>
                <w:sz w:val="17"/>
              </w:rPr>
              <w:t>Collection worklist with promises due</w:t>
            </w:r>
          </w:p>
        </w:tc>
        <w:tc>
          <w:tcPr>
            <w:tcW w:type="dxa" w:w="3604"/>
            <w:tcMar>
              <w:top w:w="50" w:type="dxa"/>
              <w:bottom w:w="50" w:type="dxa"/>
              <w:left w:w="90" w:type="dxa"/>
              <w:right w:w="90" w:type="dxa"/>
            </w:tcMar>
          </w:tcPr>
          <w:p>
            <w:pPr>
              <w:pStyle w:val="BDOITable"/>
            </w:pPr>
            <w:r>
              <w:rPr>
                <w:sz w:val="17"/>
              </w:rPr>
              <w:t>Collections</w:t>
            </w:r>
          </w:p>
        </w:tc>
        <w:tc>
          <w:tcPr>
            <w:tcW w:type="dxa" w:w="3965"/>
            <w:tcMar>
              <w:top w:w="50" w:type="dxa"/>
              <w:bottom w:w="50" w:type="dxa"/>
              <w:left w:w="90" w:type="dxa"/>
              <w:right w:w="90" w:type="dxa"/>
            </w:tcMar>
          </w:tcPr>
          <w:p>
            <w:pPr>
              <w:pStyle w:val="BDOITable"/>
            </w:pPr>
            <w:r>
              <w:rPr>
                <w:sz w:val="17"/>
              </w:rPr>
              <w:t>Follow-up calls</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Disbursements approved and not yet released</w:t>
            </w:r>
          </w:p>
        </w:tc>
        <w:tc>
          <w:tcPr>
            <w:tcW w:type="dxa" w:w="3604"/>
            <w:tcMar>
              <w:top w:w="50" w:type="dxa"/>
              <w:bottom w:w="50" w:type="dxa"/>
              <w:left w:w="90" w:type="dxa"/>
              <w:right w:w="90" w:type="dxa"/>
            </w:tcMar>
            <w:shd w:val="clear" w:color="auto" w:fill="E5F5FF"/>
          </w:tcPr>
          <w:p>
            <w:pPr>
              <w:pStyle w:val="BDOITable"/>
            </w:pPr>
            <w:r>
              <w:rPr>
                <w:sz w:val="17"/>
              </w:rPr>
              <w:t>Disbursement</w:t>
            </w:r>
          </w:p>
        </w:tc>
        <w:tc>
          <w:tcPr>
            <w:tcW w:type="dxa" w:w="3965"/>
            <w:tcMar>
              <w:top w:w="50" w:type="dxa"/>
              <w:bottom w:w="50" w:type="dxa"/>
              <w:left w:w="90" w:type="dxa"/>
              <w:right w:w="90" w:type="dxa"/>
            </w:tcMar>
            <w:shd w:val="clear" w:color="auto" w:fill="E5F5FF"/>
          </w:tcPr>
          <w:p>
            <w:pPr>
              <w:pStyle w:val="BDOITable"/>
            </w:pPr>
            <w:r>
              <w:rPr>
                <w:sz w:val="17"/>
              </w:rPr>
              <w:t>Urgent payments</w:t>
            </w:r>
          </w:p>
        </w:tc>
      </w:tr>
      <w:tr>
        <w:trPr>
          <w:cantSplit w:val="true"/>
        </w:trPr>
        <w:tc>
          <w:tcPr>
            <w:tcW w:type="dxa" w:w="2403"/>
            <w:tcMar>
              <w:top w:w="50" w:type="dxa"/>
              <w:bottom w:w="50" w:type="dxa"/>
              <w:left w:w="90" w:type="dxa"/>
              <w:right w:w="90" w:type="dxa"/>
            </w:tcMar>
          </w:tcPr>
          <w:p>
            <w:pPr>
              <w:pStyle w:val="BDOITable"/>
            </w:pPr>
            <w:r>
              <w:rPr>
                <w:b/>
                <w:sz w:val="17"/>
              </w:rPr>
              <w:t>Trial balance of the previous day (month-end days only)</w:t>
            </w:r>
          </w:p>
        </w:tc>
        <w:tc>
          <w:tcPr>
            <w:tcW w:type="dxa" w:w="3604"/>
            <w:tcMar>
              <w:top w:w="50" w:type="dxa"/>
              <w:bottom w:w="50" w:type="dxa"/>
              <w:left w:w="90" w:type="dxa"/>
              <w:right w:w="90" w:type="dxa"/>
            </w:tcMar>
          </w:tcPr>
          <w:p>
            <w:pPr>
              <w:pStyle w:val="BDOITable"/>
            </w:pPr>
            <w:r>
              <w:rPr>
                <w:sz w:val="17"/>
              </w:rPr>
              <w:t>Comptrollership</w:t>
            </w:r>
          </w:p>
        </w:tc>
        <w:tc>
          <w:tcPr>
            <w:tcW w:type="dxa" w:w="3965"/>
            <w:tcMar>
              <w:top w:w="50" w:type="dxa"/>
              <w:bottom w:w="50" w:type="dxa"/>
              <w:left w:w="90" w:type="dxa"/>
              <w:right w:w="90" w:type="dxa"/>
            </w:tcMar>
          </w:tcPr>
          <w:p>
            <w:pPr>
              <w:pStyle w:val="BDOITable"/>
            </w:pPr>
            <w:r>
              <w:rPr>
                <w:sz w:val="17"/>
              </w:rPr>
              <w:t>Close decisions</w:t>
            </w:r>
          </w:p>
        </w:tc>
      </w:tr>
    </w:tbl>
    <w:p>
      <w:pPr>
        <w:pStyle w:val="BDOISpacer"/>
      </w:pPr>
    </w:p>
    <w:p>
      <w:pPr>
        <w:pStyle w:val="Heading2"/>
      </w:pPr>
      <w:bookmarkStart w:id="125" w:name="_Toc000125"/>
      <w:r>
        <w:rPr/>
        <w:t>10.2 BC-01 Cashiering</w:t>
      </w:r>
      <w:bookmarkEnd w:id="125"/>
    </w:p>
    <w:p>
      <w:pPr>
        <w:tabs>
          <w:tab w:pos="312" w:val="left"/>
        </w:tabs>
        <w:spacing w:after="40"/>
        <w:ind w:left="312" w:hanging="283"/>
      </w:pPr>
      <w:r>
        <w:rPr>
          <w:color w:val="004EA8"/>
        </w:rPr>
        <w:t>1.</w:t>
        <w:tab/>
      </w:r>
      <w:r>
        <w:rPr/>
        <w:t xml:space="preserve">Branches keep accepting payments in cash and checks. Each payment is written in the </w:t>
      </w:r>
      <w:r>
        <w:rPr>
          <w:b/>
        </w:rPr>
        <w:t>contingency collection log</w:t>
      </w:r>
      <w:r>
        <w:rPr/>
        <w:t xml:space="preserve"> of the branch (date, time, payor, client and invoice numbers, amount, mode, check details, cashier) and the payor receives a pre-numbered acknowledgement from the branch's contingency series (OP-06: BDOI and Comptrollership confirm the form and its BIR treatment).</w:t>
      </w:r>
    </w:p>
    <w:p>
      <w:pPr>
        <w:tabs>
          <w:tab w:pos="312" w:val="left"/>
        </w:tabs>
        <w:spacing w:after="40"/>
        <w:ind w:left="312" w:hanging="283"/>
      </w:pPr>
      <w:r>
        <w:rPr>
          <w:color w:val="004EA8"/>
        </w:rPr>
        <w:t>2.</w:t>
        <w:tab/>
      </w:r>
      <w:r>
        <w:rPr/>
        <w:t>Deposits go to the bank as usual; the log is signed by the branch head at the end of the day.</w:t>
      </w:r>
    </w:p>
    <w:p>
      <w:pPr>
        <w:tabs>
          <w:tab w:pos="312" w:val="left"/>
        </w:tabs>
        <w:spacing w:after="40"/>
        <w:ind w:left="312" w:hanging="283"/>
      </w:pPr>
      <w:r>
        <w:rPr>
          <w:color w:val="004EA8"/>
        </w:rPr>
        <w:t>3.</w:t>
        <w:tab/>
      </w:r>
      <w:r>
        <w:rPr/>
        <w:t>Payments through the bank channels (bills payment, OBPCS, Old BOB, direct credit) continue at the bank; their files are uploaded when BIBS is back. BIBS refuses a file it already loaded.</w:t>
      </w:r>
    </w:p>
    <w:p>
      <w:pPr>
        <w:tabs>
          <w:tab w:pos="312" w:val="left"/>
        </w:tabs>
        <w:spacing w:after="40"/>
        <w:ind w:left="312" w:hanging="283"/>
      </w:pPr>
      <w:r>
        <w:rPr>
          <w:color w:val="004EA8"/>
        </w:rPr>
        <w:t>4.</w:t>
        <w:tab/>
      </w:r>
      <w:r>
        <w:rPr/>
        <w:t>After recovery, cashiers key the logged payments in BIBS on the same day, with the payment date of the log and the contingency number in the remarks; the official receipt is issued from BIBS and sent to the payor. The branch head reconciles the log with the receipts keyed and with the deposit.</w:t>
      </w:r>
    </w:p>
    <w:p>
      <w:pPr>
        <w:tabs>
          <w:tab w:pos="312" w:val="left"/>
        </w:tabs>
        <w:spacing w:after="120"/>
        <w:ind w:left="312" w:hanging="283"/>
      </w:pPr>
      <w:r>
        <w:rPr>
          <w:color w:val="004EA8"/>
        </w:rPr>
        <w:t>5.</w:t>
        <w:tab/>
      </w:r>
      <w:r>
        <w:rPr/>
        <w:t>If the outage lasts beyond the end of the business day, the deposits of the day are reconciled with the logs the next morning and Comptrollership is told of any difference.</w:t>
      </w:r>
    </w:p>
    <w:p>
      <w:pPr>
        <w:pStyle w:val="Heading2"/>
      </w:pPr>
      <w:bookmarkStart w:id="126" w:name="_Toc000126"/>
      <w:r>
        <w:rPr/>
        <w:t>10.3 BC-02 Remittance</w:t>
      </w:r>
      <w:bookmarkEnd w:id="126"/>
    </w:p>
    <w:p>
      <w:pPr>
        <w:tabs>
          <w:tab w:pos="312" w:val="left"/>
        </w:tabs>
        <w:spacing w:after="40"/>
        <w:ind w:left="312" w:hanging="283"/>
      </w:pPr>
      <w:r>
        <w:rPr>
          <w:color w:val="004EA8"/>
        </w:rPr>
        <w:t>1.</w:t>
        <w:tab/>
      </w:r>
      <w:r>
        <w:rPr/>
        <w:t>An outage shorter than one business day delays the extraction and the batches; nothing is paid twice because remittance batches are made only in BIBS.</w:t>
      </w:r>
    </w:p>
    <w:p>
      <w:pPr>
        <w:tabs>
          <w:tab w:pos="312" w:val="left"/>
        </w:tabs>
        <w:spacing w:after="40"/>
        <w:ind w:left="312" w:hanging="283"/>
      </w:pPr>
      <w:r>
        <w:rPr>
          <w:color w:val="004EA8"/>
        </w:rPr>
        <w:t>2.</w:t>
        <w:tab/>
      </w:r>
      <w:r>
        <w:rPr/>
        <w:t>If the outage crosses an insurer's remittance due date, Remittance takes the insurer's lines from the remittance due list of the continuity pack, prepares a manual remittance advice, and pays through the CMS / New BOB channel with the usual two approvals and the written approval of the Head of Comptrollership. Only items already paid and cleared are remitted.</w:t>
      </w:r>
    </w:p>
    <w:p>
      <w:pPr>
        <w:tabs>
          <w:tab w:pos="312" w:val="left"/>
        </w:tabs>
        <w:spacing w:after="120"/>
        <w:ind w:left="312" w:hanging="283"/>
      </w:pPr>
      <w:r>
        <w:rPr>
          <w:color w:val="004EA8"/>
        </w:rPr>
        <w:t>3.</w:t>
        <w:tab/>
      </w:r>
      <w:r>
        <w:rPr/>
        <w:t>After recovery, Remittance records the manual payment in BIBS against the same invoices as a remittance batch with the bank reference, so that the remittance status of each invoice is right and the item is not extracted again. Comptrollership checks the DTIP balances of the insurer.</w:t>
      </w:r>
    </w:p>
    <w:p>
      <w:pPr>
        <w:pStyle w:val="Heading2"/>
      </w:pPr>
      <w:bookmarkStart w:id="127" w:name="_Toc000127"/>
      <w:r>
        <w:rPr/>
        <w:t>10.4 BC-03 Renewal letters and renewals</w:t>
      </w:r>
      <w:bookmarkEnd w:id="127"/>
    </w:p>
    <w:p>
      <w:pPr>
        <w:tabs>
          <w:tab w:pos="312" w:val="left"/>
        </w:tabs>
        <w:spacing w:after="40"/>
        <w:ind w:left="312" w:hanging="283"/>
      </w:pPr>
      <w:r>
        <w:rPr>
          <w:color w:val="004EA8"/>
        </w:rPr>
        <w:t>1.</w:t>
        <w:tab/>
      </w:r>
      <w:r>
        <w:rPr/>
        <w:t>Renewal advices and letters that BIBS sends by e-mail wait in the queue and are sent when BIBS is back; the renewal extraction takes the missed dates at its next run.</w:t>
      </w:r>
    </w:p>
    <w:p>
      <w:pPr>
        <w:tabs>
          <w:tab w:pos="312" w:val="left"/>
        </w:tabs>
        <w:spacing w:after="40"/>
        <w:ind w:left="312" w:hanging="283"/>
      </w:pPr>
      <w:r>
        <w:rPr>
          <w:color w:val="004EA8"/>
        </w:rPr>
        <w:t>2.</w:t>
        <w:tab/>
      </w:r>
      <w:r>
        <w:rPr/>
        <w:t>For policies expiring within 7 days, the Renewal processing team works from the renewals list of the continuity pack: it calls or e-mails the insurer (from M365) to confirm terms or request a hold cover, and calls the client or Account Officer; each contact is noted in a contingency tracker with date, person and outcome.</w:t>
      </w:r>
    </w:p>
    <w:p>
      <w:pPr>
        <w:tabs>
          <w:tab w:pos="312" w:val="left"/>
        </w:tabs>
        <w:spacing w:after="40"/>
        <w:ind w:left="312" w:hanging="283"/>
      </w:pPr>
      <w:r>
        <w:rPr>
          <w:color w:val="004EA8"/>
        </w:rPr>
        <w:t>3.</w:t>
        <w:tab/>
      </w:r>
      <w:r>
        <w:rPr/>
        <w:t>After recovery, the team records the dispositions and the insurer answers in BIBS, and checks that no renewal advice is sent twice (the RA-sent status is updated before the letter jobs release).</w:t>
      </w:r>
    </w:p>
    <w:p>
      <w:pPr>
        <w:tabs>
          <w:tab w:pos="312" w:val="left"/>
        </w:tabs>
        <w:spacing w:after="120"/>
        <w:ind w:left="312" w:hanging="283"/>
      </w:pPr>
      <w:r>
        <w:rPr>
          <w:color w:val="004EA8"/>
        </w:rPr>
        <w:t>4.</w:t>
        <w:tab/>
      </w:r>
      <w:r>
        <w:rPr/>
        <w:t>In January to May 2028 (the go-live renewal window) the 7-day threshold becomes 14 days for the URGENT January expiries.</w:t>
      </w:r>
    </w:p>
    <w:p>
      <w:pPr>
        <w:pStyle w:val="Heading2"/>
      </w:pPr>
      <w:bookmarkStart w:id="128" w:name="_Toc000128"/>
      <w:r>
        <w:rPr/>
        <w:t>10.5 BC-04 Month-end</w:t>
      </w:r>
      <w:bookmarkEnd w:id="128"/>
    </w:p>
    <w:p>
      <w:pPr>
        <w:tabs>
          <w:tab w:pos="312" w:val="left"/>
        </w:tabs>
        <w:spacing w:after="40"/>
        <w:ind w:left="312" w:hanging="283"/>
      </w:pPr>
      <w:r>
        <w:rPr>
          <w:color w:val="004EA8"/>
        </w:rPr>
        <w:t>1.</w:t>
        <w:tab/>
      </w:r>
      <w:r>
        <w:rPr/>
        <w:t>On the last two and first three business days of a month, an outage of more than 4 hours is escalated at once to the Head of Comptrollership.</w:t>
      </w:r>
    </w:p>
    <w:p>
      <w:pPr>
        <w:tabs>
          <w:tab w:pos="312" w:val="left"/>
        </w:tabs>
        <w:spacing w:after="40"/>
        <w:ind w:left="312" w:hanging="283"/>
      </w:pPr>
      <w:r>
        <w:rPr>
          <w:color w:val="004EA8"/>
        </w:rPr>
        <w:t>2.</w:t>
        <w:tab/>
      </w:r>
      <w:r>
        <w:rPr/>
        <w:t>The broking books close and the GL close run when BIBS is back; Comptrollership decides whether the close calendar moves by the length of the outage and informs the business heads.</w:t>
      </w:r>
    </w:p>
    <w:p>
      <w:pPr>
        <w:tabs>
          <w:tab w:pos="312" w:val="left"/>
        </w:tabs>
        <w:spacing w:after="40"/>
        <w:ind w:left="312" w:hanging="283"/>
      </w:pPr>
      <w:r>
        <w:rPr>
          <w:color w:val="004EA8"/>
        </w:rPr>
        <w:t>3.</w:t>
        <w:tab/>
      </w:r>
      <w:r>
        <w:rPr/>
        <w:t>Postings that belong to the closing month are keyed with their own dates before the close runs; the period stays open until the catch-up of BC-01 to BC-02 is reconciled.</w:t>
      </w:r>
    </w:p>
    <w:p>
      <w:pPr>
        <w:tabs>
          <w:tab w:pos="312" w:val="left"/>
        </w:tabs>
        <w:spacing w:after="120"/>
        <w:ind w:left="312" w:hanging="283"/>
      </w:pPr>
      <w:r>
        <w:rPr>
          <w:color w:val="004EA8"/>
        </w:rPr>
        <w:t>4.</w:t>
        <w:tab/>
      </w:r>
      <w:r>
        <w:rPr/>
        <w:t>BIR filing deadlines that fall in the outage use the reports of the previous closed period and the daily trial balance of the continuity pack only with the Head of Comptrollership's approval; filings are amended if the catch-up changes the figures.</w:t>
      </w:r>
    </w:p>
    <w:p>
      <w:pPr>
        <w:pStyle w:val="Heading2"/>
      </w:pPr>
      <w:bookmarkStart w:id="129" w:name="_Toc000129"/>
      <w:r>
        <w:rPr/>
        <w:t>10.6 BC-05 Booking and issuance</w:t>
      </w:r>
      <w:bookmarkEnd w:id="129"/>
    </w:p>
    <w:p>
      <w:r>
        <w:rPr/>
        <w:t>New bookings and issuance wait for BIBS. Urgent covers are bound with the insurer by the Account Officer through a written hold cover from the insurer; the booking is keyed when BIBS is back and the hold cover is attached.</w:t>
      </w:r>
    </w:p>
    <w:p>
      <w:pPr>
        <w:pStyle w:val="Heading2"/>
      </w:pPr>
      <w:bookmarkStart w:id="130" w:name="_Toc000130"/>
      <w:r>
        <w:rPr/>
        <w:t>10.7 BC-06 Disbursement</w:t>
      </w:r>
      <w:bookmarkEnd w:id="130"/>
    </w:p>
    <w:p>
      <w:r>
        <w:rPr/>
        <w:t>Only urgent payments approved before the outage (on the continuity pack list) are released, through CMS / New BOB with two approvals and the Head of Comptrollership's written approval. After recovery the disbursement is recorded in BIBS against the same request so that it is not released twice.</w:t>
      </w:r>
    </w:p>
    <w:p>
      <w:pPr>
        <w:pStyle w:val="Heading2"/>
      </w:pPr>
      <w:bookmarkStart w:id="131" w:name="_Toc000131"/>
      <w:r>
        <w:rPr/>
        <w:t>10.8 BC-07 Collections</w:t>
      </w:r>
      <w:bookmarkEnd w:id="131"/>
    </w:p>
    <w:p>
      <w:r>
        <w:rPr/>
        <w:t>Collectors work the promises due from the worklist of the continuity pack and record the outcome in a contingency tracker; dispositions are keyed after recovery. The For Application To Invoice and Outstanding PR files are produced by their jobs when BIBS is back; the bank is told of the delay by Operations.</w:t>
      </w:r>
    </w:p>
    <w:p>
      <w:pPr>
        <w:pStyle w:val="Heading2"/>
      </w:pPr>
      <w:bookmarkStart w:id="132" w:name="_Toc000132"/>
      <w:r>
        <w:rPr/>
        <w:t>10.9 BC-08 Sanction screening</w:t>
      </w:r>
      <w:bookmarkEnd w:id="132"/>
    </w:p>
    <w:p>
      <w:r>
        <w:rPr/>
        <w:t>No client is onboarded and no policy bound for a new client while screening is unavailable, unless Compliance screens the client by hand in the screening service it uses (Bridger Insight XG) and records the result; the client is screened again in BIBS after recovery.</w:t>
      </w:r>
    </w:p>
    <w:p>
      <w:pPr>
        <w:pStyle w:val="Heading2"/>
      </w:pPr>
      <w:bookmarkStart w:id="133" w:name="_Toc000133"/>
      <w:r>
        <w:rPr/>
        <w:t>10.10 BC-09 Sign-in (EIAM outage)</w:t>
      </w:r>
      <w:bookmarkEnd w:id="133"/>
    </w:p>
    <w:p>
      <w:r>
        <w:rPr/>
        <w:t>Users who are signed in keep working until their session ends; L1 asks them not to sign out. The break-glass administrators can sign in for urgent administration only. If the outage lasts beyond 1 hour in the service window, the departments start BC-01 to BC-08 as if BIBS were down.</w:t>
      </w:r>
    </w:p>
    <w:p>
      <w:pPr>
        <w:pStyle w:val="Heading2"/>
      </w:pPr>
      <w:bookmarkStart w:id="134" w:name="_Toc000134"/>
      <w:r>
        <w:rPr/>
        <w:t>10.11 Catch-up and reconciliation</w:t>
      </w:r>
      <w:bookmarkEnd w:id="134"/>
    </w:p>
    <w:p>
      <w:pPr>
        <w:pStyle w:val="Caption"/>
        <w:keepNext/>
        <w:spacing w:after="60"/>
      </w:pPr>
      <w:r>
        <w:rPr>
          <w:b/>
          <w:i w:val="0"/>
        </w:rPr>
        <w:t xml:space="preserve">Table 14: </w:t>
      </w:r>
      <w:r>
        <w:rPr/>
        <w:t>Catch-up order after recovery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6368"/>
        <w:gridCol w:w="2763"/>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7"/>
              </w:rPr>
              <w:t>Order</w:t>
            </w:r>
          </w:p>
        </w:tc>
        <w:tc>
          <w:tcPr>
            <w:tcW w:type="dxa" w:w="6368"/>
            <w:shd w:val="clear" w:color="auto" w:fill="004EA8"/>
            <w:tcMar>
              <w:top w:w="50" w:type="dxa"/>
              <w:bottom w:w="50" w:type="dxa"/>
              <w:left w:w="90" w:type="dxa"/>
              <w:right w:w="90" w:type="dxa"/>
            </w:tcMar>
            <w:vAlign w:val="center"/>
          </w:tcPr>
          <w:p>
            <w:pPr>
              <w:pStyle w:val="BDOITableHeader"/>
            </w:pPr>
            <w:r>
              <w:rPr>
                <w:b/>
                <w:color w:val="FFFFFF"/>
                <w:sz w:val="17"/>
              </w:rPr>
              <w:t>Catch-up</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Signed off by</w:t>
            </w:r>
          </w:p>
        </w:tc>
      </w:tr>
      <w:tr>
        <w:trPr>
          <w:cantSplit w:val="true"/>
        </w:trPr>
        <w:tc>
          <w:tcPr>
            <w:tcW w:type="dxa" w:w="841"/>
            <w:tcMar>
              <w:top w:w="50" w:type="dxa"/>
              <w:bottom w:w="50" w:type="dxa"/>
              <w:left w:w="90" w:type="dxa"/>
              <w:right w:w="90" w:type="dxa"/>
            </w:tcMar>
          </w:tcPr>
          <w:p>
            <w:pPr>
              <w:pStyle w:val="BDOITable"/>
            </w:pPr>
            <w:r>
              <w:rPr>
                <w:b/>
                <w:sz w:val="17"/>
              </w:rPr>
              <w:t>1</w:t>
            </w:r>
          </w:p>
        </w:tc>
        <w:tc>
          <w:tcPr>
            <w:tcW w:type="dxa" w:w="6368"/>
            <w:tcMar>
              <w:top w:w="50" w:type="dxa"/>
              <w:bottom w:w="50" w:type="dxa"/>
              <w:left w:w="90" w:type="dxa"/>
              <w:right w:w="90" w:type="dxa"/>
            </w:tcMar>
          </w:tcPr>
          <w:p>
            <w:pPr>
              <w:pStyle w:val="BDOITable"/>
            </w:pPr>
            <w:r>
              <w:rPr>
                <w:sz w:val="17"/>
              </w:rPr>
              <w:t>Data loss check after a failover (section 4.2)</w:t>
            </w:r>
          </w:p>
        </w:tc>
        <w:tc>
          <w:tcPr>
            <w:tcW w:type="dxa" w:w="2763"/>
            <w:tcMar>
              <w:top w:w="50" w:type="dxa"/>
              <w:bottom w:w="50" w:type="dxa"/>
              <w:left w:w="90" w:type="dxa"/>
              <w:right w:w="90" w:type="dxa"/>
            </w:tcMar>
          </w:tcPr>
          <w:p>
            <w:pPr>
              <w:pStyle w:val="BDOITable"/>
            </w:pPr>
            <w:r>
              <w:rPr>
                <w:sz w:val="17"/>
              </w:rPr>
              <w:t>BIBS Service Owner</w:t>
            </w:r>
          </w:p>
        </w:tc>
      </w:tr>
      <w:tr>
        <w:trPr>
          <w:cantSplit w:val="true"/>
        </w:trPr>
        <w:tc>
          <w:tcPr>
            <w:tcW w:type="dxa" w:w="841"/>
            <w:tcMar>
              <w:top w:w="50" w:type="dxa"/>
              <w:bottom w:w="50" w:type="dxa"/>
              <w:left w:w="90" w:type="dxa"/>
              <w:right w:w="90" w:type="dxa"/>
            </w:tcMar>
            <w:shd w:val="clear" w:color="auto" w:fill="E5F5FF"/>
          </w:tcPr>
          <w:p>
            <w:pPr>
              <w:pStyle w:val="BDOITable"/>
            </w:pPr>
            <w:r>
              <w:rPr>
                <w:b/>
                <w:sz w:val="17"/>
              </w:rPr>
              <w:t>2</w:t>
            </w:r>
          </w:p>
        </w:tc>
        <w:tc>
          <w:tcPr>
            <w:tcW w:type="dxa" w:w="6368"/>
            <w:tcMar>
              <w:top w:w="50" w:type="dxa"/>
              <w:bottom w:w="50" w:type="dxa"/>
              <w:left w:w="90" w:type="dxa"/>
              <w:right w:w="90" w:type="dxa"/>
            </w:tcMar>
            <w:shd w:val="clear" w:color="auto" w:fill="E5F5FF"/>
          </w:tcPr>
          <w:p>
            <w:pPr>
              <w:pStyle w:val="BDOITable"/>
            </w:pPr>
            <w:r>
              <w:rPr>
                <w:sz w:val="17"/>
              </w:rPr>
              <w:t>Payments from the contingency logs and the bank channel files (BC-01)</w:t>
            </w:r>
          </w:p>
        </w:tc>
        <w:tc>
          <w:tcPr>
            <w:tcW w:type="dxa" w:w="2763"/>
            <w:tcMar>
              <w:top w:w="50" w:type="dxa"/>
              <w:bottom w:w="50" w:type="dxa"/>
              <w:left w:w="90" w:type="dxa"/>
              <w:right w:w="90" w:type="dxa"/>
            </w:tcMar>
            <w:shd w:val="clear" w:color="auto" w:fill="E5F5FF"/>
          </w:tcPr>
          <w:p>
            <w:pPr>
              <w:pStyle w:val="BDOITable"/>
            </w:pPr>
            <w:r>
              <w:rPr>
                <w:sz w:val="17"/>
              </w:rPr>
              <w:t>Branch heads; Head, Operations</w:t>
            </w:r>
          </w:p>
        </w:tc>
      </w:tr>
      <w:tr>
        <w:trPr>
          <w:cantSplit w:val="true"/>
        </w:trPr>
        <w:tc>
          <w:tcPr>
            <w:tcW w:type="dxa" w:w="841"/>
            <w:tcMar>
              <w:top w:w="50" w:type="dxa"/>
              <w:bottom w:w="50" w:type="dxa"/>
              <w:left w:w="90" w:type="dxa"/>
              <w:right w:w="90" w:type="dxa"/>
            </w:tcMar>
          </w:tcPr>
          <w:p>
            <w:pPr>
              <w:pStyle w:val="BDOITable"/>
            </w:pPr>
            <w:r>
              <w:rPr>
                <w:b/>
                <w:sz w:val="17"/>
              </w:rPr>
              <w:t>3</w:t>
            </w:r>
          </w:p>
        </w:tc>
        <w:tc>
          <w:tcPr>
            <w:tcW w:type="dxa" w:w="6368"/>
            <w:tcMar>
              <w:top w:w="50" w:type="dxa"/>
              <w:bottom w:w="50" w:type="dxa"/>
              <w:left w:w="90" w:type="dxa"/>
              <w:right w:w="90" w:type="dxa"/>
            </w:tcMar>
          </w:tcPr>
          <w:p>
            <w:pPr>
              <w:pStyle w:val="BDOITable"/>
            </w:pPr>
            <w:r>
              <w:rPr>
                <w:sz w:val="17"/>
              </w:rPr>
              <w:t>Manual remittances and disbursements recorded against their items (BC-02, BC-06)</w:t>
            </w:r>
          </w:p>
        </w:tc>
        <w:tc>
          <w:tcPr>
            <w:tcW w:type="dxa" w:w="2763"/>
            <w:tcMar>
              <w:top w:w="50" w:type="dxa"/>
              <w:bottom w:w="50" w:type="dxa"/>
              <w:left w:w="90" w:type="dxa"/>
              <w:right w:w="90" w:type="dxa"/>
            </w:tcMar>
          </w:tcPr>
          <w:p>
            <w:pPr>
              <w:pStyle w:val="BDOITable"/>
            </w:pPr>
            <w:r>
              <w:rPr>
                <w:sz w:val="17"/>
              </w:rPr>
              <w:t>Head, Comptrollership</w:t>
            </w:r>
          </w:p>
        </w:tc>
      </w:tr>
      <w:tr>
        <w:trPr>
          <w:cantSplit w:val="true"/>
        </w:trPr>
        <w:tc>
          <w:tcPr>
            <w:tcW w:type="dxa" w:w="841"/>
            <w:tcMar>
              <w:top w:w="50" w:type="dxa"/>
              <w:bottom w:w="50" w:type="dxa"/>
              <w:left w:w="90" w:type="dxa"/>
              <w:right w:w="90" w:type="dxa"/>
            </w:tcMar>
            <w:shd w:val="clear" w:color="auto" w:fill="E5F5FF"/>
          </w:tcPr>
          <w:p>
            <w:pPr>
              <w:pStyle w:val="BDOITable"/>
            </w:pPr>
            <w:r>
              <w:rPr>
                <w:b/>
                <w:sz w:val="17"/>
              </w:rPr>
              <w:t>4</w:t>
            </w:r>
          </w:p>
        </w:tc>
        <w:tc>
          <w:tcPr>
            <w:tcW w:type="dxa" w:w="6368"/>
            <w:tcMar>
              <w:top w:w="50" w:type="dxa"/>
              <w:bottom w:w="50" w:type="dxa"/>
              <w:left w:w="90" w:type="dxa"/>
              <w:right w:w="90" w:type="dxa"/>
            </w:tcMar>
            <w:shd w:val="clear" w:color="auto" w:fill="E5F5FF"/>
          </w:tcPr>
          <w:p>
            <w:pPr>
              <w:pStyle w:val="BDOITable"/>
            </w:pPr>
            <w:r>
              <w:rPr>
                <w:sz w:val="17"/>
              </w:rPr>
              <w:t>Jobs missed during the outage, in the order of the night batch timeline</w:t>
            </w:r>
          </w:p>
        </w:tc>
        <w:tc>
          <w:tcPr>
            <w:tcW w:type="dxa" w:w="2763"/>
            <w:tcMar>
              <w:top w:w="50" w:type="dxa"/>
              <w:bottom w:w="50" w:type="dxa"/>
              <w:left w:w="90" w:type="dxa"/>
              <w:right w:w="90" w:type="dxa"/>
            </w:tcMar>
            <w:shd w:val="clear" w:color="auto" w:fill="E5F5FF"/>
          </w:tcPr>
          <w:p>
            <w:pPr>
              <w:pStyle w:val="BDOITable"/>
            </w:pPr>
            <w:r>
              <w:rPr>
                <w:sz w:val="17"/>
              </w:rPr>
              <w:t>L2 lead</w:t>
            </w:r>
          </w:p>
        </w:tc>
      </w:tr>
      <w:tr>
        <w:trPr>
          <w:cantSplit w:val="true"/>
        </w:trPr>
        <w:tc>
          <w:tcPr>
            <w:tcW w:type="dxa" w:w="841"/>
            <w:tcMar>
              <w:top w:w="50" w:type="dxa"/>
              <w:bottom w:w="50" w:type="dxa"/>
              <w:left w:w="90" w:type="dxa"/>
              <w:right w:w="90" w:type="dxa"/>
            </w:tcMar>
          </w:tcPr>
          <w:p>
            <w:pPr>
              <w:pStyle w:val="BDOITable"/>
            </w:pPr>
            <w:r>
              <w:rPr>
                <w:b/>
                <w:sz w:val="17"/>
              </w:rPr>
              <w:t>5</w:t>
            </w:r>
          </w:p>
        </w:tc>
        <w:tc>
          <w:tcPr>
            <w:tcW w:type="dxa" w:w="6368"/>
            <w:tcMar>
              <w:top w:w="50" w:type="dxa"/>
              <w:bottom w:w="50" w:type="dxa"/>
              <w:left w:w="90" w:type="dxa"/>
              <w:right w:w="90" w:type="dxa"/>
            </w:tcMar>
          </w:tcPr>
          <w:p>
            <w:pPr>
              <w:pStyle w:val="BDOITable"/>
            </w:pPr>
            <w:r>
              <w:rPr>
                <w:sz w:val="17"/>
              </w:rPr>
              <w:t>Renewal dispositions, collection dispositions, held bookings (BC-03, BC-05, BC-07)</w:t>
            </w:r>
          </w:p>
        </w:tc>
        <w:tc>
          <w:tcPr>
            <w:tcW w:type="dxa" w:w="2763"/>
            <w:tcMar>
              <w:top w:w="50" w:type="dxa"/>
              <w:bottom w:w="50" w:type="dxa"/>
              <w:left w:w="90" w:type="dxa"/>
              <w:right w:w="90" w:type="dxa"/>
            </w:tcMar>
          </w:tcPr>
          <w:p>
            <w:pPr>
              <w:pStyle w:val="BDOITable"/>
            </w:pPr>
            <w:r>
              <w:rPr>
                <w:sz w:val="17"/>
              </w:rPr>
              <w:t>Heads of department</w:t>
            </w:r>
          </w:p>
        </w:tc>
      </w:tr>
      <w:tr>
        <w:trPr>
          <w:cantSplit w:val="true"/>
        </w:trPr>
        <w:tc>
          <w:tcPr>
            <w:tcW w:type="dxa" w:w="841"/>
            <w:tcMar>
              <w:top w:w="50" w:type="dxa"/>
              <w:bottom w:w="50" w:type="dxa"/>
              <w:left w:w="90" w:type="dxa"/>
              <w:right w:w="90" w:type="dxa"/>
            </w:tcMar>
            <w:shd w:val="clear" w:color="auto" w:fill="E5F5FF"/>
          </w:tcPr>
          <w:p>
            <w:pPr>
              <w:pStyle w:val="BDOITable"/>
            </w:pPr>
            <w:r>
              <w:rPr>
                <w:b/>
                <w:sz w:val="17"/>
              </w:rPr>
              <w:t>6</w:t>
            </w:r>
          </w:p>
        </w:tc>
        <w:tc>
          <w:tcPr>
            <w:tcW w:type="dxa" w:w="6368"/>
            <w:tcMar>
              <w:top w:w="50" w:type="dxa"/>
              <w:bottom w:w="50" w:type="dxa"/>
              <w:left w:w="90" w:type="dxa"/>
              <w:right w:w="90" w:type="dxa"/>
            </w:tcMar>
            <w:shd w:val="clear" w:color="auto" w:fill="E5F5FF"/>
          </w:tcPr>
          <w:p>
            <w:pPr>
              <w:pStyle w:val="BDOITable"/>
            </w:pPr>
            <w:r>
              <w:rPr>
                <w:sz w:val="17"/>
              </w:rPr>
              <w:t>Reconciliation of the period: receipts against deposits, remittances against bank, GL-SL reconciliation</w:t>
            </w:r>
          </w:p>
        </w:tc>
        <w:tc>
          <w:tcPr>
            <w:tcW w:type="dxa" w:w="2763"/>
            <w:tcMar>
              <w:top w:w="50" w:type="dxa"/>
              <w:bottom w:w="50" w:type="dxa"/>
              <w:left w:w="90" w:type="dxa"/>
              <w:right w:w="90" w:type="dxa"/>
            </w:tcMar>
            <w:shd w:val="clear" w:color="auto" w:fill="E5F5FF"/>
          </w:tcPr>
          <w:p>
            <w:pPr>
              <w:pStyle w:val="BDOITable"/>
            </w:pPr>
            <w:r>
              <w:rPr>
                <w:sz w:val="17"/>
              </w:rPr>
              <w:t>Head, Comptrollership</w:t>
            </w:r>
          </w:p>
        </w:tc>
      </w:tr>
    </w:tbl>
    <w:p>
      <w:pPr>
        <w:pStyle w:val="BDOISpacer"/>
      </w:pPr>
    </w:p>
    <w:p>
      <w:pPr>
        <w:pStyle w:val="Heading1"/>
        <w:pageBreakBefore/>
        <w:pBdr>
          <w:bottom w:val="single" w:sz="4" w:space="4" w:color="99C1E7"/>
        </w:pBdr>
      </w:pPr>
      <w:bookmarkStart w:id="135" w:name="_Toc000135"/>
      <w:r>
        <w:rPr/>
        <w:t>11 Communication plan</w:t>
      </w:r>
      <w:bookmarkEnd w:id="135"/>
    </w:p>
    <w:p>
      <w:pPr>
        <w:pStyle w:val="Caption"/>
        <w:keepNext/>
        <w:spacing w:after="60"/>
      </w:pPr>
      <w:r>
        <w:rPr>
          <w:b/>
          <w:i w:val="0"/>
        </w:rPr>
        <w:t xml:space="preserve">Table 15: </w:t>
      </w:r>
      <w:r>
        <w:rPr/>
        <w:t>Communication during an outage and a disaster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0"/>
        <w:gridCol w:w="2403"/>
        <w:gridCol w:w="2042"/>
        <w:gridCol w:w="1802"/>
        <w:gridCol w:w="1562"/>
        <w:gridCol w:w="1742"/>
      </w:tblGrid>
      <w:tr>
        <w:trPr>
          <w:tblHeader w:val="true"/>
          <w:cantSplit w:val="true"/>
        </w:trPr>
        <w:tc>
          <w:tcPr>
            <w:tcW w:type="dxa" w:w="42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Message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Audience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Channel</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1742"/>
            <w:shd w:val="clear" w:color="auto" w:fill="004EA8"/>
            <w:tcMar>
              <w:top w:w="50" w:type="dxa"/>
              <w:bottom w:w="50" w:type="dxa"/>
              <w:left w:w="90" w:type="dxa"/>
              <w:right w:w="90" w:type="dxa"/>
            </w:tcMar>
            <w:vAlign w:val="center"/>
          </w:tcPr>
          <w:p>
            <w:pPr>
              <w:pStyle w:val="BDOITableHeader"/>
            </w:pPr>
            <w:r>
              <w:rPr>
                <w:b/>
                <w:color w:val="FFFFFF"/>
                <w:sz w:val="16"/>
              </w:rPr>
              <w:t>Owner</w:t>
            </w:r>
          </w:p>
        </w:tc>
      </w:tr>
      <w:tr>
        <w:trPr>
          <w:cantSplit w:val="true"/>
        </w:trPr>
        <w:tc>
          <w:tcPr>
            <w:tcW w:type="dxa" w:w="421"/>
            <w:tcMar>
              <w:top w:w="50" w:type="dxa"/>
              <w:bottom w:w="50" w:type="dxa"/>
              <w:left w:w="90" w:type="dxa"/>
              <w:right w:w="90" w:type="dxa"/>
            </w:tcMar>
          </w:tcPr>
          <w:p>
            <w:pPr>
              <w:pStyle w:val="BDOITable"/>
            </w:pPr>
            <w:r>
              <w:rPr>
                <w:sz w:val="16"/>
              </w:rPr>
              <w:t>1</w:t>
            </w:r>
          </w:p>
        </w:tc>
        <w:tc>
          <w:tcPr>
            <w:tcW w:type="dxa" w:w="2403"/>
            <w:tcMar>
              <w:top w:w="50" w:type="dxa"/>
              <w:bottom w:w="50" w:type="dxa"/>
              <w:left w:w="90" w:type="dxa"/>
              <w:right w:w="90" w:type="dxa"/>
            </w:tcMar>
          </w:tcPr>
          <w:p>
            <w:pPr>
              <w:pStyle w:val="BDOITable"/>
            </w:pPr>
            <w:r>
              <w:rPr>
                <w:sz w:val="16"/>
              </w:rPr>
              <w:t>BIBS unavailable; what is known; next update time</w:t>
            </w:r>
          </w:p>
        </w:tc>
        <w:tc>
          <w:tcPr>
            <w:tcW w:type="dxa" w:w="2042"/>
            <w:tcMar>
              <w:top w:w="50" w:type="dxa"/>
              <w:bottom w:w="50" w:type="dxa"/>
              <w:left w:w="90" w:type="dxa"/>
              <w:right w:w="90" w:type="dxa"/>
            </w:tcMar>
          </w:tcPr>
          <w:p>
            <w:pPr>
              <w:pStyle w:val="BDOITable"/>
            </w:pPr>
            <w:r>
              <w:rPr>
                <w:sz w:val="16"/>
              </w:rPr>
              <w:t>All users; department heads</w:t>
            </w:r>
          </w:p>
        </w:tc>
        <w:tc>
          <w:tcPr>
            <w:tcW w:type="dxa" w:w="1802"/>
            <w:tcMar>
              <w:top w:w="50" w:type="dxa"/>
              <w:bottom w:w="50" w:type="dxa"/>
              <w:left w:w="90" w:type="dxa"/>
              <w:right w:w="90" w:type="dxa"/>
            </w:tcMar>
          </w:tcPr>
          <w:p>
            <w:pPr>
              <w:pStyle w:val="BDOITable"/>
            </w:pPr>
            <w:r>
              <w:rPr>
                <w:sz w:val="16"/>
              </w:rPr>
              <w:t>E-mail, intranet banner, branch heads' phone tree</w:t>
            </w:r>
          </w:p>
        </w:tc>
        <w:tc>
          <w:tcPr>
            <w:tcW w:type="dxa" w:w="1562"/>
            <w:tcMar>
              <w:top w:w="50" w:type="dxa"/>
              <w:bottom w:w="50" w:type="dxa"/>
              <w:left w:w="90" w:type="dxa"/>
              <w:right w:w="90" w:type="dxa"/>
            </w:tcMar>
          </w:tcPr>
          <w:p>
            <w:pPr>
              <w:pStyle w:val="BDOITable"/>
            </w:pPr>
            <w:r>
              <w:rPr>
                <w:sz w:val="16"/>
              </w:rPr>
              <w:t>Within 30 minutes of the P1</w:t>
            </w:r>
          </w:p>
        </w:tc>
        <w:tc>
          <w:tcPr>
            <w:tcW w:type="dxa" w:w="1742"/>
            <w:tcMar>
              <w:top w:w="50" w:type="dxa"/>
              <w:bottom w:w="50" w:type="dxa"/>
              <w:left w:w="90" w:type="dxa"/>
              <w:right w:w="90" w:type="dxa"/>
            </w:tcMar>
          </w:tcPr>
          <w:p>
            <w:pPr>
              <w:pStyle w:val="BDOITable"/>
            </w:pPr>
            <w:r>
              <w:rPr>
                <w:sz w:val="16"/>
              </w:rPr>
              <w:t>L1 lead</w:t>
            </w:r>
          </w:p>
        </w:tc>
      </w:tr>
      <w:tr>
        <w:trPr>
          <w:cantSplit w:val="true"/>
        </w:trPr>
        <w:tc>
          <w:tcPr>
            <w:tcW w:type="dxa" w:w="421"/>
            <w:tcMar>
              <w:top w:w="50" w:type="dxa"/>
              <w:bottom w:w="50" w:type="dxa"/>
              <w:left w:w="90" w:type="dxa"/>
              <w:right w:w="90" w:type="dxa"/>
            </w:tcMar>
            <w:shd w:val="clear" w:color="auto" w:fill="E5F5FF"/>
          </w:tcPr>
          <w:p>
            <w:pPr>
              <w:pStyle w:val="BDOITable"/>
            </w:pPr>
            <w:r>
              <w:rPr>
                <w:sz w:val="16"/>
              </w:rPr>
              <w:t>2</w:t>
            </w:r>
          </w:p>
        </w:tc>
        <w:tc>
          <w:tcPr>
            <w:tcW w:type="dxa" w:w="2403"/>
            <w:tcMar>
              <w:top w:w="50" w:type="dxa"/>
              <w:bottom w:w="50" w:type="dxa"/>
              <w:left w:w="90" w:type="dxa"/>
              <w:right w:w="90" w:type="dxa"/>
            </w:tcMar>
            <w:shd w:val="clear" w:color="auto" w:fill="E5F5FF"/>
          </w:tcPr>
          <w:p>
            <w:pPr>
              <w:pStyle w:val="BDOITable"/>
            </w:pPr>
            <w:r>
              <w:rPr>
                <w:sz w:val="16"/>
              </w:rPr>
              <w:t>Continuity procedures active; which ones; where the continuity pack is</w:t>
            </w:r>
          </w:p>
        </w:tc>
        <w:tc>
          <w:tcPr>
            <w:tcW w:type="dxa" w:w="2042"/>
            <w:tcMar>
              <w:top w:w="50" w:type="dxa"/>
              <w:bottom w:w="50" w:type="dxa"/>
              <w:left w:w="90" w:type="dxa"/>
              <w:right w:w="90" w:type="dxa"/>
            </w:tcMar>
            <w:shd w:val="clear" w:color="auto" w:fill="E5F5FF"/>
          </w:tcPr>
          <w:p>
            <w:pPr>
              <w:pStyle w:val="BDOITable"/>
            </w:pPr>
            <w:r>
              <w:rPr>
                <w:sz w:val="16"/>
              </w:rPr>
              <w:t>Department heads, branch heads, custodians</w:t>
            </w:r>
          </w:p>
        </w:tc>
        <w:tc>
          <w:tcPr>
            <w:tcW w:type="dxa" w:w="1802"/>
            <w:tcMar>
              <w:top w:w="50" w:type="dxa"/>
              <w:bottom w:w="50" w:type="dxa"/>
              <w:left w:w="90" w:type="dxa"/>
              <w:right w:w="90" w:type="dxa"/>
            </w:tcMar>
            <w:shd w:val="clear" w:color="auto" w:fill="E5F5FF"/>
          </w:tcPr>
          <w:p>
            <w:pPr>
              <w:pStyle w:val="BDOITable"/>
            </w:pPr>
            <w:r>
              <w:rPr>
                <w:sz w:val="16"/>
              </w:rPr>
              <w:t>E-mail and phone tree</w:t>
            </w:r>
          </w:p>
        </w:tc>
        <w:tc>
          <w:tcPr>
            <w:tcW w:type="dxa" w:w="1562"/>
            <w:tcMar>
              <w:top w:w="50" w:type="dxa"/>
              <w:bottom w:w="50" w:type="dxa"/>
              <w:left w:w="90" w:type="dxa"/>
              <w:right w:w="90" w:type="dxa"/>
            </w:tcMar>
            <w:shd w:val="clear" w:color="auto" w:fill="E5F5FF"/>
          </w:tcPr>
          <w:p>
            <w:pPr>
              <w:pStyle w:val="BDOITable"/>
            </w:pPr>
            <w:r>
              <w:rPr>
                <w:sz w:val="16"/>
              </w:rPr>
              <w:t>At activation</w:t>
            </w:r>
          </w:p>
        </w:tc>
        <w:tc>
          <w:tcPr>
            <w:tcW w:type="dxa" w:w="1742"/>
            <w:tcMar>
              <w:top w:w="50" w:type="dxa"/>
              <w:bottom w:w="50" w:type="dxa"/>
              <w:left w:w="90" w:type="dxa"/>
              <w:right w:w="90" w:type="dxa"/>
            </w:tcMar>
            <w:shd w:val="clear" w:color="auto" w:fill="E5F5FF"/>
          </w:tcPr>
          <w:p>
            <w:pPr>
              <w:pStyle w:val="BDOITable"/>
            </w:pPr>
            <w:r>
              <w:rPr>
                <w:sz w:val="16"/>
              </w:rPr>
              <w:t>BIBS Service Owner</w:t>
            </w:r>
          </w:p>
        </w:tc>
      </w:tr>
      <w:tr>
        <w:trPr>
          <w:cantSplit w:val="true"/>
        </w:trPr>
        <w:tc>
          <w:tcPr>
            <w:tcW w:type="dxa" w:w="421"/>
            <w:tcMar>
              <w:top w:w="50" w:type="dxa"/>
              <w:bottom w:w="50" w:type="dxa"/>
              <w:left w:w="90" w:type="dxa"/>
              <w:right w:w="90" w:type="dxa"/>
            </w:tcMar>
          </w:tcPr>
          <w:p>
            <w:pPr>
              <w:pStyle w:val="BDOITable"/>
            </w:pPr>
            <w:r>
              <w:rPr>
                <w:sz w:val="16"/>
              </w:rPr>
              <w:t>3</w:t>
            </w:r>
          </w:p>
        </w:tc>
        <w:tc>
          <w:tcPr>
            <w:tcW w:type="dxa" w:w="2403"/>
            <w:tcMar>
              <w:top w:w="50" w:type="dxa"/>
              <w:bottom w:w="50" w:type="dxa"/>
              <w:left w:w="90" w:type="dxa"/>
              <w:right w:w="90" w:type="dxa"/>
            </w:tcMar>
          </w:tcPr>
          <w:p>
            <w:pPr>
              <w:pStyle w:val="BDOITable"/>
            </w:pPr>
            <w:r>
              <w:rPr>
                <w:sz w:val="16"/>
              </w:rPr>
              <w:t>Hourly update</w:t>
            </w:r>
          </w:p>
        </w:tc>
        <w:tc>
          <w:tcPr>
            <w:tcW w:type="dxa" w:w="2042"/>
            <w:tcMar>
              <w:top w:w="50" w:type="dxa"/>
              <w:bottom w:w="50" w:type="dxa"/>
              <w:left w:w="90" w:type="dxa"/>
              <w:right w:w="90" w:type="dxa"/>
            </w:tcMar>
          </w:tcPr>
          <w:p>
            <w:pPr>
              <w:pStyle w:val="BDOITable"/>
            </w:pPr>
            <w:r>
              <w:rPr>
                <w:sz w:val="16"/>
              </w:rPr>
              <w:t>Same as 1</w:t>
            </w:r>
          </w:p>
        </w:tc>
        <w:tc>
          <w:tcPr>
            <w:tcW w:type="dxa" w:w="1802"/>
            <w:tcMar>
              <w:top w:w="50" w:type="dxa"/>
              <w:bottom w:w="50" w:type="dxa"/>
              <w:left w:w="90" w:type="dxa"/>
              <w:right w:w="90" w:type="dxa"/>
            </w:tcMar>
          </w:tcPr>
          <w:p>
            <w:pPr>
              <w:pStyle w:val="BDOITable"/>
            </w:pPr>
            <w:r>
              <w:rPr>
                <w:sz w:val="16"/>
              </w:rPr>
              <w:t>E-mail</w:t>
            </w:r>
          </w:p>
        </w:tc>
        <w:tc>
          <w:tcPr>
            <w:tcW w:type="dxa" w:w="1562"/>
            <w:tcMar>
              <w:top w:w="50" w:type="dxa"/>
              <w:bottom w:w="50" w:type="dxa"/>
              <w:left w:w="90" w:type="dxa"/>
              <w:right w:w="90" w:type="dxa"/>
            </w:tcMar>
          </w:tcPr>
          <w:p>
            <w:pPr>
              <w:pStyle w:val="BDOITable"/>
            </w:pPr>
            <w:r>
              <w:rPr>
                <w:sz w:val="16"/>
              </w:rPr>
              <w:t>Every hour until restored</w:t>
            </w:r>
          </w:p>
        </w:tc>
        <w:tc>
          <w:tcPr>
            <w:tcW w:type="dxa" w:w="1742"/>
            <w:tcMar>
              <w:top w:w="50" w:type="dxa"/>
              <w:bottom w:w="50" w:type="dxa"/>
              <w:left w:w="90" w:type="dxa"/>
              <w:right w:w="90" w:type="dxa"/>
            </w:tcMar>
          </w:tcPr>
          <w:p>
            <w:pPr>
              <w:pStyle w:val="BDOITable"/>
            </w:pPr>
            <w:r>
              <w:rPr>
                <w:sz w:val="16"/>
              </w:rPr>
              <w:t>L1 lead</w:t>
            </w:r>
          </w:p>
        </w:tc>
      </w:tr>
      <w:tr>
        <w:trPr>
          <w:cantSplit w:val="true"/>
        </w:trPr>
        <w:tc>
          <w:tcPr>
            <w:tcW w:type="dxa" w:w="421"/>
            <w:tcMar>
              <w:top w:w="50" w:type="dxa"/>
              <w:bottom w:w="50" w:type="dxa"/>
              <w:left w:w="90" w:type="dxa"/>
              <w:right w:w="90" w:type="dxa"/>
            </w:tcMar>
            <w:shd w:val="clear" w:color="auto" w:fill="E5F5FF"/>
          </w:tcPr>
          <w:p>
            <w:pPr>
              <w:pStyle w:val="BDOITable"/>
            </w:pPr>
            <w:r>
              <w:rPr>
                <w:sz w:val="16"/>
              </w:rPr>
              <w:t>4</w:t>
            </w:r>
          </w:p>
        </w:tc>
        <w:tc>
          <w:tcPr>
            <w:tcW w:type="dxa" w:w="2403"/>
            <w:tcMar>
              <w:top w:w="50" w:type="dxa"/>
              <w:bottom w:w="50" w:type="dxa"/>
              <w:left w:w="90" w:type="dxa"/>
              <w:right w:w="90" w:type="dxa"/>
            </w:tcMar>
            <w:shd w:val="clear" w:color="auto" w:fill="E5F5FF"/>
          </w:tcPr>
          <w:p>
            <w:pPr>
              <w:pStyle w:val="BDOITable"/>
            </w:pPr>
            <w:r>
              <w:rPr>
                <w:sz w:val="16"/>
              </w:rPr>
              <w:t>Service restored (or open in DR); what to re-key; the catch-up timetable</w:t>
            </w:r>
          </w:p>
        </w:tc>
        <w:tc>
          <w:tcPr>
            <w:tcW w:type="dxa" w:w="2042"/>
            <w:tcMar>
              <w:top w:w="50" w:type="dxa"/>
              <w:bottom w:w="50" w:type="dxa"/>
              <w:left w:w="90" w:type="dxa"/>
              <w:right w:w="90" w:type="dxa"/>
            </w:tcMar>
            <w:shd w:val="clear" w:color="auto" w:fill="E5F5FF"/>
          </w:tcPr>
          <w:p>
            <w:pPr>
              <w:pStyle w:val="BDOITable"/>
            </w:pPr>
            <w:r>
              <w:rPr>
                <w:sz w:val="16"/>
              </w:rPr>
              <w:t>All users</w:t>
            </w:r>
          </w:p>
        </w:tc>
        <w:tc>
          <w:tcPr>
            <w:tcW w:type="dxa" w:w="1802"/>
            <w:tcMar>
              <w:top w:w="50" w:type="dxa"/>
              <w:bottom w:w="50" w:type="dxa"/>
              <w:left w:w="90" w:type="dxa"/>
              <w:right w:w="90" w:type="dxa"/>
            </w:tcMar>
            <w:shd w:val="clear" w:color="auto" w:fill="E5F5FF"/>
          </w:tcPr>
          <w:p>
            <w:pPr>
              <w:pStyle w:val="BDOITable"/>
            </w:pPr>
            <w:r>
              <w:rPr>
                <w:sz w:val="16"/>
              </w:rPr>
              <w:t>E-mail, intranet</w:t>
            </w:r>
          </w:p>
        </w:tc>
        <w:tc>
          <w:tcPr>
            <w:tcW w:type="dxa" w:w="1562"/>
            <w:tcMar>
              <w:top w:w="50" w:type="dxa"/>
              <w:bottom w:w="50" w:type="dxa"/>
              <w:left w:w="90" w:type="dxa"/>
              <w:right w:w="90" w:type="dxa"/>
            </w:tcMar>
            <w:shd w:val="clear" w:color="auto" w:fill="E5F5FF"/>
          </w:tcPr>
          <w:p>
            <w:pPr>
              <w:pStyle w:val="BDOITable"/>
            </w:pPr>
            <w:r>
              <w:rPr>
                <w:sz w:val="16"/>
              </w:rPr>
              <w:t>At restore</w:t>
            </w:r>
          </w:p>
        </w:tc>
        <w:tc>
          <w:tcPr>
            <w:tcW w:type="dxa" w:w="1742"/>
            <w:tcMar>
              <w:top w:w="50" w:type="dxa"/>
              <w:bottom w:w="50" w:type="dxa"/>
              <w:left w:w="90" w:type="dxa"/>
              <w:right w:w="90" w:type="dxa"/>
            </w:tcMar>
            <w:shd w:val="clear" w:color="auto" w:fill="E5F5FF"/>
          </w:tcPr>
          <w:p>
            <w:pPr>
              <w:pStyle w:val="BDOITable"/>
            </w:pPr>
            <w:r>
              <w:rPr>
                <w:sz w:val="16"/>
              </w:rPr>
              <w:t>BIBS Service Owner</w:t>
            </w:r>
          </w:p>
        </w:tc>
      </w:tr>
      <w:tr>
        <w:trPr>
          <w:cantSplit w:val="true"/>
        </w:trPr>
        <w:tc>
          <w:tcPr>
            <w:tcW w:type="dxa" w:w="421"/>
            <w:tcMar>
              <w:top w:w="50" w:type="dxa"/>
              <w:bottom w:w="50" w:type="dxa"/>
              <w:left w:w="90" w:type="dxa"/>
              <w:right w:w="90" w:type="dxa"/>
            </w:tcMar>
          </w:tcPr>
          <w:p>
            <w:pPr>
              <w:pStyle w:val="BDOITable"/>
            </w:pPr>
            <w:r>
              <w:rPr>
                <w:sz w:val="16"/>
              </w:rPr>
              <w:t>5</w:t>
            </w:r>
          </w:p>
        </w:tc>
        <w:tc>
          <w:tcPr>
            <w:tcW w:type="dxa" w:w="2403"/>
            <w:tcMar>
              <w:top w:w="50" w:type="dxa"/>
              <w:bottom w:w="50" w:type="dxa"/>
              <w:left w:w="90" w:type="dxa"/>
              <w:right w:w="90" w:type="dxa"/>
            </w:tcMar>
          </w:tcPr>
          <w:p>
            <w:pPr>
              <w:pStyle w:val="BDOITable"/>
            </w:pPr>
            <w:r>
              <w:rPr>
                <w:sz w:val="16"/>
              </w:rPr>
              <w:t>Delays in remittances, payments or files</w:t>
            </w:r>
          </w:p>
        </w:tc>
        <w:tc>
          <w:tcPr>
            <w:tcW w:type="dxa" w:w="2042"/>
            <w:tcMar>
              <w:top w:w="50" w:type="dxa"/>
              <w:bottom w:w="50" w:type="dxa"/>
              <w:left w:w="90" w:type="dxa"/>
              <w:right w:w="90" w:type="dxa"/>
            </w:tcMar>
          </w:tcPr>
          <w:p>
            <w:pPr>
              <w:pStyle w:val="BDOITable"/>
            </w:pPr>
            <w:r>
              <w:rPr>
                <w:sz w:val="16"/>
              </w:rPr>
              <w:t>Insurers, bank channels, corporate clients concerned</w:t>
            </w:r>
          </w:p>
        </w:tc>
        <w:tc>
          <w:tcPr>
            <w:tcW w:type="dxa" w:w="1802"/>
            <w:tcMar>
              <w:top w:w="50" w:type="dxa"/>
              <w:bottom w:w="50" w:type="dxa"/>
              <w:left w:w="90" w:type="dxa"/>
              <w:right w:w="90" w:type="dxa"/>
            </w:tcMar>
          </w:tcPr>
          <w:p>
            <w:pPr>
              <w:pStyle w:val="BDOITable"/>
            </w:pPr>
            <w:r>
              <w:rPr>
                <w:sz w:val="16"/>
              </w:rPr>
              <w:t>Letter or e-mail from Operations</w:t>
            </w:r>
          </w:p>
        </w:tc>
        <w:tc>
          <w:tcPr>
            <w:tcW w:type="dxa" w:w="1562"/>
            <w:tcMar>
              <w:top w:w="50" w:type="dxa"/>
              <w:bottom w:w="50" w:type="dxa"/>
              <w:left w:w="90" w:type="dxa"/>
              <w:right w:w="90" w:type="dxa"/>
            </w:tcMar>
          </w:tcPr>
          <w:p>
            <w:pPr>
              <w:pStyle w:val="BDOITable"/>
            </w:pPr>
            <w:r>
              <w:rPr>
                <w:sz w:val="16"/>
              </w:rPr>
              <w:t>When an outage passes 4 hours in the service window or crosses a due date</w:t>
            </w:r>
          </w:p>
        </w:tc>
        <w:tc>
          <w:tcPr>
            <w:tcW w:type="dxa" w:w="1742"/>
            <w:tcMar>
              <w:top w:w="50" w:type="dxa"/>
              <w:bottom w:w="50" w:type="dxa"/>
              <w:left w:w="90" w:type="dxa"/>
              <w:right w:w="90" w:type="dxa"/>
            </w:tcMar>
          </w:tcPr>
          <w:p>
            <w:pPr>
              <w:pStyle w:val="BDOITable"/>
            </w:pPr>
            <w:r>
              <w:rPr>
                <w:sz w:val="16"/>
              </w:rPr>
              <w:t>Head, Operations</w:t>
            </w:r>
          </w:p>
        </w:tc>
      </w:tr>
      <w:tr>
        <w:trPr>
          <w:cantSplit w:val="true"/>
        </w:trPr>
        <w:tc>
          <w:tcPr>
            <w:tcW w:type="dxa" w:w="421"/>
            <w:tcMar>
              <w:top w:w="50" w:type="dxa"/>
              <w:bottom w:w="50" w:type="dxa"/>
              <w:left w:w="90" w:type="dxa"/>
              <w:right w:w="90" w:type="dxa"/>
            </w:tcMar>
            <w:shd w:val="clear" w:color="auto" w:fill="E5F5FF"/>
          </w:tcPr>
          <w:p>
            <w:pPr>
              <w:pStyle w:val="BDOITable"/>
            </w:pPr>
            <w:r>
              <w:rPr>
                <w:sz w:val="16"/>
              </w:rPr>
              <w:t>6</w:t>
            </w:r>
          </w:p>
        </w:tc>
        <w:tc>
          <w:tcPr>
            <w:tcW w:type="dxa" w:w="2403"/>
            <w:tcMar>
              <w:top w:w="50" w:type="dxa"/>
              <w:bottom w:w="50" w:type="dxa"/>
              <w:left w:w="90" w:type="dxa"/>
              <w:right w:w="90" w:type="dxa"/>
            </w:tcMar>
            <w:shd w:val="clear" w:color="auto" w:fill="E5F5FF"/>
          </w:tcPr>
          <w:p>
            <w:pPr>
              <w:pStyle w:val="BDOITable"/>
            </w:pPr>
            <w:r>
              <w:rPr>
                <w:sz w:val="16"/>
              </w:rPr>
              <w:t>Notice to the BDO group and regulators as required by the BDO incident reporting policy</w:t>
            </w:r>
          </w:p>
        </w:tc>
        <w:tc>
          <w:tcPr>
            <w:tcW w:type="dxa" w:w="2042"/>
            <w:tcMar>
              <w:top w:w="50" w:type="dxa"/>
              <w:bottom w:w="50" w:type="dxa"/>
              <w:left w:w="90" w:type="dxa"/>
              <w:right w:w="90" w:type="dxa"/>
            </w:tcMar>
            <w:shd w:val="clear" w:color="auto" w:fill="E5F5FF"/>
          </w:tcPr>
          <w:p>
            <w:pPr>
              <w:pStyle w:val="BDOITable"/>
            </w:pPr>
            <w:r>
              <w:rPr>
                <w:sz w:val="16"/>
              </w:rPr>
              <w:t>BDO Business Continuity Management; regulators named by Compliance</w:t>
            </w:r>
          </w:p>
        </w:tc>
        <w:tc>
          <w:tcPr>
            <w:tcW w:type="dxa" w:w="1802"/>
            <w:tcMar>
              <w:top w:w="50" w:type="dxa"/>
              <w:bottom w:w="50" w:type="dxa"/>
              <w:left w:w="90" w:type="dxa"/>
              <w:right w:w="90" w:type="dxa"/>
            </w:tcMar>
            <w:shd w:val="clear" w:color="auto" w:fill="E5F5FF"/>
          </w:tcPr>
          <w:p>
            <w:pPr>
              <w:pStyle w:val="BDOITable"/>
            </w:pPr>
            <w:r>
              <w:rPr>
                <w:sz w:val="16"/>
              </w:rPr>
              <w:t>Per policy</w:t>
            </w:r>
          </w:p>
        </w:tc>
        <w:tc>
          <w:tcPr>
            <w:tcW w:type="dxa" w:w="1562"/>
            <w:tcMar>
              <w:top w:w="50" w:type="dxa"/>
              <w:bottom w:w="50" w:type="dxa"/>
              <w:left w:w="90" w:type="dxa"/>
              <w:right w:w="90" w:type="dxa"/>
            </w:tcMar>
            <w:shd w:val="clear" w:color="auto" w:fill="E5F5FF"/>
          </w:tcPr>
          <w:p>
            <w:pPr>
              <w:pStyle w:val="BDOITable"/>
            </w:pPr>
            <w:r>
              <w:rPr>
                <w:sz w:val="16"/>
              </w:rPr>
              <w:t>As the policy requires</w:t>
            </w:r>
          </w:p>
        </w:tc>
        <w:tc>
          <w:tcPr>
            <w:tcW w:type="dxa" w:w="1742"/>
            <w:tcMar>
              <w:top w:w="50" w:type="dxa"/>
              <w:bottom w:w="50" w:type="dxa"/>
              <w:left w:w="90" w:type="dxa"/>
              <w:right w:w="90" w:type="dxa"/>
            </w:tcMar>
            <w:shd w:val="clear" w:color="auto" w:fill="E5F5FF"/>
          </w:tcPr>
          <w:p>
            <w:pPr>
              <w:pStyle w:val="BDOITable"/>
            </w:pPr>
            <w:r>
              <w:rPr>
                <w:sz w:val="16"/>
              </w:rPr>
              <w:t>Compliance</w:t>
            </w:r>
          </w:p>
        </w:tc>
      </w:tr>
      <w:tr>
        <w:trPr>
          <w:cantSplit w:val="true"/>
        </w:trPr>
        <w:tc>
          <w:tcPr>
            <w:tcW w:type="dxa" w:w="421"/>
            <w:tcMar>
              <w:top w:w="50" w:type="dxa"/>
              <w:bottom w:w="50" w:type="dxa"/>
              <w:left w:w="90" w:type="dxa"/>
              <w:right w:w="90" w:type="dxa"/>
            </w:tcMar>
          </w:tcPr>
          <w:p>
            <w:pPr>
              <w:pStyle w:val="BDOITable"/>
            </w:pPr>
            <w:r>
              <w:rPr>
                <w:sz w:val="16"/>
              </w:rPr>
              <w:t>7</w:t>
            </w:r>
          </w:p>
        </w:tc>
        <w:tc>
          <w:tcPr>
            <w:tcW w:type="dxa" w:w="2403"/>
            <w:tcMar>
              <w:top w:w="50" w:type="dxa"/>
              <w:bottom w:w="50" w:type="dxa"/>
              <w:left w:w="90" w:type="dxa"/>
              <w:right w:w="90" w:type="dxa"/>
            </w:tcMar>
          </w:tcPr>
          <w:p>
            <w:pPr>
              <w:pStyle w:val="BDOITable"/>
            </w:pPr>
            <w:r>
              <w:rPr>
                <w:sz w:val="16"/>
              </w:rPr>
              <w:t>Incident report with root cause and actions</w:t>
            </w:r>
          </w:p>
        </w:tc>
        <w:tc>
          <w:tcPr>
            <w:tcW w:type="dxa" w:w="2042"/>
            <w:tcMar>
              <w:top w:w="50" w:type="dxa"/>
              <w:bottom w:w="50" w:type="dxa"/>
              <w:left w:w="90" w:type="dxa"/>
              <w:right w:w="90" w:type="dxa"/>
            </w:tcMar>
          </w:tcPr>
          <w:p>
            <w:pPr>
              <w:pStyle w:val="BDOITable"/>
            </w:pPr>
            <w:r>
              <w:rPr>
                <w:sz w:val="16"/>
              </w:rPr>
              <w:t>Head, BDOI IT; BIBS Product Owner; BDO BCM</w:t>
            </w:r>
          </w:p>
        </w:tc>
        <w:tc>
          <w:tcPr>
            <w:tcW w:type="dxa" w:w="1802"/>
            <w:tcMar>
              <w:top w:w="50" w:type="dxa"/>
              <w:bottom w:w="50" w:type="dxa"/>
              <w:left w:w="90" w:type="dxa"/>
              <w:right w:w="90" w:type="dxa"/>
            </w:tcMar>
          </w:tcPr>
          <w:p>
            <w:pPr>
              <w:pStyle w:val="BDOITable"/>
            </w:pPr>
            <w:r>
              <w:rPr>
                <w:sz w:val="16"/>
              </w:rPr>
              <w:t>Report</w:t>
            </w:r>
          </w:p>
        </w:tc>
        <w:tc>
          <w:tcPr>
            <w:tcW w:type="dxa" w:w="1562"/>
            <w:tcMar>
              <w:top w:w="50" w:type="dxa"/>
              <w:bottom w:w="50" w:type="dxa"/>
              <w:left w:w="90" w:type="dxa"/>
              <w:right w:w="90" w:type="dxa"/>
            </w:tcMar>
          </w:tcPr>
          <w:p>
            <w:pPr>
              <w:pStyle w:val="BDOITable"/>
            </w:pPr>
            <w:r>
              <w:rPr>
                <w:sz w:val="16"/>
              </w:rPr>
              <w:t>Within 5 business days</w:t>
            </w:r>
          </w:p>
        </w:tc>
        <w:tc>
          <w:tcPr>
            <w:tcW w:type="dxa" w:w="1742"/>
            <w:tcMar>
              <w:top w:w="50" w:type="dxa"/>
              <w:bottom w:w="50" w:type="dxa"/>
              <w:left w:w="90" w:type="dxa"/>
              <w:right w:w="90" w:type="dxa"/>
            </w:tcMar>
          </w:tcPr>
          <w:p>
            <w:pPr>
              <w:pStyle w:val="BDOITable"/>
            </w:pPr>
            <w:r>
              <w:rPr>
                <w:sz w:val="16"/>
              </w:rPr>
              <w:t>iorta TechNXT Support Manager with BDO Cloud Operations</w:t>
            </w:r>
          </w:p>
        </w:tc>
      </w:tr>
    </w:tbl>
    <w:p>
      <w:pPr>
        <w:pStyle w:val="BDOISpacer"/>
      </w:pPr>
    </w:p>
    <w:p>
      <w:pPr>
        <w:pStyle w:val="Heading1"/>
        <w:pageBreakBefore/>
        <w:pBdr>
          <w:bottom w:val="single" w:sz="4" w:space="4" w:color="99C1E7"/>
        </w:pBdr>
      </w:pPr>
      <w:bookmarkStart w:id="136" w:name="_Toc000136"/>
      <w:r>
        <w:rPr/>
        <w:t>12 Maintaining this plan</w:t>
      </w:r>
      <w:bookmarkEnd w:id="136"/>
    </w:p>
    <w:p>
      <w:r>
        <w:rPr/>
        <w:t>The plan is reviewed every year in March, after every drill and after every change of the topology, the service tiers or the BDO policy. The BIBS Service Owner owns it; changes are approved by the DR authority. Contact lists are checked every quarter.</w:t>
      </w:r>
    </w:p>
    <w:p>
      <w:pPr>
        <w:pStyle w:val="Heading1"/>
        <w:pageBreakBefore/>
        <w:pBdr>
          <w:bottom w:val="single" w:sz="4" w:space="4" w:color="99C1E7"/>
        </w:pBdr>
      </w:pPr>
      <w:bookmarkStart w:id="137" w:name="_Toc000137"/>
      <w:r>
        <w:rPr/>
        <w:t>Decisions and open points for BDOI</w:t>
      </w:r>
      <w:bookmarkEnd w:id="137"/>
    </w:p>
    <w:p>
      <w:pPr>
        <w:pStyle w:val="Caption"/>
        <w:keepNext/>
        <w:spacing w:after="60"/>
      </w:pPr>
      <w:r>
        <w:rPr>
          <w:b/>
          <w:i w:val="0"/>
        </w:rPr>
        <w:t xml:space="preserve">Table 16: </w:t>
      </w:r>
      <w:r>
        <w:rPr/>
        <w:t>Decisions and open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1"/>
        <w:gridCol w:w="5166"/>
        <w:gridCol w:w="2403"/>
        <w:gridCol w:w="1501"/>
      </w:tblGrid>
      <w:tr>
        <w:trPr>
          <w:tblHeader w:val="true"/>
          <w:cantSplit w:val="true"/>
        </w:trPr>
        <w:tc>
          <w:tcPr>
            <w:tcW w:type="dxa" w:w="901"/>
            <w:shd w:val="clear" w:color="auto" w:fill="004EA8"/>
            <w:tcMar>
              <w:top w:w="50" w:type="dxa"/>
              <w:bottom w:w="50" w:type="dxa"/>
              <w:left w:w="90" w:type="dxa"/>
              <w:right w:w="90" w:type="dxa"/>
            </w:tcMar>
            <w:vAlign w:val="center"/>
          </w:tcPr>
          <w:p>
            <w:pPr>
              <w:pStyle w:val="BDOITableHeader"/>
            </w:pPr>
            <w:r>
              <w:rPr>
                <w:b/>
                <w:color w:val="FFFFFF"/>
                <w:sz w:val="17"/>
              </w:rPr>
              <w:t>Ref</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7"/>
              </w:rPr>
              <w:t>Point and our proposal</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502"/>
            <w:shd w:val="clear" w:color="auto" w:fill="004EA8"/>
            <w:tcMar>
              <w:top w:w="50" w:type="dxa"/>
              <w:bottom w:w="50" w:type="dxa"/>
              <w:left w:w="90" w:type="dxa"/>
              <w:right w:w="90" w:type="dxa"/>
            </w:tcMar>
            <w:vAlign w:val="center"/>
          </w:tcPr>
          <w:p>
            <w:pPr>
              <w:pStyle w:val="BDOITableHeader"/>
            </w:pPr>
            <w:r>
              <w:rPr>
                <w:b/>
                <w:color w:val="FFFFFF"/>
                <w:sz w:val="17"/>
              </w:rPr>
              <w:t>Needed by</w:t>
            </w:r>
          </w:p>
        </w:tc>
      </w:tr>
      <w:tr>
        <w:trPr>
          <w:cantSplit w:val="true"/>
        </w:trPr>
        <w:tc>
          <w:tcPr>
            <w:tcW w:type="dxa" w:w="901"/>
            <w:tcMar>
              <w:top w:w="50" w:type="dxa"/>
              <w:bottom w:w="50" w:type="dxa"/>
              <w:left w:w="90" w:type="dxa"/>
              <w:right w:w="90" w:type="dxa"/>
            </w:tcMar>
          </w:tcPr>
          <w:p>
            <w:pPr>
              <w:pStyle w:val="BDOITable"/>
            </w:pPr>
            <w:r>
              <w:rPr>
                <w:b/>
                <w:sz w:val="17"/>
              </w:rPr>
              <w:t>OP-01</w:t>
            </w:r>
          </w:p>
        </w:tc>
        <w:tc>
          <w:tcPr>
            <w:tcW w:type="dxa" w:w="5166"/>
            <w:tcMar>
              <w:top w:w="50" w:type="dxa"/>
              <w:bottom w:w="50" w:type="dxa"/>
              <w:left w:w="90" w:type="dxa"/>
              <w:right w:w="90" w:type="dxa"/>
            </w:tcMar>
          </w:tcPr>
          <w:p>
            <w:pPr>
              <w:pStyle w:val="BDOITable"/>
            </w:pPr>
            <w:r>
              <w:rPr>
                <w:sz w:val="17"/>
              </w:rPr>
              <w:t>Name the DR region and confirm that data residency allows it (IQ26, DCR-225, DSQ01); until then the plan assumes a second AWS region approved under the same cross-border basis</w:t>
            </w:r>
          </w:p>
        </w:tc>
        <w:tc>
          <w:tcPr>
            <w:tcW w:type="dxa" w:w="2403"/>
            <w:tcMar>
              <w:top w:w="50" w:type="dxa"/>
              <w:bottom w:w="50" w:type="dxa"/>
              <w:left w:w="90" w:type="dxa"/>
              <w:right w:w="90" w:type="dxa"/>
            </w:tcMar>
          </w:tcPr>
          <w:p>
            <w:pPr>
              <w:pStyle w:val="BDOITable"/>
            </w:pPr>
            <w:r>
              <w:rPr>
                <w:sz w:val="17"/>
              </w:rPr>
              <w:t>Compliance with BDOI IT</w:t>
            </w:r>
          </w:p>
        </w:tc>
        <w:tc>
          <w:tcPr>
            <w:tcW w:type="dxa" w:w="1502"/>
            <w:tcMar>
              <w:top w:w="50" w:type="dxa"/>
              <w:bottom w:w="50" w:type="dxa"/>
              <w:left w:w="90" w:type="dxa"/>
              <w:right w:w="90" w:type="dxa"/>
            </w:tcMar>
          </w:tcPr>
          <w:p>
            <w:pPr>
              <w:pStyle w:val="BDOITable"/>
            </w:pPr>
            <w:r>
              <w:rPr>
                <w:sz w:val="17"/>
              </w:rPr>
              <w:t>31 Mar 2027</w:t>
            </w:r>
          </w:p>
        </w:tc>
      </w:tr>
      <w:tr>
        <w:trPr>
          <w:cantSplit w:val="true"/>
        </w:trPr>
        <w:tc>
          <w:tcPr>
            <w:tcW w:type="dxa" w:w="901"/>
            <w:tcMar>
              <w:top w:w="50" w:type="dxa"/>
              <w:bottom w:w="50" w:type="dxa"/>
              <w:left w:w="90" w:type="dxa"/>
              <w:right w:w="90" w:type="dxa"/>
            </w:tcMar>
            <w:shd w:val="clear" w:color="auto" w:fill="E5F5FF"/>
          </w:tcPr>
          <w:p>
            <w:pPr>
              <w:pStyle w:val="BDOITable"/>
            </w:pPr>
            <w:r>
              <w:rPr>
                <w:b/>
                <w:sz w:val="17"/>
              </w:rPr>
              <w:t>OP-02</w:t>
            </w:r>
          </w:p>
        </w:tc>
        <w:tc>
          <w:tcPr>
            <w:tcW w:type="dxa" w:w="5166"/>
            <w:tcMar>
              <w:top w:w="50" w:type="dxa"/>
              <w:bottom w:w="50" w:type="dxa"/>
              <w:left w:w="90" w:type="dxa"/>
              <w:right w:w="90" w:type="dxa"/>
            </w:tcMar>
            <w:shd w:val="clear" w:color="auto" w:fill="E5F5FF"/>
          </w:tcPr>
          <w:p>
            <w:pPr>
              <w:pStyle w:val="BDOITable"/>
            </w:pPr>
            <w:r>
              <w:rPr>
                <w:sz w:val="17"/>
              </w:rPr>
              <w:t>Confirm RTO 4 hours and RPO 15 minutes for the whole platform (DCR-135) and the tier objectives of chapter 3</w:t>
            </w:r>
          </w:p>
        </w:tc>
        <w:tc>
          <w:tcPr>
            <w:tcW w:type="dxa" w:w="2403"/>
            <w:tcMar>
              <w:top w:w="50" w:type="dxa"/>
              <w:bottom w:w="50" w:type="dxa"/>
              <w:left w:w="90" w:type="dxa"/>
              <w:right w:w="90" w:type="dxa"/>
            </w:tcMar>
            <w:shd w:val="clear" w:color="auto" w:fill="E5F5FF"/>
          </w:tcPr>
          <w:p>
            <w:pPr>
              <w:pStyle w:val="BDOITable"/>
            </w:pPr>
            <w:r>
              <w:rPr>
                <w:sz w:val="17"/>
              </w:rPr>
              <w:t>BIBS Product Owner with the BRD owners</w:t>
            </w:r>
          </w:p>
        </w:tc>
        <w:tc>
          <w:tcPr>
            <w:tcW w:type="dxa" w:w="1502"/>
            <w:tcMar>
              <w:top w:w="50" w:type="dxa"/>
              <w:bottom w:w="50" w:type="dxa"/>
              <w:left w:w="90" w:type="dxa"/>
              <w:right w:w="90" w:type="dxa"/>
            </w:tcMar>
            <w:shd w:val="clear" w:color="auto" w:fill="E5F5FF"/>
          </w:tcPr>
          <w:p>
            <w:pPr>
              <w:pStyle w:val="BDOITable"/>
            </w:pPr>
            <w:r>
              <w:rPr>
                <w:sz w:val="17"/>
              </w:rPr>
              <w:t>16 Oct 2026</w:t>
            </w:r>
          </w:p>
        </w:tc>
      </w:tr>
      <w:tr>
        <w:trPr>
          <w:cantSplit w:val="true"/>
        </w:trPr>
        <w:tc>
          <w:tcPr>
            <w:tcW w:type="dxa" w:w="901"/>
            <w:tcMar>
              <w:top w:w="50" w:type="dxa"/>
              <w:bottom w:w="50" w:type="dxa"/>
              <w:left w:w="90" w:type="dxa"/>
              <w:right w:w="90" w:type="dxa"/>
            </w:tcMar>
          </w:tcPr>
          <w:p>
            <w:pPr>
              <w:pStyle w:val="BDOITable"/>
            </w:pPr>
            <w:r>
              <w:rPr>
                <w:b/>
                <w:sz w:val="17"/>
              </w:rPr>
              <w:t>OP-03</w:t>
            </w:r>
          </w:p>
        </w:tc>
        <w:tc>
          <w:tcPr>
            <w:tcW w:type="dxa" w:w="5166"/>
            <w:tcMar>
              <w:top w:w="50" w:type="dxa"/>
              <w:bottom w:w="50" w:type="dxa"/>
              <w:left w:w="90" w:type="dxa"/>
              <w:right w:w="90" w:type="dxa"/>
            </w:tcMar>
          </w:tcPr>
          <w:p>
            <w:pPr>
              <w:pStyle w:val="BDOITable"/>
            </w:pPr>
            <w:r>
              <w:rPr>
                <w:sz w:val="17"/>
              </w:rPr>
              <w:t>Confirm the DR authority (Head, BDOI IT with the BIBS Product Owner) and the deputies</w:t>
            </w:r>
          </w:p>
        </w:tc>
        <w:tc>
          <w:tcPr>
            <w:tcW w:type="dxa" w:w="2403"/>
            <w:tcMar>
              <w:top w:w="50" w:type="dxa"/>
              <w:bottom w:w="50" w:type="dxa"/>
              <w:left w:w="90" w:type="dxa"/>
              <w:right w:w="90" w:type="dxa"/>
            </w:tcMar>
          </w:tcPr>
          <w:p>
            <w:pPr>
              <w:pStyle w:val="BDOITable"/>
            </w:pPr>
            <w:r>
              <w:rPr>
                <w:sz w:val="17"/>
              </w:rPr>
              <w:t>Head, BDOI IT</w:t>
            </w:r>
          </w:p>
        </w:tc>
        <w:tc>
          <w:tcPr>
            <w:tcW w:type="dxa" w:w="1502"/>
            <w:tcMar>
              <w:top w:w="50" w:type="dxa"/>
              <w:bottom w:w="50" w:type="dxa"/>
              <w:left w:w="90" w:type="dxa"/>
              <w:right w:w="90" w:type="dxa"/>
            </w:tcMar>
          </w:tcPr>
          <w:p>
            <w:pPr>
              <w:pStyle w:val="BDOITable"/>
            </w:pPr>
            <w:r>
              <w:rPr>
                <w:sz w:val="17"/>
              </w:rPr>
              <w:t>30 Jun 2027</w:t>
            </w:r>
          </w:p>
        </w:tc>
      </w:tr>
      <w:tr>
        <w:trPr>
          <w:cantSplit w:val="true"/>
        </w:trPr>
        <w:tc>
          <w:tcPr>
            <w:tcW w:type="dxa" w:w="901"/>
            <w:tcMar>
              <w:top w:w="50" w:type="dxa"/>
              <w:bottom w:w="50" w:type="dxa"/>
              <w:left w:w="90" w:type="dxa"/>
              <w:right w:w="90" w:type="dxa"/>
            </w:tcMar>
            <w:shd w:val="clear" w:color="auto" w:fill="E5F5FF"/>
          </w:tcPr>
          <w:p>
            <w:pPr>
              <w:pStyle w:val="BDOITable"/>
            </w:pPr>
            <w:r>
              <w:rPr>
                <w:b/>
                <w:sz w:val="17"/>
              </w:rPr>
              <w:t>OP-04</w:t>
            </w:r>
          </w:p>
        </w:tc>
        <w:tc>
          <w:tcPr>
            <w:tcW w:type="dxa" w:w="5166"/>
            <w:tcMar>
              <w:top w:w="50" w:type="dxa"/>
              <w:bottom w:w="50" w:type="dxa"/>
              <w:left w:w="90" w:type="dxa"/>
              <w:right w:w="90" w:type="dxa"/>
            </w:tcMar>
            <w:shd w:val="clear" w:color="auto" w:fill="E5F5FF"/>
          </w:tcPr>
          <w:p>
            <w:pPr>
              <w:pStyle w:val="BDOITable"/>
            </w:pPr>
            <w:r>
              <w:rPr>
                <w:sz w:val="17"/>
              </w:rPr>
              <w:t>Confirm the locked backup vault in a separate AWS account for the monthly copies (ransomware scenario)</w:t>
            </w:r>
          </w:p>
        </w:tc>
        <w:tc>
          <w:tcPr>
            <w:tcW w:type="dxa" w:w="2403"/>
            <w:tcMar>
              <w:top w:w="50" w:type="dxa"/>
              <w:bottom w:w="50" w:type="dxa"/>
              <w:left w:w="90" w:type="dxa"/>
              <w:right w:w="90" w:type="dxa"/>
            </w:tcMar>
            <w:shd w:val="clear" w:color="auto" w:fill="E5F5FF"/>
          </w:tcPr>
          <w:p>
            <w:pPr>
              <w:pStyle w:val="BDOITable"/>
            </w:pPr>
            <w:r>
              <w:rPr>
                <w:sz w:val="17"/>
              </w:rPr>
              <w:t>Information Security Officer</w:t>
            </w:r>
          </w:p>
        </w:tc>
        <w:tc>
          <w:tcPr>
            <w:tcW w:type="dxa" w:w="1502"/>
            <w:tcMar>
              <w:top w:w="50" w:type="dxa"/>
              <w:bottom w:w="50" w:type="dxa"/>
              <w:left w:w="90" w:type="dxa"/>
              <w:right w:w="90" w:type="dxa"/>
            </w:tcMar>
            <w:shd w:val="clear" w:color="auto" w:fill="E5F5FF"/>
          </w:tcPr>
          <w:p>
            <w:pPr>
              <w:pStyle w:val="BDOITable"/>
            </w:pPr>
            <w:r>
              <w:rPr>
                <w:sz w:val="17"/>
              </w:rPr>
              <w:t>31 Mar 2027</w:t>
            </w:r>
          </w:p>
        </w:tc>
      </w:tr>
      <w:tr>
        <w:trPr>
          <w:cantSplit w:val="true"/>
        </w:trPr>
        <w:tc>
          <w:tcPr>
            <w:tcW w:type="dxa" w:w="901"/>
            <w:tcMar>
              <w:top w:w="50" w:type="dxa"/>
              <w:bottom w:w="50" w:type="dxa"/>
              <w:left w:w="90" w:type="dxa"/>
              <w:right w:w="90" w:type="dxa"/>
            </w:tcMar>
          </w:tcPr>
          <w:p>
            <w:pPr>
              <w:pStyle w:val="BDOITable"/>
            </w:pPr>
            <w:r>
              <w:rPr>
                <w:b/>
                <w:sz w:val="17"/>
              </w:rPr>
              <w:t>OP-05</w:t>
            </w:r>
          </w:p>
        </w:tc>
        <w:tc>
          <w:tcPr>
            <w:tcW w:type="dxa" w:w="5166"/>
            <w:tcMar>
              <w:top w:w="50" w:type="dxa"/>
              <w:bottom w:w="50" w:type="dxa"/>
              <w:left w:w="90" w:type="dxa"/>
              <w:right w:w="90" w:type="dxa"/>
            </w:tcMar>
          </w:tcPr>
          <w:p>
            <w:pPr>
              <w:pStyle w:val="BDOITable"/>
            </w:pPr>
            <w:r>
              <w:rPr>
                <w:sz w:val="17"/>
              </w:rPr>
              <w:t>Choose between creating MSK at failover (lower cost, proposed) and a standby MSK cluster in DR (faster)</w:t>
            </w:r>
          </w:p>
        </w:tc>
        <w:tc>
          <w:tcPr>
            <w:tcW w:type="dxa" w:w="2403"/>
            <w:tcMar>
              <w:top w:w="50" w:type="dxa"/>
              <w:bottom w:w="50" w:type="dxa"/>
              <w:left w:w="90" w:type="dxa"/>
              <w:right w:w="90" w:type="dxa"/>
            </w:tcMar>
          </w:tcPr>
          <w:p>
            <w:pPr>
              <w:pStyle w:val="BDOITable"/>
            </w:pPr>
            <w:r>
              <w:rPr>
                <w:sz w:val="17"/>
              </w:rPr>
              <w:t>Cloud and Digital Operations Engineering</w:t>
            </w:r>
          </w:p>
        </w:tc>
        <w:tc>
          <w:tcPr>
            <w:tcW w:type="dxa" w:w="1502"/>
            <w:tcMar>
              <w:top w:w="50" w:type="dxa"/>
              <w:bottom w:w="50" w:type="dxa"/>
              <w:left w:w="90" w:type="dxa"/>
              <w:right w:w="90" w:type="dxa"/>
            </w:tcMar>
          </w:tcPr>
          <w:p>
            <w:pPr>
              <w:pStyle w:val="BDOITable"/>
            </w:pPr>
            <w:r>
              <w:rPr>
                <w:sz w:val="17"/>
              </w:rPr>
              <w:t>31 Mar 2027</w:t>
            </w:r>
          </w:p>
        </w:tc>
      </w:tr>
      <w:tr>
        <w:trPr>
          <w:cantSplit w:val="true"/>
        </w:trPr>
        <w:tc>
          <w:tcPr>
            <w:tcW w:type="dxa" w:w="901"/>
            <w:tcMar>
              <w:top w:w="50" w:type="dxa"/>
              <w:bottom w:w="50" w:type="dxa"/>
              <w:left w:w="90" w:type="dxa"/>
              <w:right w:w="90" w:type="dxa"/>
            </w:tcMar>
            <w:shd w:val="clear" w:color="auto" w:fill="E5F5FF"/>
          </w:tcPr>
          <w:p>
            <w:pPr>
              <w:pStyle w:val="BDOITable"/>
            </w:pPr>
            <w:r>
              <w:rPr>
                <w:b/>
                <w:sz w:val="17"/>
              </w:rPr>
              <w:t>OP-06</w:t>
            </w:r>
          </w:p>
        </w:tc>
        <w:tc>
          <w:tcPr>
            <w:tcW w:type="dxa" w:w="5166"/>
            <w:tcMar>
              <w:top w:w="50" w:type="dxa"/>
              <w:bottom w:w="50" w:type="dxa"/>
              <w:left w:w="90" w:type="dxa"/>
              <w:right w:w="90" w:type="dxa"/>
            </w:tcMar>
            <w:shd w:val="clear" w:color="auto" w:fill="E5F5FF"/>
          </w:tcPr>
          <w:p>
            <w:pPr>
              <w:pStyle w:val="BDOITable"/>
            </w:pPr>
            <w:r>
              <w:rPr>
                <w:sz w:val="17"/>
              </w:rPr>
              <w:t>Agree the contingency acknowledgement series of the branches and its BIR treatment (BC-01)</w:t>
            </w:r>
          </w:p>
        </w:tc>
        <w:tc>
          <w:tcPr>
            <w:tcW w:type="dxa" w:w="2403"/>
            <w:tcMar>
              <w:top w:w="50" w:type="dxa"/>
              <w:bottom w:w="50" w:type="dxa"/>
              <w:left w:w="90" w:type="dxa"/>
              <w:right w:w="90" w:type="dxa"/>
            </w:tcMar>
            <w:shd w:val="clear" w:color="auto" w:fill="E5F5FF"/>
          </w:tcPr>
          <w:p>
            <w:pPr>
              <w:pStyle w:val="BDOITable"/>
            </w:pPr>
            <w:r>
              <w:rPr>
                <w:sz w:val="17"/>
              </w:rPr>
              <w:t>Head, Comptrollership</w:t>
            </w:r>
          </w:p>
        </w:tc>
        <w:tc>
          <w:tcPr>
            <w:tcW w:type="dxa" w:w="1502"/>
            <w:tcMar>
              <w:top w:w="50" w:type="dxa"/>
              <w:bottom w:w="50" w:type="dxa"/>
              <w:left w:w="90" w:type="dxa"/>
              <w:right w:w="90" w:type="dxa"/>
            </w:tcMar>
            <w:shd w:val="clear" w:color="auto" w:fill="E5F5FF"/>
          </w:tcPr>
          <w:p>
            <w:pPr>
              <w:pStyle w:val="BDOITable"/>
            </w:pPr>
            <w:r>
              <w:rPr>
                <w:sz w:val="17"/>
              </w:rPr>
              <w:t>30 Jun 2027</w:t>
            </w:r>
          </w:p>
        </w:tc>
      </w:tr>
      <w:tr>
        <w:trPr>
          <w:cantSplit w:val="true"/>
        </w:trPr>
        <w:tc>
          <w:tcPr>
            <w:tcW w:type="dxa" w:w="901"/>
            <w:tcMar>
              <w:top w:w="50" w:type="dxa"/>
              <w:bottom w:w="50" w:type="dxa"/>
              <w:left w:w="90" w:type="dxa"/>
              <w:right w:w="90" w:type="dxa"/>
            </w:tcMar>
          </w:tcPr>
          <w:p>
            <w:pPr>
              <w:pStyle w:val="BDOITable"/>
            </w:pPr>
            <w:r>
              <w:rPr>
                <w:b/>
                <w:sz w:val="17"/>
              </w:rPr>
              <w:t>OP-07</w:t>
            </w:r>
          </w:p>
        </w:tc>
        <w:tc>
          <w:tcPr>
            <w:tcW w:type="dxa" w:w="5166"/>
            <w:tcMar>
              <w:top w:w="50" w:type="dxa"/>
              <w:bottom w:w="50" w:type="dxa"/>
              <w:left w:w="90" w:type="dxa"/>
              <w:right w:w="90" w:type="dxa"/>
            </w:tcMar>
          </w:tcPr>
          <w:p>
            <w:pPr>
              <w:pStyle w:val="BDOITable"/>
            </w:pPr>
            <w:r>
              <w:rPr>
                <w:sz w:val="17"/>
              </w:rPr>
              <w:t>Name the continuity custodians per department and confirm the daily continuity pack and its M365 folder</w:t>
            </w:r>
          </w:p>
        </w:tc>
        <w:tc>
          <w:tcPr>
            <w:tcW w:type="dxa" w:w="2403"/>
            <w:tcMar>
              <w:top w:w="50" w:type="dxa"/>
              <w:bottom w:w="50" w:type="dxa"/>
              <w:left w:w="90" w:type="dxa"/>
              <w:right w:w="90" w:type="dxa"/>
            </w:tcMar>
          </w:tcPr>
          <w:p>
            <w:pPr>
              <w:pStyle w:val="BDOITable"/>
            </w:pPr>
            <w:r>
              <w:rPr>
                <w:sz w:val="17"/>
              </w:rPr>
              <w:t>Department heads</w:t>
            </w:r>
          </w:p>
        </w:tc>
        <w:tc>
          <w:tcPr>
            <w:tcW w:type="dxa" w:w="1502"/>
            <w:tcMar>
              <w:top w:w="50" w:type="dxa"/>
              <w:bottom w:w="50" w:type="dxa"/>
              <w:left w:w="90" w:type="dxa"/>
              <w:right w:w="90" w:type="dxa"/>
            </w:tcMar>
          </w:tcPr>
          <w:p>
            <w:pPr>
              <w:pStyle w:val="BDOITable"/>
            </w:pPr>
            <w:r>
              <w:rPr>
                <w:sz w:val="17"/>
              </w:rPr>
              <w:t>30 Sep 2027</w:t>
            </w:r>
          </w:p>
        </w:tc>
      </w:tr>
      <w:tr>
        <w:trPr>
          <w:cantSplit w:val="true"/>
        </w:trPr>
        <w:tc>
          <w:tcPr>
            <w:tcW w:type="dxa" w:w="901"/>
            <w:tcMar>
              <w:top w:w="50" w:type="dxa"/>
              <w:bottom w:w="50" w:type="dxa"/>
              <w:left w:w="90" w:type="dxa"/>
              <w:right w:w="90" w:type="dxa"/>
            </w:tcMar>
            <w:shd w:val="clear" w:color="auto" w:fill="E5F5FF"/>
          </w:tcPr>
          <w:p>
            <w:pPr>
              <w:pStyle w:val="BDOITable"/>
            </w:pPr>
            <w:r>
              <w:rPr>
                <w:b/>
                <w:sz w:val="17"/>
              </w:rPr>
              <w:t>OP-08</w:t>
            </w:r>
          </w:p>
        </w:tc>
        <w:tc>
          <w:tcPr>
            <w:tcW w:type="dxa" w:w="5166"/>
            <w:tcMar>
              <w:top w:w="50" w:type="dxa"/>
              <w:bottom w:w="50" w:type="dxa"/>
              <w:left w:w="90" w:type="dxa"/>
              <w:right w:w="90" w:type="dxa"/>
            </w:tcMar>
            <w:shd w:val="clear" w:color="auto" w:fill="E5F5FF"/>
          </w:tcPr>
          <w:p>
            <w:pPr>
              <w:pStyle w:val="BDOITable"/>
            </w:pPr>
            <w:r>
              <w:rPr>
                <w:sz w:val="17"/>
              </w:rPr>
              <w:t>Confirm the dates of the pre-go-live failover drill (29 Nov to 3 Dec 2027) and of the first production failover drill (September 2028)</w:t>
            </w:r>
          </w:p>
        </w:tc>
        <w:tc>
          <w:tcPr>
            <w:tcW w:type="dxa" w:w="2403"/>
            <w:tcMar>
              <w:top w:w="50" w:type="dxa"/>
              <w:bottom w:w="50" w:type="dxa"/>
              <w:left w:w="90" w:type="dxa"/>
              <w:right w:w="90" w:type="dxa"/>
            </w:tcMar>
            <w:shd w:val="clear" w:color="auto" w:fill="E5F5FF"/>
          </w:tcPr>
          <w:p>
            <w:pPr>
              <w:pStyle w:val="BDOITable"/>
            </w:pPr>
            <w:r>
              <w:rPr>
                <w:sz w:val="17"/>
              </w:rPr>
              <w:t>Head, BDOI IT</w:t>
            </w:r>
          </w:p>
        </w:tc>
        <w:tc>
          <w:tcPr>
            <w:tcW w:type="dxa" w:w="1502"/>
            <w:tcMar>
              <w:top w:w="50" w:type="dxa"/>
              <w:bottom w:w="50" w:type="dxa"/>
              <w:left w:w="90" w:type="dxa"/>
              <w:right w:w="90" w:type="dxa"/>
            </w:tcMar>
            <w:shd w:val="clear" w:color="auto" w:fill="E5F5FF"/>
          </w:tcPr>
          <w:p>
            <w:pPr>
              <w:pStyle w:val="BDOITable"/>
            </w:pPr>
            <w:r>
              <w:rPr>
                <w:sz w:val="17"/>
              </w:rPr>
              <w:t>30 Jun 2027</w:t>
            </w:r>
          </w:p>
        </w:tc>
      </w:tr>
      <w:tr>
        <w:trPr>
          <w:cantSplit w:val="true"/>
        </w:trPr>
        <w:tc>
          <w:tcPr>
            <w:tcW w:type="dxa" w:w="901"/>
            <w:tcMar>
              <w:top w:w="50" w:type="dxa"/>
              <w:bottom w:w="50" w:type="dxa"/>
              <w:left w:w="90" w:type="dxa"/>
              <w:right w:w="90" w:type="dxa"/>
            </w:tcMar>
          </w:tcPr>
          <w:p>
            <w:pPr>
              <w:pStyle w:val="BDOITable"/>
            </w:pPr>
            <w:r>
              <w:rPr>
                <w:b/>
                <w:sz w:val="17"/>
              </w:rPr>
              <w:t>OP-09</w:t>
            </w:r>
          </w:p>
        </w:tc>
        <w:tc>
          <w:tcPr>
            <w:tcW w:type="dxa" w:w="5166"/>
            <w:tcMar>
              <w:top w:w="50" w:type="dxa"/>
              <w:bottom w:w="50" w:type="dxa"/>
              <w:left w:w="90" w:type="dxa"/>
              <w:right w:w="90" w:type="dxa"/>
            </w:tcMar>
          </w:tcPr>
          <w:p>
            <w:pPr>
              <w:pStyle w:val="BDOITable"/>
            </w:pPr>
            <w:r>
              <w:rPr>
                <w:sz w:val="17"/>
              </w:rPr>
              <w:t>Confirm the regulators and group functions to be told of a major BIBS outage</w:t>
            </w:r>
          </w:p>
        </w:tc>
        <w:tc>
          <w:tcPr>
            <w:tcW w:type="dxa" w:w="2403"/>
            <w:tcMar>
              <w:top w:w="50" w:type="dxa"/>
              <w:bottom w:w="50" w:type="dxa"/>
              <w:left w:w="90" w:type="dxa"/>
              <w:right w:w="90" w:type="dxa"/>
            </w:tcMar>
          </w:tcPr>
          <w:p>
            <w:pPr>
              <w:pStyle w:val="BDOITable"/>
            </w:pPr>
            <w:r>
              <w:rPr>
                <w:sz w:val="17"/>
              </w:rPr>
              <w:t>Compliance</w:t>
            </w:r>
          </w:p>
        </w:tc>
        <w:tc>
          <w:tcPr>
            <w:tcW w:type="dxa" w:w="1502"/>
            <w:tcMar>
              <w:top w:w="50" w:type="dxa"/>
              <w:bottom w:w="50" w:type="dxa"/>
              <w:left w:w="90" w:type="dxa"/>
              <w:right w:w="90" w:type="dxa"/>
            </w:tcMar>
          </w:tcPr>
          <w:p>
            <w:pPr>
              <w:pStyle w:val="BDOITable"/>
            </w:pPr>
            <w:r>
              <w:rPr>
                <w:sz w:val="17"/>
              </w:rPr>
              <w:t>30 Sep 2027</w:t>
            </w:r>
          </w:p>
        </w:tc>
      </w:tr>
    </w:tbl>
    <w:p>
      <w:pPr>
        <w:pStyle w:val="BDOISpacer"/>
      </w:pPr>
    </w:p>
    <w:p>
      <w:pPr>
        <w:pStyle w:val="Heading1"/>
        <w:pageBreakBefore/>
        <w:pBdr>
          <w:bottom w:val="single" w:sz="4" w:space="4" w:color="99C1E7"/>
        </w:pBdr>
      </w:pPr>
      <w:bookmarkStart w:id="138" w:name="_Toc000138"/>
      <w:r>
        <w:rPr/>
        <w:t>Glossary</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BCM</w:t>
            </w:r>
          </w:p>
        </w:tc>
        <w:tc>
          <w:tcPr>
            <w:tcW w:type="dxa" w:w="7932"/>
            <w:tcMar>
              <w:top w:w="50" w:type="dxa"/>
              <w:bottom w:w="50" w:type="dxa"/>
              <w:left w:w="90" w:type="dxa"/>
              <w:right w:w="90" w:type="dxa"/>
            </w:tcMar>
          </w:tcPr>
          <w:p>
            <w:pPr>
              <w:pStyle w:val="BDOITable"/>
            </w:pPr>
            <w:r>
              <w:rPr>
                <w:sz w:val="18"/>
              </w:rPr>
              <w:t>Business continuity management (BDO group function)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DR</w:t>
            </w:r>
          </w:p>
        </w:tc>
        <w:tc>
          <w:tcPr>
            <w:tcW w:type="dxa" w:w="7932"/>
            <w:tcMar>
              <w:top w:w="50" w:type="dxa"/>
              <w:bottom w:w="50" w:type="dxa"/>
              <w:left w:w="90" w:type="dxa"/>
              <w:right w:w="90" w:type="dxa"/>
            </w:tcMar>
            <w:shd w:val="clear" w:color="auto" w:fill="E5F5FF"/>
          </w:tcPr>
          <w:p>
            <w:pPr>
              <w:pStyle w:val="BDOITable"/>
            </w:pPr>
            <w:r>
              <w:rPr>
                <w:sz w:val="18"/>
              </w:rPr>
              <w:t>Disaster recovery</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Failback</w:t>
            </w:r>
          </w:p>
        </w:tc>
        <w:tc>
          <w:tcPr>
            <w:tcW w:type="dxa" w:w="7932"/>
            <w:tcMar>
              <w:top w:w="50" w:type="dxa"/>
              <w:bottom w:w="50" w:type="dxa"/>
              <w:left w:w="90" w:type="dxa"/>
              <w:right w:w="90" w:type="dxa"/>
            </w:tcMar>
            <w:shd w:val="clear" w:color="auto" w:fill="E5F5FF"/>
          </w:tcPr>
          <w:p>
            <w:pPr>
              <w:pStyle w:val="BDOITable"/>
            </w:pPr>
            <w:r>
              <w:rPr>
                <w:sz w:val="18"/>
              </w:rPr>
              <w:t>The planned return from the DR region to the primary region</w:t>
            </w:r>
          </w:p>
        </w:tc>
      </w:tr>
      <w:tr>
        <w:trPr>
          <w:cantSplit w:val="true"/>
        </w:trPr>
        <w:tc>
          <w:tcPr>
            <w:tcW w:type="dxa" w:w="2040"/>
            <w:tcMar>
              <w:top w:w="50" w:type="dxa"/>
              <w:bottom w:w="50" w:type="dxa"/>
              <w:left w:w="90" w:type="dxa"/>
              <w:right w:w="90" w:type="dxa"/>
            </w:tcMar>
          </w:tcPr>
          <w:p>
            <w:pPr>
              <w:pStyle w:val="BDOITable"/>
            </w:pPr>
            <w:r>
              <w:rPr>
                <w:b/>
                <w:sz w:val="18"/>
              </w:rPr>
              <w:t>Failover</w:t>
            </w:r>
          </w:p>
        </w:tc>
        <w:tc>
          <w:tcPr>
            <w:tcW w:type="dxa" w:w="7932"/>
            <w:tcMar>
              <w:top w:w="50" w:type="dxa"/>
              <w:bottom w:w="50" w:type="dxa"/>
              <w:left w:w="90" w:type="dxa"/>
              <w:right w:w="90" w:type="dxa"/>
            </w:tcMar>
          </w:tcPr>
          <w:p>
            <w:pPr>
              <w:pStyle w:val="BDOITable"/>
            </w:pPr>
            <w:r>
              <w:rPr>
                <w:sz w:val="18"/>
              </w:rPr>
              <w:t>The move of the service to the DR region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RPO</w:t>
            </w:r>
          </w:p>
        </w:tc>
        <w:tc>
          <w:tcPr>
            <w:tcW w:type="dxa" w:w="7932"/>
            <w:tcMar>
              <w:top w:w="50" w:type="dxa"/>
              <w:bottom w:w="50" w:type="dxa"/>
              <w:left w:w="90" w:type="dxa"/>
              <w:right w:w="90" w:type="dxa"/>
            </w:tcMar>
            <w:shd w:val="clear" w:color="auto" w:fill="E5F5FF"/>
          </w:tcPr>
          <w:p>
            <w:pPr>
              <w:pStyle w:val="BDOITable"/>
            </w:pPr>
            <w:r>
              <w:rPr>
                <w:sz w:val="18"/>
              </w:rPr>
              <w:t>Recovery point objective - the most data, in time, that may be lost</w:t>
            </w:r>
          </w:p>
        </w:tc>
      </w:tr>
      <w:tr>
        <w:trPr>
          <w:cantSplit w:val="true"/>
        </w:trPr>
        <w:tc>
          <w:tcPr>
            <w:tcW w:type="dxa" w:w="2040"/>
            <w:tcMar>
              <w:top w:w="50" w:type="dxa"/>
              <w:bottom w:w="50" w:type="dxa"/>
              <w:left w:w="90" w:type="dxa"/>
              <w:right w:w="90" w:type="dxa"/>
            </w:tcMar>
          </w:tcPr>
          <w:p>
            <w:pPr>
              <w:pStyle w:val="BDOITable"/>
            </w:pPr>
            <w:r>
              <w:rPr>
                <w:b/>
                <w:sz w:val="18"/>
              </w:rPr>
              <w:t>RTO</w:t>
            </w:r>
          </w:p>
        </w:tc>
        <w:tc>
          <w:tcPr>
            <w:tcW w:type="dxa" w:w="7932"/>
            <w:tcMar>
              <w:top w:w="50" w:type="dxa"/>
              <w:bottom w:w="50" w:type="dxa"/>
              <w:left w:w="90" w:type="dxa"/>
              <w:right w:w="90" w:type="dxa"/>
            </w:tcMar>
          </w:tcPr>
          <w:p>
            <w:pPr>
              <w:pStyle w:val="BDOITable"/>
            </w:pPr>
            <w:r>
              <w:rPr>
                <w:sz w:val="18"/>
              </w:rPr>
              <w:t>Recovery time objective - the longest time until the service is back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Warm standby</w:t>
            </w:r>
          </w:p>
        </w:tc>
        <w:tc>
          <w:tcPr>
            <w:tcW w:type="dxa" w:w="7932"/>
            <w:tcMar>
              <w:top w:w="50" w:type="dxa"/>
              <w:bottom w:w="50" w:type="dxa"/>
              <w:left w:w="90" w:type="dxa"/>
              <w:right w:w="90" w:type="dxa"/>
            </w:tcMar>
            <w:shd w:val="clear" w:color="auto" w:fill="E5F5FF"/>
          </w:tcPr>
          <w:p>
            <w:pPr>
              <w:pStyle w:val="BDOITable"/>
            </w:pPr>
            <w:r>
              <w:rPr>
                <w:sz w:val="18"/>
              </w:rPr>
              <w:t>DR environment kept running at minimum size with replicated data, scaled up at failover</w:t>
            </w:r>
          </w:p>
        </w:tc>
      </w:tr>
    </w:tbl>
    <w:p>
      <w:pPr>
        <w:pStyle w:val="BDOISpacer"/>
      </w:pPr>
    </w:p>
    <w:p>
      <w:pPr>
        <w:pStyle w:val="Heading1"/>
        <w:pageBreakBefore/>
        <w:pBdr>
          <w:bottom w:val="single" w:sz="4" w:space="4" w:color="99C1E7"/>
        </w:pBdr>
      </w:pPr>
      <w:bookmarkStart w:id="139" w:name="_Toc000139"/>
      <w:r>
        <w:rPr/>
        <w:t>Sign-off</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 (DR authority)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BIBS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Cloud and Digital Operations Engineering</w:t>
            </w:r>
          </w:p>
        </w:tc>
        <w:tc>
          <w:tcPr>
            <w:tcW w:type="dxa" w:w="2380"/>
            <w:tcMar>
              <w:top w:w="50" w:type="dxa"/>
              <w:bottom w:w="50" w:type="dxa"/>
              <w:left w:w="90" w:type="dxa"/>
              <w:right w:w="90" w:type="dxa"/>
            </w:tcMar>
            <w:vAlign w:val="center"/>
          </w:tcPr>
          <w:p>
            <w:pPr>
              <w:pStyle w:val="BDOITable"/>
            </w:pPr>
            <w:r>
              <w:rPr>
                <w:sz w:val="18"/>
              </w:rPr>
              <w:t>BDO Unibank IT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Solution Architect</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Disaster Recovery and Business Continuity Plan</w:t>
    </w:r>
    <w:r>
      <w:rPr>
        <w:color w:val="656565"/>
        <w:sz w:val="16"/>
      </w:rPr>
      <w:t xml:space="preserve">   DR and BCP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Continuity BRD-00 Disaster Recovery and Business Continuity Plan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