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Specification</w:t>
      </w:r>
    </w:p>
    <w:p>
      <w:pPr>
        <w:spacing w:after="40"/>
      </w:pPr>
      <w:r>
        <w:rPr>
          <w:color w:val="2E2E2E"/>
          <w:sz w:val="28"/>
        </w:rPr>
        <w:t>BIBS - BDOI Broker System on iNXT BrokerVerse, all BRDs of phase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BRD versions of 8 October 2026, the FRS of every BRD, the test plans, the programme alignment pack and the IER workbook v20</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Programme requirements baseline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Scope, drops and acceptance approach</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Module summaries and open points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External interfaces, constraints</w:t>
            </w:r>
          </w:p>
        </w:tc>
      </w:tr>
      <w:tr>
        <w:trPr>
          <w:cantSplit w:val="true"/>
        </w:trPr>
        <w:tc>
          <w:tcPr>
            <w:tcW w:type="dxa" w:w="2606"/>
            <w:tcMar>
              <w:top w:w="50" w:type="dxa"/>
              <w:bottom w:w="50" w:type="dxa"/>
              <w:left w:w="90" w:type="dxa"/>
              <w:right w:w="90" w:type="dxa"/>
            </w:tcMar>
          </w:tcPr>
          <w:p>
            <w:pPr>
              <w:pStyle w:val="BDOITable"/>
            </w:pPr>
            <w:r>
              <w:rPr>
                <w:sz w:val="18"/>
              </w:rPr>
              <w:t>BDOI Information Security; Data Protection Officer; Compliance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privacy and compliance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BIR and Insurance Commission requirements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2"/>
      </w:pPr>
      <w:hyperlink w:anchor="_Toc000105" w:history="1">
        <w:r>
          <w:t xml:space="preserve">1.4 Document hierarchy</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2"/>
      </w:pPr>
      <w:hyperlink w:anchor="_Toc000107" w:history="1">
        <w:r>
          <w:t xml:space="preserve">1.6 Definitions and acronyms</w:t>
        </w:r>
        <w:r>
          <w:t xml:space="preserve">	</w:t>
        </w:r>
        <w:r>
          <w:t xml:space="preserve">6</w:t>
        </w:r>
      </w:hyperlink>
    </w:p>
    <w:p>
      <w:pPr>
        <w:pStyle w:val="toc1"/>
      </w:pPr>
      <w:hyperlink w:anchor="_Toc000108" w:history="1">
        <w:r>
          <w:t xml:space="preserve">2 System context</w:t>
        </w:r>
        <w:r>
          <w:t xml:space="preserve">	</w:t>
        </w:r>
        <w:r>
          <w:t xml:space="preserve">7</w:t>
        </w:r>
      </w:hyperlink>
    </w:p>
    <w:p>
      <w:pPr>
        <w:pStyle w:val="toc2"/>
      </w:pPr>
      <w:hyperlink w:anchor="_Toc000109" w:history="1">
        <w:r>
          <w:t xml:space="preserve">2.1 Business context</w:t>
        </w:r>
        <w:r>
          <w:t xml:space="preserve">	</w:t>
        </w:r>
        <w:r>
          <w:t xml:space="preserve">7</w:t>
        </w:r>
      </w:hyperlink>
    </w:p>
    <w:p>
      <w:pPr>
        <w:pStyle w:val="toc2"/>
      </w:pPr>
      <w:hyperlink w:anchor="_Toc000110" w:history="1">
        <w:r>
          <w:t xml:space="preserve">2.2 System context diagram</w:t>
        </w:r>
        <w:r>
          <w:t xml:space="preserve">	</w:t>
        </w:r>
        <w:r>
          <w:t xml:space="preserve">7</w:t>
        </w:r>
      </w:hyperlink>
    </w:p>
    <w:p>
      <w:pPr>
        <w:pStyle w:val="toc2"/>
      </w:pPr>
      <w:hyperlink w:anchor="_Toc000111" w:history="1">
        <w:r>
          <w:t xml:space="preserve">2.3 Modules and drops</w:t>
        </w:r>
        <w:r>
          <w:t xml:space="preserve">	</w:t>
        </w:r>
        <w:r>
          <w:t xml:space="preserve">7</w:t>
        </w:r>
      </w:hyperlink>
    </w:p>
    <w:p>
      <w:pPr>
        <w:pStyle w:val="toc1"/>
      </w:pPr>
      <w:hyperlink w:anchor="_Toc000112" w:history="1">
        <w:r>
          <w:t xml:space="preserve">3 Users and personas</w:t>
        </w:r>
        <w:r>
          <w:t xml:space="preserve">	</w:t>
        </w:r>
        <w:r>
          <w:t xml:space="preserve">9</w:t>
        </w:r>
      </w:hyperlink>
    </w:p>
    <w:p>
      <w:pPr>
        <w:pStyle w:val="toc2"/>
      </w:pPr>
      <w:hyperlink w:anchor="_Toc000113" w:history="1">
        <w:r>
          <w:t xml:space="preserve">3.1 User population</w:t>
        </w:r>
        <w:r>
          <w:t xml:space="preserve">	</w:t>
        </w:r>
        <w:r>
          <w:t xml:space="preserve">9</w:t>
        </w:r>
      </w:hyperlink>
    </w:p>
    <w:p>
      <w:pPr>
        <w:pStyle w:val="toc2"/>
      </w:pPr>
      <w:hyperlink w:anchor="_Toc000114" w:history="1">
        <w:r>
          <w:t xml:space="preserve">3.2 Access principles</w:t>
        </w:r>
        <w:r>
          <w:t xml:space="preserve">	</w:t>
        </w:r>
        <w:r>
          <w:t xml:space="preserve">9</w:t>
        </w:r>
      </w:hyperlink>
    </w:p>
    <w:p>
      <w:pPr>
        <w:pStyle w:val="toc1"/>
      </w:pPr>
      <w:hyperlink w:anchor="_Toc000115" w:history="1">
        <w:r>
          <w:t xml:space="preserve">4 Functional requirements</w:t>
        </w:r>
        <w:r>
          <w:t xml:space="preserve">	</w:t>
        </w:r>
        <w:r>
          <w:t xml:space="preserve">10</w:t>
        </w:r>
      </w:hyperlink>
    </w:p>
    <w:p>
      <w:pPr>
        <w:pStyle w:val="toc2"/>
      </w:pPr>
      <w:hyperlink w:anchor="_Toc000116" w:history="1">
        <w:r>
          <w:t xml:space="preserve">4.1 Approach</w:t>
        </w:r>
        <w:r>
          <w:t xml:space="preserve">	</w:t>
        </w:r>
        <w:r>
          <w:t xml:space="preserve">10</w:t>
        </w:r>
      </w:hyperlink>
    </w:p>
    <w:p>
      <w:pPr>
        <w:pStyle w:val="toc2"/>
      </w:pPr>
      <w:hyperlink w:anchor="_Toc000117" w:history="1">
        <w:r>
          <w:t xml:space="preserve">4.2 Cross-cutting services (BRD-00)</w:t>
        </w:r>
        <w:r>
          <w:t xml:space="preserve">	</w:t>
        </w:r>
        <w:r>
          <w:t xml:space="preserve">10</w:t>
        </w:r>
      </w:hyperlink>
    </w:p>
    <w:p>
      <w:pPr>
        <w:pStyle w:val="toc2"/>
      </w:pPr>
      <w:hyperlink w:anchor="_Toc000118" w:history="1">
        <w:r>
          <w:t xml:space="preserve">4.3 Module summaries</w:t>
        </w:r>
        <w:r>
          <w:t xml:space="preserve">	</w:t>
        </w:r>
        <w:r>
          <w:t xml:space="preserve">11</w:t>
        </w:r>
      </w:hyperlink>
    </w:p>
    <w:p>
      <w:pPr>
        <w:pStyle w:val="toc1"/>
      </w:pPr>
      <w:hyperlink w:anchor="_Toc000119" w:history="1">
        <w:r>
          <w:t xml:space="preserve">5 User-story approach</w:t>
        </w:r>
        <w:r>
          <w:t xml:space="preserve">	</w:t>
        </w:r>
        <w:r>
          <w:t xml:space="preserve">12</w:t>
        </w:r>
      </w:hyperlink>
    </w:p>
    <w:p>
      <w:pPr>
        <w:pStyle w:val="toc1"/>
      </w:pPr>
      <w:hyperlink w:anchor="_Toc000120" w:history="1">
        <w:r>
          <w:t xml:space="preserve">6 External interfaces</w:t>
        </w:r>
        <w:r>
          <w:t xml:space="preserve">	</w:t>
        </w:r>
        <w:r>
          <w:t xml:space="preserve">13</w:t>
        </w:r>
      </w:hyperlink>
    </w:p>
    <w:p>
      <w:pPr>
        <w:pStyle w:val="toc2"/>
      </w:pPr>
      <w:hyperlink w:anchor="_Toc000121" w:history="1">
        <w:r>
          <w:t xml:space="preserve">6.1 User interface</w:t>
        </w:r>
        <w:r>
          <w:t xml:space="preserve">	</w:t>
        </w:r>
        <w:r>
          <w:t xml:space="preserve">13</w:t>
        </w:r>
      </w:hyperlink>
    </w:p>
    <w:p>
      <w:pPr>
        <w:pStyle w:val="toc2"/>
      </w:pPr>
      <w:hyperlink w:anchor="_Toc000122" w:history="1">
        <w:r>
          <w:t xml:space="preserve">6.2 System interfaces</w:t>
        </w:r>
        <w:r>
          <w:t xml:space="preserve">	</w:t>
        </w:r>
        <w:r>
          <w:t xml:space="preserve">13</w:t>
        </w:r>
      </w:hyperlink>
    </w:p>
    <w:p>
      <w:pPr>
        <w:pStyle w:val="toc2"/>
      </w:pPr>
      <w:hyperlink w:anchor="_Toc000123" w:history="1">
        <w:r>
          <w:t xml:space="preserve">6.3 Documents, e-mail and files</w:t>
        </w:r>
        <w:r>
          <w:t xml:space="preserve">	</w:t>
        </w:r>
        <w:r>
          <w:t xml:space="preserve">14</w:t>
        </w:r>
      </w:hyperlink>
    </w:p>
    <w:p>
      <w:pPr>
        <w:pStyle w:val="toc1"/>
      </w:pPr>
      <w:hyperlink w:anchor="_Toc000124" w:history="1">
        <w:r>
          <w:t xml:space="preserve">7 Data requirements</w:t>
        </w:r>
        <w:r>
          <w:t xml:space="preserve">	</w:t>
        </w:r>
        <w:r>
          <w:t xml:space="preserve">15</w:t>
        </w:r>
      </w:hyperlink>
    </w:p>
    <w:p>
      <w:pPr>
        <w:pStyle w:val="toc2"/>
      </w:pPr>
      <w:hyperlink w:anchor="_Toc000125" w:history="1">
        <w:r>
          <w:t xml:space="preserve">7.1 Data domains</w:t>
        </w:r>
        <w:r>
          <w:t xml:space="preserve">	</w:t>
        </w:r>
        <w:r>
          <w:t xml:space="preserve">15</w:t>
        </w:r>
      </w:hyperlink>
    </w:p>
    <w:p>
      <w:pPr>
        <w:pStyle w:val="toc2"/>
      </w:pPr>
      <w:hyperlink w:anchor="_Toc000126" w:history="1">
        <w:r>
          <w:t xml:space="preserve">7.2 Data rules</w:t>
        </w:r>
        <w:r>
          <w:t xml:space="preserve">	</w:t>
        </w:r>
        <w:r>
          <w:t xml:space="preserve">15</w:t>
        </w:r>
      </w:hyperlink>
    </w:p>
    <w:p>
      <w:pPr>
        <w:pStyle w:val="toc2"/>
      </w:pPr>
      <w:hyperlink w:anchor="_Toc000127" w:history="1">
        <w:r>
          <w:t xml:space="preserve">7.3 Volumes, migration and retention</w:t>
        </w:r>
        <w:r>
          <w:t xml:space="preserve">	</w:t>
        </w:r>
        <w:r>
          <w:t xml:space="preserve">15</w:t>
        </w:r>
      </w:hyperlink>
    </w:p>
    <w:p>
      <w:pPr>
        <w:pStyle w:val="toc1"/>
      </w:pPr>
      <w:hyperlink w:anchor="_Toc000128" w:history="1">
        <w:r>
          <w:t xml:space="preserve">8 Non-functional requirements</w:t>
        </w:r>
        <w:r>
          <w:t xml:space="preserve">	</w:t>
        </w:r>
        <w:r>
          <w:t xml:space="preserve">17</w:t>
        </w:r>
      </w:hyperlink>
    </w:p>
    <w:p>
      <w:pPr>
        <w:pStyle w:val="toc1"/>
      </w:pPr>
      <w:hyperlink w:anchor="_Toc000129" w:history="1">
        <w:r>
          <w:t xml:space="preserve">9 Constraints</w:t>
        </w:r>
        <w:r>
          <w:t xml:space="preserve">	</w:t>
        </w:r>
        <w:r>
          <w:t xml:space="preserve">18</w:t>
        </w:r>
      </w:hyperlink>
    </w:p>
    <w:p>
      <w:pPr>
        <w:pStyle w:val="toc1"/>
      </w:pPr>
      <w:hyperlink w:anchor="_Toc000130" w:history="1">
        <w:r>
          <w:t xml:space="preserve">10 Assumptions and dependencies</w:t>
        </w:r>
        <w:r>
          <w:t xml:space="preserve">	</w:t>
        </w:r>
        <w:r>
          <w:t xml:space="preserve">19</w:t>
        </w:r>
      </w:hyperlink>
    </w:p>
    <w:p>
      <w:pPr>
        <w:pStyle w:val="toc2"/>
      </w:pPr>
      <w:hyperlink w:anchor="_Toc000131" w:history="1">
        <w:r>
          <w:t xml:space="preserve">10.1 Assumptions</w:t>
        </w:r>
        <w:r>
          <w:t xml:space="preserve">	</w:t>
        </w:r>
        <w:r>
          <w:t xml:space="preserve">19</w:t>
        </w:r>
      </w:hyperlink>
    </w:p>
    <w:p>
      <w:pPr>
        <w:pStyle w:val="toc2"/>
      </w:pPr>
      <w:hyperlink w:anchor="_Toc000132" w:history="1">
        <w:r>
          <w:t xml:space="preserve">10.2 Dependencies on BDOI</w:t>
        </w:r>
        <w:r>
          <w:t xml:space="preserve">	</w:t>
        </w:r>
        <w:r>
          <w:t xml:space="preserve">19</w:t>
        </w:r>
      </w:hyperlink>
    </w:p>
    <w:p>
      <w:pPr>
        <w:pStyle w:val="toc1"/>
      </w:pPr>
      <w:hyperlink w:anchor="_Toc000133" w:history="1">
        <w:r>
          <w:t xml:space="preserve">11 Compliance requirements</w:t>
        </w:r>
        <w:r>
          <w:t xml:space="preserve">	</w:t>
        </w:r>
        <w:r>
          <w:t xml:space="preserve">20</w:t>
        </w:r>
      </w:hyperlink>
    </w:p>
    <w:p>
      <w:pPr>
        <w:pStyle w:val="toc1"/>
      </w:pPr>
      <w:hyperlink w:anchor="_Toc000134" w:history="1">
        <w:r>
          <w:t xml:space="preserve">12 Acceptance approach</w:t>
        </w:r>
        <w:r>
          <w:t xml:space="preserve">	</w:t>
        </w:r>
        <w:r>
          <w:t xml:space="preserve">21</w:t>
        </w:r>
      </w:hyperlink>
    </w:p>
    <w:p>
      <w:pPr>
        <w:pStyle w:val="toc2"/>
      </w:pPr>
      <w:hyperlink w:anchor="_Toc000135" w:history="1">
        <w:r>
          <w:t xml:space="preserve">12.1 Acceptance steps</w:t>
        </w:r>
        <w:r>
          <w:t xml:space="preserve">	</w:t>
        </w:r>
        <w:r>
          <w:t xml:space="preserve">21</w:t>
        </w:r>
      </w:hyperlink>
    </w:p>
    <w:p>
      <w:pPr>
        <w:pStyle w:val="toc2"/>
      </w:pPr>
      <w:hyperlink w:anchor="_Toc000136" w:history="1">
        <w:r>
          <w:t xml:space="preserve">12.2 Requirements coverage</w:t>
        </w:r>
        <w:r>
          <w:t xml:space="preserve">	</w:t>
        </w:r>
        <w:r>
          <w:t xml:space="preserve">21</w:t>
        </w:r>
      </w:hyperlink>
    </w:p>
    <w:p>
      <w:pPr>
        <w:pStyle w:val="toc2"/>
      </w:pPr>
      <w:hyperlink w:anchor="_Toc000137" w:history="1">
        <w:r>
          <w:t xml:space="preserve">12.3 Change control</w:t>
        </w:r>
        <w:r>
          <w:t xml:space="preserve">	</w:t>
        </w:r>
        <w:r>
          <w:t xml:space="preserve">22</w:t>
        </w:r>
      </w:hyperlink>
    </w:p>
    <w:p>
      <w:pPr>
        <w:pStyle w:val="toc1"/>
      </w:pPr>
      <w:hyperlink w:anchor="_Toc000138" w:history="1">
        <w:r>
          <w:t xml:space="preserve">13 Decisions and open points for BDOI</w:t>
        </w:r>
        <w:r>
          <w:t xml:space="preserve">	</w:t>
        </w:r>
        <w:r>
          <w:t xml:space="preserve">23</w:t>
        </w:r>
      </w:hyperlink>
    </w:p>
    <w:p>
      <w:pPr>
        <w:pStyle w:val="toc1"/>
      </w:pPr>
      <w:hyperlink w:anchor="_Toc000139" w:history="1">
        <w:r>
          <w:t xml:space="preserve">Sign-off</w:t>
        </w:r>
        <w:r>
          <w:t xml:space="preserve">	</w:t>
        </w:r>
        <w:r>
          <w:t xml:space="preserve">24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System Requirements Specification (SRS) states, in one document, what BIBS - the BDOI Broker System on iNXT BrokerVerse - must do for BDO Insurance and Reinsurance Brokers, Inc. (BDOI). It is the programme-level view above the Functional Requirements Specifications (FRS) of the thirteen BRDs: it gives the system context, the users, the functional scope of each module with a reference to its FRS, the external interfaces, the data and compliance requirements, the constraints and the way BDOI accepts the system.</w:t>
      </w:r>
    </w:p>
    <w:p>
      <w:r>
        <w:rPr/>
        <w:t xml:space="preserve">The SRS does not repeat the FRS. Each functional requirement, with its rules, fields, messages and acceptance criteria, lives in the FRS of its BRD; where this document and an FRS describe the same behaviour, the FRS governs. The non-functional requirements are summarised here and specified in full in the companion document </w:t>
      </w:r>
      <w:r>
        <w:rPr>
          <w:i/>
        </w:rPr>
        <w:t>Non-Functional Requirements</w:t>
      </w:r>
      <w:r>
        <w:rPr/>
        <w:t xml:space="preserve"> v1.0 and its register.</w:t>
      </w:r>
    </w:p>
    <w:p>
      <w:pPr>
        <w:pStyle w:val="Heading2"/>
      </w:pPr>
      <w:bookmarkStart w:id="103" w:name="_Toc000103"/>
      <w:r>
        <w:rPr/>
        <w:t>1.2 Audience</w:t>
      </w:r>
      <w:bookmarkEnd w:id="103"/>
    </w:p>
    <w:p>
      <w:pPr>
        <w:pStyle w:val="Caption"/>
        <w:keepNext/>
        <w:spacing w:after="60"/>
      </w:pPr>
      <w:r>
        <w:rPr>
          <w:b/>
          <w:i w:val="0"/>
        </w:rPr>
        <w:t xml:space="preserve">Table 1: </w:t>
      </w:r>
      <w:r>
        <w:rPr/>
        <w:t>Readers and what they use the SRS for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the product owners of each BRD</w:t>
            </w:r>
          </w:p>
        </w:tc>
        <w:tc>
          <w:tcPr>
            <w:tcW w:type="dxa" w:w="7209"/>
            <w:tcMar>
              <w:top w:w="50" w:type="dxa"/>
              <w:bottom w:w="50" w:type="dxa"/>
              <w:left w:w="90" w:type="dxa"/>
              <w:right w:w="90" w:type="dxa"/>
            </w:tcMar>
          </w:tcPr>
          <w:p>
            <w:pPr>
              <w:pStyle w:val="BDOITable"/>
            </w:pPr>
            <w:r>
              <w:rPr>
                <w:sz w:val="18"/>
              </w:rPr>
              <w:t>Confirm the scope of phase 1 and the summary of their module; decide the open points of chapter 13</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7209"/>
            <w:tcMar>
              <w:top w:w="50" w:type="dxa"/>
              <w:bottom w:w="50" w:type="dxa"/>
              <w:left w:w="90" w:type="dxa"/>
              <w:right w:w="90" w:type="dxa"/>
            </w:tcMar>
            <w:shd w:val="clear" w:color="auto" w:fill="E5F5FF"/>
          </w:tcPr>
          <w:p>
            <w:pPr>
              <w:pStyle w:val="BDOITable"/>
            </w:pPr>
            <w:r>
              <w:rPr>
                <w:sz w:val="18"/>
              </w:rPr>
              <w:t>Scope per drop, acceptance approach, dependencies</w:t>
            </w:r>
          </w:p>
        </w:tc>
      </w:tr>
      <w:tr>
        <w:trPr>
          <w:cantSplit w:val="true"/>
        </w:trPr>
        <w:tc>
          <w:tcPr>
            <w:tcW w:type="dxa" w:w="2763"/>
            <w:tcMar>
              <w:top w:w="50" w:type="dxa"/>
              <w:bottom w:w="50" w:type="dxa"/>
              <w:left w:w="90" w:type="dxa"/>
              <w:right w:w="90" w:type="dxa"/>
            </w:tcMar>
          </w:tcPr>
          <w:p>
            <w:pPr>
              <w:pStyle w:val="BDOITable"/>
            </w:pPr>
            <w:r>
              <w:rPr>
                <w:sz w:val="18"/>
              </w:rPr>
              <w:t>BDOI IT and BDO Cloud and Digital Operations Engineering</w:t>
            </w:r>
          </w:p>
        </w:tc>
        <w:tc>
          <w:tcPr>
            <w:tcW w:type="dxa" w:w="7209"/>
            <w:tcMar>
              <w:top w:w="50" w:type="dxa"/>
              <w:bottom w:w="50" w:type="dxa"/>
              <w:left w:w="90" w:type="dxa"/>
              <w:right w:w="90" w:type="dxa"/>
            </w:tcMar>
          </w:tcPr>
          <w:p>
            <w:pPr>
              <w:pStyle w:val="BDOITable"/>
            </w:pPr>
            <w:r>
              <w:rPr>
                <w:sz w:val="18"/>
              </w:rPr>
              <w:t>System context, interfaces, constraints and the non-functional baseline</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Information Security, Data Protection Officer, Compliance Officer</w:t>
            </w:r>
          </w:p>
        </w:tc>
        <w:tc>
          <w:tcPr>
            <w:tcW w:type="dxa" w:w="7209"/>
            <w:tcMar>
              <w:top w:w="50" w:type="dxa"/>
              <w:bottom w:w="50" w:type="dxa"/>
              <w:left w:w="90" w:type="dxa"/>
              <w:right w:w="90" w:type="dxa"/>
            </w:tcMar>
            <w:shd w:val="clear" w:color="auto" w:fill="E5F5FF"/>
          </w:tcPr>
          <w:p>
            <w:pPr>
              <w:pStyle w:val="BDOITable"/>
            </w:pPr>
            <w:r>
              <w:rPr>
                <w:sz w:val="18"/>
              </w:rPr>
              <w:t>Security, privacy and regulatory requirements (chapters 7, 8 and 11)</w:t>
            </w:r>
          </w:p>
        </w:tc>
      </w:tr>
      <w:tr>
        <w:trPr>
          <w:cantSplit w:val="true"/>
        </w:trPr>
        <w:tc>
          <w:tcPr>
            <w:tcW w:type="dxa" w:w="2763"/>
            <w:tcMar>
              <w:top w:w="50" w:type="dxa"/>
              <w:bottom w:w="50" w:type="dxa"/>
              <w:left w:w="90" w:type="dxa"/>
              <w:right w:w="90" w:type="dxa"/>
            </w:tcMar>
          </w:tcPr>
          <w:p>
            <w:pPr>
              <w:pStyle w:val="BDOITable"/>
            </w:pPr>
            <w:r>
              <w:rPr>
                <w:sz w:val="18"/>
              </w:rPr>
              <w:t>iorta TechNXT project team</w:t>
            </w:r>
          </w:p>
        </w:tc>
        <w:tc>
          <w:tcPr>
            <w:tcW w:type="dxa" w:w="7209"/>
            <w:tcMar>
              <w:top w:w="50" w:type="dxa"/>
              <w:bottom w:w="50" w:type="dxa"/>
              <w:left w:w="90" w:type="dxa"/>
              <w:right w:w="90" w:type="dxa"/>
            </w:tcMar>
          </w:tcPr>
          <w:p>
            <w:pPr>
              <w:pStyle w:val="BDOITable"/>
            </w:pPr>
            <w:r>
              <w:rPr>
                <w:sz w:val="18"/>
              </w:rPr>
              <w:t>One reference for specification, development, test and acceptance</w:t>
            </w:r>
          </w:p>
        </w:tc>
      </w:tr>
    </w:tbl>
    <w:p>
      <w:pPr>
        <w:pStyle w:val="BDOISpacer"/>
      </w:pPr>
    </w:p>
    <w:p>
      <w:pPr>
        <w:pStyle w:val="Heading2"/>
      </w:pPr>
      <w:bookmarkStart w:id="104" w:name="_Toc000104"/>
      <w:r>
        <w:rPr/>
        <w:t>1.3 Scope</w:t>
      </w:r>
      <w:bookmarkEnd w:id="104"/>
    </w:p>
    <w:p>
      <w:r>
        <w:rPr/>
        <w:t>BIBS is the enterprise-wide insurance broking system of BDOI. Phase 1 covers the twelve function BRDs (BRD-1 to BRD-12), the Data Migration BRD (BRD-13) and the cross-cutting requirements of the Core Replacement umbrella BRD (BRD-00). All modules go live together in January 2028 (BDOI answer A1 of 26 September 2026); the proposed go-live date is Monday 3 January 2028.</w:t>
      </w:r>
    </w:p>
    <w:p>
      <w:pPr>
        <w:pStyle w:val="Caption"/>
        <w:keepNext/>
        <w:spacing w:after="60"/>
      </w:pPr>
      <w:r>
        <w:rPr>
          <w:b/>
          <w:i w:val="0"/>
        </w:rPr>
        <w:t xml:space="preserve">Table 2: </w:t>
      </w:r>
      <w:r>
        <w:rPr/>
        <w:t>In and out of scope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403"/>
            <w:tcMar>
              <w:top w:w="50" w:type="dxa"/>
              <w:bottom w:w="50" w:type="dxa"/>
              <w:left w:w="90" w:type="dxa"/>
              <w:right w:w="90" w:type="dxa"/>
            </w:tcMar>
          </w:tcPr>
          <w:p>
            <w:pPr>
              <w:pStyle w:val="BDOITable"/>
            </w:pPr>
            <w:r>
              <w:rPr>
                <w:sz w:val="18"/>
              </w:rPr>
              <w:t>In scope</w:t>
            </w:r>
          </w:p>
        </w:tc>
        <w:tc>
          <w:tcPr>
            <w:tcW w:type="dxa" w:w="7569"/>
            <w:tcMar>
              <w:top w:w="50" w:type="dxa"/>
              <w:bottom w:w="50" w:type="dxa"/>
              <w:left w:w="90" w:type="dxa"/>
              <w:right w:w="90" w:type="dxa"/>
            </w:tcMar>
          </w:tcPr>
          <w:p>
            <w:pPr>
              <w:pStyle w:val="BDOITable"/>
            </w:pPr>
            <w:r>
              <w:rPr>
                <w:sz w:val="18"/>
              </w:rPr>
              <w:t>Client onboarding, quotation and proposal, package products, placement, issuance and booking, renewal, submitted policies, customer servicing, sanction screening and risk profiling, cashiering, remittance (including the reinsurance transactions that pass through Remittance), adjustment and cancellation, production reconciliation, commission receivables, collections, accounting, disbursement and ACSL, claims logging and monitoring, employee benefits without the partner portal, user access maintenance, data migration and the cross-cutting platform services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Phase 2</w:t>
            </w:r>
          </w:p>
        </w:tc>
        <w:tc>
          <w:tcPr>
            <w:tcW w:type="dxa" w:w="7569"/>
            <w:tcMar>
              <w:top w:w="50" w:type="dxa"/>
              <w:bottom w:w="50" w:type="dxa"/>
              <w:left w:w="90" w:type="dxa"/>
              <w:right w:w="90" w:type="dxa"/>
            </w:tcMar>
            <w:shd w:val="clear" w:color="auto" w:fill="E5F5FF"/>
          </w:tcPr>
          <w:p>
            <w:pPr>
              <w:pStyle w:val="BDOITable"/>
            </w:pPr>
            <w:r>
              <w:rPr>
                <w:sz w:val="18"/>
              </w:rPr>
              <w:t>The reinsurance module (ReInsurance BRD, CORE-15)</w:t>
            </w:r>
          </w:p>
        </w:tc>
      </w:tr>
      <w:tr>
        <w:trPr>
          <w:cantSplit w:val="true"/>
        </w:trPr>
        <w:tc>
          <w:tcPr>
            <w:tcW w:type="dxa" w:w="2403"/>
            <w:tcMar>
              <w:top w:w="50" w:type="dxa"/>
              <w:bottom w:w="50" w:type="dxa"/>
              <w:left w:w="90" w:type="dxa"/>
              <w:right w:w="90" w:type="dxa"/>
            </w:tcMar>
          </w:tcPr>
          <w:p>
            <w:pPr>
              <w:pStyle w:val="BDOITable"/>
            </w:pPr>
            <w:r>
              <w:rPr>
                <w:sz w:val="18"/>
              </w:rPr>
              <w:t>Not part of BIBS</w:t>
            </w:r>
          </w:p>
        </w:tc>
        <w:tc>
          <w:tcPr>
            <w:tcW w:type="dxa" w:w="7569"/>
            <w:tcMar>
              <w:top w:w="50" w:type="dxa"/>
              <w:bottom w:w="50" w:type="dxa"/>
              <w:left w:w="90" w:type="dxa"/>
              <w:right w:w="90" w:type="dxa"/>
            </w:tcMar>
          </w:tcPr>
          <w:p>
            <w:pPr>
              <w:pStyle w:val="BDOITable"/>
            </w:pPr>
            <w:r>
              <w:rPr>
                <w:sz w:val="18"/>
              </w:rPr>
              <w:t>Insurer-company functions: insurer underwriting, insurer claims processing, reinsurance treaty and cession accounting, actuarial reserves, group consolidation and insurer taxes. BDOI is a broker: the insurers issue the policies, pay the claims and keep their own books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Excluded by BDOI answers</w:t>
            </w:r>
          </w:p>
        </w:tc>
        <w:tc>
          <w:tcPr>
            <w:tcW w:type="dxa" w:w="7569"/>
            <w:tcMar>
              <w:top w:w="50" w:type="dxa"/>
              <w:bottom w:w="50" w:type="dxa"/>
              <w:left w:w="90" w:type="dxa"/>
              <w:right w:w="90" w:type="dxa"/>
            </w:tcMar>
            <w:shd w:val="clear" w:color="auto" w:fill="E5F5FF"/>
          </w:tcPr>
          <w:p>
            <w:pPr>
              <w:pStyle w:val="BDOITable"/>
            </w:pPr>
            <w:r>
              <w:rPr>
                <w:sz w:val="18"/>
              </w:rPr>
              <w:t>Employee Benefits partner portal (no portal feature on the drop plan); documents in ECM (every BIBS document is held in the S3 document store, answer A4); early renewal release (superseded by the single go-live)</w:t>
            </w:r>
          </w:p>
        </w:tc>
      </w:tr>
    </w:tbl>
    <w:p>
      <w:pPr>
        <w:pStyle w:val="BDOISpacer"/>
      </w:pPr>
    </w:p>
    <w:p>
      <w:pPr>
        <w:pStyle w:val="Heading2"/>
      </w:pPr>
      <w:bookmarkStart w:id="105" w:name="_Toc000105"/>
      <w:r>
        <w:rPr/>
        <w:t>1.4 Document hierarchy</w:t>
      </w:r>
      <w:bookmarkEnd w:id="105"/>
    </w:p>
    <w:p>
      <w:pPr>
        <w:pStyle w:val="Caption"/>
        <w:keepNext/>
        <w:spacing w:after="60"/>
      </w:pPr>
      <w:r>
        <w:rPr>
          <w:b/>
          <w:i w:val="0"/>
        </w:rPr>
        <w:t xml:space="preserve">Table 3: </w:t>
      </w:r>
      <w:r>
        <w:rPr/>
        <w:t>Where each kind of requirement is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336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8"/>
              </w:rPr>
              <w:t>Governs</w:t>
            </w:r>
          </w:p>
        </w:tc>
      </w:tr>
      <w:tr>
        <w:trPr>
          <w:cantSplit w:val="true"/>
        </w:trPr>
        <w:tc>
          <w:tcPr>
            <w:tcW w:type="dxa" w:w="2643"/>
            <w:tcMar>
              <w:top w:w="50" w:type="dxa"/>
              <w:bottom w:w="50" w:type="dxa"/>
              <w:left w:w="90" w:type="dxa"/>
              <w:right w:w="90" w:type="dxa"/>
            </w:tcMar>
          </w:tcPr>
          <w:p>
            <w:pPr>
              <w:pStyle w:val="BDOITable"/>
            </w:pPr>
            <w:r>
              <w:rPr>
                <w:sz w:val="18"/>
              </w:rPr>
              <w:t>BRDs of BDOI (versions of 8 October 2026)</w:t>
            </w:r>
          </w:p>
        </w:tc>
        <w:tc>
          <w:tcPr>
            <w:tcW w:type="dxa" w:w="3965"/>
            <w:tcMar>
              <w:top w:w="50" w:type="dxa"/>
              <w:bottom w:w="50" w:type="dxa"/>
              <w:left w:w="90" w:type="dxa"/>
              <w:right w:w="90" w:type="dxa"/>
            </w:tcMar>
          </w:tcPr>
          <w:p>
            <w:pPr>
              <w:pStyle w:val="BDOITable"/>
            </w:pPr>
            <w:r>
              <w:rPr>
                <w:sz w:val="18"/>
              </w:rPr>
              <w:t>Business requirements with IDs and pages</w:t>
            </w:r>
          </w:p>
        </w:tc>
        <w:tc>
          <w:tcPr>
            <w:tcW w:type="dxa" w:w="3364"/>
            <w:tcMar>
              <w:top w:w="50" w:type="dxa"/>
              <w:bottom w:w="50" w:type="dxa"/>
              <w:left w:w="90" w:type="dxa"/>
              <w:right w:w="90" w:type="dxa"/>
            </w:tcMar>
          </w:tcPr>
          <w:p>
            <w:pPr>
              <w:pStyle w:val="BDOITable"/>
            </w:pPr>
            <w:r>
              <w:rPr>
                <w:sz w:val="18"/>
              </w:rPr>
              <w:t>The business need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This SRS</w:t>
            </w:r>
          </w:p>
        </w:tc>
        <w:tc>
          <w:tcPr>
            <w:tcW w:type="dxa" w:w="3965"/>
            <w:tcMar>
              <w:top w:w="50" w:type="dxa"/>
              <w:bottom w:w="50" w:type="dxa"/>
              <w:left w:w="90" w:type="dxa"/>
              <w:right w:w="90" w:type="dxa"/>
            </w:tcMar>
            <w:shd w:val="clear" w:color="auto" w:fill="E5F5FF"/>
          </w:tcPr>
          <w:p>
            <w:pPr>
              <w:pStyle w:val="BDOITable"/>
            </w:pPr>
            <w:r>
              <w:rPr>
                <w:sz w:val="18"/>
              </w:rPr>
              <w:t>Context, scope, users, interfaces, data, constraints, compliance, acceptance</w:t>
            </w:r>
          </w:p>
        </w:tc>
        <w:tc>
          <w:tcPr>
            <w:tcW w:type="dxa" w:w="3364"/>
            <w:tcMar>
              <w:top w:w="50" w:type="dxa"/>
              <w:bottom w:w="50" w:type="dxa"/>
              <w:left w:w="90" w:type="dxa"/>
              <w:right w:w="90" w:type="dxa"/>
            </w:tcMar>
            <w:shd w:val="clear" w:color="auto" w:fill="E5F5FF"/>
          </w:tcPr>
          <w:p>
            <w:pPr>
              <w:pStyle w:val="BDOITable"/>
            </w:pPr>
            <w:r>
              <w:rPr>
                <w:sz w:val="18"/>
              </w:rPr>
              <w:t>Programme-level requirements</w:t>
            </w:r>
          </w:p>
        </w:tc>
      </w:tr>
      <w:tr>
        <w:trPr>
          <w:cantSplit w:val="true"/>
        </w:trPr>
        <w:tc>
          <w:tcPr>
            <w:tcW w:type="dxa" w:w="2643"/>
            <w:tcMar>
              <w:top w:w="50" w:type="dxa"/>
              <w:bottom w:w="50" w:type="dxa"/>
              <w:left w:w="90" w:type="dxa"/>
              <w:right w:w="90" w:type="dxa"/>
            </w:tcMar>
          </w:tcPr>
          <w:p>
            <w:pPr>
              <w:pStyle w:val="BDOITable"/>
            </w:pPr>
            <w:r>
              <w:rPr>
                <w:sz w:val="18"/>
              </w:rPr>
              <w:t>FRS of each BRD (Data Migration Handbook for BRD-13)</w:t>
            </w:r>
          </w:p>
        </w:tc>
        <w:tc>
          <w:tcPr>
            <w:tcW w:type="dxa" w:w="3965"/>
            <w:tcMar>
              <w:top w:w="50" w:type="dxa"/>
              <w:bottom w:w="50" w:type="dxa"/>
              <w:left w:w="90" w:type="dxa"/>
              <w:right w:w="90" w:type="dxa"/>
            </w:tcMar>
          </w:tcPr>
          <w:p>
            <w:pPr>
              <w:pStyle w:val="BDOITable"/>
            </w:pPr>
            <w:r>
              <w:rPr>
                <w:sz w:val="18"/>
              </w:rPr>
              <w:t>Functional requirements FR-xx-nnn, screens, workflows, reports, messages, user-story view</w:t>
            </w:r>
          </w:p>
        </w:tc>
        <w:tc>
          <w:tcPr>
            <w:tcW w:type="dxa" w:w="3364"/>
            <w:tcMar>
              <w:top w:w="50" w:type="dxa"/>
              <w:bottom w:w="50" w:type="dxa"/>
              <w:left w:w="90" w:type="dxa"/>
              <w:right w:w="90" w:type="dxa"/>
            </w:tcMar>
          </w:tcPr>
          <w:p>
            <w:pPr>
              <w:pStyle w:val="BDOITable"/>
            </w:pPr>
            <w:r>
              <w:rPr>
                <w:sz w:val="18"/>
              </w:rPr>
              <w:t>Functional behaviour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Non-Functional Requirements v1.0 and register</w:t>
            </w:r>
          </w:p>
        </w:tc>
        <w:tc>
          <w:tcPr>
            <w:tcW w:type="dxa" w:w="3965"/>
            <w:tcMar>
              <w:top w:w="50" w:type="dxa"/>
              <w:bottom w:w="50" w:type="dxa"/>
              <w:left w:w="90" w:type="dxa"/>
              <w:right w:w="90" w:type="dxa"/>
            </w:tcMar>
            <w:shd w:val="clear" w:color="auto" w:fill="E5F5FF"/>
          </w:tcPr>
          <w:p>
            <w:pPr>
              <w:pStyle w:val="BDOITable"/>
            </w:pPr>
            <w:r>
              <w:rPr>
                <w:sz w:val="18"/>
              </w:rPr>
              <w:t>99 measurable NFRs with verification, owner and test type</w:t>
            </w:r>
          </w:p>
        </w:tc>
        <w:tc>
          <w:tcPr>
            <w:tcW w:type="dxa" w:w="3364"/>
            <w:tcMar>
              <w:top w:w="50" w:type="dxa"/>
              <w:bottom w:w="50" w:type="dxa"/>
              <w:left w:w="90" w:type="dxa"/>
              <w:right w:w="90" w:type="dxa"/>
            </w:tcMar>
            <w:shd w:val="clear" w:color="auto" w:fill="E5F5FF"/>
          </w:tcPr>
          <w:p>
            <w:pPr>
              <w:pStyle w:val="BDOITable"/>
            </w:pPr>
            <w:r>
              <w:rPr>
                <w:sz w:val="18"/>
              </w:rPr>
              <w:t>Quality attributes</w:t>
            </w:r>
          </w:p>
        </w:tc>
      </w:tr>
      <w:tr>
        <w:trPr>
          <w:cantSplit w:val="true"/>
        </w:trPr>
        <w:tc>
          <w:tcPr>
            <w:tcW w:type="dxa" w:w="2643"/>
            <w:tcMar>
              <w:top w:w="50" w:type="dxa"/>
              <w:bottom w:w="50" w:type="dxa"/>
              <w:left w:w="90" w:type="dxa"/>
              <w:right w:w="90" w:type="dxa"/>
            </w:tcMar>
          </w:tcPr>
          <w:p>
            <w:pPr>
              <w:pStyle w:val="BDOITable"/>
            </w:pPr>
            <w:r>
              <w:rPr>
                <w:sz w:val="18"/>
              </w:rPr>
              <w:t>Requirements Traceability Matrix v1.0</w:t>
            </w:r>
          </w:p>
        </w:tc>
        <w:tc>
          <w:tcPr>
            <w:tcW w:type="dxa" w:w="3965"/>
            <w:tcMar>
              <w:top w:w="50" w:type="dxa"/>
              <w:bottom w:w="50" w:type="dxa"/>
              <w:left w:w="90" w:type="dxa"/>
              <w:right w:w="90" w:type="dxa"/>
            </w:tcMar>
          </w:tcPr>
          <w:p>
            <w:pPr>
              <w:pStyle w:val="BDOITable"/>
            </w:pPr>
            <w:r>
              <w:rPr>
                <w:sz w:val="18"/>
              </w:rPr>
              <w:t>BRD requirement to FR, test cases, screens and drop</w:t>
            </w:r>
          </w:p>
        </w:tc>
        <w:tc>
          <w:tcPr>
            <w:tcW w:type="dxa" w:w="3364"/>
            <w:tcMar>
              <w:top w:w="50" w:type="dxa"/>
              <w:bottom w:w="50" w:type="dxa"/>
              <w:left w:w="90" w:type="dxa"/>
              <w:right w:w="90" w:type="dxa"/>
            </w:tcMar>
          </w:tcPr>
          <w:p>
            <w:pPr>
              <w:pStyle w:val="BDOITable"/>
            </w:pPr>
            <w:r>
              <w:rPr>
                <w:sz w:val="18"/>
              </w:rPr>
              <w:t>Coverage</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Test plans of each BRD and the Test Strategy v1.0</w:t>
            </w:r>
          </w:p>
        </w:tc>
        <w:tc>
          <w:tcPr>
            <w:tcW w:type="dxa" w:w="3965"/>
            <w:tcMar>
              <w:top w:w="50" w:type="dxa"/>
              <w:bottom w:w="50" w:type="dxa"/>
              <w:left w:w="90" w:type="dxa"/>
              <w:right w:w="90" w:type="dxa"/>
            </w:tcMar>
            <w:shd w:val="clear" w:color="auto" w:fill="E5F5FF"/>
          </w:tcPr>
          <w:p>
            <w:pPr>
              <w:pStyle w:val="BDOITable"/>
            </w:pPr>
            <w:r>
              <w:rPr>
                <w:sz w:val="18"/>
              </w:rPr>
              <w:t>Test conditions, cases, levels, environments, criteria</w:t>
            </w:r>
          </w:p>
        </w:tc>
        <w:tc>
          <w:tcPr>
            <w:tcW w:type="dxa" w:w="3364"/>
            <w:tcMar>
              <w:top w:w="50" w:type="dxa"/>
              <w:bottom w:w="50" w:type="dxa"/>
              <w:left w:w="90" w:type="dxa"/>
              <w:right w:w="90" w:type="dxa"/>
            </w:tcMar>
            <w:shd w:val="clear" w:color="auto" w:fill="E5F5FF"/>
          </w:tcPr>
          <w:p>
            <w:pPr>
              <w:pStyle w:val="BDOITable"/>
            </w:pPr>
            <w:r>
              <w:rPr>
                <w:sz w:val="18"/>
              </w:rPr>
              <w:t>Verification</w:t>
            </w:r>
          </w:p>
        </w:tc>
      </w:tr>
      <w:tr>
        <w:trPr>
          <w:cantSplit w:val="true"/>
        </w:trPr>
        <w:tc>
          <w:tcPr>
            <w:tcW w:type="dxa" w:w="2643"/>
            <w:tcMar>
              <w:top w:w="50" w:type="dxa"/>
              <w:bottom w:w="50" w:type="dxa"/>
              <w:left w:w="90" w:type="dxa"/>
              <w:right w:w="90" w:type="dxa"/>
            </w:tcMar>
          </w:tcPr>
          <w:p>
            <w:pPr>
              <w:pStyle w:val="BDOITable"/>
            </w:pPr>
            <w:r>
              <w:rPr>
                <w:sz w:val="18"/>
              </w:rPr>
              <w:t>Technical Specification (reviewed by BDOI IT)</w:t>
            </w:r>
          </w:p>
        </w:tc>
        <w:tc>
          <w:tcPr>
            <w:tcW w:type="dxa" w:w="3965"/>
            <w:tcMar>
              <w:top w:w="50" w:type="dxa"/>
              <w:bottom w:w="50" w:type="dxa"/>
              <w:left w:w="90" w:type="dxa"/>
              <w:right w:w="90" w:type="dxa"/>
            </w:tcMar>
          </w:tcPr>
          <w:p>
            <w:pPr>
              <w:pStyle w:val="BDOITable"/>
            </w:pPr>
            <w:r>
              <w:rPr>
                <w:sz w:val="18"/>
              </w:rPr>
              <w:t>Technical design, interfaces in detail, deployment</w:t>
            </w:r>
          </w:p>
        </w:tc>
        <w:tc>
          <w:tcPr>
            <w:tcW w:type="dxa" w:w="3364"/>
            <w:tcMar>
              <w:top w:w="50" w:type="dxa"/>
              <w:bottom w:w="50" w:type="dxa"/>
              <w:left w:w="90" w:type="dxa"/>
              <w:right w:w="90" w:type="dxa"/>
            </w:tcMar>
          </w:tcPr>
          <w:p>
            <w:pPr>
              <w:pStyle w:val="BDOITable"/>
            </w:pPr>
            <w:r>
              <w:rPr>
                <w:sz w:val="18"/>
              </w:rPr>
              <w:t>Technical realisation</w:t>
            </w:r>
          </w:p>
        </w:tc>
      </w:tr>
    </w:tbl>
    <w:p>
      <w:pPr>
        <w:pStyle w:val="BDOISpacer"/>
      </w:pPr>
    </w:p>
    <w:p>
      <w:pPr>
        <w:pStyle w:val="Heading2"/>
      </w:pPr>
      <w:bookmarkStart w:id="106" w:name="_Toc000106"/>
      <w:r>
        <w:rPr/>
        <w:t>1.5 References</w:t>
      </w:r>
      <w:bookmarkEnd w:id="106"/>
    </w:p>
    <w:p>
      <w:pPr>
        <w:pStyle w:val="Caption"/>
        <w:keepNext/>
        <w:spacing w:after="60"/>
      </w:pPr>
      <w:r>
        <w:rPr>
          <w:b/>
          <w:i w:val="0"/>
        </w:rPr>
        <w:t xml:space="preserve">Table 4: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248"/>
        <w:gridCol w:w="30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248"/>
            <w:tcMar>
              <w:top w:w="50" w:type="dxa"/>
              <w:bottom w:w="50" w:type="dxa"/>
              <w:left w:w="90" w:type="dxa"/>
              <w:right w:w="90" w:type="dxa"/>
            </w:tcMar>
          </w:tcPr>
          <w:p>
            <w:pPr>
              <w:pStyle w:val="BDOITable"/>
            </w:pPr>
            <w:r>
              <w:rPr>
                <w:sz w:val="18"/>
              </w:rPr>
              <w:t>BDOI Core Replacement BRD (umbrella) and the function BRDs BRD-1 to BRD-12, Data Migration BRD</w:t>
            </w:r>
          </w:p>
        </w:tc>
        <w:tc>
          <w:tcPr>
            <w:tcW w:type="dxa" w:w="3004"/>
            <w:tcMar>
              <w:top w:w="50" w:type="dxa"/>
              <w:bottom w:w="50" w:type="dxa"/>
              <w:left w:w="90" w:type="dxa"/>
              <w:right w:w="90" w:type="dxa"/>
            </w:tcMar>
          </w:tcPr>
          <w:p>
            <w:pPr>
              <w:pStyle w:val="BDOITable"/>
            </w:pPr>
            <w:r>
              <w:rPr>
                <w:sz w:val="18"/>
              </w:rPr>
              <w:t>Versions held on 8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248"/>
            <w:tcMar>
              <w:top w:w="50" w:type="dxa"/>
              <w:bottom w:w="50" w:type="dxa"/>
              <w:left w:w="90" w:type="dxa"/>
              <w:right w:w="90" w:type="dxa"/>
            </w:tcMar>
            <w:shd w:val="clear" w:color="auto" w:fill="E5F5FF"/>
          </w:tcPr>
          <w:p>
            <w:pPr>
              <w:pStyle w:val="BDOITable"/>
            </w:pPr>
            <w:r>
              <w:rPr>
                <w:sz w:val="18"/>
              </w:rPr>
              <w:t>FRS of BRD-00 to BRD-12 and the Data Migration Handbook (BRD-13)</w:t>
            </w:r>
          </w:p>
        </w:tc>
        <w:tc>
          <w:tcPr>
            <w:tcW w:type="dxa" w:w="3004"/>
            <w:tcMar>
              <w:top w:w="50" w:type="dxa"/>
              <w:bottom w:w="50" w:type="dxa"/>
              <w:left w:w="90" w:type="dxa"/>
              <w:right w:w="90" w:type="dxa"/>
            </w:tcMar>
            <w:shd w:val="clear" w:color="auto" w:fill="E5F5FF"/>
          </w:tcPr>
          <w:p>
            <w:pPr>
              <w:pStyle w:val="BDOITable"/>
            </w:pPr>
            <w:r>
              <w:rPr>
                <w:sz w:val="18"/>
              </w:rPr>
              <w:t>Versions listed in chapter 4</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248"/>
            <w:tcMar>
              <w:top w:w="50" w:type="dxa"/>
              <w:bottom w:w="50" w:type="dxa"/>
              <w:left w:w="90" w:type="dxa"/>
              <w:right w:w="90" w:type="dxa"/>
            </w:tcMar>
          </w:tcPr>
          <w:p>
            <w:pPr>
              <w:pStyle w:val="BDOITable"/>
            </w:pPr>
            <w:r>
              <w:rPr>
                <w:sz w:val="18"/>
              </w:rPr>
              <w:t>Test plans of BRD-1 to BRD-13</w:t>
            </w:r>
          </w:p>
        </w:tc>
        <w:tc>
          <w:tcPr>
            <w:tcW w:type="dxa" w:w="3004"/>
            <w:tcMar>
              <w:top w:w="50" w:type="dxa"/>
              <w:bottom w:w="50" w:type="dxa"/>
              <w:left w:w="90" w:type="dxa"/>
              <w:right w:w="90" w:type="dxa"/>
            </w:tcMar>
          </w:tcPr>
          <w:p>
            <w:pPr>
              <w:pStyle w:val="BDOITable"/>
            </w:pPr>
            <w:r>
              <w:rPr>
                <w:sz w:val="18"/>
              </w:rPr>
              <w:t>Versions listed in chapter 4</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248"/>
            <w:tcMar>
              <w:top w:w="50" w:type="dxa"/>
              <w:bottom w:w="50" w:type="dxa"/>
              <w:left w:w="90" w:type="dxa"/>
              <w:right w:w="90" w:type="dxa"/>
            </w:tcMar>
            <w:shd w:val="clear" w:color="auto" w:fill="E5F5FF"/>
          </w:tcPr>
          <w:p>
            <w:pPr>
              <w:pStyle w:val="BDOITable"/>
            </w:pPr>
            <w:r>
              <w:rPr>
                <w:sz w:val="18"/>
              </w:rPr>
              <w:t>BIBS Non-Functional Requirements and NFR register</w:t>
            </w:r>
          </w:p>
        </w:tc>
        <w:tc>
          <w:tcPr>
            <w:tcW w:type="dxa" w:w="3004"/>
            <w:tcMar>
              <w:top w:w="50" w:type="dxa"/>
              <w:bottom w:w="50" w:type="dxa"/>
              <w:left w:w="90" w:type="dxa"/>
              <w:right w:w="90" w:type="dxa"/>
            </w:tcMar>
            <w:shd w:val="clear" w:color="auto" w:fill="E5F5FF"/>
          </w:tcPr>
          <w:p>
            <w:pPr>
              <w:pStyle w:val="BDOITable"/>
            </w:pPr>
            <w:r>
              <w:rPr>
                <w:sz w:val="18"/>
              </w:rPr>
              <w:t>v1.0, 8 October 2026</w:t>
            </w:r>
          </w:p>
        </w:tc>
      </w:tr>
      <w:tr>
        <w:trPr>
          <w:cantSplit w:val="true"/>
        </w:trPr>
        <w:tc>
          <w:tcPr>
            <w:tcW w:type="dxa" w:w="721"/>
            <w:tcMar>
              <w:top w:w="50" w:type="dxa"/>
              <w:bottom w:w="50" w:type="dxa"/>
              <w:left w:w="90" w:type="dxa"/>
              <w:right w:w="90" w:type="dxa"/>
            </w:tcMar>
          </w:tcPr>
          <w:p>
            <w:pPr>
              <w:pStyle w:val="BDOITable"/>
            </w:pPr>
            <w:r>
              <w:rPr>
                <w:sz w:val="18"/>
              </w:rPr>
              <w:t>R5</w:t>
            </w:r>
          </w:p>
        </w:tc>
        <w:tc>
          <w:tcPr>
            <w:tcW w:type="dxa" w:w="6248"/>
            <w:tcMar>
              <w:top w:w="50" w:type="dxa"/>
              <w:bottom w:w="50" w:type="dxa"/>
              <w:left w:w="90" w:type="dxa"/>
              <w:right w:w="90" w:type="dxa"/>
            </w:tcMar>
          </w:tcPr>
          <w:p>
            <w:pPr>
              <w:pStyle w:val="BDOITable"/>
            </w:pPr>
            <w:r>
              <w:rPr>
                <w:sz w:val="18"/>
              </w:rPr>
              <w:t>BIBS Requirements Traceability Matrix</w:t>
            </w:r>
          </w:p>
        </w:tc>
        <w:tc>
          <w:tcPr>
            <w:tcW w:type="dxa" w:w="3004"/>
            <w:tcMar>
              <w:top w:w="50" w:type="dxa"/>
              <w:bottom w:w="50" w:type="dxa"/>
              <w:left w:w="90" w:type="dxa"/>
              <w:right w:w="90" w:type="dxa"/>
            </w:tcMar>
          </w:tcPr>
          <w:p>
            <w:pPr>
              <w:pStyle w:val="BDOITable"/>
            </w:pPr>
            <w:r>
              <w:rPr>
                <w:sz w:val="18"/>
              </w:rPr>
              <w:t>v1.0, 8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R6</w:t>
            </w:r>
          </w:p>
        </w:tc>
        <w:tc>
          <w:tcPr>
            <w:tcW w:type="dxa" w:w="6248"/>
            <w:tcMar>
              <w:top w:w="50" w:type="dxa"/>
              <w:bottom w:w="50" w:type="dxa"/>
              <w:left w:w="90" w:type="dxa"/>
              <w:right w:w="90" w:type="dxa"/>
            </w:tcMar>
            <w:shd w:val="clear" w:color="auto" w:fill="E5F5FF"/>
          </w:tcPr>
          <w:p>
            <w:pPr>
              <w:pStyle w:val="BDOITable"/>
            </w:pPr>
            <w:r>
              <w:rPr>
                <w:sz w:val="18"/>
              </w:rPr>
              <w:t>BIBS Test Strategy</w:t>
            </w:r>
          </w:p>
        </w:tc>
        <w:tc>
          <w:tcPr>
            <w:tcW w:type="dxa" w:w="3004"/>
            <w:tcMar>
              <w:top w:w="50" w:type="dxa"/>
              <w:bottom w:w="50" w:type="dxa"/>
              <w:left w:w="90" w:type="dxa"/>
              <w:right w:w="90" w:type="dxa"/>
            </w:tcMar>
            <w:shd w:val="clear" w:color="auto" w:fill="E5F5FF"/>
          </w:tcPr>
          <w:p>
            <w:pPr>
              <w:pStyle w:val="BDOITable"/>
            </w:pPr>
            <w:r>
              <w:rPr>
                <w:sz w:val="18"/>
              </w:rPr>
              <w:t>v1.0, 8 October 2026</w:t>
            </w:r>
          </w:p>
        </w:tc>
      </w:tr>
      <w:tr>
        <w:trPr>
          <w:cantSplit w:val="true"/>
        </w:trPr>
        <w:tc>
          <w:tcPr>
            <w:tcW w:type="dxa" w:w="721"/>
            <w:tcMar>
              <w:top w:w="50" w:type="dxa"/>
              <w:bottom w:w="50" w:type="dxa"/>
              <w:left w:w="90" w:type="dxa"/>
              <w:right w:w="90" w:type="dxa"/>
            </w:tcMar>
          </w:tcPr>
          <w:p>
            <w:pPr>
              <w:pStyle w:val="BDOITable"/>
            </w:pPr>
            <w:r>
              <w:rPr>
                <w:sz w:val="18"/>
              </w:rPr>
              <w:t>R7</w:t>
            </w:r>
          </w:p>
        </w:tc>
        <w:tc>
          <w:tcPr>
            <w:tcW w:type="dxa" w:w="6248"/>
            <w:tcMar>
              <w:top w:w="50" w:type="dxa"/>
              <w:bottom w:w="50" w:type="dxa"/>
              <w:left w:w="90" w:type="dxa"/>
              <w:right w:w="90" w:type="dxa"/>
            </w:tcMar>
          </w:tcPr>
          <w:p>
            <w:pPr>
              <w:pStyle w:val="BDOITable"/>
            </w:pPr>
            <w:r>
              <w:rPr>
                <w:sz w:val="18"/>
              </w:rPr>
              <w:t>Programme alignment pack: drops, integrations, infrastructure, and the integration inventory</w:t>
            </w:r>
          </w:p>
        </w:tc>
        <w:tc>
          <w:tcPr>
            <w:tcW w:type="dxa" w:w="3004"/>
            <w:tcMar>
              <w:top w:w="50" w:type="dxa"/>
              <w:bottom w:w="50" w:type="dxa"/>
              <w:left w:w="90" w:type="dxa"/>
              <w:right w:w="90" w:type="dxa"/>
            </w:tcMar>
          </w:tcPr>
          <w:p>
            <w:pPr>
              <w:pStyle w:val="BDOITable"/>
            </w:pPr>
            <w:r>
              <w:rPr>
                <w:sz w:val="18"/>
              </w:rPr>
              <w:t>v1.0, 26 September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R8</w:t>
            </w:r>
          </w:p>
        </w:tc>
        <w:tc>
          <w:tcPr>
            <w:tcW w:type="dxa" w:w="6248"/>
            <w:tcMar>
              <w:top w:w="50" w:type="dxa"/>
              <w:bottom w:w="50" w:type="dxa"/>
              <w:left w:w="90" w:type="dxa"/>
              <w:right w:w="90" w:type="dxa"/>
            </w:tcMar>
            <w:shd w:val="clear" w:color="auto" w:fill="E5F5FF"/>
          </w:tcPr>
          <w:p>
            <w:pPr>
              <w:pStyle w:val="BDOITable"/>
            </w:pPr>
            <w:r>
              <w:rPr>
                <w:sz w:val="18"/>
              </w:rPr>
              <w:t>BDOI drop plan and programme timeline; BDOI answers A1 to A6</w:t>
            </w:r>
          </w:p>
        </w:tc>
        <w:tc>
          <w:tcPr>
            <w:tcW w:type="dxa" w:w="3004"/>
            <w:tcMar>
              <w:top w:w="50" w:type="dxa"/>
              <w:bottom w:w="50" w:type="dxa"/>
              <w:left w:w="90" w:type="dxa"/>
              <w:right w:w="90" w:type="dxa"/>
            </w:tcMar>
            <w:shd w:val="clear" w:color="auto" w:fill="E5F5FF"/>
          </w:tcPr>
          <w:p>
            <w:pPr>
              <w:pStyle w:val="BDOITable"/>
            </w:pPr>
            <w:r>
              <w:rPr>
                <w:sz w:val="18"/>
              </w:rPr>
              <w:t>26 September 2026</w:t>
            </w:r>
          </w:p>
        </w:tc>
      </w:tr>
      <w:tr>
        <w:trPr>
          <w:cantSplit w:val="true"/>
        </w:trPr>
        <w:tc>
          <w:tcPr>
            <w:tcW w:type="dxa" w:w="721"/>
            <w:tcMar>
              <w:top w:w="50" w:type="dxa"/>
              <w:bottom w:w="50" w:type="dxa"/>
              <w:left w:w="90" w:type="dxa"/>
              <w:right w:w="90" w:type="dxa"/>
            </w:tcMar>
          </w:tcPr>
          <w:p>
            <w:pPr>
              <w:pStyle w:val="BDOITable"/>
            </w:pPr>
            <w:r>
              <w:rPr>
                <w:sz w:val="18"/>
              </w:rPr>
              <w:t>R9</w:t>
            </w:r>
          </w:p>
        </w:tc>
        <w:tc>
          <w:tcPr>
            <w:tcW w:type="dxa" w:w="6248"/>
            <w:tcMar>
              <w:top w:w="50" w:type="dxa"/>
              <w:bottom w:w="50" w:type="dxa"/>
              <w:left w:w="90" w:type="dxa"/>
              <w:right w:w="90" w:type="dxa"/>
            </w:tcMar>
          </w:tcPr>
          <w:p>
            <w:pPr>
              <w:pStyle w:val="BDOITable"/>
            </w:pPr>
            <w:r>
              <w:rPr>
                <w:sz w:val="18"/>
              </w:rPr>
              <w:t>IER workbook v20 (BDO Cloud and Digital Operations Engineering)</w:t>
            </w:r>
          </w:p>
        </w:tc>
        <w:tc>
          <w:tcPr>
            <w:tcW w:type="dxa" w:w="3004"/>
            <w:tcMar>
              <w:top w:w="50" w:type="dxa"/>
              <w:bottom w:w="50" w:type="dxa"/>
              <w:left w:w="90" w:type="dxa"/>
              <w:right w:w="90" w:type="dxa"/>
            </w:tcMar>
          </w:tcPr>
          <w:p>
            <w:pPr>
              <w:pStyle w:val="BDOITable"/>
            </w:pPr>
            <w:r>
              <w:rPr>
                <w:sz w:val="18"/>
              </w:rPr>
              <w:t>v20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R10</w:t>
            </w:r>
          </w:p>
        </w:tc>
        <w:tc>
          <w:tcPr>
            <w:tcW w:type="dxa" w:w="6248"/>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3004"/>
            <w:tcMar>
              <w:top w:w="50" w:type="dxa"/>
              <w:bottom w:w="50" w:type="dxa"/>
              <w:left w:w="90" w:type="dxa"/>
              <w:right w:w="90" w:type="dxa"/>
            </w:tcMar>
            <w:shd w:val="clear" w:color="auto" w:fill="E5F5FF"/>
          </w:tcPr>
          <w:p>
            <w:pPr>
              <w:pStyle w:val="BDOITable"/>
            </w:pPr>
            <w:r>
              <w:rPr>
                <w:sz w:val="18"/>
              </w:rPr>
              <w:t>v1.2</w:t>
            </w:r>
          </w:p>
        </w:tc>
      </w:tr>
      <w:tr>
        <w:trPr>
          <w:cantSplit w:val="true"/>
        </w:trPr>
        <w:tc>
          <w:tcPr>
            <w:tcW w:type="dxa" w:w="721"/>
            <w:tcMar>
              <w:top w:w="50" w:type="dxa"/>
              <w:bottom w:w="50" w:type="dxa"/>
              <w:left w:w="90" w:type="dxa"/>
              <w:right w:w="90" w:type="dxa"/>
            </w:tcMar>
          </w:tcPr>
          <w:p>
            <w:pPr>
              <w:pStyle w:val="BDOITable"/>
            </w:pPr>
            <w:r>
              <w:rPr>
                <w:sz w:val="18"/>
              </w:rPr>
              <w:t>R11</w:t>
            </w:r>
          </w:p>
        </w:tc>
        <w:tc>
          <w:tcPr>
            <w:tcW w:type="dxa" w:w="6248"/>
            <w:tcMar>
              <w:top w:w="50" w:type="dxa"/>
              <w:bottom w:w="50" w:type="dxa"/>
              <w:left w:w="90" w:type="dxa"/>
              <w:right w:w="90" w:type="dxa"/>
            </w:tcMar>
          </w:tcPr>
          <w:p>
            <w:pPr>
              <w:pStyle w:val="BDOITable"/>
            </w:pPr>
            <w:r>
              <w:rPr>
                <w:sz w:val="18"/>
              </w:rPr>
              <w:t>Change management register</w:t>
            </w:r>
          </w:p>
        </w:tc>
        <w:tc>
          <w:tcPr>
            <w:tcW w:type="dxa" w:w="3004"/>
            <w:tcMar>
              <w:top w:w="50" w:type="dxa"/>
              <w:bottom w:w="50" w:type="dxa"/>
              <w:left w:w="90" w:type="dxa"/>
              <w:right w:w="90" w:type="dxa"/>
            </w:tcMar>
          </w:tcPr>
          <w:p>
            <w:pPr>
              <w:pStyle w:val="BDOITable"/>
            </w:pPr>
            <w:r>
              <w:rPr>
                <w:sz w:val="18"/>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R12</w:t>
            </w:r>
          </w:p>
        </w:tc>
        <w:tc>
          <w:tcPr>
            <w:tcW w:type="dxa" w:w="6248"/>
            <w:tcMar>
              <w:top w:w="50" w:type="dxa"/>
              <w:bottom w:w="50" w:type="dxa"/>
              <w:left w:w="90" w:type="dxa"/>
              <w:right w:w="90" w:type="dxa"/>
            </w:tcMar>
            <w:shd w:val="clear" w:color="auto" w:fill="E5F5FF"/>
          </w:tcPr>
          <w:p>
            <w:pPr>
              <w:pStyle w:val="BDOITable"/>
            </w:pPr>
            <w:r>
              <w:rPr>
                <w:sz w:val="18"/>
              </w:rPr>
              <w:t>BDOI feature list against the OOTB edition and broking best practice (716 features)</w:t>
            </w:r>
          </w:p>
        </w:tc>
        <w:tc>
          <w:tcPr>
            <w:tcW w:type="dxa" w:w="3004"/>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R13</w:t>
            </w:r>
          </w:p>
        </w:tc>
        <w:tc>
          <w:tcPr>
            <w:tcW w:type="dxa" w:w="6248"/>
            <w:tcMar>
              <w:top w:w="50" w:type="dxa"/>
              <w:bottom w:w="50" w:type="dxa"/>
              <w:left w:w="90" w:type="dxa"/>
              <w:right w:w="90" w:type="dxa"/>
            </w:tcMar>
          </w:tcPr>
          <w:p>
            <w:pPr>
              <w:pStyle w:val="BDOITable"/>
            </w:pPr>
            <w:r>
              <w:rPr>
                <w:sz w:val="18"/>
              </w:rPr>
              <w:t>BDO UX guidelines and BDOI UX design</w:t>
            </w:r>
          </w:p>
        </w:tc>
        <w:tc>
          <w:tcPr>
            <w:tcW w:type="dxa" w:w="3004"/>
            <w:tcMar>
              <w:top w:w="50" w:type="dxa"/>
              <w:bottom w:w="50" w:type="dxa"/>
              <w:left w:w="90" w:type="dxa"/>
              <w:right w:w="90" w:type="dxa"/>
            </w:tcMar>
          </w:tcPr>
          <w:p>
            <w:pPr>
              <w:pStyle w:val="BDOITable"/>
            </w:pPr>
            <w:r>
              <w:rPr>
                <w:sz w:val="18"/>
              </w:rPr>
              <w:t>Current</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R14</w:t>
            </w:r>
          </w:p>
        </w:tc>
        <w:tc>
          <w:tcPr>
            <w:tcW w:type="dxa" w:w="6248"/>
            <w:tcMar>
              <w:top w:w="50" w:type="dxa"/>
              <w:bottom w:w="50" w:type="dxa"/>
              <w:left w:w="90" w:type="dxa"/>
              <w:right w:w="90" w:type="dxa"/>
            </w:tcMar>
            <w:shd w:val="clear" w:color="auto" w:fill="E5F5FF"/>
          </w:tcPr>
          <w:p>
            <w:pPr>
              <w:pStyle w:val="BDOITable"/>
            </w:pPr>
            <w:r>
              <w:rPr>
                <w:sz w:val="18"/>
              </w:rPr>
              <w:t>Client decisions on the component baseline (PostgreSQL 16, Valkey 8, Kafka 3.9, OpenJDK 21, Spring Boot 3.5, Node 22, nginx, managed Kubernetes, Gateway API)</w:t>
            </w:r>
          </w:p>
        </w:tc>
        <w:tc>
          <w:tcPr>
            <w:tcW w:type="dxa" w:w="3004"/>
            <w:tcMar>
              <w:top w:w="50" w:type="dxa"/>
              <w:bottom w:w="50" w:type="dxa"/>
              <w:left w:w="90" w:type="dxa"/>
              <w:right w:w="90" w:type="dxa"/>
            </w:tcMar>
            <w:shd w:val="clear" w:color="auto" w:fill="E5F5FF"/>
          </w:tcPr>
          <w:p>
            <w:pPr>
              <w:pStyle w:val="BDOITable"/>
            </w:pPr>
            <w:r>
              <w:rPr>
                <w:sz w:val="18"/>
              </w:rPr>
              <w:t>8 October 2026</w:t>
            </w:r>
          </w:p>
        </w:tc>
      </w:tr>
    </w:tbl>
    <w:p>
      <w:pPr>
        <w:pStyle w:val="BDOISpacer"/>
      </w:pPr>
    </w:p>
    <w:p>
      <w:pPr>
        <w:pStyle w:val="Heading2"/>
      </w:pPr>
      <w:bookmarkStart w:id="107" w:name="_Toc000107"/>
      <w:r>
        <w:rPr/>
        <w:t>1.6 Definitions and acronyms</w:t>
      </w:r>
      <w:bookmarkEnd w:id="1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(RA 9160, as amended)</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BDOI</w:t>
            </w:r>
          </w:p>
        </w:tc>
        <w:tc>
          <w:tcPr>
            <w:tcW w:type="dxa" w:w="7932"/>
            <w:tcMar>
              <w:top w:w="50" w:type="dxa"/>
              <w:bottom w:w="50" w:type="dxa"/>
              <w:left w:w="90" w:type="dxa"/>
              <w:right w:w="90" w:type="dxa"/>
            </w:tcMar>
            <w:shd w:val="clear" w:color="auto" w:fill="E5F5FF"/>
          </w:tcPr>
          <w:p>
            <w:pPr>
              <w:pStyle w:val="BDOITable"/>
            </w:pPr>
            <w:r>
              <w:rPr>
                <w:sz w:val="18"/>
              </w:rPr>
              <w:t>BDO Insurance and Reinsurance Brokers, Inc.</w:t>
            </w:r>
          </w:p>
        </w:tc>
      </w:tr>
      <w:tr>
        <w:trPr>
          <w:cantSplit w:val="true"/>
        </w:trPr>
        <w:tc>
          <w:tcPr>
            <w:tcW w:type="dxa" w:w="2040"/>
            <w:tcMar>
              <w:top w:w="50" w:type="dxa"/>
              <w:bottom w:w="50" w:type="dxa"/>
              <w:left w:w="90" w:type="dxa"/>
              <w:right w:w="90" w:type="dxa"/>
            </w:tcMar>
          </w:tcPr>
          <w:p>
            <w:pPr>
              <w:pStyle w:val="BDOITable"/>
            </w:pPr>
            <w:r>
              <w:rPr>
                <w:b/>
                <w:sz w:val="18"/>
              </w:rPr>
              <w:t>BIBS</w:t>
            </w:r>
          </w:p>
        </w:tc>
        <w:tc>
          <w:tcPr>
            <w:tcW w:type="dxa" w:w="7932"/>
            <w:tcMar>
              <w:top w:w="50" w:type="dxa"/>
              <w:bottom w:w="50" w:type="dxa"/>
              <w:left w:w="90" w:type="dxa"/>
              <w:right w:w="90" w:type="dxa"/>
            </w:tcMar>
          </w:tcPr>
          <w:p>
            <w:pPr>
              <w:pStyle w:val="BDOITable"/>
            </w:pPr>
            <w:r>
              <w:rPr>
                <w:sz w:val="18"/>
              </w:rPr>
              <w:t>BDOI Broker System, on iNXT BrokerVerse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 of BDOI</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CCB</w:t>
            </w:r>
          </w:p>
        </w:tc>
        <w:tc>
          <w:tcPr>
            <w:tcW w:type="dxa" w:w="7932"/>
            <w:tcMar>
              <w:top w:w="50" w:type="dxa"/>
              <w:bottom w:w="50" w:type="dxa"/>
              <w:left w:w="90" w:type="dxa"/>
              <w:right w:w="90" w:type="dxa"/>
            </w:tcMar>
            <w:shd w:val="clear" w:color="auto" w:fill="E5F5FF"/>
          </w:tcPr>
          <w:p>
            <w:pPr>
              <w:pStyle w:val="BDOITable"/>
            </w:pPr>
            <w:r>
              <w:rPr>
                <w:sz w:val="18"/>
              </w:rPr>
              <w:t>Change Control Board</w:t>
            </w:r>
          </w:p>
        </w:tc>
      </w:tr>
      <w:tr>
        <w:trPr>
          <w:cantSplit w:val="true"/>
        </w:trPr>
        <w:tc>
          <w:tcPr>
            <w:tcW w:type="dxa" w:w="2040"/>
            <w:tcMar>
              <w:top w:w="50" w:type="dxa"/>
              <w:bottom w:w="50" w:type="dxa"/>
              <w:left w:w="90" w:type="dxa"/>
              <w:right w:w="90" w:type="dxa"/>
            </w:tcMar>
          </w:tcPr>
          <w:p>
            <w:pPr>
              <w:pStyle w:val="BDOITable"/>
            </w:pPr>
            <w:r>
              <w:rPr>
                <w:b/>
                <w:sz w:val="18"/>
              </w:rPr>
              <w:t>CCM</w:t>
            </w:r>
          </w:p>
        </w:tc>
        <w:tc>
          <w:tcPr>
            <w:tcW w:type="dxa" w:w="7932"/>
            <w:tcMar>
              <w:top w:w="50" w:type="dxa"/>
              <w:bottom w:w="50" w:type="dxa"/>
              <w:left w:w="90" w:type="dxa"/>
              <w:right w:w="90" w:type="dxa"/>
            </w:tcMar>
          </w:tcPr>
          <w:p>
            <w:pPr>
              <w:pStyle w:val="BDOITable"/>
            </w:pPr>
            <w:r>
              <w:rPr>
                <w:sz w:val="18"/>
              </w:rPr>
              <w:t>Centralized Communications Management (BDO e-mail sending)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DPA</w:t>
            </w:r>
          </w:p>
        </w:tc>
        <w:tc>
          <w:tcPr>
            <w:tcW w:type="dxa" w:w="7932"/>
            <w:tcMar>
              <w:top w:w="50" w:type="dxa"/>
              <w:bottom w:w="50" w:type="dxa"/>
              <w:left w:w="90" w:type="dxa"/>
              <w:right w:w="90" w:type="dxa"/>
            </w:tcMar>
            <w:shd w:val="clear" w:color="auto" w:fill="E5F5FF"/>
          </w:tcPr>
          <w:p>
            <w:pPr>
              <w:pStyle w:val="BDOITable"/>
            </w:pPr>
            <w:r>
              <w:rPr>
                <w:sz w:val="18"/>
              </w:rPr>
              <w:t>Data Privacy Act of 2012 (RA 10173)</w:t>
            </w:r>
          </w:p>
        </w:tc>
      </w:tr>
      <w:tr>
        <w:trPr>
          <w:cantSplit w:val="true"/>
        </w:trPr>
        <w:tc>
          <w:tcPr>
            <w:tcW w:type="dxa" w:w="2040"/>
            <w:tcMar>
              <w:top w:w="50" w:type="dxa"/>
              <w:bottom w:w="50" w:type="dxa"/>
              <w:left w:w="90" w:type="dxa"/>
              <w:right w:w="90" w:type="dxa"/>
            </w:tcMar>
          </w:tcPr>
          <w:p>
            <w:pPr>
              <w:pStyle w:val="BDOITable"/>
            </w:pPr>
            <w:r>
              <w:rPr>
                <w:b/>
                <w:sz w:val="18"/>
              </w:rPr>
              <w:t>DPO</w:t>
            </w:r>
          </w:p>
        </w:tc>
        <w:tc>
          <w:tcPr>
            <w:tcW w:type="dxa" w:w="7932"/>
            <w:tcMar>
              <w:top w:w="50" w:type="dxa"/>
              <w:bottom w:w="50" w:type="dxa"/>
              <w:left w:w="90" w:type="dxa"/>
              <w:right w:w="90" w:type="dxa"/>
            </w:tcMar>
          </w:tcPr>
          <w:p>
            <w:pPr>
              <w:pStyle w:val="BDOITable"/>
            </w:pPr>
            <w:r>
              <w:rPr>
                <w:sz w:val="18"/>
              </w:rPr>
              <w:t>Data Protection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on Microsoft Entra ID</w:t>
            </w:r>
          </w:p>
        </w:tc>
      </w:tr>
      <w:tr>
        <w:trPr>
          <w:cantSplit w:val="true"/>
        </w:trPr>
        <w:tc>
          <w:tcPr>
            <w:tcW w:type="dxa" w:w="2040"/>
            <w:tcMar>
              <w:top w:w="50" w:type="dxa"/>
              <w:bottom w:w="50" w:type="dxa"/>
              <w:left w:w="90" w:type="dxa"/>
              <w:right w:w="90" w:type="dxa"/>
            </w:tcMar>
          </w:tcPr>
          <w:p>
            <w:pPr>
              <w:pStyle w:val="BDOITable"/>
            </w:pPr>
            <w:r>
              <w:rPr>
                <w:b/>
                <w:sz w:val="18"/>
              </w:rPr>
              <w:t>EOPT</w:t>
            </w:r>
          </w:p>
        </w:tc>
        <w:tc>
          <w:tcPr>
            <w:tcW w:type="dxa" w:w="7932"/>
            <w:tcMar>
              <w:top w:w="50" w:type="dxa"/>
              <w:bottom w:w="50" w:type="dxa"/>
              <w:left w:w="90" w:type="dxa"/>
              <w:right w:w="90" w:type="dxa"/>
            </w:tcMar>
          </w:tcPr>
          <w:p>
            <w:pPr>
              <w:pStyle w:val="BDOITable"/>
            </w:pPr>
            <w:r>
              <w:rPr>
                <w:sz w:val="18"/>
              </w:rPr>
              <w:t>Ease of Paying Taxes Act (RA 11976)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an FRS (FR-xx-nnn)</w:t>
            </w:r>
          </w:p>
        </w:tc>
      </w:tr>
      <w:tr>
        <w:trPr>
          <w:cantSplit w:val="true"/>
        </w:trPr>
        <w:tc>
          <w:tcPr>
            <w:tcW w:type="dxa" w:w="2040"/>
            <w:tcMar>
              <w:top w:w="50" w:type="dxa"/>
              <w:bottom w:w="50" w:type="dxa"/>
              <w:left w:w="90" w:type="dxa"/>
              <w:right w:w="90" w:type="dxa"/>
            </w:tcMar>
          </w:tcPr>
          <w:p>
            <w:pPr>
              <w:pStyle w:val="BDOITable"/>
            </w:pPr>
            <w:r>
              <w:rPr>
                <w:b/>
                <w:sz w:val="18"/>
              </w:rPr>
              <w:t>FRS</w:t>
            </w:r>
          </w:p>
        </w:tc>
        <w:tc>
          <w:tcPr>
            <w:tcW w:type="dxa" w:w="7932"/>
            <w:tcMar>
              <w:top w:w="50" w:type="dxa"/>
              <w:bottom w:w="50" w:type="dxa"/>
              <w:left w:w="90" w:type="dxa"/>
              <w:right w:w="90" w:type="dxa"/>
            </w:tcMar>
          </w:tcPr>
          <w:p>
            <w:pPr>
              <w:pStyle w:val="BDOITable"/>
            </w:pPr>
            <w:r>
              <w:rPr>
                <w:sz w:val="18"/>
              </w:rPr>
              <w:t>Functional Requirements Specification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IC</w:t>
            </w:r>
          </w:p>
        </w:tc>
        <w:tc>
          <w:tcPr>
            <w:tcW w:type="dxa" w:w="7932"/>
            <w:tcMar>
              <w:top w:w="50" w:type="dxa"/>
              <w:bottom w:w="50" w:type="dxa"/>
              <w:left w:w="90" w:type="dxa"/>
              <w:right w:w="90" w:type="dxa"/>
            </w:tcMar>
            <w:shd w:val="clear" w:color="auto" w:fill="E5F5FF"/>
          </w:tcPr>
          <w:p>
            <w:pPr>
              <w:pStyle w:val="BDOITable"/>
            </w:pPr>
            <w:r>
              <w:rPr>
                <w:sz w:val="18"/>
              </w:rPr>
              <w:t>Insurance Commission; Insurance Code (RA 10607)</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 of BDO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NFR</w:t>
            </w:r>
          </w:p>
        </w:tc>
        <w:tc>
          <w:tcPr>
            <w:tcW w:type="dxa" w:w="7932"/>
            <w:tcMar>
              <w:top w:w="50" w:type="dxa"/>
              <w:bottom w:w="50" w:type="dxa"/>
              <w:left w:w="90" w:type="dxa"/>
              <w:right w:w="90" w:type="dxa"/>
            </w:tcMar>
          </w:tcPr>
          <w:p>
            <w:pPr>
              <w:pStyle w:val="BDOITable"/>
            </w:pPr>
            <w:r>
              <w:rPr>
                <w:sz w:val="18"/>
              </w:rPr>
              <w:t>Non-functional requirement (NFR-xxx-nn)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NFT</w:t>
            </w:r>
          </w:p>
        </w:tc>
        <w:tc>
          <w:tcPr>
            <w:tcW w:type="dxa" w:w="7932"/>
            <w:tcMar>
              <w:top w:w="50" w:type="dxa"/>
              <w:bottom w:w="50" w:type="dxa"/>
              <w:left w:w="90" w:type="dxa"/>
              <w:right w:w="90" w:type="dxa"/>
            </w:tcMar>
            <w:shd w:val="clear" w:color="auto" w:fill="E5F5FF"/>
          </w:tcPr>
          <w:p>
            <w:pPr>
              <w:pStyle w:val="BDOITable"/>
            </w:pPr>
            <w:r>
              <w:rPr>
                <w:sz w:val="18"/>
              </w:rPr>
              <w:t>Non-functional testing (performance, volume, resilience, security)</w:t>
            </w:r>
          </w:p>
        </w:tc>
      </w:tr>
      <w:tr>
        <w:trPr>
          <w:cantSplit w:val="true"/>
        </w:trPr>
        <w:tc>
          <w:tcPr>
            <w:tcW w:type="dxa" w:w="2040"/>
            <w:tcMar>
              <w:top w:w="50" w:type="dxa"/>
              <w:bottom w:w="50" w:type="dxa"/>
              <w:left w:w="90" w:type="dxa"/>
              <w:right w:w="90" w:type="dxa"/>
            </w:tcMar>
          </w:tcPr>
          <w:p>
            <w:pPr>
              <w:pStyle w:val="BDOITable"/>
            </w:pPr>
            <w:r>
              <w:rPr>
                <w:b/>
                <w:sz w:val="18"/>
              </w:rPr>
              <w:t>ORR / PRR</w:t>
            </w:r>
          </w:p>
        </w:tc>
        <w:tc>
          <w:tcPr>
            <w:tcW w:type="dxa" w:w="7932"/>
            <w:tcMar>
              <w:top w:w="50" w:type="dxa"/>
              <w:bottom w:w="50" w:type="dxa"/>
              <w:left w:w="90" w:type="dxa"/>
              <w:right w:w="90" w:type="dxa"/>
            </w:tcMar>
          </w:tcPr>
          <w:p>
            <w:pPr>
              <w:pStyle w:val="BDOITable"/>
            </w:pPr>
            <w:r>
              <w:rPr>
                <w:sz w:val="18"/>
              </w:rPr>
              <w:t>Operational and production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PHT</w:t>
            </w:r>
          </w:p>
        </w:tc>
        <w:tc>
          <w:tcPr>
            <w:tcW w:type="dxa" w:w="7932"/>
            <w:tcMar>
              <w:top w:w="50" w:type="dxa"/>
              <w:bottom w:w="50" w:type="dxa"/>
              <w:left w:w="90" w:type="dxa"/>
              <w:right w:w="90" w:type="dxa"/>
            </w:tcMar>
          </w:tcPr>
          <w:p>
            <w:pPr>
              <w:pStyle w:val="BDOITable"/>
            </w:pPr>
            <w:r>
              <w:rPr>
                <w:sz w:val="18"/>
              </w:rPr>
              <w:t>Philippine time (Asia/Manila)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RTM</w:t>
            </w:r>
          </w:p>
        </w:tc>
        <w:tc>
          <w:tcPr>
            <w:tcW w:type="dxa" w:w="7932"/>
            <w:tcMar>
              <w:top w:w="50" w:type="dxa"/>
              <w:bottom w:w="50" w:type="dxa"/>
              <w:left w:w="90" w:type="dxa"/>
              <w:right w:w="90" w:type="dxa"/>
            </w:tcMar>
            <w:shd w:val="clear" w:color="auto" w:fill="E5F5FF"/>
          </w:tcPr>
          <w:p>
            <w:pPr>
              <w:pStyle w:val="BDOITable"/>
            </w:pPr>
            <w:r>
              <w:rPr>
                <w:sz w:val="18"/>
              </w:rPr>
              <w:t>Requirements Traceability Matrix</w:t>
            </w:r>
          </w:p>
        </w:tc>
      </w:tr>
      <w:tr>
        <w:trPr>
          <w:cantSplit w:val="true"/>
        </w:trPr>
        <w:tc>
          <w:tcPr>
            <w:tcW w:type="dxa" w:w="2040"/>
            <w:tcMar>
              <w:top w:w="50" w:type="dxa"/>
              <w:bottom w:w="50" w:type="dxa"/>
              <w:left w:w="90" w:type="dxa"/>
              <w:right w:w="90" w:type="dxa"/>
            </w:tcMar>
          </w:tcPr>
          <w:p>
            <w:pPr>
              <w:pStyle w:val="BDOITable"/>
            </w:pPr>
            <w:r>
              <w:rPr>
                <w:b/>
                <w:sz w:val="18"/>
              </w:rPr>
              <w:t>SIT</w:t>
            </w:r>
          </w:p>
        </w:tc>
        <w:tc>
          <w:tcPr>
            <w:tcW w:type="dxa" w:w="7932"/>
            <w:tcMar>
              <w:top w:w="50" w:type="dxa"/>
              <w:bottom w:w="50" w:type="dxa"/>
              <w:left w:w="90" w:type="dxa"/>
              <w:right w:w="90" w:type="dxa"/>
            </w:tcMar>
          </w:tcPr>
          <w:p>
            <w:pPr>
              <w:pStyle w:val="BDOITable"/>
            </w:pPr>
            <w:r>
              <w:rPr>
                <w:sz w:val="18"/>
              </w:rPr>
              <w:t>System integration test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w:t>
            </w:r>
          </w:p>
        </w:tc>
      </w:tr>
      <w:tr>
        <w:trPr>
          <w:cantSplit w:val="true"/>
        </w:trPr>
        <w:tc>
          <w:tcPr>
            <w:tcW w:type="dxa" w:w="2040"/>
            <w:tcMar>
              <w:top w:w="50" w:type="dxa"/>
              <w:bottom w:w="50" w:type="dxa"/>
              <w:left w:w="90" w:type="dxa"/>
              <w:right w:w="90" w:type="dxa"/>
            </w:tcMar>
          </w:tcPr>
          <w:p>
            <w:pPr>
              <w:pStyle w:val="BDOITable"/>
            </w:pPr>
            <w:r>
              <w:rPr>
                <w:b/>
                <w:sz w:val="18"/>
              </w:rPr>
              <w:t>UIDM-ISC</w:t>
            </w:r>
          </w:p>
        </w:tc>
        <w:tc>
          <w:tcPr>
            <w:tcW w:type="dxa" w:w="7932"/>
            <w:tcMar>
              <w:top w:w="50" w:type="dxa"/>
              <w:bottom w:w="50" w:type="dxa"/>
              <w:left w:w="90" w:type="dxa"/>
              <w:right w:w="90" w:type="dxa"/>
            </w:tcMar>
          </w:tcPr>
          <w:p>
            <w:pPr>
              <w:pStyle w:val="BDOITable"/>
            </w:pPr>
            <w:r>
              <w:rPr>
                <w:sz w:val="18"/>
              </w:rPr>
              <w:t>User ID Maintenance - Identity Security Cloud (identity governance)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WCAG</w:t>
            </w:r>
          </w:p>
        </w:tc>
        <w:tc>
          <w:tcPr>
            <w:tcW w:type="dxa" w:w="7932"/>
            <w:tcMar>
              <w:top w:w="50" w:type="dxa"/>
              <w:bottom w:w="50" w:type="dxa"/>
              <w:left w:w="90" w:type="dxa"/>
              <w:right w:w="90" w:type="dxa"/>
            </w:tcMar>
            <w:shd w:val="clear" w:color="auto" w:fill="E5F5FF"/>
          </w:tcPr>
          <w:p>
            <w:pPr>
              <w:pStyle w:val="BDOITable"/>
            </w:pPr>
            <w:r>
              <w:rPr>
                <w:sz w:val="18"/>
              </w:rPr>
              <w:t>Web Content Accessibility Guidelines</w:t>
            </w:r>
          </w:p>
        </w:tc>
      </w:tr>
    </w:tbl>
    <w:p>
      <w:pPr>
        <w:pStyle w:val="BDOISpacer"/>
      </w:pPr>
    </w:p>
    <w:p>
      <w:pPr>
        <w:pStyle w:val="Heading1"/>
        <w:pageBreakBefore/>
        <w:pBdr>
          <w:bottom w:val="single" w:sz="4" w:space="4" w:color="99C1E7"/>
        </w:pBdr>
      </w:pPr>
      <w:bookmarkStart w:id="108" w:name="_Toc000108"/>
      <w:r>
        <w:rPr/>
        <w:t>2 System context</w:t>
      </w:r>
      <w:bookmarkEnd w:id="108"/>
    </w:p>
    <w:p>
      <w:pPr>
        <w:pStyle w:val="Heading2"/>
      </w:pPr>
      <w:bookmarkStart w:id="109" w:name="_Toc000109"/>
      <w:r>
        <w:rPr/>
        <w:t>2.1 Business context</w:t>
      </w:r>
      <w:bookmarkEnd w:id="109"/>
    </w:p>
    <w:p>
      <w:r>
        <w:rPr/>
        <w:t>BDOI is a non-life insurance and reinsurance broker of the BDO group. It places the risks of retail, corporate and bank clients with insurers, collects premiums and remits them to the insurers, earns commission, services clients and follows their claims. Today the work runs on several legacy systems (QPS, EBIX and others), spreadsheets and e-mail; the umbrella BRD asks for one integrated platform from client onboarding to accounting, with automated workflows, dashboards for every role, system reports and audit logs (umbrella BRD p.4-5).</w:t>
      </w:r>
    </w:p>
    <w:p>
      <w:r>
        <w:rPr/>
        <w:t>BIBS replaces these systems. It is one application with a module per BRD, one set of users and roles, one client and account base, one invoice ledger and one general ledger.</w:t>
      </w:r>
    </w:p>
    <w:p>
      <w:pPr>
        <w:pStyle w:val="Heading2"/>
      </w:pPr>
      <w:bookmarkStart w:id="110" w:name="_Toc000110"/>
      <w:r>
        <w:rPr/>
        <w:t>2.2 System context diagram</w:t>
      </w:r>
      <w:bookmarkEnd w:id="110"/>
    </w:p>
    <w:p>
      <w:r>
        <w:rPr/>
        <w:t>Figure 1 shows BIBS with its users and the BDO and external systems it exchanges data with. Every system-to-system interface passes the Apigee X gateway; users sign in through EIAM.</w:t>
      </w:r>
    </w:p>
    <w:p>
      <w:pPr>
        <w:keepNext/>
        <w:spacing w:before="80" w:after="0"/>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srs_context_1104.jpg"/>
                    <pic:cNvPicPr/>
                  </pic:nvPicPr>
                  <pic:blipFill>
                    <a:blip r:embed="rId15"/>
                    <a:stretch>
                      <a:fillRect/>
                    </a:stretch>
                  </pic:blipFill>
                  <pic:spPr>
                    <a:xfrm>
                      <a:off x="0" y="0"/>
                      <a:ext cx="5940000" cy="3712500"/>
                    </a:xfrm>
                    <a:prstGeom prst="rect"/>
                  </pic:spPr>
                </pic:pic>
              </a:graphicData>
            </a:graphic>
          </wp:inline>
        </w:drawing>
      </w:r>
    </w:p>
    <w:p>
      <w:pPr>
        <w:pStyle w:val="Caption"/>
        <w:jc w:val="center"/>
      </w:pPr>
      <w:r>
        <w:rPr>
          <w:b/>
          <w:i w:val="0"/>
        </w:rPr>
        <w:t xml:space="preserve">Figure 1: </w:t>
      </w:r>
      <w:r>
        <w:rPr/>
        <w:t>System context of BIBS: identity and gateway (first row), systems behind Apigee X (second row and EGL, EDP, CARMS), e-mail and content services, and sources entered by hand or migrated once (last row)</w:t>
      </w:r>
    </w:p>
    <w:p>
      <w:pPr>
        <w:pStyle w:val="Heading2"/>
      </w:pPr>
      <w:bookmarkStart w:id="111" w:name="_Toc000111"/>
      <w:r>
        <w:rPr/>
        <w:t>2.3 Modules and drops</w:t>
      </w:r>
      <w:bookmarkEnd w:id="111"/>
    </w:p>
    <w:p>
      <w:r>
        <w:rPr/>
        <w:t>BDOI splits requirements, development, test and sign-off into three drops; the platform is developed end to end and all modules go live together. Figure 2 places each BRD in its drop.</w:t>
      </w:r>
    </w:p>
    <w:p>
      <w:pPr>
        <w:keepNext/>
        <w:spacing w:before="80" w:after="0"/>
        <w:jc w:val="center"/>
      </w:pPr>
      <w:r>
        <w:drawing>
          <wp:inline xmlns:a="http://schemas.openxmlformats.org/drawingml/2006/main" xmlns:pic="http://schemas.openxmlformats.org/drawingml/2006/picture">
            <wp:extent cx="5760000" cy="4026617"/>
            <wp:docPr id="4" name="Picture 4"/>
            <wp:cNvGraphicFramePr>
              <a:graphicFrameLocks noChangeAspect="1"/>
            </wp:cNvGraphicFramePr>
            <a:graphic>
              <a:graphicData uri="http://schemas.openxmlformats.org/drawingml/2006/picture">
                <pic:pic>
                  <pic:nvPicPr>
                    <pic:cNvPr id="0" name="srs_modules_1070.jpg"/>
                    <pic:cNvPicPr/>
                  </pic:nvPicPr>
                  <pic:blipFill>
                    <a:blip r:embed="rId16"/>
                    <a:stretch>
                      <a:fillRect/>
                    </a:stretch>
                  </pic:blipFill>
                  <pic:spPr>
                    <a:xfrm>
                      <a:off x="0" y="0"/>
                      <a:ext cx="5760000" cy="4026617"/>
                    </a:xfrm>
                    <a:prstGeom prst="rect"/>
                  </pic:spPr>
                </pic:pic>
              </a:graphicData>
            </a:graphic>
          </wp:inline>
        </w:drawing>
      </w:r>
    </w:p>
    <w:p>
      <w:pPr>
        <w:pStyle w:val="Caption"/>
        <w:jc w:val="center"/>
      </w:pPr>
      <w:r>
        <w:rPr>
          <w:b/>
          <w:i w:val="0"/>
        </w:rPr>
        <w:t xml:space="preserve">Figure 2: </w:t>
      </w:r>
      <w:r>
        <w:rPr/>
        <w:t>BIBS modules by BDOI drop</w:t>
      </w:r>
    </w:p>
    <w:p>
      <w:pPr>
        <w:pStyle w:val="Caption"/>
        <w:keepNext/>
        <w:spacing w:after="60"/>
      </w:pPr>
      <w:r>
        <w:rPr>
          <w:b/>
          <w:i w:val="0"/>
        </w:rPr>
        <w:t xml:space="preserve">Table 5: </w:t>
      </w:r>
      <w:r>
        <w:rPr/>
        <w:t>Drops, BRDs and windows (BDOI drop plan and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244"/>
        <w:gridCol w:w="2042"/>
        <w:gridCol w:w="31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Requirements</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SIT and UAT</w:t>
            </w:r>
          </w:p>
        </w:tc>
      </w:tr>
      <w:tr>
        <w:trPr>
          <w:cantSplit w:val="true"/>
        </w:trPr>
        <w:tc>
          <w:tcPr>
            <w:tcW w:type="dxa" w:w="1562"/>
            <w:tcMar>
              <w:top w:w="50" w:type="dxa"/>
              <w:bottom w:w="50" w:type="dxa"/>
              <w:left w:w="90" w:type="dxa"/>
              <w:right w:w="90" w:type="dxa"/>
            </w:tcMar>
          </w:tcPr>
          <w:p>
            <w:pPr>
              <w:pStyle w:val="BDOITable"/>
            </w:pPr>
            <w:r>
              <w:rPr>
                <w:sz w:val="17"/>
              </w:rPr>
              <w:t>Drop 0 - Setup and Data Migration</w:t>
            </w:r>
          </w:p>
        </w:tc>
        <w:tc>
          <w:tcPr>
            <w:tcW w:type="dxa" w:w="3244"/>
            <w:tcMar>
              <w:top w:w="50" w:type="dxa"/>
              <w:bottom w:w="50" w:type="dxa"/>
              <w:left w:w="90" w:type="dxa"/>
              <w:right w:w="90" w:type="dxa"/>
            </w:tcMar>
          </w:tcPr>
          <w:p>
            <w:pPr>
              <w:pStyle w:val="BDOITable"/>
            </w:pPr>
            <w:r>
              <w:rPr>
                <w:sz w:val="17"/>
              </w:rPr>
              <w:t>BRD-11, BRD-03, BRD-13</w:t>
            </w:r>
          </w:p>
        </w:tc>
        <w:tc>
          <w:tcPr>
            <w:tcW w:type="dxa" w:w="2042"/>
            <w:tcMar>
              <w:top w:w="50" w:type="dxa"/>
              <w:bottom w:w="50" w:type="dxa"/>
              <w:left w:w="90" w:type="dxa"/>
              <w:right w:w="90" w:type="dxa"/>
            </w:tcMar>
          </w:tcPr>
          <w:p>
            <w:pPr>
              <w:pStyle w:val="BDOITable"/>
            </w:pPr>
            <w:r>
              <w:rPr>
                <w:sz w:val="17"/>
              </w:rPr>
              <w:t>Sep to Nov 2026 (with Drop 1)</w:t>
            </w:r>
          </w:p>
        </w:tc>
        <w:tc>
          <w:tcPr>
            <w:tcW w:type="dxa" w:w="3124"/>
            <w:tcMar>
              <w:top w:w="50" w:type="dxa"/>
              <w:bottom w:w="50" w:type="dxa"/>
              <w:left w:w="90" w:type="dxa"/>
              <w:right w:w="90" w:type="dxa"/>
            </w:tcMar>
          </w:tcPr>
          <w:p>
            <w:pPr>
              <w:pStyle w:val="BDOITable"/>
            </w:pPr>
            <w:r>
              <w:rPr>
                <w:sz w:val="17"/>
              </w:rPr>
              <w:t>Setup tested with Drop 1; trial migrations Apr to Oct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Drop 1 - Transactional</w:t>
            </w:r>
          </w:p>
        </w:tc>
        <w:tc>
          <w:tcPr>
            <w:tcW w:type="dxa" w:w="3244"/>
            <w:tcMar>
              <w:top w:w="50" w:type="dxa"/>
              <w:bottom w:w="50" w:type="dxa"/>
              <w:left w:w="90" w:type="dxa"/>
              <w:right w:w="90" w:type="dxa"/>
            </w:tcMar>
            <w:shd w:val="clear" w:color="auto" w:fill="E5F5FF"/>
          </w:tcPr>
          <w:p>
            <w:pPr>
              <w:pStyle w:val="BDOITable"/>
            </w:pPr>
            <w:r>
              <w:rPr>
                <w:sz w:val="17"/>
              </w:rPr>
              <w:t>BRD-01, 02, 04, 05, 06, 09, 10, 12</w:t>
            </w:r>
          </w:p>
        </w:tc>
        <w:tc>
          <w:tcPr>
            <w:tcW w:type="dxa" w:w="2042"/>
            <w:tcMar>
              <w:top w:w="50" w:type="dxa"/>
              <w:bottom w:w="50" w:type="dxa"/>
              <w:left w:w="90" w:type="dxa"/>
              <w:right w:w="90" w:type="dxa"/>
            </w:tcMar>
            <w:shd w:val="clear" w:color="auto" w:fill="E5F5FF"/>
          </w:tcPr>
          <w:p>
            <w:pPr>
              <w:pStyle w:val="BDOITable"/>
            </w:pPr>
            <w:r>
              <w:rPr>
                <w:sz w:val="17"/>
              </w:rPr>
              <w:t>Sep to Nov 2026</w:t>
            </w:r>
          </w:p>
        </w:tc>
        <w:tc>
          <w:tcPr>
            <w:tcW w:type="dxa" w:w="3124"/>
            <w:tcMar>
              <w:top w:w="50" w:type="dxa"/>
              <w:bottom w:w="50" w:type="dxa"/>
              <w:left w:w="90" w:type="dxa"/>
              <w:right w:w="90" w:type="dxa"/>
            </w:tcMar>
            <w:shd w:val="clear" w:color="auto" w:fill="E5F5FF"/>
          </w:tcPr>
          <w:p>
            <w:pPr>
              <w:pStyle w:val="BDOITable"/>
            </w:pPr>
            <w:r>
              <w:rPr>
                <w:sz w:val="17"/>
              </w:rPr>
              <w:t>SIT 4 Jan to 30 Jul 2027; UAT 2 Aug to 17 Dec 2027</w:t>
            </w:r>
          </w:p>
        </w:tc>
      </w:tr>
      <w:tr>
        <w:trPr>
          <w:cantSplit w:val="true"/>
        </w:trPr>
        <w:tc>
          <w:tcPr>
            <w:tcW w:type="dxa" w:w="1562"/>
            <w:tcMar>
              <w:top w:w="50" w:type="dxa"/>
              <w:bottom w:w="50" w:type="dxa"/>
              <w:left w:w="90" w:type="dxa"/>
              <w:right w:w="90" w:type="dxa"/>
            </w:tcMar>
          </w:tcPr>
          <w:p>
            <w:pPr>
              <w:pStyle w:val="BDOITable"/>
            </w:pPr>
            <w:r>
              <w:rPr>
                <w:sz w:val="17"/>
              </w:rPr>
              <w:t>Drop 2 - Independent</w:t>
            </w:r>
          </w:p>
        </w:tc>
        <w:tc>
          <w:tcPr>
            <w:tcW w:type="dxa" w:w="3244"/>
            <w:tcMar>
              <w:top w:w="50" w:type="dxa"/>
              <w:bottom w:w="50" w:type="dxa"/>
              <w:left w:w="90" w:type="dxa"/>
              <w:right w:w="90" w:type="dxa"/>
            </w:tcMar>
          </w:tcPr>
          <w:p>
            <w:pPr>
              <w:pStyle w:val="BDOITable"/>
            </w:pPr>
            <w:r>
              <w:rPr>
                <w:sz w:val="17"/>
              </w:rPr>
              <w:t>BRD-07, BRD-08; Production Reconciliation (BRD-02); Marketing Collection extraction (BRD-04)</w:t>
            </w:r>
          </w:p>
        </w:tc>
        <w:tc>
          <w:tcPr>
            <w:tcW w:type="dxa" w:w="2042"/>
            <w:tcMar>
              <w:top w:w="50" w:type="dxa"/>
              <w:bottom w:w="50" w:type="dxa"/>
              <w:left w:w="90" w:type="dxa"/>
              <w:right w:w="90" w:type="dxa"/>
            </w:tcMar>
          </w:tcPr>
          <w:p>
            <w:pPr>
              <w:pStyle w:val="BDOITable"/>
            </w:pPr>
            <w:r>
              <w:rPr>
                <w:sz w:val="17"/>
              </w:rPr>
              <w:t>Dec 2026 to Feb 2027</w:t>
            </w:r>
          </w:p>
        </w:tc>
        <w:tc>
          <w:tcPr>
            <w:tcW w:type="dxa" w:w="3124"/>
            <w:tcMar>
              <w:top w:w="50" w:type="dxa"/>
              <w:bottom w:w="50" w:type="dxa"/>
              <w:left w:w="90" w:type="dxa"/>
              <w:right w:w="90" w:type="dxa"/>
            </w:tcMar>
          </w:tcPr>
          <w:p>
            <w:pPr>
              <w:pStyle w:val="BDOITable"/>
            </w:pPr>
            <w:r>
              <w:rPr>
                <w:sz w:val="17"/>
              </w:rPr>
              <w:t>SIT 1 Jul to 30 Sep 2027; UAT 1 Oct to 30 Nov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Programme</w:t>
            </w:r>
          </w:p>
        </w:tc>
        <w:tc>
          <w:tcPr>
            <w:tcW w:type="dxa" w:w="3244"/>
            <w:tcMar>
              <w:top w:w="50" w:type="dxa"/>
              <w:bottom w:w="50" w:type="dxa"/>
              <w:left w:w="90" w:type="dxa"/>
              <w:right w:w="90" w:type="dxa"/>
            </w:tcMar>
            <w:shd w:val="clear" w:color="auto" w:fill="E5F5FF"/>
          </w:tcPr>
          <w:p>
            <w:pPr>
              <w:pStyle w:val="BDOITable"/>
            </w:pPr>
            <w:r>
              <w:rPr>
                <w:sz w:val="17"/>
              </w:rPr>
              <w:t>BRD-00 cross-cutting services</w:t>
            </w:r>
          </w:p>
        </w:tc>
        <w:tc>
          <w:tcPr>
            <w:tcW w:type="dxa" w:w="2042"/>
            <w:tcMar>
              <w:top w:w="50" w:type="dxa"/>
              <w:bottom w:w="50" w:type="dxa"/>
              <w:left w:w="90" w:type="dxa"/>
              <w:right w:w="90" w:type="dxa"/>
            </w:tcMar>
            <w:shd w:val="clear" w:color="auto" w:fill="E5F5FF"/>
          </w:tcPr>
          <w:p>
            <w:pPr>
              <w:pStyle w:val="BDOITable"/>
            </w:pPr>
            <w:r>
              <w:rPr>
                <w:sz w:val="17"/>
              </w:rPr>
              <w:t>With Drop 1</w:t>
            </w:r>
          </w:p>
        </w:tc>
        <w:tc>
          <w:tcPr>
            <w:tcW w:type="dxa" w:w="3124"/>
            <w:tcMar>
              <w:top w:w="50" w:type="dxa"/>
              <w:bottom w:w="50" w:type="dxa"/>
              <w:left w:w="90" w:type="dxa"/>
              <w:right w:w="90" w:type="dxa"/>
            </w:tcMar>
            <w:shd w:val="clear" w:color="auto" w:fill="E5F5FF"/>
          </w:tcPr>
          <w:p>
            <w:pPr>
              <w:pStyle w:val="BDOITable"/>
            </w:pPr>
            <w:r>
              <w:rPr>
                <w:sz w:val="17"/>
              </w:rPr>
              <w:t>Performance and penetration test 1 Nov to 15 Dec 2027; ORR / PRR Dec 2027; go-live 3 Jan 2028</w:t>
            </w:r>
          </w:p>
        </w:tc>
      </w:tr>
    </w:tbl>
    <w:p>
      <w:pPr>
        <w:pStyle w:val="BDOISpacer"/>
      </w:pPr>
    </w:p>
    <w:p>
      <w:pPr>
        <w:pStyle w:val="Heading1"/>
        <w:pageBreakBefore/>
        <w:pBdr>
          <w:bottom w:val="single" w:sz="4" w:space="4" w:color="99C1E7"/>
        </w:pBdr>
      </w:pPr>
      <w:bookmarkStart w:id="112" w:name="_Toc000112"/>
      <w:r>
        <w:rPr/>
        <w:t>3 Users and personas</w:t>
      </w:r>
      <w:bookmarkEnd w:id="112"/>
    </w:p>
    <w:p>
      <w:pPr>
        <w:pStyle w:val="Heading2"/>
      </w:pPr>
      <w:bookmarkStart w:id="113" w:name="_Toc000113"/>
      <w:r>
        <w:rPr/>
        <w:t>3.1 User population</w:t>
      </w:r>
      <w:bookmarkEnd w:id="113"/>
    </w:p>
    <w:p>
      <w:r>
        <w:rPr/>
        <w:t>The umbrella BRD counts 1,344 named and 429 concurrent users (p.42). The function BRDs give the users per module; the table groups them by persona family. The FRS of each BRD names the personas, their BIBS roles and permissions.</w:t>
      </w:r>
    </w:p>
    <w:p>
      <w:pPr>
        <w:pStyle w:val="Caption"/>
        <w:keepNext/>
        <w:spacing w:after="60"/>
      </w:pPr>
      <w:r>
        <w:rPr>
          <w:b/>
          <w:i w:val="0"/>
        </w:rPr>
        <w:t xml:space="preserve">Table 6: </w:t>
      </w:r>
      <w:r>
        <w:rPr/>
        <w:t>Persona families, BRDs and user numbers (named / concurrent, from the BRDs)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1441"/>
        <w:gridCol w:w="2763"/>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Persona family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Personas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BRDs</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Users (named / concurrent)</w:t>
            </w:r>
          </w:p>
        </w:tc>
      </w:tr>
      <w:tr>
        <w:trPr>
          <w:cantSplit w:val="true"/>
        </w:trPr>
        <w:tc>
          <w:tcPr>
            <w:tcW w:type="dxa" w:w="2523"/>
            <w:tcMar>
              <w:top w:w="50" w:type="dxa"/>
              <w:bottom w:w="50" w:type="dxa"/>
              <w:left w:w="90" w:type="dxa"/>
              <w:right w:w="90" w:type="dxa"/>
            </w:tcMar>
          </w:tcPr>
          <w:p>
            <w:pPr>
              <w:pStyle w:val="BDOITable"/>
            </w:pPr>
            <w:r>
              <w:rPr>
                <w:sz w:val="16"/>
              </w:rPr>
              <w:t>Marketing</w:t>
            </w:r>
          </w:p>
        </w:tc>
        <w:tc>
          <w:tcPr>
            <w:tcW w:type="dxa" w:w="3244"/>
            <w:tcMar>
              <w:top w:w="50" w:type="dxa"/>
              <w:bottom w:w="50" w:type="dxa"/>
              <w:left w:w="90" w:type="dxa"/>
              <w:right w:w="90" w:type="dxa"/>
            </w:tcMar>
          </w:tcPr>
          <w:p>
            <w:pPr>
              <w:pStyle w:val="BDOITable"/>
            </w:pPr>
            <w:r>
              <w:rPr>
                <w:sz w:val="16"/>
              </w:rPr>
              <w:t>Account Officer (AO), Team Lead, Team Head, Unit Head; EB desk</w:t>
            </w:r>
          </w:p>
        </w:tc>
        <w:tc>
          <w:tcPr>
            <w:tcW w:type="dxa" w:w="1442"/>
            <w:tcMar>
              <w:top w:w="50" w:type="dxa"/>
              <w:bottom w:w="50" w:type="dxa"/>
              <w:left w:w="90" w:type="dxa"/>
              <w:right w:w="90" w:type="dxa"/>
            </w:tcMar>
          </w:tcPr>
          <w:p>
            <w:pPr>
              <w:pStyle w:val="BDOITable"/>
            </w:pPr>
            <w:r>
              <w:rPr>
                <w:sz w:val="16"/>
              </w:rPr>
              <w:t>BRD-1, 3, 4, 6, 8</w:t>
            </w:r>
          </w:p>
        </w:tc>
        <w:tc>
          <w:tcPr>
            <w:tcW w:type="dxa" w:w="2763"/>
            <w:tcMar>
              <w:top w:w="50" w:type="dxa"/>
              <w:bottom w:w="50" w:type="dxa"/>
              <w:left w:w="90" w:type="dxa"/>
              <w:right w:w="90" w:type="dxa"/>
            </w:tcMar>
          </w:tcPr>
          <w:p>
            <w:pPr>
              <w:pStyle w:val="BDOITable"/>
            </w:pPr>
            <w:r>
              <w:rPr>
                <w:sz w:val="16"/>
              </w:rPr>
              <w:t>485 / 145 (BRD-1); EB 13</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Technical Support Unit and MBS</w:t>
            </w:r>
          </w:p>
        </w:tc>
        <w:tc>
          <w:tcPr>
            <w:tcW w:type="dxa" w:w="3244"/>
            <w:tcMar>
              <w:top w:w="50" w:type="dxa"/>
              <w:bottom w:w="50" w:type="dxa"/>
              <w:left w:w="90" w:type="dxa"/>
              <w:right w:w="90" w:type="dxa"/>
            </w:tcMar>
            <w:shd w:val="clear" w:color="auto" w:fill="E5F5FF"/>
          </w:tcPr>
          <w:p>
            <w:pPr>
              <w:pStyle w:val="BDOITable"/>
            </w:pPr>
            <w:r>
              <w:rPr>
                <w:sz w:val="16"/>
              </w:rPr>
              <w:t>TSU Officer, Team Lead, Head; Marketing Business Services</w:t>
            </w:r>
          </w:p>
        </w:tc>
        <w:tc>
          <w:tcPr>
            <w:tcW w:type="dxa" w:w="1442"/>
            <w:tcMar>
              <w:top w:w="50" w:type="dxa"/>
              <w:bottom w:w="50" w:type="dxa"/>
              <w:left w:w="90" w:type="dxa"/>
              <w:right w:w="90" w:type="dxa"/>
            </w:tcMar>
            <w:shd w:val="clear" w:color="auto" w:fill="E5F5FF"/>
          </w:tcPr>
          <w:p>
            <w:pPr>
              <w:pStyle w:val="BDOITable"/>
            </w:pPr>
            <w:r>
              <w:rPr>
                <w:sz w:val="16"/>
              </w:rPr>
              <w:t>BRD-1, 3</w:t>
            </w:r>
          </w:p>
        </w:tc>
        <w:tc>
          <w:tcPr>
            <w:tcW w:type="dxa" w:w="2763"/>
            <w:tcMar>
              <w:top w:w="50" w:type="dxa"/>
              <w:bottom w:w="50" w:type="dxa"/>
              <w:left w:w="90" w:type="dxa"/>
              <w:right w:w="90" w:type="dxa"/>
            </w:tcMar>
            <w:shd w:val="clear" w:color="auto" w:fill="E5F5FF"/>
          </w:tcPr>
          <w:p>
            <w:pPr>
              <w:pStyle w:val="BDOITable"/>
            </w:pPr>
            <w:r>
              <w:rPr>
                <w:sz w:val="16"/>
              </w:rPr>
              <w:t>TSU 13 / 13; MBS 5 / 5</w:t>
            </w:r>
          </w:p>
        </w:tc>
      </w:tr>
      <w:tr>
        <w:trPr>
          <w:cantSplit w:val="true"/>
        </w:trPr>
        <w:tc>
          <w:tcPr>
            <w:tcW w:type="dxa" w:w="2523"/>
            <w:tcMar>
              <w:top w:w="50" w:type="dxa"/>
              <w:bottom w:w="50" w:type="dxa"/>
              <w:left w:w="90" w:type="dxa"/>
              <w:right w:w="90" w:type="dxa"/>
            </w:tcMar>
          </w:tcPr>
          <w:p>
            <w:pPr>
              <w:pStyle w:val="BDOITable"/>
            </w:pPr>
            <w:r>
              <w:rPr>
                <w:sz w:val="16"/>
              </w:rPr>
              <w:t>Processing</w:t>
            </w:r>
          </w:p>
        </w:tc>
        <w:tc>
          <w:tcPr>
            <w:tcW w:type="dxa" w:w="3244"/>
            <w:tcMar>
              <w:top w:w="50" w:type="dxa"/>
              <w:bottom w:w="50" w:type="dxa"/>
              <w:left w:w="90" w:type="dxa"/>
              <w:right w:w="90" w:type="dxa"/>
            </w:tcMar>
          </w:tcPr>
          <w:p>
            <w:pPr>
              <w:pStyle w:val="BDOITable"/>
            </w:pPr>
            <w:r>
              <w:rPr>
                <w:sz w:val="16"/>
              </w:rPr>
              <w:t>Processing Officer, Processing TL, e-policy sender, Submitted Policies checker and handler</w:t>
            </w:r>
          </w:p>
        </w:tc>
        <w:tc>
          <w:tcPr>
            <w:tcW w:type="dxa" w:w="1442"/>
            <w:tcMar>
              <w:top w:w="50" w:type="dxa"/>
              <w:bottom w:w="50" w:type="dxa"/>
              <w:left w:w="90" w:type="dxa"/>
              <w:right w:w="90" w:type="dxa"/>
            </w:tcMar>
          </w:tcPr>
          <w:p>
            <w:pPr>
              <w:pStyle w:val="BDOITable"/>
            </w:pPr>
            <w:r>
              <w:rPr>
                <w:sz w:val="16"/>
              </w:rPr>
              <w:t>BRD-1, 6, 8, 12</w:t>
            </w:r>
          </w:p>
        </w:tc>
        <w:tc>
          <w:tcPr>
            <w:tcW w:type="dxa" w:w="2763"/>
            <w:tcMar>
              <w:top w:w="50" w:type="dxa"/>
              <w:bottom w:w="50" w:type="dxa"/>
              <w:left w:w="90" w:type="dxa"/>
              <w:right w:w="90" w:type="dxa"/>
            </w:tcMar>
          </w:tcPr>
          <w:p>
            <w:pPr>
              <w:pStyle w:val="BDOITable"/>
            </w:pPr>
            <w:r>
              <w:rPr>
                <w:sz w:val="16"/>
              </w:rPr>
              <w:t>82 (BRD-1); Renewal 73 / 22; SP 38 / 21</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Operations</w:t>
            </w:r>
          </w:p>
        </w:tc>
        <w:tc>
          <w:tcPr>
            <w:tcW w:type="dxa" w:w="3244"/>
            <w:tcMar>
              <w:top w:w="50" w:type="dxa"/>
              <w:bottom w:w="50" w:type="dxa"/>
              <w:left w:w="90" w:type="dxa"/>
              <w:right w:w="90" w:type="dxa"/>
            </w:tcMar>
            <w:shd w:val="clear" w:color="auto" w:fill="E5F5FF"/>
          </w:tcPr>
          <w:p>
            <w:pPr>
              <w:pStyle w:val="BDOITable"/>
            </w:pPr>
            <w:r>
              <w:rPr>
                <w:sz w:val="16"/>
              </w:rPr>
              <w:t>Cashiering, Remittance, Production Reconciliation, Adjustment, Commission users and their TL / TH</w:t>
            </w:r>
          </w:p>
        </w:tc>
        <w:tc>
          <w:tcPr>
            <w:tcW w:type="dxa" w:w="1442"/>
            <w:tcMar>
              <w:top w:w="50" w:type="dxa"/>
              <w:bottom w:w="50" w:type="dxa"/>
              <w:left w:w="90" w:type="dxa"/>
              <w:right w:w="90" w:type="dxa"/>
            </w:tcMar>
            <w:shd w:val="clear" w:color="auto" w:fill="E5F5FF"/>
          </w:tcPr>
          <w:p>
            <w:pPr>
              <w:pStyle w:val="BDOITable"/>
            </w:pPr>
            <w:r>
              <w:rPr>
                <w:sz w:val="16"/>
              </w:rPr>
              <w:t>BRD-2</w:t>
            </w:r>
          </w:p>
        </w:tc>
        <w:tc>
          <w:tcPr>
            <w:tcW w:type="dxa" w:w="2763"/>
            <w:tcMar>
              <w:top w:w="50" w:type="dxa"/>
              <w:bottom w:w="50" w:type="dxa"/>
              <w:left w:w="90" w:type="dxa"/>
              <w:right w:w="90" w:type="dxa"/>
            </w:tcMar>
            <w:shd w:val="clear" w:color="auto" w:fill="E5F5FF"/>
          </w:tcPr>
          <w:p>
            <w:pPr>
              <w:pStyle w:val="BDOITable"/>
            </w:pPr>
            <w:r>
              <w:rPr>
                <w:sz w:val="16"/>
              </w:rPr>
              <w:t>About 50 named</w:t>
            </w:r>
          </w:p>
        </w:tc>
      </w:tr>
      <w:tr>
        <w:trPr>
          <w:cantSplit w:val="true"/>
        </w:trPr>
        <w:tc>
          <w:tcPr>
            <w:tcW w:type="dxa" w:w="2523"/>
            <w:tcMar>
              <w:top w:w="50" w:type="dxa"/>
              <w:bottom w:w="50" w:type="dxa"/>
              <w:left w:w="90" w:type="dxa"/>
              <w:right w:w="90" w:type="dxa"/>
            </w:tcMar>
          </w:tcPr>
          <w:p>
            <w:pPr>
              <w:pStyle w:val="BDOITable"/>
            </w:pPr>
            <w:r>
              <w:rPr>
                <w:sz w:val="16"/>
              </w:rPr>
              <w:t>Collections</w:t>
            </w:r>
          </w:p>
        </w:tc>
        <w:tc>
          <w:tcPr>
            <w:tcW w:type="dxa" w:w="3244"/>
            <w:tcMar>
              <w:top w:w="50" w:type="dxa"/>
              <w:bottom w:w="50" w:type="dxa"/>
              <w:left w:w="90" w:type="dxa"/>
              <w:right w:w="90" w:type="dxa"/>
            </w:tcMar>
          </w:tcPr>
          <w:p>
            <w:pPr>
              <w:pStyle w:val="BDOITable"/>
            </w:pPr>
            <w:r>
              <w:rPr>
                <w:sz w:val="16"/>
              </w:rPr>
              <w:t>Collection Handler, Team Lead, Section Head, Unapplied Payment Handler</w:t>
            </w:r>
          </w:p>
        </w:tc>
        <w:tc>
          <w:tcPr>
            <w:tcW w:type="dxa" w:w="1442"/>
            <w:tcMar>
              <w:top w:w="50" w:type="dxa"/>
              <w:bottom w:w="50" w:type="dxa"/>
              <w:left w:w="90" w:type="dxa"/>
              <w:right w:w="90" w:type="dxa"/>
            </w:tcMar>
          </w:tcPr>
          <w:p>
            <w:pPr>
              <w:pStyle w:val="BDOITable"/>
            </w:pPr>
            <w:r>
              <w:rPr>
                <w:sz w:val="16"/>
              </w:rPr>
              <w:t>BRD-4</w:t>
            </w:r>
          </w:p>
        </w:tc>
        <w:tc>
          <w:tcPr>
            <w:tcW w:type="dxa" w:w="2763"/>
            <w:tcMar>
              <w:top w:w="50" w:type="dxa"/>
              <w:bottom w:w="50" w:type="dxa"/>
              <w:left w:w="90" w:type="dxa"/>
              <w:right w:w="90" w:type="dxa"/>
            </w:tcMar>
          </w:tcPr>
          <w:p>
            <w:pPr>
              <w:pStyle w:val="BDOITable"/>
            </w:pPr>
            <w:r>
              <w:rPr>
                <w:sz w:val="16"/>
              </w:rPr>
              <w:t>130 / 56</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Finance</w:t>
            </w:r>
          </w:p>
        </w:tc>
        <w:tc>
          <w:tcPr>
            <w:tcW w:type="dxa" w:w="3244"/>
            <w:tcMar>
              <w:top w:w="50" w:type="dxa"/>
              <w:bottom w:w="50" w:type="dxa"/>
              <w:left w:w="90" w:type="dxa"/>
              <w:right w:w="90" w:type="dxa"/>
            </w:tcMar>
            <w:shd w:val="clear" w:color="auto" w:fill="E5F5FF"/>
          </w:tcPr>
          <w:p>
            <w:pPr>
              <w:pStyle w:val="BDOITable"/>
            </w:pPr>
            <w:r>
              <w:rPr>
                <w:sz w:val="16"/>
              </w:rPr>
              <w:t>FRBS GL officers, Disbursement, ACSL, Comptrollership</w:t>
            </w:r>
          </w:p>
        </w:tc>
        <w:tc>
          <w:tcPr>
            <w:tcW w:type="dxa" w:w="1442"/>
            <w:tcMar>
              <w:top w:w="50" w:type="dxa"/>
              <w:bottom w:w="50" w:type="dxa"/>
              <w:left w:w="90" w:type="dxa"/>
              <w:right w:w="90" w:type="dxa"/>
            </w:tcMar>
            <w:shd w:val="clear" w:color="auto" w:fill="E5F5FF"/>
          </w:tcPr>
          <w:p>
            <w:pPr>
              <w:pStyle w:val="BDOITable"/>
            </w:pPr>
            <w:r>
              <w:rPr>
                <w:sz w:val="16"/>
              </w:rPr>
              <w:t>BRD-5, 2</w:t>
            </w:r>
          </w:p>
        </w:tc>
        <w:tc>
          <w:tcPr>
            <w:tcW w:type="dxa" w:w="2763"/>
            <w:tcMar>
              <w:top w:w="50" w:type="dxa"/>
              <w:bottom w:w="50" w:type="dxa"/>
              <w:left w:w="90" w:type="dxa"/>
              <w:right w:w="90" w:type="dxa"/>
            </w:tcMar>
            <w:shd w:val="clear" w:color="auto" w:fill="E5F5FF"/>
          </w:tcPr>
          <w:p>
            <w:pPr>
              <w:pStyle w:val="BDOITable"/>
            </w:pPr>
            <w:r>
              <w:rPr>
                <w:sz w:val="16"/>
              </w:rPr>
              <w:t>Accounting 5, Disbursement 8, ACSL 6</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3244"/>
            <w:tcMar>
              <w:top w:w="50" w:type="dxa"/>
              <w:bottom w:w="50" w:type="dxa"/>
              <w:left w:w="90" w:type="dxa"/>
              <w:right w:w="90" w:type="dxa"/>
            </w:tcMar>
          </w:tcPr>
          <w:p>
            <w:pPr>
              <w:pStyle w:val="BDOITable"/>
            </w:pPr>
            <w:r>
              <w:rPr>
                <w:sz w:val="16"/>
              </w:rPr>
              <w:t>Claims and Risk users, Team Lead, Team Head, Unit Head; Marketing view</w:t>
            </w:r>
          </w:p>
        </w:tc>
        <w:tc>
          <w:tcPr>
            <w:tcW w:type="dxa" w:w="1442"/>
            <w:tcMar>
              <w:top w:w="50" w:type="dxa"/>
              <w:bottom w:w="50" w:type="dxa"/>
              <w:left w:w="90" w:type="dxa"/>
              <w:right w:w="90" w:type="dxa"/>
            </w:tcMar>
          </w:tcPr>
          <w:p>
            <w:pPr>
              <w:pStyle w:val="BDOITable"/>
            </w:pPr>
            <w:r>
              <w:rPr>
                <w:sz w:val="16"/>
              </w:rPr>
              <w:t>BRD-7</w:t>
            </w:r>
          </w:p>
        </w:tc>
        <w:tc>
          <w:tcPr>
            <w:tcW w:type="dxa" w:w="2763"/>
            <w:tcMar>
              <w:top w:w="50" w:type="dxa"/>
              <w:bottom w:w="50" w:type="dxa"/>
              <w:left w:w="90" w:type="dxa"/>
              <w:right w:w="90" w:type="dxa"/>
            </w:tcMar>
          </w:tcPr>
          <w:p>
            <w:pPr>
              <w:pStyle w:val="BDOITable"/>
            </w:pPr>
            <w:r>
              <w:rPr>
                <w:sz w:val="16"/>
              </w:rPr>
              <w:t>47 / 25</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Customer servicing</w:t>
            </w:r>
          </w:p>
        </w:tc>
        <w:tc>
          <w:tcPr>
            <w:tcW w:type="dxa" w:w="3244"/>
            <w:tcMar>
              <w:top w:w="50" w:type="dxa"/>
              <w:bottom w:w="50" w:type="dxa"/>
              <w:left w:w="90" w:type="dxa"/>
              <w:right w:w="90" w:type="dxa"/>
            </w:tcMar>
            <w:shd w:val="clear" w:color="auto" w:fill="E5F5FF"/>
          </w:tcPr>
          <w:p>
            <w:pPr>
              <w:pStyle w:val="BDOITable"/>
            </w:pPr>
            <w:r>
              <w:rPr>
                <w:sz w:val="16"/>
              </w:rPr>
              <w:t>Contact Center personnel, supervisors, management</w:t>
            </w:r>
          </w:p>
        </w:tc>
        <w:tc>
          <w:tcPr>
            <w:tcW w:type="dxa" w:w="1442"/>
            <w:tcMar>
              <w:top w:w="50" w:type="dxa"/>
              <w:bottom w:w="50" w:type="dxa"/>
              <w:left w:w="90" w:type="dxa"/>
              <w:right w:w="90" w:type="dxa"/>
            </w:tcMar>
            <w:shd w:val="clear" w:color="auto" w:fill="E5F5FF"/>
          </w:tcPr>
          <w:p>
            <w:pPr>
              <w:pStyle w:val="BDOITable"/>
            </w:pPr>
            <w:r>
              <w:rPr>
                <w:sz w:val="16"/>
              </w:rPr>
              <w:t>BRD-9</w:t>
            </w:r>
          </w:p>
        </w:tc>
        <w:tc>
          <w:tcPr>
            <w:tcW w:type="dxa" w:w="2763"/>
            <w:tcMar>
              <w:top w:w="50" w:type="dxa"/>
              <w:bottom w:w="50" w:type="dxa"/>
              <w:left w:w="90" w:type="dxa"/>
              <w:right w:w="90" w:type="dxa"/>
            </w:tcMar>
            <w:shd w:val="clear" w:color="auto" w:fill="E5F5FF"/>
          </w:tcPr>
          <w:p>
            <w:pPr>
              <w:pStyle w:val="BDOITable"/>
            </w:pPr>
            <w:r>
              <w:rPr>
                <w:sz w:val="16"/>
              </w:rPr>
              <w:t>24 concurrent</w:t>
            </w:r>
          </w:p>
        </w:tc>
      </w:tr>
      <w:tr>
        <w:trPr>
          <w:cantSplit w:val="true"/>
        </w:trPr>
        <w:tc>
          <w:tcPr>
            <w:tcW w:type="dxa" w:w="2523"/>
            <w:tcMar>
              <w:top w:w="50" w:type="dxa"/>
              <w:bottom w:w="50" w:type="dxa"/>
              <w:left w:w="90" w:type="dxa"/>
              <w:right w:w="90" w:type="dxa"/>
            </w:tcMar>
          </w:tcPr>
          <w:p>
            <w:pPr>
              <w:pStyle w:val="BDOITable"/>
            </w:pPr>
            <w:r>
              <w:rPr>
                <w:sz w:val="16"/>
              </w:rPr>
              <w:t>Compliance</w:t>
            </w:r>
          </w:p>
        </w:tc>
        <w:tc>
          <w:tcPr>
            <w:tcW w:type="dxa" w:w="3244"/>
            <w:tcMar>
              <w:top w:w="50" w:type="dxa"/>
              <w:bottom w:w="50" w:type="dxa"/>
              <w:left w:w="90" w:type="dxa"/>
              <w:right w:w="90" w:type="dxa"/>
            </w:tcMar>
          </w:tcPr>
          <w:p>
            <w:pPr>
              <w:pStyle w:val="BDOITable"/>
            </w:pPr>
            <w:r>
              <w:rPr>
                <w:sz w:val="16"/>
              </w:rPr>
              <w:t>Compliance Officer, Investigator, Unit Head, AML Committee</w:t>
            </w:r>
          </w:p>
        </w:tc>
        <w:tc>
          <w:tcPr>
            <w:tcW w:type="dxa" w:w="1442"/>
            <w:tcMar>
              <w:top w:w="50" w:type="dxa"/>
              <w:bottom w:w="50" w:type="dxa"/>
              <w:left w:w="90" w:type="dxa"/>
              <w:right w:w="90" w:type="dxa"/>
            </w:tcMar>
          </w:tcPr>
          <w:p>
            <w:pPr>
              <w:pStyle w:val="BDOITable"/>
            </w:pPr>
            <w:r>
              <w:rPr>
                <w:sz w:val="16"/>
              </w:rPr>
              <w:t>BRD-10</w:t>
            </w:r>
          </w:p>
        </w:tc>
        <w:tc>
          <w:tcPr>
            <w:tcW w:type="dxa" w:w="2763"/>
            <w:tcMar>
              <w:top w:w="50" w:type="dxa"/>
              <w:bottom w:w="50" w:type="dxa"/>
              <w:left w:w="90" w:type="dxa"/>
              <w:right w:w="90" w:type="dxa"/>
            </w:tcMar>
          </w:tcPr>
          <w:p>
            <w:pPr>
              <w:pStyle w:val="BDOITable"/>
            </w:pPr>
            <w:r>
              <w:rPr>
                <w:sz w:val="16"/>
              </w:rPr>
              <w:t>Under 300 named</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Administration and control</w:t>
            </w:r>
          </w:p>
        </w:tc>
        <w:tc>
          <w:tcPr>
            <w:tcW w:type="dxa" w:w="3244"/>
            <w:tcMar>
              <w:top w:w="50" w:type="dxa"/>
              <w:bottom w:w="50" w:type="dxa"/>
              <w:left w:w="90" w:type="dxa"/>
              <w:right w:w="90" w:type="dxa"/>
            </w:tcMar>
            <w:shd w:val="clear" w:color="auto" w:fill="E5F5FF"/>
          </w:tcPr>
          <w:p>
            <w:pPr>
              <w:pStyle w:val="BDOITable"/>
            </w:pPr>
            <w:r>
              <w:rPr>
                <w:sz w:val="16"/>
              </w:rPr>
              <w:t>Business Administrator, System Administrator, UAM requestor and approver, Information Security, Auditor</w:t>
            </w:r>
          </w:p>
        </w:tc>
        <w:tc>
          <w:tcPr>
            <w:tcW w:type="dxa" w:w="1442"/>
            <w:tcMar>
              <w:top w:w="50" w:type="dxa"/>
              <w:bottom w:w="50" w:type="dxa"/>
              <w:left w:w="90" w:type="dxa"/>
              <w:right w:w="90" w:type="dxa"/>
            </w:tcMar>
            <w:shd w:val="clear" w:color="auto" w:fill="E5F5FF"/>
          </w:tcPr>
          <w:p>
            <w:pPr>
              <w:pStyle w:val="BDOITable"/>
            </w:pPr>
            <w:r>
              <w:rPr>
                <w:sz w:val="16"/>
              </w:rPr>
              <w:t>BRD-11, all</w:t>
            </w:r>
          </w:p>
        </w:tc>
        <w:tc>
          <w:tcPr>
            <w:tcW w:type="dxa" w:w="2763"/>
            <w:tcMar>
              <w:top w:w="50" w:type="dxa"/>
              <w:bottom w:w="50" w:type="dxa"/>
              <w:left w:w="90" w:type="dxa"/>
              <w:right w:w="90" w:type="dxa"/>
            </w:tcMar>
            <w:shd w:val="clear" w:color="auto" w:fill="E5F5FF"/>
          </w:tcPr>
          <w:p>
            <w:pPr>
              <w:pStyle w:val="BDOITable"/>
            </w:pPr>
            <w:r>
              <w:rPr>
                <w:sz w:val="16"/>
              </w:rPr>
              <w:t>Requestors 14 / 5, approvers 8 / 3, administrators 7</w:t>
            </w:r>
          </w:p>
        </w:tc>
      </w:tr>
    </w:tbl>
    <w:p>
      <w:pPr>
        <w:pStyle w:val="BDOISpacer"/>
      </w:pPr>
    </w:p>
    <w:p>
      <w:pPr>
        <w:pStyle w:val="Heading2"/>
      </w:pPr>
      <w:bookmarkStart w:id="114" w:name="_Toc000114"/>
      <w:r>
        <w:rPr/>
        <w:t>3.2 Access principles</w:t>
      </w:r>
      <w:bookmarkEnd w:id="114"/>
    </w:p>
    <w:p>
      <w:pPr>
        <w:tabs>
          <w:tab w:pos="312" w:val="left"/>
        </w:tabs>
        <w:spacing w:after="40"/>
        <w:ind w:left="312" w:hanging="283"/>
      </w:pPr>
      <w:r>
        <w:rPr>
          <w:color w:val="004EA8"/>
        </w:rPr>
        <w:t>•</w:t>
        <w:tab/>
      </w:r>
      <w:r>
        <w:rPr/>
        <w:t>Every persona sees only the menus and screens of its roles (FR-CR-001) and starts on a role home page with its work (FR-CR-010).</w:t>
      </w:r>
    </w:p>
    <w:p>
      <w:pPr>
        <w:tabs>
          <w:tab w:pos="312" w:val="left"/>
        </w:tabs>
        <w:spacing w:after="40"/>
        <w:ind w:left="312" w:hanging="283"/>
      </w:pPr>
      <w:r>
        <w:rPr>
          <w:color w:val="004EA8"/>
        </w:rPr>
        <w:t>•</w:t>
        <w:tab/>
      </w:r>
      <w:r>
        <w:rPr/>
        <w:t>Every action is checked against the user's permissions and every record against the user's companies and branches (data scope); a refused access is logged (NFR-SEC-04).</w:t>
      </w:r>
    </w:p>
    <w:p>
      <w:pPr>
        <w:tabs>
          <w:tab w:pos="312" w:val="left"/>
        </w:tabs>
        <w:spacing w:after="40"/>
        <w:ind w:left="312" w:hanging="283"/>
      </w:pPr>
      <w:r>
        <w:rPr>
          <w:color w:val="004EA8"/>
        </w:rPr>
        <w:t>•</w:t>
        <w:tab/>
      </w:r>
      <w:r>
        <w:rPr/>
        <w:t>Makers never approve their own work; approvals follow the configured matrices of each workflow (NFR-CFG-03).</w:t>
      </w:r>
    </w:p>
    <w:p>
      <w:pPr>
        <w:tabs>
          <w:tab w:pos="312" w:val="left"/>
        </w:tabs>
        <w:spacing w:after="40"/>
        <w:ind w:left="312" w:hanging="283"/>
      </w:pPr>
      <w:r>
        <w:rPr>
          <w:color w:val="004EA8"/>
        </w:rPr>
        <w:t>•</w:t>
        <w:tab/>
      </w:r>
      <w:r>
        <w:rPr/>
        <w:t>BDO users sign in through EIAM; only the named break-glass administrators keep local passwords with a second factor (NFR-SEC-01, NFR-SEC-02).</w:t>
      </w:r>
    </w:p>
    <w:p>
      <w:pPr>
        <w:tabs>
          <w:tab w:pos="312" w:val="left"/>
        </w:tabs>
        <w:spacing w:after="120"/>
        <w:ind w:left="312" w:hanging="283"/>
      </w:pPr>
      <w:r>
        <w:rPr>
          <w:color w:val="004EA8"/>
        </w:rPr>
        <w:t>•</w:t>
        <w:tab/>
      </w:r>
      <w:r>
        <w:rPr/>
        <w:t>No insurer, client or partner user signs in to BIBS in phase 1: the Employee Benefits portal is not part of the drop plan.</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4.1 Approach</w:t>
      </w:r>
      <w:bookmarkEnd w:id="116"/>
    </w:p>
    <w:p>
      <w:r>
        <w:rPr/>
        <w:t>The functional requirements are specified in the FRS of each BRD. Each FR carries the BRD requirement IDs and pages it meets, the actor, the priority, the screens, the main and alternate flows, the business rules (each marked Configurable or Fixed with the place where it is maintained), the validations with their messages, the fields and the acceptance criteria. The 14 FRS hold 728 FRs. Of their 1605 business rules, 633 (39%) are configurable by the business or the System Administrator; the others are fixed by the BRD or by regulation.</w:t>
      </w:r>
    </w:p>
    <w:p>
      <w:pPr>
        <w:pStyle w:val="Caption"/>
        <w:keepNext/>
        <w:spacing w:after="60"/>
      </w:pPr>
      <w:r>
        <w:rPr>
          <w:b/>
          <w:i w:val="0"/>
        </w:rPr>
        <w:t xml:space="preserve">Table 7: </w:t>
      </w:r>
      <w:r>
        <w:rPr/>
        <w:t>FRS of each BRD: version, FRs, traced BRD requirement IDs, test plan and user-story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8"/>
        <w:gridCol w:w="2377"/>
        <w:gridCol w:w="1056"/>
        <w:gridCol w:w="1915"/>
        <w:gridCol w:w="660"/>
        <w:gridCol w:w="990"/>
        <w:gridCol w:w="1056"/>
        <w:gridCol w:w="1056"/>
      </w:tblGrid>
      <w:tr>
        <w:trPr>
          <w:tblHeader w:val="true"/>
          <w:cantSplit w:val="true"/>
        </w:trPr>
        <w:tc>
          <w:tcPr>
            <w:tcW w:type="dxa" w:w="859"/>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377"/>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1915"/>
            <w:shd w:val="clear" w:color="auto" w:fill="004EA8"/>
            <w:tcMar>
              <w:top w:w="50" w:type="dxa"/>
              <w:bottom w:w="50" w:type="dxa"/>
              <w:left w:w="90" w:type="dxa"/>
              <w:right w:w="90" w:type="dxa"/>
            </w:tcMar>
            <w:vAlign w:val="center"/>
          </w:tcPr>
          <w:p>
            <w:pPr>
              <w:pStyle w:val="BDOITableHeader"/>
            </w:pPr>
            <w:r>
              <w:rPr>
                <w:b/>
                <w:color w:val="FFFFFF"/>
                <w:sz w:val="16"/>
              </w:rPr>
              <w:t>FRS version</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991"/>
            <w:shd w:val="clear" w:color="auto" w:fill="004EA8"/>
            <w:tcMar>
              <w:top w:w="50" w:type="dxa"/>
              <w:bottom w:w="50" w:type="dxa"/>
              <w:left w:w="90" w:type="dxa"/>
              <w:right w:w="90" w:type="dxa"/>
            </w:tcMar>
            <w:vAlign w:val="center"/>
          </w:tcPr>
          <w:p>
            <w:pPr>
              <w:pStyle w:val="BDOITableHeader"/>
            </w:pPr>
            <w:r>
              <w:rPr>
                <w:b/>
                <w:color w:val="FFFFFF"/>
                <w:sz w:val="16"/>
              </w:rPr>
              <w:t>BRD IDs traced</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Test plan</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User stories</w:t>
            </w:r>
          </w:p>
        </w:tc>
      </w:tr>
      <w:tr>
        <w:trPr>
          <w:cantSplit w:val="true"/>
        </w:trPr>
        <w:tc>
          <w:tcPr>
            <w:tcW w:type="dxa" w:w="859"/>
            <w:tcMar>
              <w:top w:w="50" w:type="dxa"/>
              <w:bottom w:w="50" w:type="dxa"/>
              <w:left w:w="90" w:type="dxa"/>
              <w:right w:w="90" w:type="dxa"/>
            </w:tcMar>
          </w:tcPr>
          <w:p>
            <w:pPr>
              <w:pStyle w:val="BDOITable"/>
            </w:pPr>
            <w:r>
              <w:rPr>
                <w:b/>
                <w:sz w:val="16"/>
              </w:rPr>
              <w:t>BRD-00</w:t>
            </w:r>
          </w:p>
        </w:tc>
        <w:tc>
          <w:tcPr>
            <w:tcW w:type="dxa" w:w="2377"/>
            <w:tcMar>
              <w:top w:w="50" w:type="dxa"/>
              <w:bottom w:w="50" w:type="dxa"/>
              <w:left w:w="90" w:type="dxa"/>
              <w:right w:w="90" w:type="dxa"/>
            </w:tcMar>
          </w:tcPr>
          <w:p>
            <w:pPr>
              <w:pStyle w:val="BDOITable"/>
            </w:pPr>
            <w:r>
              <w:rPr>
                <w:sz w:val="16"/>
              </w:rPr>
              <w:t>Core Replacement (umbrella)</w:t>
            </w:r>
          </w:p>
        </w:tc>
        <w:tc>
          <w:tcPr>
            <w:tcW w:type="dxa" w:w="1057"/>
            <w:tcMar>
              <w:top w:w="50" w:type="dxa"/>
              <w:bottom w:w="50" w:type="dxa"/>
              <w:left w:w="90" w:type="dxa"/>
              <w:right w:w="90" w:type="dxa"/>
            </w:tcMar>
          </w:tcPr>
          <w:p>
            <w:pPr>
              <w:pStyle w:val="BDOITable"/>
            </w:pPr>
            <w:r>
              <w:rPr>
                <w:sz w:val="16"/>
              </w:rPr>
              <w:t>Programme</w:t>
            </w:r>
          </w:p>
        </w:tc>
        <w:tc>
          <w:tcPr>
            <w:tcW w:type="dxa" w:w="1915"/>
            <w:tcMar>
              <w:top w:w="50" w:type="dxa"/>
              <w:bottom w:w="50" w:type="dxa"/>
              <w:left w:w="90" w:type="dxa"/>
              <w:right w:w="90" w:type="dxa"/>
            </w:tcMar>
          </w:tcPr>
          <w:p>
            <w:pPr>
              <w:pStyle w:val="BDOITable"/>
            </w:pPr>
            <w:r>
              <w:rPr>
                <w:sz w:val="16"/>
              </w:rPr>
              <w:t>v1.0 (26 September 2026)</w:t>
            </w:r>
          </w:p>
        </w:tc>
        <w:tc>
          <w:tcPr>
            <w:tcW w:type="dxa" w:w="660"/>
            <w:tcMar>
              <w:top w:w="50" w:type="dxa"/>
              <w:bottom w:w="50" w:type="dxa"/>
              <w:left w:w="90" w:type="dxa"/>
              <w:right w:w="90" w:type="dxa"/>
            </w:tcMar>
          </w:tcPr>
          <w:p>
            <w:pPr>
              <w:pStyle w:val="BDOITable"/>
            </w:pPr>
            <w:r>
              <w:rPr>
                <w:sz w:val="16"/>
              </w:rPr>
              <w:t>25</w:t>
            </w:r>
          </w:p>
        </w:tc>
        <w:tc>
          <w:tcPr>
            <w:tcW w:type="dxa" w:w="991"/>
            <w:tcMar>
              <w:top w:w="50" w:type="dxa"/>
              <w:bottom w:w="50" w:type="dxa"/>
              <w:left w:w="90" w:type="dxa"/>
              <w:right w:w="90" w:type="dxa"/>
            </w:tcMar>
          </w:tcPr>
          <w:p>
            <w:pPr>
              <w:pStyle w:val="BDOITable"/>
            </w:pPr>
            <w:r>
              <w:rPr>
                <w:sz w:val="16"/>
              </w:rPr>
              <w:t>215</w:t>
            </w:r>
          </w:p>
        </w:tc>
        <w:tc>
          <w:tcPr>
            <w:tcW w:type="dxa" w:w="1057"/>
            <w:tcMar>
              <w:top w:w="50" w:type="dxa"/>
              <w:bottom w:w="50" w:type="dxa"/>
              <w:left w:w="90" w:type="dxa"/>
              <w:right w:w="90" w:type="dxa"/>
            </w:tcMar>
          </w:tcPr>
          <w:p>
            <w:pPr>
              <w:pStyle w:val="BDOITable"/>
            </w:pPr>
            <w:r>
              <w:rPr>
                <w:sz w:val="16"/>
              </w:rPr>
              <w:t>No test plan</w:t>
            </w:r>
          </w:p>
        </w:tc>
        <w:tc>
          <w:tcPr>
            <w:tcW w:type="dxa" w:w="1057"/>
            <w:tcMar>
              <w:top w:w="50" w:type="dxa"/>
              <w:bottom w:w="50" w:type="dxa"/>
              <w:left w:w="90" w:type="dxa"/>
              <w:right w:w="90" w:type="dxa"/>
            </w:tcMar>
          </w:tcPr>
          <w:p>
            <w:pPr>
              <w:pStyle w:val="BDOITable"/>
            </w:pPr>
            <w:r>
              <w:rPr>
                <w:sz w:val="16"/>
              </w:rPr>
              <w:t>Next issue</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BRD-01</w:t>
            </w:r>
          </w:p>
        </w:tc>
        <w:tc>
          <w:tcPr>
            <w:tcW w:type="dxa" w:w="2377"/>
            <w:tcMar>
              <w:top w:w="50" w:type="dxa"/>
              <w:bottom w:w="50" w:type="dxa"/>
              <w:left w:w="90" w:type="dxa"/>
              <w:right w:w="90" w:type="dxa"/>
            </w:tcMar>
            <w:shd w:val="clear" w:color="auto" w:fill="E5F5FF"/>
          </w:tcPr>
          <w:p>
            <w:pPr>
              <w:pStyle w:val="BDOITable"/>
            </w:pPr>
            <w:r>
              <w:rPr>
                <w:sz w:val="16"/>
              </w:rPr>
              <w:t>New Business</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95</w:t>
            </w:r>
          </w:p>
        </w:tc>
        <w:tc>
          <w:tcPr>
            <w:tcW w:type="dxa" w:w="991"/>
            <w:tcMar>
              <w:top w:w="50" w:type="dxa"/>
              <w:bottom w:w="50" w:type="dxa"/>
              <w:left w:w="90" w:type="dxa"/>
              <w:right w:w="90" w:type="dxa"/>
            </w:tcMar>
            <w:shd w:val="clear" w:color="auto" w:fill="E5F5FF"/>
          </w:tcPr>
          <w:p>
            <w:pPr>
              <w:pStyle w:val="BDOITable"/>
            </w:pPr>
            <w:r>
              <w:rPr>
                <w:sz w:val="16"/>
              </w:rPr>
              <w:t>119</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117</w:t>
            </w:r>
          </w:p>
        </w:tc>
      </w:tr>
      <w:tr>
        <w:trPr>
          <w:cantSplit w:val="true"/>
        </w:trPr>
        <w:tc>
          <w:tcPr>
            <w:tcW w:type="dxa" w:w="859"/>
            <w:tcMar>
              <w:top w:w="50" w:type="dxa"/>
              <w:bottom w:w="50" w:type="dxa"/>
              <w:left w:w="90" w:type="dxa"/>
              <w:right w:w="90" w:type="dxa"/>
            </w:tcMar>
          </w:tcPr>
          <w:p>
            <w:pPr>
              <w:pStyle w:val="BDOITable"/>
            </w:pPr>
            <w:r>
              <w:rPr>
                <w:b/>
                <w:sz w:val="16"/>
              </w:rPr>
              <w:t>BRD-02</w:t>
            </w:r>
          </w:p>
        </w:tc>
        <w:tc>
          <w:tcPr>
            <w:tcW w:type="dxa" w:w="2377"/>
            <w:tcMar>
              <w:top w:w="50" w:type="dxa"/>
              <w:bottom w:w="50" w:type="dxa"/>
              <w:left w:w="90" w:type="dxa"/>
              <w:right w:w="90" w:type="dxa"/>
            </w:tcMar>
          </w:tcPr>
          <w:p>
            <w:pPr>
              <w:pStyle w:val="BDOITable"/>
            </w:pPr>
            <w:r>
              <w:rPr>
                <w:sz w:val="16"/>
              </w:rPr>
              <w:t>Operations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(08 October 2026)</w:t>
            </w:r>
          </w:p>
        </w:tc>
        <w:tc>
          <w:tcPr>
            <w:tcW w:type="dxa" w:w="660"/>
            <w:tcMar>
              <w:top w:w="50" w:type="dxa"/>
              <w:bottom w:w="50" w:type="dxa"/>
              <w:left w:w="90" w:type="dxa"/>
              <w:right w:w="90" w:type="dxa"/>
            </w:tcMar>
          </w:tcPr>
          <w:p>
            <w:pPr>
              <w:pStyle w:val="BDOITable"/>
            </w:pPr>
            <w:r>
              <w:rPr>
                <w:sz w:val="16"/>
              </w:rPr>
              <w:t>82</w:t>
            </w:r>
          </w:p>
        </w:tc>
        <w:tc>
          <w:tcPr>
            <w:tcW w:type="dxa" w:w="991"/>
            <w:tcMar>
              <w:top w:w="50" w:type="dxa"/>
              <w:bottom w:w="50" w:type="dxa"/>
              <w:left w:w="90" w:type="dxa"/>
              <w:right w:w="90" w:type="dxa"/>
            </w:tcMar>
          </w:tcPr>
          <w:p>
            <w:pPr>
              <w:pStyle w:val="BDOITable"/>
            </w:pPr>
            <w:r>
              <w:rPr>
                <w:sz w:val="16"/>
              </w:rPr>
              <w:t>177</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177</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BRD-03</w:t>
            </w:r>
          </w:p>
        </w:tc>
        <w:tc>
          <w:tcPr>
            <w:tcW w:type="dxa" w:w="2377"/>
            <w:tcMar>
              <w:top w:w="50" w:type="dxa"/>
              <w:bottom w:w="50" w:type="dxa"/>
              <w:left w:w="90" w:type="dxa"/>
              <w:right w:w="90" w:type="dxa"/>
            </w:tcMar>
            <w:shd w:val="clear" w:color="auto" w:fill="E5F5FF"/>
          </w:tcPr>
          <w:p>
            <w:pPr>
              <w:pStyle w:val="BDOITable"/>
            </w:pPr>
            <w:r>
              <w:rPr>
                <w:sz w:val="16"/>
              </w:rPr>
              <w:t>Product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31</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31</w:t>
            </w:r>
          </w:p>
        </w:tc>
      </w:tr>
      <w:tr>
        <w:trPr>
          <w:cantSplit w:val="true"/>
        </w:trPr>
        <w:tc>
          <w:tcPr>
            <w:tcW w:type="dxa" w:w="859"/>
            <w:tcMar>
              <w:top w:w="50" w:type="dxa"/>
              <w:bottom w:w="50" w:type="dxa"/>
              <w:left w:w="90" w:type="dxa"/>
              <w:right w:w="90" w:type="dxa"/>
            </w:tcMar>
          </w:tcPr>
          <w:p>
            <w:pPr>
              <w:pStyle w:val="BDOITable"/>
            </w:pPr>
            <w:r>
              <w:rPr>
                <w:b/>
                <w:sz w:val="16"/>
              </w:rPr>
              <w:t>BRD-04</w:t>
            </w:r>
          </w:p>
        </w:tc>
        <w:tc>
          <w:tcPr>
            <w:tcW w:type="dxa" w:w="2377"/>
            <w:tcMar>
              <w:top w:w="50" w:type="dxa"/>
              <w:bottom w:w="50" w:type="dxa"/>
              <w:left w:w="90" w:type="dxa"/>
              <w:right w:w="90" w:type="dxa"/>
            </w:tcMar>
          </w:tcPr>
          <w:p>
            <w:pPr>
              <w:pStyle w:val="BDOITable"/>
            </w:pPr>
            <w:r>
              <w:rPr>
                <w:sz w:val="16"/>
              </w:rPr>
              <w:t>Collections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(8 October 2026)</w:t>
            </w:r>
          </w:p>
        </w:tc>
        <w:tc>
          <w:tcPr>
            <w:tcW w:type="dxa" w:w="660"/>
            <w:tcMar>
              <w:top w:w="50" w:type="dxa"/>
              <w:bottom w:w="50" w:type="dxa"/>
              <w:left w:w="90" w:type="dxa"/>
              <w:right w:w="90" w:type="dxa"/>
            </w:tcMar>
          </w:tcPr>
          <w:p>
            <w:pPr>
              <w:pStyle w:val="BDOITable"/>
            </w:pPr>
            <w:r>
              <w:rPr>
                <w:sz w:val="16"/>
              </w:rPr>
              <w:t>51</w:t>
            </w:r>
          </w:p>
        </w:tc>
        <w:tc>
          <w:tcPr>
            <w:tcW w:type="dxa" w:w="991"/>
            <w:tcMar>
              <w:top w:w="50" w:type="dxa"/>
              <w:bottom w:w="50" w:type="dxa"/>
              <w:left w:w="90" w:type="dxa"/>
              <w:right w:w="90" w:type="dxa"/>
            </w:tcMar>
          </w:tcPr>
          <w:p>
            <w:pPr>
              <w:pStyle w:val="BDOITable"/>
            </w:pPr>
            <w:r>
              <w:rPr>
                <w:sz w:val="16"/>
              </w:rPr>
              <w:t>64</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64</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BRD-05</w:t>
            </w:r>
          </w:p>
        </w:tc>
        <w:tc>
          <w:tcPr>
            <w:tcW w:type="dxa" w:w="2377"/>
            <w:tcMar>
              <w:top w:w="50" w:type="dxa"/>
              <w:bottom w:w="50" w:type="dxa"/>
              <w:left w:w="90" w:type="dxa"/>
              <w:right w:w="90" w:type="dxa"/>
            </w:tcMar>
            <w:shd w:val="clear" w:color="auto" w:fill="E5F5FF"/>
          </w:tcPr>
          <w:p>
            <w:pPr>
              <w:pStyle w:val="BDOITable"/>
            </w:pPr>
            <w:r>
              <w:rPr>
                <w:sz w:val="16"/>
              </w:rPr>
              <w:t>Accounting Disbursement ACSL</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119</w:t>
            </w:r>
          </w:p>
        </w:tc>
        <w:tc>
          <w:tcPr>
            <w:tcW w:type="dxa" w:w="991"/>
            <w:tcMar>
              <w:top w:w="50" w:type="dxa"/>
              <w:bottom w:w="50" w:type="dxa"/>
              <w:left w:w="90" w:type="dxa"/>
              <w:right w:w="90" w:type="dxa"/>
            </w:tcMar>
            <w:shd w:val="clear" w:color="auto" w:fill="E5F5FF"/>
          </w:tcPr>
          <w:p>
            <w:pPr>
              <w:pStyle w:val="BDOITable"/>
            </w:pPr>
            <w:r>
              <w:rPr>
                <w:sz w:val="16"/>
              </w:rPr>
              <w:t>277</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277</w:t>
            </w:r>
          </w:p>
        </w:tc>
      </w:tr>
      <w:tr>
        <w:trPr>
          <w:cantSplit w:val="true"/>
        </w:trPr>
        <w:tc>
          <w:tcPr>
            <w:tcW w:type="dxa" w:w="859"/>
            <w:tcMar>
              <w:top w:w="50" w:type="dxa"/>
              <w:bottom w:w="50" w:type="dxa"/>
              <w:left w:w="90" w:type="dxa"/>
              <w:right w:w="90" w:type="dxa"/>
            </w:tcMar>
          </w:tcPr>
          <w:p>
            <w:pPr>
              <w:pStyle w:val="BDOITable"/>
            </w:pPr>
            <w:r>
              <w:rPr>
                <w:b/>
                <w:sz w:val="16"/>
              </w:rPr>
              <w:t>BRD-06</w:t>
            </w:r>
          </w:p>
        </w:tc>
        <w:tc>
          <w:tcPr>
            <w:tcW w:type="dxa" w:w="2377"/>
            <w:tcMar>
              <w:top w:w="50" w:type="dxa"/>
              <w:bottom w:w="50" w:type="dxa"/>
              <w:left w:w="90" w:type="dxa"/>
              <w:right w:w="90" w:type="dxa"/>
            </w:tcMar>
          </w:tcPr>
          <w:p>
            <w:pPr>
              <w:pStyle w:val="BDOITable"/>
            </w:pPr>
            <w:r>
              <w:rPr>
                <w:sz w:val="16"/>
              </w:rPr>
              <w:t>Renewal</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v1.1 (26 September 2026)</w:t>
            </w:r>
          </w:p>
        </w:tc>
        <w:tc>
          <w:tcPr>
            <w:tcW w:type="dxa" w:w="660"/>
            <w:tcMar>
              <w:top w:w="50" w:type="dxa"/>
              <w:bottom w:w="50" w:type="dxa"/>
              <w:left w:w="90" w:type="dxa"/>
              <w:right w:w="90" w:type="dxa"/>
            </w:tcMar>
          </w:tcPr>
          <w:p>
            <w:pPr>
              <w:pStyle w:val="BDOITable"/>
            </w:pPr>
            <w:r>
              <w:rPr>
                <w:sz w:val="16"/>
              </w:rPr>
              <w:t>56</w:t>
            </w:r>
          </w:p>
        </w:tc>
        <w:tc>
          <w:tcPr>
            <w:tcW w:type="dxa" w:w="991"/>
            <w:tcMar>
              <w:top w:w="50" w:type="dxa"/>
              <w:bottom w:w="50" w:type="dxa"/>
              <w:left w:w="90" w:type="dxa"/>
              <w:right w:w="90" w:type="dxa"/>
            </w:tcMar>
          </w:tcPr>
          <w:p>
            <w:pPr>
              <w:pStyle w:val="BDOITable"/>
            </w:pPr>
            <w:r>
              <w:rPr>
                <w:sz w:val="16"/>
              </w:rPr>
              <w:t>1081</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Next issue</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BRD-07</w:t>
            </w:r>
          </w:p>
        </w:tc>
        <w:tc>
          <w:tcPr>
            <w:tcW w:type="dxa" w:w="2377"/>
            <w:tcMar>
              <w:top w:w="50" w:type="dxa"/>
              <w:bottom w:w="50" w:type="dxa"/>
              <w:left w:w="90" w:type="dxa"/>
              <w:right w:w="90" w:type="dxa"/>
            </w:tcMar>
            <w:shd w:val="clear" w:color="auto" w:fill="E5F5FF"/>
          </w:tcPr>
          <w:p>
            <w:pPr>
              <w:pStyle w:val="BDOITable"/>
            </w:pPr>
            <w:r>
              <w:rPr>
                <w:sz w:val="16"/>
              </w:rPr>
              <w:t>Claims</w:t>
            </w:r>
          </w:p>
        </w:tc>
        <w:tc>
          <w:tcPr>
            <w:tcW w:type="dxa" w:w="1057"/>
            <w:tcMar>
              <w:top w:w="50" w:type="dxa"/>
              <w:bottom w:w="50" w:type="dxa"/>
              <w:left w:w="90" w:type="dxa"/>
              <w:right w:w="90" w:type="dxa"/>
            </w:tcMar>
            <w:shd w:val="clear" w:color="auto" w:fill="E5F5FF"/>
          </w:tcPr>
          <w:p>
            <w:pPr>
              <w:pStyle w:val="BDOITable"/>
            </w:pPr>
            <w:r>
              <w:rPr>
                <w:sz w:val="16"/>
              </w:rPr>
              <w:t>Drop 2</w:t>
            </w:r>
          </w:p>
        </w:tc>
        <w:tc>
          <w:tcPr>
            <w:tcW w:type="dxa" w:w="1915"/>
            <w:tcMar>
              <w:top w:w="50" w:type="dxa"/>
              <w:bottom w:w="50" w:type="dxa"/>
              <w:left w:w="90" w:type="dxa"/>
              <w:right w:w="90" w:type="dxa"/>
            </w:tcMar>
            <w:shd w:val="clear" w:color="auto" w:fill="E5F5FF"/>
          </w:tcPr>
          <w:p>
            <w:pPr>
              <w:pStyle w:val="BDOITable"/>
            </w:pPr>
            <w:r>
              <w:rPr>
                <w:sz w:val="16"/>
              </w:rPr>
              <w:t>v1.0 (25 September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43</w:t>
            </w:r>
          </w:p>
        </w:tc>
        <w:tc>
          <w:tcPr>
            <w:tcW w:type="dxa" w:w="1057"/>
            <w:tcMar>
              <w:top w:w="50" w:type="dxa"/>
              <w:bottom w:w="50" w:type="dxa"/>
              <w:left w:w="90" w:type="dxa"/>
              <w:right w:w="90" w:type="dxa"/>
            </w:tcMar>
            <w:shd w:val="clear" w:color="auto" w:fill="E5F5FF"/>
          </w:tcPr>
          <w:p>
            <w:pPr>
              <w:pStyle w:val="BDOITable"/>
            </w:pPr>
            <w:r>
              <w:rPr>
                <w:sz w:val="16"/>
              </w:rPr>
              <w:t>v1.0</w:t>
            </w:r>
          </w:p>
        </w:tc>
        <w:tc>
          <w:tcPr>
            <w:tcW w:type="dxa" w:w="1057"/>
            <w:tcMar>
              <w:top w:w="50" w:type="dxa"/>
              <w:bottom w:w="50" w:type="dxa"/>
              <w:left w:w="90" w:type="dxa"/>
              <w:right w:w="90" w:type="dxa"/>
            </w:tcMar>
            <w:shd w:val="clear" w:color="auto" w:fill="E5F5FF"/>
          </w:tcPr>
          <w:p>
            <w:pPr>
              <w:pStyle w:val="BDOITable"/>
            </w:pPr>
            <w:r>
              <w:rPr>
                <w:sz w:val="16"/>
              </w:rPr>
              <w:t>Next issue</w:t>
            </w:r>
          </w:p>
        </w:tc>
      </w:tr>
      <w:tr>
        <w:trPr>
          <w:cantSplit w:val="true"/>
        </w:trPr>
        <w:tc>
          <w:tcPr>
            <w:tcW w:type="dxa" w:w="859"/>
            <w:tcMar>
              <w:top w:w="50" w:type="dxa"/>
              <w:bottom w:w="50" w:type="dxa"/>
              <w:left w:w="90" w:type="dxa"/>
              <w:right w:w="90" w:type="dxa"/>
            </w:tcMar>
          </w:tcPr>
          <w:p>
            <w:pPr>
              <w:pStyle w:val="BDOITable"/>
            </w:pPr>
            <w:r>
              <w:rPr>
                <w:b/>
                <w:sz w:val="16"/>
              </w:rPr>
              <w:t>BRD-08</w:t>
            </w:r>
          </w:p>
        </w:tc>
        <w:tc>
          <w:tcPr>
            <w:tcW w:type="dxa" w:w="2377"/>
            <w:tcMar>
              <w:top w:w="50" w:type="dxa"/>
              <w:bottom w:w="50" w:type="dxa"/>
              <w:left w:w="90" w:type="dxa"/>
              <w:right w:w="90" w:type="dxa"/>
            </w:tcMar>
          </w:tcPr>
          <w:p>
            <w:pPr>
              <w:pStyle w:val="BDOITable"/>
            </w:pPr>
            <w:r>
              <w:rPr>
                <w:sz w:val="16"/>
              </w:rPr>
              <w:t>Employee Benefits</w:t>
            </w:r>
          </w:p>
        </w:tc>
        <w:tc>
          <w:tcPr>
            <w:tcW w:type="dxa" w:w="1057"/>
            <w:tcMar>
              <w:top w:w="50" w:type="dxa"/>
              <w:bottom w:w="50" w:type="dxa"/>
              <w:left w:w="90" w:type="dxa"/>
              <w:right w:w="90" w:type="dxa"/>
            </w:tcMar>
          </w:tcPr>
          <w:p>
            <w:pPr>
              <w:pStyle w:val="BDOITable"/>
            </w:pPr>
            <w:r>
              <w:rPr>
                <w:sz w:val="16"/>
              </w:rPr>
              <w:t>Drop 2</w:t>
            </w:r>
          </w:p>
        </w:tc>
        <w:tc>
          <w:tcPr>
            <w:tcW w:type="dxa" w:w="1915"/>
            <w:tcMar>
              <w:top w:w="50" w:type="dxa"/>
              <w:bottom w:w="50" w:type="dxa"/>
              <w:left w:w="90" w:type="dxa"/>
              <w:right w:w="90" w:type="dxa"/>
            </w:tcMar>
          </w:tcPr>
          <w:p>
            <w:pPr>
              <w:pStyle w:val="BDOITable"/>
            </w:pPr>
            <w:r>
              <w:rPr>
                <w:sz w:val="16"/>
              </w:rPr>
              <w:t>v1.0 (25 September 2026)</w:t>
            </w:r>
          </w:p>
        </w:tc>
        <w:tc>
          <w:tcPr>
            <w:tcW w:type="dxa" w:w="660"/>
            <w:tcMar>
              <w:top w:w="50" w:type="dxa"/>
              <w:bottom w:w="50" w:type="dxa"/>
              <w:left w:w="90" w:type="dxa"/>
              <w:right w:w="90" w:type="dxa"/>
            </w:tcMar>
          </w:tcPr>
          <w:p>
            <w:pPr>
              <w:pStyle w:val="BDOITable"/>
            </w:pPr>
            <w:r>
              <w:rPr>
                <w:sz w:val="16"/>
              </w:rPr>
              <w:t>39</w:t>
            </w:r>
          </w:p>
        </w:tc>
        <w:tc>
          <w:tcPr>
            <w:tcW w:type="dxa" w:w="991"/>
            <w:tcMar>
              <w:top w:w="50" w:type="dxa"/>
              <w:bottom w:w="50" w:type="dxa"/>
              <w:left w:w="90" w:type="dxa"/>
              <w:right w:w="90" w:type="dxa"/>
            </w:tcMar>
          </w:tcPr>
          <w:p>
            <w:pPr>
              <w:pStyle w:val="BDOITable"/>
            </w:pPr>
            <w:r>
              <w:rPr>
                <w:sz w:val="16"/>
              </w:rPr>
              <w:t>34</w:t>
            </w:r>
          </w:p>
        </w:tc>
        <w:tc>
          <w:tcPr>
            <w:tcW w:type="dxa" w:w="1057"/>
            <w:tcMar>
              <w:top w:w="50" w:type="dxa"/>
              <w:bottom w:w="50" w:type="dxa"/>
              <w:left w:w="90" w:type="dxa"/>
              <w:right w:w="90" w:type="dxa"/>
            </w:tcMar>
          </w:tcPr>
          <w:p>
            <w:pPr>
              <w:pStyle w:val="BDOITable"/>
            </w:pPr>
            <w:r>
              <w:rPr>
                <w:sz w:val="16"/>
              </w:rPr>
              <w:t>v1.0</w:t>
            </w:r>
          </w:p>
        </w:tc>
        <w:tc>
          <w:tcPr>
            <w:tcW w:type="dxa" w:w="1057"/>
            <w:tcMar>
              <w:top w:w="50" w:type="dxa"/>
              <w:bottom w:w="50" w:type="dxa"/>
              <w:left w:w="90" w:type="dxa"/>
              <w:right w:w="90" w:type="dxa"/>
            </w:tcMar>
          </w:tcPr>
          <w:p>
            <w:pPr>
              <w:pStyle w:val="BDOITable"/>
            </w:pPr>
            <w:r>
              <w:rPr>
                <w:sz w:val="16"/>
              </w:rPr>
              <w:t>Next issue</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BRD-09</w:t>
            </w:r>
          </w:p>
        </w:tc>
        <w:tc>
          <w:tcPr>
            <w:tcW w:type="dxa" w:w="2377"/>
            <w:tcMar>
              <w:top w:w="50" w:type="dxa"/>
              <w:bottom w:w="50" w:type="dxa"/>
              <w:left w:w="90" w:type="dxa"/>
              <w:right w:w="90" w:type="dxa"/>
            </w:tcMar>
            <w:shd w:val="clear" w:color="auto" w:fill="E5F5FF"/>
          </w:tcPr>
          <w:p>
            <w:pPr>
              <w:pStyle w:val="BDOITable"/>
            </w:pPr>
            <w:r>
              <w:rPr>
                <w:sz w:val="16"/>
              </w:rPr>
              <w:t>Customer Servicing Facility</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v1.0 (25 September 2026)</w:t>
            </w:r>
          </w:p>
        </w:tc>
        <w:tc>
          <w:tcPr>
            <w:tcW w:type="dxa" w:w="660"/>
            <w:tcMar>
              <w:top w:w="50" w:type="dxa"/>
              <w:bottom w:w="50" w:type="dxa"/>
              <w:left w:w="90" w:type="dxa"/>
              <w:right w:w="90" w:type="dxa"/>
            </w:tcMar>
            <w:shd w:val="clear" w:color="auto" w:fill="E5F5FF"/>
          </w:tcPr>
          <w:p>
            <w:pPr>
              <w:pStyle w:val="BDOITable"/>
            </w:pPr>
            <w:r>
              <w:rPr>
                <w:sz w:val="16"/>
              </w:rPr>
              <w:t>17</w:t>
            </w:r>
          </w:p>
        </w:tc>
        <w:tc>
          <w:tcPr>
            <w:tcW w:type="dxa" w:w="991"/>
            <w:tcMar>
              <w:top w:w="50" w:type="dxa"/>
              <w:bottom w:w="50" w:type="dxa"/>
              <w:left w:w="90" w:type="dxa"/>
              <w:right w:w="90" w:type="dxa"/>
            </w:tcMar>
            <w:shd w:val="clear" w:color="auto" w:fill="E5F5FF"/>
          </w:tcPr>
          <w:p>
            <w:pPr>
              <w:pStyle w:val="BDOITable"/>
            </w:pPr>
            <w:r>
              <w:rPr>
                <w:sz w:val="16"/>
              </w:rPr>
              <w:t>23</w:t>
            </w:r>
          </w:p>
        </w:tc>
        <w:tc>
          <w:tcPr>
            <w:tcW w:type="dxa" w:w="1057"/>
            <w:tcMar>
              <w:top w:w="50" w:type="dxa"/>
              <w:bottom w:w="50" w:type="dxa"/>
              <w:left w:w="90" w:type="dxa"/>
              <w:right w:w="90" w:type="dxa"/>
            </w:tcMar>
            <w:shd w:val="clear" w:color="auto" w:fill="E5F5FF"/>
          </w:tcPr>
          <w:p>
            <w:pPr>
              <w:pStyle w:val="BDOITable"/>
            </w:pPr>
            <w:r>
              <w:rPr>
                <w:sz w:val="16"/>
              </w:rPr>
              <w:t>v1.0</w:t>
            </w:r>
          </w:p>
        </w:tc>
        <w:tc>
          <w:tcPr>
            <w:tcW w:type="dxa" w:w="1057"/>
            <w:tcMar>
              <w:top w:w="50" w:type="dxa"/>
              <w:bottom w:w="50" w:type="dxa"/>
              <w:left w:w="90" w:type="dxa"/>
              <w:right w:w="90" w:type="dxa"/>
            </w:tcMar>
            <w:shd w:val="clear" w:color="auto" w:fill="E5F5FF"/>
          </w:tcPr>
          <w:p>
            <w:pPr>
              <w:pStyle w:val="BDOITable"/>
            </w:pPr>
            <w:r>
              <w:rPr>
                <w:sz w:val="16"/>
              </w:rPr>
              <w:t>Next issue</w:t>
            </w:r>
          </w:p>
        </w:tc>
      </w:tr>
      <w:tr>
        <w:trPr>
          <w:cantSplit w:val="true"/>
        </w:trPr>
        <w:tc>
          <w:tcPr>
            <w:tcW w:type="dxa" w:w="859"/>
            <w:tcMar>
              <w:top w:w="50" w:type="dxa"/>
              <w:bottom w:w="50" w:type="dxa"/>
              <w:left w:w="90" w:type="dxa"/>
              <w:right w:w="90" w:type="dxa"/>
            </w:tcMar>
          </w:tcPr>
          <w:p>
            <w:pPr>
              <w:pStyle w:val="BDOITable"/>
            </w:pPr>
            <w:r>
              <w:rPr>
                <w:b/>
                <w:sz w:val="16"/>
              </w:rPr>
              <w:t>BRD-10</w:t>
            </w:r>
          </w:p>
        </w:tc>
        <w:tc>
          <w:tcPr>
            <w:tcW w:type="dxa" w:w="2377"/>
            <w:tcMar>
              <w:top w:w="50" w:type="dxa"/>
              <w:bottom w:w="50" w:type="dxa"/>
              <w:left w:w="90" w:type="dxa"/>
              <w:right w:w="90" w:type="dxa"/>
            </w:tcMar>
          </w:tcPr>
          <w:p>
            <w:pPr>
              <w:pStyle w:val="BDOITable"/>
            </w:pPr>
            <w:r>
              <w:rPr>
                <w:sz w:val="16"/>
              </w:rPr>
              <w:t>Sanction Screening</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v1.0 (25 September 2026)</w:t>
            </w:r>
          </w:p>
        </w:tc>
        <w:tc>
          <w:tcPr>
            <w:tcW w:type="dxa" w:w="660"/>
            <w:tcMar>
              <w:top w:w="50" w:type="dxa"/>
              <w:bottom w:w="50" w:type="dxa"/>
              <w:left w:w="90" w:type="dxa"/>
              <w:right w:w="90" w:type="dxa"/>
            </w:tcMar>
          </w:tcPr>
          <w:p>
            <w:pPr>
              <w:pStyle w:val="BDOITable"/>
            </w:pPr>
            <w:r>
              <w:rPr>
                <w:sz w:val="16"/>
              </w:rPr>
              <w:t>44</w:t>
            </w:r>
          </w:p>
        </w:tc>
        <w:tc>
          <w:tcPr>
            <w:tcW w:type="dxa" w:w="991"/>
            <w:tcMar>
              <w:top w:w="50" w:type="dxa"/>
              <w:bottom w:w="50" w:type="dxa"/>
              <w:left w:w="90" w:type="dxa"/>
              <w:right w:w="90" w:type="dxa"/>
            </w:tcMar>
          </w:tcPr>
          <w:p>
            <w:pPr>
              <w:pStyle w:val="BDOITable"/>
            </w:pPr>
            <w:r>
              <w:rPr>
                <w:sz w:val="16"/>
              </w:rPr>
              <w:t>37</w:t>
            </w:r>
          </w:p>
        </w:tc>
        <w:tc>
          <w:tcPr>
            <w:tcW w:type="dxa" w:w="1057"/>
            <w:tcMar>
              <w:top w:w="50" w:type="dxa"/>
              <w:bottom w:w="50" w:type="dxa"/>
              <w:left w:w="90" w:type="dxa"/>
              <w:right w:w="90" w:type="dxa"/>
            </w:tcMar>
          </w:tcPr>
          <w:p>
            <w:pPr>
              <w:pStyle w:val="BDOITable"/>
            </w:pPr>
            <w:r>
              <w:rPr>
                <w:sz w:val="16"/>
              </w:rPr>
              <w:t>v1.0</w:t>
            </w:r>
          </w:p>
        </w:tc>
        <w:tc>
          <w:tcPr>
            <w:tcW w:type="dxa" w:w="1057"/>
            <w:tcMar>
              <w:top w:w="50" w:type="dxa"/>
              <w:bottom w:w="50" w:type="dxa"/>
              <w:left w:w="90" w:type="dxa"/>
              <w:right w:w="90" w:type="dxa"/>
            </w:tcMar>
          </w:tcPr>
          <w:p>
            <w:pPr>
              <w:pStyle w:val="BDOITable"/>
            </w:pPr>
            <w:r>
              <w:rPr>
                <w:sz w:val="16"/>
              </w:rPr>
              <w:t>Next issue</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BRD-11</w:t>
            </w:r>
          </w:p>
        </w:tc>
        <w:tc>
          <w:tcPr>
            <w:tcW w:type="dxa" w:w="2377"/>
            <w:tcMar>
              <w:top w:w="50" w:type="dxa"/>
              <w:bottom w:w="50" w:type="dxa"/>
              <w:left w:w="90" w:type="dxa"/>
              <w:right w:w="90" w:type="dxa"/>
            </w:tcMar>
            <w:shd w:val="clear" w:color="auto" w:fill="E5F5FF"/>
          </w:tcPr>
          <w:p>
            <w:pPr>
              <w:pStyle w:val="BDOITable"/>
            </w:pPr>
            <w:r>
              <w:rPr>
                <w:sz w:val="16"/>
              </w:rPr>
              <w:t>User Access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40</w:t>
            </w:r>
          </w:p>
        </w:tc>
        <w:tc>
          <w:tcPr>
            <w:tcW w:type="dxa" w:w="991"/>
            <w:tcMar>
              <w:top w:w="50" w:type="dxa"/>
              <w:bottom w:w="50" w:type="dxa"/>
              <w:left w:w="90" w:type="dxa"/>
              <w:right w:w="90" w:type="dxa"/>
            </w:tcMar>
            <w:shd w:val="clear" w:color="auto" w:fill="E5F5FF"/>
          </w:tcPr>
          <w:p>
            <w:pPr>
              <w:pStyle w:val="BDOITable"/>
            </w:pPr>
            <w:r>
              <w:rPr>
                <w:sz w:val="16"/>
              </w:rPr>
              <w:t>160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187</w:t>
            </w:r>
          </w:p>
        </w:tc>
      </w:tr>
      <w:tr>
        <w:trPr>
          <w:cantSplit w:val="true"/>
        </w:trPr>
        <w:tc>
          <w:tcPr>
            <w:tcW w:type="dxa" w:w="859"/>
            <w:tcMar>
              <w:top w:w="50" w:type="dxa"/>
              <w:bottom w:w="50" w:type="dxa"/>
              <w:left w:w="90" w:type="dxa"/>
              <w:right w:w="90" w:type="dxa"/>
            </w:tcMar>
          </w:tcPr>
          <w:p>
            <w:pPr>
              <w:pStyle w:val="BDOITable"/>
            </w:pPr>
            <w:r>
              <w:rPr>
                <w:b/>
                <w:sz w:val="16"/>
              </w:rPr>
              <w:t>BRD-12</w:t>
            </w:r>
          </w:p>
        </w:tc>
        <w:tc>
          <w:tcPr>
            <w:tcW w:type="dxa" w:w="2377"/>
            <w:tcMar>
              <w:top w:w="50" w:type="dxa"/>
              <w:bottom w:w="50" w:type="dxa"/>
              <w:left w:w="90" w:type="dxa"/>
              <w:right w:w="90" w:type="dxa"/>
            </w:tcMar>
          </w:tcPr>
          <w:p>
            <w:pPr>
              <w:pStyle w:val="BDOITable"/>
            </w:pPr>
            <w:r>
              <w:rPr>
                <w:sz w:val="16"/>
              </w:rPr>
              <w:t>Submitted Policies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v1.0 (25 September 2026)</w:t>
            </w:r>
          </w:p>
        </w:tc>
        <w:tc>
          <w:tcPr>
            <w:tcW w:type="dxa" w:w="660"/>
            <w:tcMar>
              <w:top w:w="50" w:type="dxa"/>
              <w:bottom w:w="50" w:type="dxa"/>
              <w:left w:w="90" w:type="dxa"/>
              <w:right w:w="90" w:type="dxa"/>
            </w:tcMar>
          </w:tcPr>
          <w:p>
            <w:pPr>
              <w:pStyle w:val="BDOITable"/>
            </w:pPr>
            <w:r>
              <w:rPr>
                <w:sz w:val="16"/>
              </w:rPr>
              <w:t>31</w:t>
            </w:r>
          </w:p>
        </w:tc>
        <w:tc>
          <w:tcPr>
            <w:tcW w:type="dxa" w:w="991"/>
            <w:tcMar>
              <w:top w:w="50" w:type="dxa"/>
              <w:bottom w:w="50" w:type="dxa"/>
              <w:left w:w="90" w:type="dxa"/>
              <w:right w:w="90" w:type="dxa"/>
            </w:tcMar>
          </w:tcPr>
          <w:p>
            <w:pPr>
              <w:pStyle w:val="BDOITable"/>
            </w:pPr>
            <w:r>
              <w:rPr>
                <w:sz w:val="16"/>
              </w:rPr>
              <w:t>34</w:t>
            </w:r>
          </w:p>
        </w:tc>
        <w:tc>
          <w:tcPr>
            <w:tcW w:type="dxa" w:w="1057"/>
            <w:tcMar>
              <w:top w:w="50" w:type="dxa"/>
              <w:bottom w:w="50" w:type="dxa"/>
              <w:left w:w="90" w:type="dxa"/>
              <w:right w:w="90" w:type="dxa"/>
            </w:tcMar>
          </w:tcPr>
          <w:p>
            <w:pPr>
              <w:pStyle w:val="BDOITable"/>
            </w:pPr>
            <w:r>
              <w:rPr>
                <w:sz w:val="16"/>
              </w:rPr>
              <w:t>v1.0</w:t>
            </w:r>
          </w:p>
        </w:tc>
        <w:tc>
          <w:tcPr>
            <w:tcW w:type="dxa" w:w="1057"/>
            <w:tcMar>
              <w:top w:w="50" w:type="dxa"/>
              <w:bottom w:w="50" w:type="dxa"/>
              <w:left w:w="90" w:type="dxa"/>
              <w:right w:w="90" w:type="dxa"/>
            </w:tcMar>
          </w:tcPr>
          <w:p>
            <w:pPr>
              <w:pStyle w:val="BDOITable"/>
            </w:pPr>
            <w:r>
              <w:rPr>
                <w:sz w:val="16"/>
              </w:rPr>
              <w:t>Next issue</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BRD-13</w:t>
            </w:r>
          </w:p>
        </w:tc>
        <w:tc>
          <w:tcPr>
            <w:tcW w:type="dxa" w:w="2377"/>
            <w:tcMar>
              <w:top w:w="50" w:type="dxa"/>
              <w:bottom w:w="50" w:type="dxa"/>
              <w:left w:w="90" w:type="dxa"/>
              <w:right w:w="90" w:type="dxa"/>
            </w:tcMar>
            <w:shd w:val="clear" w:color="auto" w:fill="E5F5FF"/>
          </w:tcPr>
          <w:p>
            <w:pPr>
              <w:pStyle w:val="BDOITable"/>
            </w:pPr>
            <w:r>
              <w:rPr>
                <w:sz w:val="16"/>
              </w:rPr>
              <w:t>Data Migration</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48</w:t>
            </w:r>
          </w:p>
        </w:tc>
        <w:tc>
          <w:tcPr>
            <w:tcW w:type="dxa" w:w="991"/>
            <w:tcMar>
              <w:top w:w="50" w:type="dxa"/>
              <w:bottom w:w="50" w:type="dxa"/>
              <w:left w:w="90" w:type="dxa"/>
              <w:right w:w="90" w:type="dxa"/>
            </w:tcMar>
            <w:shd w:val="clear" w:color="auto" w:fill="E5F5FF"/>
          </w:tcPr>
          <w:p>
            <w:pPr>
              <w:pStyle w:val="BDOITable"/>
            </w:pPr>
            <w:r>
              <w:rPr>
                <w:sz w:val="16"/>
              </w:rPr>
              <w:t>30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30</w:t>
            </w:r>
          </w:p>
        </w:tc>
      </w:tr>
    </w:tbl>
    <w:p>
      <w:pPr>
        <w:pStyle w:val="BDOISpacer"/>
      </w:pPr>
    </w:p>
    <w:p>
      <w:r>
        <w:rPr/>
        <w:t>FRS versions move as BDOI re-issues the BRDs; the traceability matrix states the FRS version of every row. FRS issued at v2.0 move to v2.1 and FRS-only BRDs to the next minor version with the re-base on the BRD versions of 8 October 2026.</w:t>
      </w:r>
    </w:p>
    <w:p>
      <w:pPr>
        <w:pStyle w:val="Heading2"/>
      </w:pPr>
      <w:bookmarkStart w:id="117" w:name="_Toc000117"/>
      <w:r>
        <w:rPr/>
        <w:t>4.2 Cross-cutting services (BRD-00)</w:t>
      </w:r>
      <w:bookmarkEnd w:id="117"/>
    </w:p>
    <w:p>
      <w:r>
        <w:rPr/>
        <w:t>The umbrella FRS specifies the services that no function BRD owns: persona menus and the role home page (FR-CR-001, 010, 011), notifications (FR-CR-020), the audit trail and the master-data change log (FR-CR-030, 031), standard, tailored and scheduled reports (FR-CR-040 to 043), document generation from templates (FR-CR-050), lists of values, insurer records, MIS fields and products (FR-CR-060 to 063), sign-in and access requests (FR-CR-070), document protection (FR-CR-071), workflow routing (FR-CR-080), the insurer invoice batch (FR-CR-081), migrated clients during coexistence (FR-CR-082), bulk and individual processing (FR-CR-083), the Invoice Master List (FR-CR-090), multi-currency (FR-CR-091), the BDO brand and design system (FR-CR-092) and the SOA and service invoice at booking (FR-CR-093).</w:t>
      </w:r>
    </w:p>
    <w:p>
      <w:pPr>
        <w:pStyle w:val="Heading2"/>
      </w:pPr>
      <w:bookmarkStart w:id="118" w:name="_Toc000118"/>
      <w:r>
        <w:rPr/>
        <w:t>4.3 Module summaries</w:t>
      </w:r>
      <w:bookmarkEnd w:id="118"/>
    </w:p>
    <w:p>
      <w:pPr>
        <w:pStyle w:val="Caption"/>
        <w:keepNext/>
        <w:spacing w:after="60"/>
      </w:pPr>
      <w:r>
        <w:rPr>
          <w:b/>
          <w:i w:val="0"/>
        </w:rPr>
        <w:t xml:space="preserve">Table 8: </w:t>
      </w:r>
      <w:r>
        <w:rPr/>
        <w:t>What each module does (summary of the FRS scope chapters)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6248"/>
        <w:gridCol w:w="180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6"/>
              </w:rPr>
              <w:t>Summary</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FRS</w:t>
            </w:r>
          </w:p>
        </w:tc>
      </w:tr>
      <w:tr>
        <w:trPr>
          <w:cantSplit w:val="true"/>
        </w:trPr>
        <w:tc>
          <w:tcPr>
            <w:tcW w:type="dxa" w:w="1922"/>
            <w:tcMar>
              <w:top w:w="50" w:type="dxa"/>
              <w:bottom w:w="50" w:type="dxa"/>
              <w:left w:w="90" w:type="dxa"/>
              <w:right w:w="90" w:type="dxa"/>
            </w:tcMar>
          </w:tcPr>
          <w:p>
            <w:pPr>
              <w:pStyle w:val="BDOITable"/>
            </w:pPr>
            <w:r>
              <w:rPr>
                <w:sz w:val="16"/>
              </w:rPr>
              <w:t>BRD-01 New Business</w:t>
            </w:r>
          </w:p>
        </w:tc>
        <w:tc>
          <w:tcPr>
            <w:tcW w:type="dxa" w:w="6248"/>
            <w:tcMar>
              <w:top w:w="50" w:type="dxa"/>
              <w:bottom w:w="50" w:type="dxa"/>
              <w:left w:w="90" w:type="dxa"/>
              <w:right w:w="90" w:type="dxa"/>
            </w:tcMar>
          </w:tcPr>
          <w:p>
            <w:pPr>
              <w:pStyle w:val="BDOITable"/>
            </w:pPr>
            <w:r>
              <w:rPr>
                <w:sz w:val="16"/>
              </w:rPr>
              <w:t>Client onboarding and KYC, tags and lifecycle rules; quotation and proposal (package and non-package through the TSU); Proposal Request Form, quotation slip and insurer comparatives; placement with the EOPT details of the client, hold cover, issuance and e-policy; booking with GL entry and service invoice; bulk processing; New Business reports</w:t>
            </w:r>
          </w:p>
        </w:tc>
        <w:tc>
          <w:tcPr>
            <w:tcW w:type="dxa" w:w="1802"/>
            <w:tcMar>
              <w:top w:w="50" w:type="dxa"/>
              <w:bottom w:w="50" w:type="dxa"/>
              <w:left w:w="90" w:type="dxa"/>
              <w:right w:w="90" w:type="dxa"/>
            </w:tcMar>
          </w:tcPr>
          <w:p>
            <w:pPr>
              <w:pStyle w:val="BDOITable"/>
            </w:pPr>
            <w:r>
              <w:rPr>
                <w:sz w:val="16"/>
              </w:rPr>
              <w:t>FR-NB</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BRD-02 Operations</w:t>
            </w:r>
          </w:p>
        </w:tc>
        <w:tc>
          <w:tcPr>
            <w:tcW w:type="dxa" w:w="6248"/>
            <w:tcMar>
              <w:top w:w="50" w:type="dxa"/>
              <w:bottom w:w="50" w:type="dxa"/>
              <w:left w:w="90" w:type="dxa"/>
              <w:right w:w="90" w:type="dxa"/>
            </w:tcMar>
            <w:shd w:val="clear" w:color="auto" w:fill="E5F5FF"/>
          </w:tcPr>
          <w:p>
            <w:pPr>
              <w:pStyle w:val="BDOITable"/>
            </w:pPr>
            <w:r>
              <w:rPr>
                <w:sz w:val="16"/>
              </w:rPr>
              <w:t>Invoice ledger and Invoice 360; Cashiering (AR and OR series, payment files, PDC warehouse, application by premium component, unapplied payments); Remittance to insurers (extraction, eligibility, approval, schedule, insurer OR, early remittance incentive, special remittance); Adjustment and Cancellation; Production Reconciliation; Commission Receivables for direct payment; BIR 2307 certificates</w:t>
            </w:r>
          </w:p>
        </w:tc>
        <w:tc>
          <w:tcPr>
            <w:tcW w:type="dxa" w:w="1802"/>
            <w:tcMar>
              <w:top w:w="50" w:type="dxa"/>
              <w:bottom w:w="50" w:type="dxa"/>
              <w:left w:w="90" w:type="dxa"/>
              <w:right w:w="90" w:type="dxa"/>
            </w:tcMar>
            <w:shd w:val="clear" w:color="auto" w:fill="E5F5FF"/>
          </w:tcPr>
          <w:p>
            <w:pPr>
              <w:pStyle w:val="BDOITable"/>
            </w:pPr>
            <w:r>
              <w:rPr>
                <w:sz w:val="16"/>
              </w:rPr>
              <w:t>FR-OP</w:t>
            </w:r>
          </w:p>
        </w:tc>
      </w:tr>
      <w:tr>
        <w:trPr>
          <w:cantSplit w:val="true"/>
        </w:trPr>
        <w:tc>
          <w:tcPr>
            <w:tcW w:type="dxa" w:w="1922"/>
            <w:tcMar>
              <w:top w:w="50" w:type="dxa"/>
              <w:bottom w:w="50" w:type="dxa"/>
              <w:left w:w="90" w:type="dxa"/>
              <w:right w:w="90" w:type="dxa"/>
            </w:tcMar>
          </w:tcPr>
          <w:p>
            <w:pPr>
              <w:pStyle w:val="BDOITable"/>
            </w:pPr>
            <w:r>
              <w:rPr>
                <w:sz w:val="16"/>
              </w:rPr>
              <w:t>BRD-03 Product Maintenance</w:t>
            </w:r>
          </w:p>
        </w:tc>
        <w:tc>
          <w:tcPr>
            <w:tcW w:type="dxa" w:w="6248"/>
            <w:tcMar>
              <w:top w:w="50" w:type="dxa"/>
              <w:bottom w:w="50" w:type="dxa"/>
              <w:left w:w="90" w:type="dxa"/>
              <w:right w:w="90" w:type="dxa"/>
            </w:tcMar>
          </w:tcPr>
          <w:p>
            <w:pPr>
              <w:pStyle w:val="BDOITable"/>
            </w:pPr>
            <w:r>
              <w:rPr>
                <w:sz w:val="16"/>
              </w:rPr>
              <w:t>Package products: product structure and clause library, package request, insurer negotiation and comparatives, ManCom sign-off, set-up and validation, versions and rate schemes, expiry and renewal, incentive criteria</w:t>
            </w:r>
          </w:p>
        </w:tc>
        <w:tc>
          <w:tcPr>
            <w:tcW w:type="dxa" w:w="1802"/>
            <w:tcMar>
              <w:top w:w="50" w:type="dxa"/>
              <w:bottom w:w="50" w:type="dxa"/>
              <w:left w:w="90" w:type="dxa"/>
              <w:right w:w="90" w:type="dxa"/>
            </w:tcMar>
          </w:tcPr>
          <w:p>
            <w:pPr>
              <w:pStyle w:val="BDOITable"/>
            </w:pPr>
            <w:r>
              <w:rPr>
                <w:sz w:val="16"/>
              </w:rPr>
              <w:t>FR-PM</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BRD-04 Collections</w:t>
            </w:r>
          </w:p>
        </w:tc>
        <w:tc>
          <w:tcPr>
            <w:tcW w:type="dxa" w:w="6248"/>
            <w:tcMar>
              <w:top w:w="50" w:type="dxa"/>
              <w:bottom w:w="50" w:type="dxa"/>
              <w:left w:w="90" w:type="dxa"/>
              <w:right w:w="90" w:type="dxa"/>
            </w:tcMar>
            <w:shd w:val="clear" w:color="auto" w:fill="E5F5FF"/>
          </w:tcPr>
          <w:p>
            <w:pPr>
              <w:pStyle w:val="BDOITable"/>
            </w:pPr>
            <w:r>
              <w:rPr>
                <w:sz w:val="16"/>
              </w:rPr>
              <w:t>Premium-receivable worklist per invoice, assignment, collector dispositions, promises to pay, installments, escalation, billing statements, collector side of unapplied payments, scheduled reversal files and daily reports</w:t>
            </w:r>
          </w:p>
        </w:tc>
        <w:tc>
          <w:tcPr>
            <w:tcW w:type="dxa" w:w="1802"/>
            <w:tcMar>
              <w:top w:w="50" w:type="dxa"/>
              <w:bottom w:w="50" w:type="dxa"/>
              <w:left w:w="90" w:type="dxa"/>
              <w:right w:w="90" w:type="dxa"/>
            </w:tcMar>
            <w:shd w:val="clear" w:color="auto" w:fill="E5F5FF"/>
          </w:tcPr>
          <w:p>
            <w:pPr>
              <w:pStyle w:val="BDOITable"/>
            </w:pPr>
            <w:r>
              <w:rPr>
                <w:sz w:val="16"/>
              </w:rPr>
              <w:t>FR-CL</w:t>
            </w:r>
          </w:p>
        </w:tc>
      </w:tr>
      <w:tr>
        <w:trPr>
          <w:cantSplit w:val="true"/>
        </w:trPr>
        <w:tc>
          <w:tcPr>
            <w:tcW w:type="dxa" w:w="1922"/>
            <w:tcMar>
              <w:top w:w="50" w:type="dxa"/>
              <w:bottom w:w="50" w:type="dxa"/>
              <w:left w:w="90" w:type="dxa"/>
              <w:right w:w="90" w:type="dxa"/>
            </w:tcMar>
          </w:tcPr>
          <w:p>
            <w:pPr>
              <w:pStyle w:val="BDOITable"/>
            </w:pPr>
            <w:r>
              <w:rPr>
                <w:sz w:val="16"/>
              </w:rPr>
              <w:t>BRD-05 Accounting, Disbursement and ACSL</w:t>
            </w:r>
          </w:p>
        </w:tc>
        <w:tc>
          <w:tcPr>
            <w:tcW w:type="dxa" w:w="6248"/>
            <w:tcMar>
              <w:top w:w="50" w:type="dxa"/>
              <w:bottom w:w="50" w:type="dxa"/>
              <w:left w:w="90" w:type="dxa"/>
              <w:right w:w="90" w:type="dxa"/>
            </w:tcMar>
          </w:tcPr>
          <w:p>
            <w:pPr>
              <w:pStyle w:val="BDOITable"/>
            </w:pPr>
            <w:r>
              <w:rPr>
                <w:sz w:val="16"/>
              </w:rPr>
              <w:t>Chart of accounts, posting and manual entries, closing and revaluation, bank reconciliation, service fee, report pack and BIR outputs; disbursement vouchers, instruments and BIR 2307 for suppliers; Marketing payment requests; ACSL reconciliation; business and system administration requests</w:t>
            </w:r>
          </w:p>
        </w:tc>
        <w:tc>
          <w:tcPr>
            <w:tcW w:type="dxa" w:w="1802"/>
            <w:tcMar>
              <w:top w:w="50" w:type="dxa"/>
              <w:bottom w:w="50" w:type="dxa"/>
              <w:left w:w="90" w:type="dxa"/>
              <w:right w:w="90" w:type="dxa"/>
            </w:tcMar>
          </w:tcPr>
          <w:p>
            <w:pPr>
              <w:pStyle w:val="BDOITable"/>
            </w:pPr>
            <w:r>
              <w:rPr>
                <w:sz w:val="16"/>
              </w:rPr>
              <w:t>FR-AC, FR-DS, FR-PQ, FR-AS</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BRD-06 Renewal</w:t>
            </w:r>
          </w:p>
        </w:tc>
        <w:tc>
          <w:tcPr>
            <w:tcW w:type="dxa" w:w="6248"/>
            <w:tcMar>
              <w:top w:w="50" w:type="dxa"/>
              <w:bottom w:w="50" w:type="dxa"/>
              <w:left w:w="90" w:type="dxa"/>
              <w:right w:w="90" w:type="dxa"/>
            </w:tcMar>
            <w:shd w:val="clear" w:color="auto" w:fill="E5F5FF"/>
          </w:tcPr>
          <w:p>
            <w:pPr>
              <w:pStyle w:val="BDOITable"/>
            </w:pPr>
            <w:r>
              <w:rPr>
                <w:sz w:val="16"/>
              </w:rPr>
              <w:t>Extraction of expiring accounts, governance rules and buckets, Marketing disposition and review, Processing and insurer round-trip, Renewal Advice and other letters, acceptance and progression to placement and booking, renewal of submitted policies</w:t>
            </w:r>
          </w:p>
        </w:tc>
        <w:tc>
          <w:tcPr>
            <w:tcW w:type="dxa" w:w="1802"/>
            <w:tcMar>
              <w:top w:w="50" w:type="dxa"/>
              <w:bottom w:w="50" w:type="dxa"/>
              <w:left w:w="90" w:type="dxa"/>
              <w:right w:w="90" w:type="dxa"/>
            </w:tcMar>
            <w:shd w:val="clear" w:color="auto" w:fill="E5F5FF"/>
          </w:tcPr>
          <w:p>
            <w:pPr>
              <w:pStyle w:val="BDOITable"/>
            </w:pPr>
            <w:r>
              <w:rPr>
                <w:sz w:val="16"/>
              </w:rPr>
              <w:t>FR-RN</w:t>
            </w:r>
          </w:p>
        </w:tc>
      </w:tr>
      <w:tr>
        <w:trPr>
          <w:cantSplit w:val="true"/>
        </w:trPr>
        <w:tc>
          <w:tcPr>
            <w:tcW w:type="dxa" w:w="1922"/>
            <w:tcMar>
              <w:top w:w="50" w:type="dxa"/>
              <w:bottom w:w="50" w:type="dxa"/>
              <w:left w:w="90" w:type="dxa"/>
              <w:right w:w="90" w:type="dxa"/>
            </w:tcMar>
          </w:tcPr>
          <w:p>
            <w:pPr>
              <w:pStyle w:val="BDOITable"/>
            </w:pPr>
            <w:r>
              <w:rPr>
                <w:sz w:val="16"/>
              </w:rPr>
              <w:t>BRD-07 Claims</w:t>
            </w:r>
          </w:p>
        </w:tc>
        <w:tc>
          <w:tcPr>
            <w:tcW w:type="dxa" w:w="6248"/>
            <w:tcMar>
              <w:top w:w="50" w:type="dxa"/>
              <w:bottom w:w="50" w:type="dxa"/>
              <w:left w:w="90" w:type="dxa"/>
              <w:right w:w="90" w:type="dxa"/>
            </w:tcMar>
          </w:tcPr>
          <w:p>
            <w:pPr>
              <w:pStyle w:val="BDOITable"/>
            </w:pPr>
            <w:r>
              <w:rPr>
                <w:sz w:val="16"/>
              </w:rPr>
              <w:t>Claims logging and monitoring for the client: cover lookup and premium check, locations and insurer claim numbers, insurer reserve and settlement as reported, statuses, follow-up and ageing, claims special remittance, reports</w:t>
            </w:r>
          </w:p>
        </w:tc>
        <w:tc>
          <w:tcPr>
            <w:tcW w:type="dxa" w:w="1802"/>
            <w:tcMar>
              <w:top w:w="50" w:type="dxa"/>
              <w:bottom w:w="50" w:type="dxa"/>
              <w:left w:w="90" w:type="dxa"/>
              <w:right w:w="90" w:type="dxa"/>
            </w:tcMar>
          </w:tcPr>
          <w:p>
            <w:pPr>
              <w:pStyle w:val="BDOITable"/>
            </w:pPr>
            <w:r>
              <w:rPr>
                <w:sz w:val="16"/>
              </w:rPr>
              <w:t>FR-CM</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BRD-08 Employee Benefits</w:t>
            </w:r>
          </w:p>
        </w:tc>
        <w:tc>
          <w:tcPr>
            <w:tcW w:type="dxa" w:w="6248"/>
            <w:tcMar>
              <w:top w:w="50" w:type="dxa"/>
              <w:bottom w:w="50" w:type="dxa"/>
              <w:left w:w="90" w:type="dxa"/>
              <w:right w:w="90" w:type="dxa"/>
            </w:tcMar>
            <w:shd w:val="clear" w:color="auto" w:fill="E5F5FF"/>
          </w:tcPr>
          <w:p>
            <w:pPr>
              <w:pStyle w:val="BDOITable"/>
            </w:pPr>
            <w:r>
              <w:rPr>
                <w:sz w:val="16"/>
              </w:rPr>
              <w:t>Group benefit programmes (HMO, group life, group personal accident): renewal start, broker on record, franchise and TOR, proposals and comparative sign-off, processing, billing and roster servicing, reports; without the partner portal</w:t>
            </w:r>
          </w:p>
        </w:tc>
        <w:tc>
          <w:tcPr>
            <w:tcW w:type="dxa" w:w="1802"/>
            <w:tcMar>
              <w:top w:w="50" w:type="dxa"/>
              <w:bottom w:w="50" w:type="dxa"/>
              <w:left w:w="90" w:type="dxa"/>
              <w:right w:w="90" w:type="dxa"/>
            </w:tcMar>
            <w:shd w:val="clear" w:color="auto" w:fill="E5F5FF"/>
          </w:tcPr>
          <w:p>
            <w:pPr>
              <w:pStyle w:val="BDOITable"/>
            </w:pPr>
            <w:r>
              <w:rPr>
                <w:sz w:val="16"/>
              </w:rPr>
              <w:t>FR-EB</w:t>
            </w:r>
          </w:p>
        </w:tc>
      </w:tr>
      <w:tr>
        <w:trPr>
          <w:cantSplit w:val="true"/>
        </w:trPr>
        <w:tc>
          <w:tcPr>
            <w:tcW w:type="dxa" w:w="1922"/>
            <w:tcMar>
              <w:top w:w="50" w:type="dxa"/>
              <w:bottom w:w="50" w:type="dxa"/>
              <w:left w:w="90" w:type="dxa"/>
              <w:right w:w="90" w:type="dxa"/>
            </w:tcMar>
          </w:tcPr>
          <w:p>
            <w:pPr>
              <w:pStyle w:val="BDOITable"/>
            </w:pPr>
            <w:r>
              <w:rPr>
                <w:sz w:val="16"/>
              </w:rPr>
              <w:t>BRD-09 Customer Servicing Facility</w:t>
            </w:r>
          </w:p>
        </w:tc>
        <w:tc>
          <w:tcPr>
            <w:tcW w:type="dxa" w:w="6248"/>
            <w:tcMar>
              <w:top w:w="50" w:type="dxa"/>
              <w:bottom w:w="50" w:type="dxa"/>
              <w:left w:w="90" w:type="dxa"/>
              <w:right w:w="90" w:type="dxa"/>
            </w:tcMar>
          </w:tcPr>
          <w:p>
            <w:pPr>
              <w:pStyle w:val="BDOITable"/>
            </w:pPr>
            <w:r>
              <w:rPr>
                <w:sz w:val="16"/>
              </w:rPr>
              <w:t>Servicing workspace for the Contact Center: search and view of client, account, invoice and payment; contact-detail updates with audit; resend of renewal advices and e-policies; document upload; CSF reports</w:t>
            </w:r>
          </w:p>
        </w:tc>
        <w:tc>
          <w:tcPr>
            <w:tcW w:type="dxa" w:w="1802"/>
            <w:tcMar>
              <w:top w:w="50" w:type="dxa"/>
              <w:bottom w:w="50" w:type="dxa"/>
              <w:left w:w="90" w:type="dxa"/>
              <w:right w:w="90" w:type="dxa"/>
            </w:tcMar>
          </w:tcPr>
          <w:p>
            <w:pPr>
              <w:pStyle w:val="BDOITable"/>
            </w:pPr>
            <w:r>
              <w:rPr>
                <w:sz w:val="16"/>
              </w:rPr>
              <w:t>FR-CSF</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BRD-10 Sanction Screening</w:t>
            </w:r>
          </w:p>
        </w:tc>
        <w:tc>
          <w:tcPr>
            <w:tcW w:type="dxa" w:w="6248"/>
            <w:tcMar>
              <w:top w:w="50" w:type="dxa"/>
              <w:bottom w:w="50" w:type="dxa"/>
              <w:left w:w="90" w:type="dxa"/>
              <w:right w:w="90" w:type="dxa"/>
            </w:tcMar>
            <w:shd w:val="clear" w:color="auto" w:fill="E5F5FF"/>
          </w:tcPr>
          <w:p>
            <w:pPr>
              <w:pStyle w:val="BDOITable"/>
            </w:pPr>
            <w:r>
              <w:rPr>
                <w:sz w:val="16"/>
              </w:rPr>
              <w:t>Sanctions and PEP list intake, name matching, risk-profile tagging, cases with SLA and escalation, investigation, Unit Head and AML Committee approval, STR in the AMLC format, audit</w:t>
            </w:r>
          </w:p>
        </w:tc>
        <w:tc>
          <w:tcPr>
            <w:tcW w:type="dxa" w:w="1802"/>
            <w:tcMar>
              <w:top w:w="50" w:type="dxa"/>
              <w:bottom w:w="50" w:type="dxa"/>
              <w:left w:w="90" w:type="dxa"/>
              <w:right w:w="90" w:type="dxa"/>
            </w:tcMar>
            <w:shd w:val="clear" w:color="auto" w:fill="E5F5FF"/>
          </w:tcPr>
          <w:p>
            <w:pPr>
              <w:pStyle w:val="BDOITable"/>
            </w:pPr>
            <w:r>
              <w:rPr>
                <w:sz w:val="16"/>
              </w:rPr>
              <w:t>FR-SS</w:t>
            </w:r>
          </w:p>
        </w:tc>
      </w:tr>
      <w:tr>
        <w:trPr>
          <w:cantSplit w:val="true"/>
        </w:trPr>
        <w:tc>
          <w:tcPr>
            <w:tcW w:type="dxa" w:w="1922"/>
            <w:tcMar>
              <w:top w:w="50" w:type="dxa"/>
              <w:bottom w:w="50" w:type="dxa"/>
              <w:left w:w="90" w:type="dxa"/>
              <w:right w:w="90" w:type="dxa"/>
            </w:tcMar>
          </w:tcPr>
          <w:p>
            <w:pPr>
              <w:pStyle w:val="BDOITable"/>
            </w:pPr>
            <w:r>
              <w:rPr>
                <w:sz w:val="16"/>
              </w:rPr>
              <w:t>BRD-11 User Access Maintenance</w:t>
            </w:r>
          </w:p>
        </w:tc>
        <w:tc>
          <w:tcPr>
            <w:tcW w:type="dxa" w:w="6248"/>
            <w:tcMar>
              <w:top w:w="50" w:type="dxa"/>
              <w:bottom w:w="50" w:type="dxa"/>
              <w:left w:w="90" w:type="dxa"/>
              <w:right w:w="90" w:type="dxa"/>
            </w:tcMar>
          </w:tcPr>
          <w:p>
            <w:pPr>
              <w:pStyle w:val="BDOITable"/>
            </w:pPr>
            <w:r>
              <w:rPr>
                <w:sz w:val="16"/>
              </w:rPr>
              <w:t>Sign-in and session rules, user access requests (enrol, modify, deactivate, reactivate, bulk) with approval, group profiles, segregation-of-duties rules, access reports and logs</w:t>
            </w:r>
          </w:p>
        </w:tc>
        <w:tc>
          <w:tcPr>
            <w:tcW w:type="dxa" w:w="1802"/>
            <w:tcMar>
              <w:top w:w="50" w:type="dxa"/>
              <w:bottom w:w="50" w:type="dxa"/>
              <w:left w:w="90" w:type="dxa"/>
              <w:right w:w="90" w:type="dxa"/>
            </w:tcMar>
          </w:tcPr>
          <w:p>
            <w:pPr>
              <w:pStyle w:val="BDOITable"/>
            </w:pPr>
            <w:r>
              <w:rPr>
                <w:sz w:val="16"/>
              </w:rPr>
              <w:t>FR-UA</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BRD-12 Submitted Policies</w:t>
            </w:r>
          </w:p>
        </w:tc>
        <w:tc>
          <w:tcPr>
            <w:tcW w:type="dxa" w:w="6248"/>
            <w:tcMar>
              <w:top w:w="50" w:type="dxa"/>
              <w:bottom w:w="50" w:type="dxa"/>
              <w:left w:w="90" w:type="dxa"/>
              <w:right w:w="90" w:type="dxa"/>
            </w:tcMar>
            <w:shd w:val="clear" w:color="auto" w:fill="E5F5FF"/>
          </w:tcPr>
          <w:p>
            <w:pPr>
              <w:pStyle w:val="BDOITable"/>
            </w:pPr>
            <w:r>
              <w:rPr>
                <w:sz w:val="16"/>
              </w:rPr>
              <w:t>Intake of policies that bank borrowers submit, masterlist, sanitation and classification rules, policy review (IAAF), limits and TOR, renewal hand-off, handling fee, monitoring</w:t>
            </w:r>
          </w:p>
        </w:tc>
        <w:tc>
          <w:tcPr>
            <w:tcW w:type="dxa" w:w="1802"/>
            <w:tcMar>
              <w:top w:w="50" w:type="dxa"/>
              <w:bottom w:w="50" w:type="dxa"/>
              <w:left w:w="90" w:type="dxa"/>
              <w:right w:w="90" w:type="dxa"/>
            </w:tcMar>
            <w:shd w:val="clear" w:color="auto" w:fill="E5F5FF"/>
          </w:tcPr>
          <w:p>
            <w:pPr>
              <w:pStyle w:val="BDOITable"/>
            </w:pPr>
            <w:r>
              <w:rPr>
                <w:sz w:val="16"/>
              </w:rPr>
              <w:t>FR-SP</w:t>
            </w:r>
          </w:p>
        </w:tc>
      </w:tr>
      <w:tr>
        <w:trPr>
          <w:cantSplit w:val="true"/>
        </w:trPr>
        <w:tc>
          <w:tcPr>
            <w:tcW w:type="dxa" w:w="1922"/>
            <w:tcMar>
              <w:top w:w="50" w:type="dxa"/>
              <w:bottom w:w="50" w:type="dxa"/>
              <w:left w:w="90" w:type="dxa"/>
              <w:right w:w="90" w:type="dxa"/>
            </w:tcMar>
          </w:tcPr>
          <w:p>
            <w:pPr>
              <w:pStyle w:val="BDOITable"/>
            </w:pPr>
            <w:r>
              <w:rPr>
                <w:sz w:val="16"/>
              </w:rPr>
              <w:t>BRD-13 Data Migration</w:t>
            </w:r>
          </w:p>
        </w:tc>
        <w:tc>
          <w:tcPr>
            <w:tcW w:type="dxa" w:w="6248"/>
            <w:tcMar>
              <w:top w:w="50" w:type="dxa"/>
              <w:bottom w:w="50" w:type="dxa"/>
              <w:left w:w="90" w:type="dxa"/>
              <w:right w:w="90" w:type="dxa"/>
            </w:tcMar>
          </w:tcPr>
          <w:p>
            <w:pPr>
              <w:pStyle w:val="BDOITable"/>
            </w:pPr>
            <w:r>
              <w:rPr>
                <w:sz w:val="16"/>
              </w:rPr>
              <w:t>Migration Console: data object register, extracts and batches, validation, client matching, code maps, loads, reconciliation L1 to L5, legacy invoices after go-live, legacy inquiry, cut-over and run-off</w:t>
            </w:r>
          </w:p>
        </w:tc>
        <w:tc>
          <w:tcPr>
            <w:tcW w:type="dxa" w:w="1802"/>
            <w:tcMar>
              <w:top w:w="50" w:type="dxa"/>
              <w:bottom w:w="50" w:type="dxa"/>
              <w:left w:w="90" w:type="dxa"/>
              <w:right w:w="90" w:type="dxa"/>
            </w:tcMar>
          </w:tcPr>
          <w:p>
            <w:pPr>
              <w:pStyle w:val="BDOITable"/>
            </w:pPr>
            <w:r>
              <w:rPr>
                <w:sz w:val="16"/>
              </w:rPr>
              <w:t>FR-DM</w:t>
            </w:r>
          </w:p>
        </w:tc>
      </w:tr>
    </w:tbl>
    <w:p>
      <w:pPr>
        <w:pStyle w:val="BDOISpacer"/>
      </w:pPr>
    </w:p>
    <w:p>
      <w:pPr>
        <w:pStyle w:val="Heading1"/>
        <w:pageBreakBefore/>
        <w:pBdr>
          <w:bottom w:val="single" w:sz="4" w:space="4" w:color="99C1E7"/>
        </w:pBdr>
      </w:pPr>
      <w:bookmarkStart w:id="119" w:name="_Toc000119"/>
      <w:r>
        <w:rPr/>
        <w:t>5 User-story approach</w:t>
      </w:r>
      <w:bookmarkEnd w:id="119"/>
    </w:p>
    <w:p>
      <w:r>
        <w:rPr/>
        <w:t xml:space="preserve">Each FRS carries an appendix </w:t>
      </w:r>
      <w:r>
        <w:rPr>
          <w:i/>
        </w:rPr>
        <w:t>User-story view</w:t>
      </w:r>
      <w:r>
        <w:rPr/>
        <w:t xml:space="preserve"> with one row per BRD requirement of the BRD version it is based on: the BRD ID, the user story, the FRs that meet it, their acceptance criteria and the test conditions of the test plan. A second appendix, </w:t>
      </w:r>
      <w:r>
        <w:rPr>
          <w:i/>
        </w:rPr>
        <w:t>Storyboard index</w:t>
      </w:r>
      <w:r>
        <w:rPr/>
        <w:t>, gives one row per walkthrough frame: persona, screen, action, outcome, screenshot and FR.</w:t>
      </w:r>
    </w:p>
    <w:p>
      <w:pPr>
        <w:tabs>
          <w:tab w:pos="312" w:val="left"/>
        </w:tabs>
        <w:spacing w:after="40"/>
        <w:ind w:left="312" w:hanging="283"/>
      </w:pPr>
      <w:r>
        <w:rPr>
          <w:color w:val="004EA8"/>
        </w:rPr>
        <w:t>•</w:t>
        <w:tab/>
      </w:r>
      <w:r>
        <w:rPr>
          <w:b/>
        </w:rPr>
        <w:t>Wording.</w:t>
      </w:r>
      <w:r>
        <w:rPr/>
        <w:t xml:space="preserve"> "As &lt;persona&gt;, I need &lt;capability&gt;, so that &lt;business outcome&gt;." Where the BRD writes its requirements as stories, its wording is kept with tidied grammar; otherwise the story is taken from the FR actor, title and purpose. Personas are the persona names of the FRS.</w:t>
      </w:r>
    </w:p>
    <w:p>
      <w:pPr>
        <w:tabs>
          <w:tab w:pos="312" w:val="left"/>
        </w:tabs>
        <w:spacing w:after="40"/>
        <w:ind w:left="312" w:hanging="283"/>
      </w:pPr>
      <w:r>
        <w:rPr>
          <w:color w:val="004EA8"/>
        </w:rPr>
        <w:t>•</w:t>
        <w:tab/>
      </w:r>
      <w:r>
        <w:rPr>
          <w:b/>
        </w:rPr>
        <w:t>Acceptance.</w:t>
      </w:r>
      <w:r>
        <w:rPr/>
        <w:t xml:space="preserve"> The acceptance criteria of a story are the numbered acceptance criteria of its FRs (for example FR-NB-004 AC1-3). Each acceptance criterion maps to at least one test condition, and each condition has at least one positive and one negative case where the FR allows.</w:t>
      </w:r>
    </w:p>
    <w:p>
      <w:pPr>
        <w:tabs>
          <w:tab w:pos="312" w:val="left"/>
        </w:tabs>
        <w:spacing w:after="120"/>
        <w:ind w:left="312" w:hanging="283"/>
      </w:pPr>
      <w:r>
        <w:rPr>
          <w:color w:val="004EA8"/>
        </w:rPr>
        <w:t>•</w:t>
        <w:tab/>
      </w:r>
      <w:r>
        <w:rPr>
          <w:b/>
        </w:rPr>
        <w:t>Status today.</w:t>
      </w:r>
      <w:r>
        <w:rPr/>
        <w:t xml:space="preserve"> 7 of the 14 FRS carry the appendix (883 story rows); the FRS of the other BRDs add it at their re-issue on the BRD versions of 8 October 2026.</w:t>
      </w:r>
    </w:p>
    <w:p>
      <w:pPr>
        <w:keepNext/>
        <w:spacing w:before="80" w:after="0"/>
        <w:jc w:val="center"/>
      </w:pPr>
      <w:r>
        <w:drawing>
          <wp:inline xmlns:a="http://schemas.openxmlformats.org/drawingml/2006/main" xmlns:pic="http://schemas.openxmlformats.org/drawingml/2006/picture">
            <wp:extent cx="5040000" cy="3679146"/>
            <wp:docPr id="5" name="Picture 5"/>
            <wp:cNvGraphicFramePr>
              <a:graphicFrameLocks noChangeAspect="1"/>
            </wp:cNvGraphicFramePr>
            <a:graphic>
              <a:graphicData uri="http://schemas.openxmlformats.org/drawingml/2006/picture">
                <pic:pic>
                  <pic:nvPicPr>
                    <pic:cNvPr id="0" name="rtm_chain_937.jpg"/>
                    <pic:cNvPicPr/>
                  </pic:nvPicPr>
                  <pic:blipFill>
                    <a:blip r:embed="rId17"/>
                    <a:stretch>
                      <a:fillRect/>
                    </a:stretch>
                  </pic:blipFill>
                  <pic:spPr>
                    <a:xfrm>
                      <a:off x="0" y="0"/>
                      <a:ext cx="5040000" cy="3679146"/>
                    </a:xfrm>
                    <a:prstGeom prst="rect"/>
                  </pic:spPr>
                </pic:pic>
              </a:graphicData>
            </a:graphic>
          </wp:inline>
        </w:drawing>
      </w:r>
    </w:p>
    <w:p>
      <w:pPr>
        <w:pStyle w:val="Caption"/>
        <w:jc w:val="center"/>
      </w:pPr>
      <w:r>
        <w:rPr>
          <w:b/>
          <w:i w:val="0"/>
        </w:rPr>
        <w:t xml:space="preserve">Figure 3: </w:t>
      </w:r>
      <w:r>
        <w:rPr/>
        <w:t>Traceability chain from the BRD requirement to the drop</w:t>
      </w:r>
    </w:p>
    <w:p>
      <w:pPr>
        <w:pStyle w:val="Heading1"/>
        <w:pageBreakBefore/>
        <w:pBdr>
          <w:bottom w:val="single" w:sz="4" w:space="4" w:color="99C1E7"/>
        </w:pBdr>
      </w:pPr>
      <w:bookmarkStart w:id="120" w:name="_Toc000120"/>
      <w:r>
        <w:rPr/>
        <w:t>6 External interfaces</w:t>
      </w:r>
      <w:bookmarkEnd w:id="120"/>
    </w:p>
    <w:p>
      <w:pPr>
        <w:pStyle w:val="Heading2"/>
      </w:pPr>
      <w:bookmarkStart w:id="121" w:name="_Toc000121"/>
      <w:r>
        <w:rPr/>
        <w:t>6.1 User interface</w:t>
      </w:r>
      <w:bookmarkEnd w:id="121"/>
    </w:p>
    <w:p>
      <w:pPr>
        <w:tabs>
          <w:tab w:pos="312" w:val="left"/>
        </w:tabs>
        <w:spacing w:after="40"/>
        <w:ind w:left="312" w:hanging="283"/>
      </w:pPr>
      <w:r>
        <w:rPr>
          <w:color w:val="004EA8"/>
        </w:rPr>
        <w:t>•</w:t>
        <w:tab/>
      </w:r>
      <w:r>
        <w:rPr/>
        <w:t>Browser application on BDO-issued desktops, laptops, tablets and phones; no plug-in or local install (NFR-RSP-01 to 03).</w:t>
      </w:r>
    </w:p>
    <w:p>
      <w:pPr>
        <w:tabs>
          <w:tab w:pos="312" w:val="left"/>
        </w:tabs>
        <w:spacing w:after="40"/>
        <w:ind w:left="312" w:hanging="283"/>
      </w:pPr>
      <w:r>
        <w:rPr>
          <w:color w:val="004EA8"/>
        </w:rPr>
        <w:t>•</w:t>
        <w:tab/>
      </w:r>
      <w:r>
        <w:rPr/>
        <w:t>BDO brand and the BDO UX guidelines on every screen: tables or tree tables with row action menus, labels not codes, user names not log-ins, dates dd-MMM-yyyy, formatted amounts (NFR-USE-03, NFR-USE-04).</w:t>
      </w:r>
    </w:p>
    <w:p>
      <w:pPr>
        <w:tabs>
          <w:tab w:pos="312" w:val="left"/>
        </w:tabs>
        <w:spacing w:after="120"/>
        <w:ind w:left="312" w:hanging="283"/>
      </w:pPr>
      <w:r>
        <w:rPr>
          <w:color w:val="004EA8"/>
        </w:rPr>
        <w:t>•</w:t>
        <w:tab/>
      </w:r>
      <w:r>
        <w:rPr/>
        <w:t>WCAG 2.2 level AA (NFR-ACC-01 to 04).</w:t>
      </w:r>
    </w:p>
    <w:p>
      <w:pPr>
        <w:pStyle w:val="Heading2"/>
      </w:pPr>
      <w:bookmarkStart w:id="122" w:name="_Toc000122"/>
      <w:r>
        <w:rPr/>
        <w:t>6.2 System interfaces</w:t>
      </w:r>
      <w:bookmarkEnd w:id="122"/>
    </w:p>
    <w:p>
      <w:r>
        <w:rPr/>
        <w:t>All external touch-points are owned by BDOI IT. Every system-to-system interface passes the Apigee X gateway with its own credentials (NFR-SEC-09, NFR-INT-01); sign-in uses EIAM by OpenID Connect or SAML 2.0, and user provisioning from UIDM-ISC uses SCIM 2.0 (planned). The 20 interfaces of the integration inventory are:</w:t>
      </w:r>
    </w:p>
    <w:p>
      <w:pPr>
        <w:pStyle w:val="Caption"/>
        <w:keepNext/>
        <w:spacing w:after="60"/>
      </w:pPr>
      <w:r>
        <w:rPr>
          <w:b/>
          <w:i w:val="0"/>
        </w:rPr>
        <w:t xml:space="preserve">Table 9: </w:t>
      </w:r>
      <w:r>
        <w:rPr/>
        <w:t>External interfaces of BIBS (integration inventory of the programme alignment pack)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042"/>
        <w:gridCol w:w="1321"/>
        <w:gridCol w:w="2162"/>
        <w:gridCol w:w="3604"/>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System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5"/>
              </w:rPr>
              <w:t>Data exchanged</w:t>
            </w:r>
          </w:p>
        </w:tc>
      </w:tr>
      <w:tr>
        <w:trPr>
          <w:cantSplit w:val="true"/>
        </w:trPr>
        <w:tc>
          <w:tcPr>
            <w:tcW w:type="dxa" w:w="841"/>
            <w:tcMar>
              <w:top w:w="50" w:type="dxa"/>
              <w:bottom w:w="50" w:type="dxa"/>
              <w:left w:w="90" w:type="dxa"/>
              <w:right w:w="90" w:type="dxa"/>
            </w:tcMar>
          </w:tcPr>
          <w:p>
            <w:pPr>
              <w:pStyle w:val="BDOITable"/>
            </w:pPr>
            <w:r>
              <w:rPr>
                <w:b/>
                <w:sz w:val="15"/>
              </w:rPr>
              <w:t>INT-01</w:t>
            </w:r>
          </w:p>
        </w:tc>
        <w:tc>
          <w:tcPr>
            <w:tcW w:type="dxa" w:w="2042"/>
            <w:tcMar>
              <w:top w:w="50" w:type="dxa"/>
              <w:bottom w:w="50" w:type="dxa"/>
              <w:left w:w="90" w:type="dxa"/>
              <w:right w:w="90" w:type="dxa"/>
            </w:tcMar>
          </w:tcPr>
          <w:p>
            <w:pPr>
              <w:pStyle w:val="BDOITable"/>
            </w:pPr>
            <w:r>
              <w:rPr>
                <w:sz w:val="15"/>
              </w:rPr>
              <w:t>EIAM (Entra ID)</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Both (browser redirect; tokens to BIBS)</w:t>
            </w:r>
          </w:p>
        </w:tc>
        <w:tc>
          <w:tcPr>
            <w:tcW w:type="dxa" w:w="3604"/>
            <w:tcMar>
              <w:top w:w="50" w:type="dxa"/>
              <w:bottom w:w="50" w:type="dxa"/>
              <w:left w:w="90" w:type="dxa"/>
              <w:right w:w="90" w:type="dxa"/>
            </w:tcMar>
          </w:tcPr>
          <w:p>
            <w:pPr>
              <w:pStyle w:val="BDOITable"/>
            </w:pPr>
            <w:r>
              <w:rPr>
                <w:sz w:val="15"/>
              </w:rPr>
              <w:t>User identity (UPN or Windows ID, name, e-mail); optional group claims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INT-02</w:t>
            </w:r>
          </w:p>
        </w:tc>
        <w:tc>
          <w:tcPr>
            <w:tcW w:type="dxa" w:w="2042"/>
            <w:tcMar>
              <w:top w:w="50" w:type="dxa"/>
              <w:bottom w:w="50" w:type="dxa"/>
              <w:left w:w="90" w:type="dxa"/>
              <w:right w:w="90" w:type="dxa"/>
            </w:tcMar>
            <w:shd w:val="clear" w:color="auto" w:fill="E5F5FF"/>
          </w:tcPr>
          <w:p>
            <w:pPr>
              <w:pStyle w:val="BDOITable"/>
            </w:pPr>
            <w:r>
              <w:rPr>
                <w:sz w:val="15"/>
              </w:rPr>
              <w:t>UIDM-ISC (IGA)</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(provisioning) and outbound (account and entitlement aggregation)</w:t>
            </w:r>
          </w:p>
        </w:tc>
        <w:tc>
          <w:tcPr>
            <w:tcW w:type="dxa" w:w="3604"/>
            <w:tcMar>
              <w:top w:w="50" w:type="dxa"/>
              <w:bottom w:w="50" w:type="dxa"/>
              <w:left w:w="90" w:type="dxa"/>
              <w:right w:w="90" w:type="dxa"/>
            </w:tcMar>
            <w:shd w:val="clear" w:color="auto" w:fill="E5F5FF"/>
          </w:tcPr>
          <w:p>
            <w:pPr>
              <w:pStyle w:val="BDOITable"/>
            </w:pPr>
            <w:r>
              <w:rPr>
                <w:sz w:val="15"/>
              </w:rPr>
              <w:t>User accounts, enable / disable, group profiles (BIBS roles) as entitlements</w:t>
            </w:r>
          </w:p>
        </w:tc>
      </w:tr>
      <w:tr>
        <w:trPr>
          <w:cantSplit w:val="true"/>
        </w:trPr>
        <w:tc>
          <w:tcPr>
            <w:tcW w:type="dxa" w:w="841"/>
            <w:tcMar>
              <w:top w:w="50" w:type="dxa"/>
              <w:bottom w:w="50" w:type="dxa"/>
              <w:left w:w="90" w:type="dxa"/>
              <w:right w:w="90" w:type="dxa"/>
            </w:tcMar>
          </w:tcPr>
          <w:p>
            <w:pPr>
              <w:pStyle w:val="BDOITable"/>
            </w:pPr>
            <w:r>
              <w:rPr>
                <w:b/>
                <w:sz w:val="15"/>
              </w:rPr>
              <w:t>INT-03</w:t>
            </w:r>
          </w:p>
        </w:tc>
        <w:tc>
          <w:tcPr>
            <w:tcW w:type="dxa" w:w="2042"/>
            <w:tcMar>
              <w:top w:w="50" w:type="dxa"/>
              <w:bottom w:w="50" w:type="dxa"/>
              <w:left w:w="90" w:type="dxa"/>
              <w:right w:w="90" w:type="dxa"/>
            </w:tcMar>
          </w:tcPr>
          <w:p>
            <w:pPr>
              <w:pStyle w:val="BDOITable"/>
            </w:pPr>
            <w:r>
              <w:rPr>
                <w:sz w:val="15"/>
              </w:rPr>
              <w:t>LMS</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PN number, loan status (paid-off, RMU), loan release and amortisation for CLPC</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INT-04</w:t>
            </w:r>
          </w:p>
        </w:tc>
        <w:tc>
          <w:tcPr>
            <w:tcW w:type="dxa" w:w="2042"/>
            <w:tcMar>
              <w:top w:w="50" w:type="dxa"/>
              <w:bottom w:w="50" w:type="dxa"/>
              <w:left w:w="90" w:type="dxa"/>
              <w:right w:w="90" w:type="dxa"/>
            </w:tcMar>
            <w:shd w:val="clear" w:color="auto" w:fill="E5F5FF"/>
          </w:tcPr>
          <w:p>
            <w:pPr>
              <w:pStyle w:val="BDOITable"/>
            </w:pPr>
            <w:r>
              <w:rPr>
                <w:sz w:val="15"/>
              </w:rPr>
              <w:t>HL-LOAS (HLS / LOAS)</w:t>
            </w:r>
          </w:p>
        </w:tc>
        <w:tc>
          <w:tcPr>
            <w:tcW w:type="dxa" w:w="1322"/>
            <w:tcMar>
              <w:top w:w="50" w:type="dxa"/>
              <w:bottom w:w="50" w:type="dxa"/>
              <w:left w:w="90" w:type="dxa"/>
              <w:right w:w="90" w:type="dxa"/>
            </w:tcMar>
            <w:shd w:val="clear" w:color="auto" w:fill="E5F5FF"/>
          </w:tcPr>
          <w:p>
            <w:pPr>
              <w:pStyle w:val="BDOITable"/>
            </w:pPr>
            <w:r>
              <w:rPr>
                <w:sz w:val="15"/>
              </w:rPr>
              <w:t>Drop 0 (HLS) and Drop 2 (LOAS)</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Quotation requests (borrower, property, sum insured, PN); HLS insurance report; amortised loan release</w:t>
            </w:r>
          </w:p>
        </w:tc>
      </w:tr>
      <w:tr>
        <w:trPr>
          <w:cantSplit w:val="true"/>
        </w:trPr>
        <w:tc>
          <w:tcPr>
            <w:tcW w:type="dxa" w:w="841"/>
            <w:tcMar>
              <w:top w:w="50" w:type="dxa"/>
              <w:bottom w:w="50" w:type="dxa"/>
              <w:left w:w="90" w:type="dxa"/>
              <w:right w:w="90" w:type="dxa"/>
            </w:tcMar>
          </w:tcPr>
          <w:p>
            <w:pPr>
              <w:pStyle w:val="BDOITable"/>
            </w:pPr>
            <w:r>
              <w:rPr>
                <w:b/>
                <w:sz w:val="15"/>
              </w:rPr>
              <w:t>INT-05</w:t>
            </w:r>
          </w:p>
        </w:tc>
        <w:tc>
          <w:tcPr>
            <w:tcW w:type="dxa" w:w="2042"/>
            <w:tcMar>
              <w:top w:w="50" w:type="dxa"/>
              <w:bottom w:w="50" w:type="dxa"/>
              <w:left w:w="90" w:type="dxa"/>
              <w:right w:w="90" w:type="dxa"/>
            </w:tcMar>
          </w:tcPr>
          <w:p>
            <w:pPr>
              <w:pStyle w:val="BDOITable"/>
            </w:pPr>
            <w:r>
              <w:rPr>
                <w:sz w:val="15"/>
              </w:rPr>
              <w:t>LFS SaaS</w:t>
            </w:r>
          </w:p>
        </w:tc>
        <w:tc>
          <w:tcPr>
            <w:tcW w:type="dxa" w:w="1322"/>
            <w:tcMar>
              <w:top w:w="50" w:type="dxa"/>
              <w:bottom w:w="50" w:type="dxa"/>
              <w:left w:w="90" w:type="dxa"/>
              <w:right w:w="90" w:type="dxa"/>
            </w:tcMar>
          </w:tcPr>
          <w:p>
            <w:pPr>
              <w:pStyle w:val="BDOITable"/>
            </w:pPr>
            <w:r>
              <w:rPr>
                <w:sz w:val="15"/>
              </w:rPr>
              <w:t>Not on the slide</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Loan-linked policies submitted by borrowers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INT-06</w:t>
            </w:r>
          </w:p>
        </w:tc>
        <w:tc>
          <w:tcPr>
            <w:tcW w:type="dxa" w:w="2042"/>
            <w:tcMar>
              <w:top w:w="50" w:type="dxa"/>
              <w:bottom w:w="50" w:type="dxa"/>
              <w:left w:w="90" w:type="dxa"/>
              <w:right w:w="90" w:type="dxa"/>
            </w:tcMar>
            <w:shd w:val="clear" w:color="auto" w:fill="E5F5FF"/>
          </w:tcPr>
          <w:p>
            <w:pPr>
              <w:pStyle w:val="BDOITable"/>
            </w:pPr>
            <w:r>
              <w:rPr>
                <w:sz w:val="15"/>
              </w:rPr>
              <w:t>PMS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outbound status to confirm</w:t>
            </w:r>
          </w:p>
        </w:tc>
        <w:tc>
          <w:tcPr>
            <w:tcW w:type="dxa" w:w="3604"/>
            <w:tcMar>
              <w:top w:w="50" w:type="dxa"/>
              <w:bottom w:w="50" w:type="dxa"/>
              <w:left w:w="90" w:type="dxa"/>
              <w:right w:w="90" w:type="dxa"/>
            </w:tcMar>
            <w:shd w:val="clear" w:color="auto" w:fill="E5F5FF"/>
          </w:tcPr>
          <w:p>
            <w:pPr>
              <w:pStyle w:val="BDOITable"/>
            </w:pPr>
            <w:r>
              <w:rPr>
                <w:sz w:val="15"/>
              </w:rPr>
              <w:t>PDC number, bank, date, amount, payor, account / invoice reference; possibly deposit, return and pull-out status</w:t>
            </w:r>
          </w:p>
        </w:tc>
      </w:tr>
      <w:tr>
        <w:trPr>
          <w:cantSplit w:val="true"/>
        </w:trPr>
        <w:tc>
          <w:tcPr>
            <w:tcW w:type="dxa" w:w="841"/>
            <w:tcMar>
              <w:top w:w="50" w:type="dxa"/>
              <w:bottom w:w="50" w:type="dxa"/>
              <w:left w:w="90" w:type="dxa"/>
              <w:right w:w="90" w:type="dxa"/>
            </w:tcMar>
          </w:tcPr>
          <w:p>
            <w:pPr>
              <w:pStyle w:val="BDOITable"/>
            </w:pPr>
            <w:r>
              <w:rPr>
                <w:b/>
                <w:sz w:val="15"/>
              </w:rPr>
              <w:t>INT-07</w:t>
            </w:r>
          </w:p>
        </w:tc>
        <w:tc>
          <w:tcPr>
            <w:tcW w:type="dxa" w:w="2042"/>
            <w:tcMar>
              <w:top w:w="50" w:type="dxa"/>
              <w:bottom w:w="50" w:type="dxa"/>
              <w:left w:w="90" w:type="dxa"/>
              <w:right w:w="90" w:type="dxa"/>
            </w:tcMar>
          </w:tcPr>
          <w:p>
            <w:pPr>
              <w:pStyle w:val="BDOITable"/>
            </w:pPr>
            <w:r>
              <w:rPr>
                <w:sz w:val="15"/>
              </w:rPr>
              <w:t>CMS / New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(payment instructions); inbound (status, debit confirmation)</w:t>
            </w:r>
          </w:p>
        </w:tc>
        <w:tc>
          <w:tcPr>
            <w:tcW w:type="dxa" w:w="3604"/>
            <w:tcMar>
              <w:top w:w="50" w:type="dxa"/>
              <w:bottom w:w="50" w:type="dxa"/>
              <w:left w:w="90" w:type="dxa"/>
              <w:right w:w="90" w:type="dxa"/>
            </w:tcMar>
          </w:tcPr>
          <w:p>
            <w:pPr>
              <w:pStyle w:val="BDOITable"/>
            </w:pPr>
            <w:r>
              <w:rPr>
                <w:sz w:val="15"/>
              </w:rPr>
              <w:t>Payee, account, amount, currency, value date, voucher reference; status per transaction</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INT-08</w:t>
            </w:r>
          </w:p>
        </w:tc>
        <w:tc>
          <w:tcPr>
            <w:tcW w:type="dxa" w:w="2042"/>
            <w:tcMar>
              <w:top w:w="50" w:type="dxa"/>
              <w:bottom w:w="50" w:type="dxa"/>
              <w:left w:w="90" w:type="dxa"/>
              <w:right w:w="90" w:type="dxa"/>
            </w:tcMar>
            <w:shd w:val="clear" w:color="auto" w:fill="E5F5FF"/>
          </w:tcPr>
          <w:p>
            <w:pPr>
              <w:pStyle w:val="BDOITable"/>
            </w:pPr>
            <w:r>
              <w:rPr>
                <w:sz w:val="15"/>
              </w:rPr>
              <w:t>OBPCS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Payment date, reference (ARN, invoice, PN), payor, amount, channel</w:t>
            </w:r>
          </w:p>
        </w:tc>
      </w:tr>
      <w:tr>
        <w:trPr>
          <w:cantSplit w:val="true"/>
        </w:trPr>
        <w:tc>
          <w:tcPr>
            <w:tcW w:type="dxa" w:w="841"/>
            <w:tcMar>
              <w:top w:w="50" w:type="dxa"/>
              <w:bottom w:w="50" w:type="dxa"/>
              <w:left w:w="90" w:type="dxa"/>
              <w:right w:w="90" w:type="dxa"/>
            </w:tcMar>
          </w:tcPr>
          <w:p>
            <w:pPr>
              <w:pStyle w:val="BDOITable"/>
            </w:pPr>
            <w:r>
              <w:rPr>
                <w:b/>
                <w:sz w:val="15"/>
              </w:rPr>
              <w:t>INT-09</w:t>
            </w:r>
          </w:p>
        </w:tc>
        <w:tc>
          <w:tcPr>
            <w:tcW w:type="dxa" w:w="2042"/>
            <w:tcMar>
              <w:top w:w="50" w:type="dxa"/>
              <w:bottom w:w="50" w:type="dxa"/>
              <w:left w:w="90" w:type="dxa"/>
              <w:right w:w="90" w:type="dxa"/>
            </w:tcMar>
          </w:tcPr>
          <w:p>
            <w:pPr>
              <w:pStyle w:val="BDOITable"/>
            </w:pPr>
            <w:r>
              <w:rPr>
                <w:sz w:val="15"/>
              </w:rPr>
              <w:t>Old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Funds-transfer credits with SOA or invoice reference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INT-10</w:t>
            </w:r>
          </w:p>
        </w:tc>
        <w:tc>
          <w:tcPr>
            <w:tcW w:type="dxa" w:w="2042"/>
            <w:tcMar>
              <w:top w:w="50" w:type="dxa"/>
              <w:bottom w:w="50" w:type="dxa"/>
              <w:left w:w="90" w:type="dxa"/>
              <w:right w:w="90" w:type="dxa"/>
            </w:tcMar>
            <w:shd w:val="clear" w:color="auto" w:fill="E5F5FF"/>
          </w:tcPr>
          <w:p>
            <w:pPr>
              <w:pStyle w:val="BDOITable"/>
            </w:pPr>
            <w:r>
              <w:rPr>
                <w:sz w:val="15"/>
              </w:rPr>
              <w:t>AFTS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INT-11</w:t>
            </w:r>
          </w:p>
        </w:tc>
        <w:tc>
          <w:tcPr>
            <w:tcW w:type="dxa" w:w="2042"/>
            <w:tcMar>
              <w:top w:w="50" w:type="dxa"/>
              <w:bottom w:w="50" w:type="dxa"/>
              <w:left w:w="90" w:type="dxa"/>
              <w:right w:w="90" w:type="dxa"/>
            </w:tcMar>
          </w:tcPr>
          <w:p>
            <w:pPr>
              <w:pStyle w:val="BDOITable"/>
            </w:pPr>
            <w:r>
              <w:rPr>
                <w:sz w:val="15"/>
              </w:rPr>
              <w:t>ICBS</w:t>
            </w:r>
          </w:p>
        </w:tc>
        <w:tc>
          <w:tcPr>
            <w:tcW w:type="dxa" w:w="1322"/>
            <w:tcMar>
              <w:top w:w="50" w:type="dxa"/>
              <w:bottom w:w="50" w:type="dxa"/>
              <w:left w:w="90" w:type="dxa"/>
              <w:right w:w="90" w:type="dxa"/>
            </w:tcMar>
          </w:tcPr>
          <w:p>
            <w:pPr>
              <w:pStyle w:val="BDOITable"/>
            </w:pPr>
            <w:r>
              <w:rPr>
                <w:sz w:val="15"/>
              </w:rPr>
              <w:t>Drop 0 (struck through)</w:t>
            </w:r>
          </w:p>
        </w:tc>
        <w:tc>
          <w:tcPr>
            <w:tcW w:type="dxa" w:w="2163"/>
            <w:tcMar>
              <w:top w:w="50" w:type="dxa"/>
              <w:bottom w:w="50" w:type="dxa"/>
              <w:left w:w="90" w:type="dxa"/>
              <w:right w:w="90" w:type="dxa"/>
            </w:tcMar>
          </w:tcPr>
          <w:p>
            <w:pPr>
              <w:pStyle w:val="BDOITable"/>
            </w:pPr>
            <w:r>
              <w:rPr>
                <w:sz w:val="15"/>
              </w:rPr>
              <w:t>-</w:t>
            </w:r>
          </w:p>
        </w:tc>
        <w:tc>
          <w:tcPr>
            <w:tcW w:type="dxa" w:w="3604"/>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INT-12</w:t>
            </w:r>
          </w:p>
        </w:tc>
        <w:tc>
          <w:tcPr>
            <w:tcW w:type="dxa" w:w="2042"/>
            <w:tcMar>
              <w:top w:w="50" w:type="dxa"/>
              <w:bottom w:w="50" w:type="dxa"/>
              <w:left w:w="90" w:type="dxa"/>
              <w:right w:w="90" w:type="dxa"/>
            </w:tcMar>
            <w:shd w:val="clear" w:color="auto" w:fill="E5F5FF"/>
          </w:tcPr>
          <w:p>
            <w:pPr>
              <w:pStyle w:val="BDOITable"/>
            </w:pPr>
            <w:r>
              <w:rPr>
                <w:sz w:val="15"/>
              </w:rPr>
              <w:t>ECM</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 (possibly inbound legacy documents only)</w:t>
            </w:r>
          </w:p>
        </w:tc>
        <w:tc>
          <w:tcPr>
            <w:tcW w:type="dxa" w:w="3604"/>
            <w:tcMar>
              <w:top w:w="50" w:type="dxa"/>
              <w:bottom w:w="50" w:type="dxa"/>
              <w:left w:w="90" w:type="dxa"/>
              <w:right w:w="90" w:type="dxa"/>
            </w:tcMar>
            <w:shd w:val="clear" w:color="auto" w:fill="E5F5FF"/>
          </w:tcPr>
          <w:p>
            <w:pPr>
              <w:pStyle w:val="BDOITable"/>
            </w:pPr>
            <w:r>
              <w:rPr>
                <w:sz w:val="15"/>
              </w:rPr>
              <w:t>Legacy documents (H02) if ECM holds them</w:t>
            </w:r>
          </w:p>
        </w:tc>
      </w:tr>
      <w:tr>
        <w:trPr>
          <w:cantSplit w:val="true"/>
        </w:trPr>
        <w:tc>
          <w:tcPr>
            <w:tcW w:type="dxa" w:w="841"/>
            <w:tcMar>
              <w:top w:w="50" w:type="dxa"/>
              <w:bottom w:w="50" w:type="dxa"/>
              <w:left w:w="90" w:type="dxa"/>
              <w:right w:w="90" w:type="dxa"/>
            </w:tcMar>
          </w:tcPr>
          <w:p>
            <w:pPr>
              <w:pStyle w:val="BDOITable"/>
            </w:pPr>
            <w:r>
              <w:rPr>
                <w:b/>
                <w:sz w:val="15"/>
              </w:rPr>
              <w:t>INT-13</w:t>
            </w:r>
          </w:p>
        </w:tc>
        <w:tc>
          <w:tcPr>
            <w:tcW w:type="dxa" w:w="2042"/>
            <w:tcMar>
              <w:top w:w="50" w:type="dxa"/>
              <w:bottom w:w="50" w:type="dxa"/>
              <w:left w:w="90" w:type="dxa"/>
              <w:right w:w="90" w:type="dxa"/>
            </w:tcMar>
          </w:tcPr>
          <w:p>
            <w:pPr>
              <w:pStyle w:val="BDOITable"/>
            </w:pPr>
            <w:r>
              <w:rPr>
                <w:sz w:val="15"/>
              </w:rPr>
              <w:t>CCM</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delivery status inbound</w:t>
            </w:r>
          </w:p>
        </w:tc>
        <w:tc>
          <w:tcPr>
            <w:tcW w:type="dxa" w:w="3604"/>
            <w:tcMar>
              <w:top w:w="50" w:type="dxa"/>
              <w:bottom w:w="50" w:type="dxa"/>
              <w:left w:w="90" w:type="dxa"/>
              <w:right w:w="90" w:type="dxa"/>
            </w:tcMar>
          </w:tcPr>
          <w:p>
            <w:pPr>
              <w:pStyle w:val="BDOITable"/>
            </w:pPr>
            <w:r>
              <w:rPr>
                <w:sz w:val="15"/>
              </w:rPr>
              <w:t>Recipient, subject, body, attachments (password-protected PDFs), template id</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INT-14</w:t>
            </w:r>
          </w:p>
        </w:tc>
        <w:tc>
          <w:tcPr>
            <w:tcW w:type="dxa" w:w="2042"/>
            <w:tcMar>
              <w:top w:w="50" w:type="dxa"/>
              <w:bottom w:w="50" w:type="dxa"/>
              <w:left w:w="90" w:type="dxa"/>
              <w:right w:w="90" w:type="dxa"/>
            </w:tcMar>
            <w:shd w:val="clear" w:color="auto" w:fill="E5F5FF"/>
          </w:tcPr>
          <w:p>
            <w:pPr>
              <w:pStyle w:val="BDOITable"/>
            </w:pPr>
            <w:r>
              <w:rPr>
                <w:sz w:val="15"/>
              </w:rPr>
              <w:t>M365 Exchange</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(mailbox reading) and/or outbound</w:t>
            </w:r>
          </w:p>
        </w:tc>
        <w:tc>
          <w:tcPr>
            <w:tcW w:type="dxa" w:w="3604"/>
            <w:tcMar>
              <w:top w:w="50" w:type="dxa"/>
              <w:bottom w:w="50" w:type="dxa"/>
              <w:left w:w="90" w:type="dxa"/>
              <w:right w:w="90" w:type="dxa"/>
            </w:tcMar>
            <w:shd w:val="clear" w:color="auto" w:fill="E5F5FF"/>
          </w:tcPr>
          <w:p>
            <w:pPr>
              <w:pStyle w:val="BDOITable"/>
            </w:pPr>
            <w:r>
              <w:rPr>
                <w:sz w:val="15"/>
              </w:rPr>
              <w:t>E-mails and attachments</w:t>
            </w:r>
          </w:p>
        </w:tc>
      </w:tr>
      <w:tr>
        <w:trPr>
          <w:cantSplit w:val="true"/>
        </w:trPr>
        <w:tc>
          <w:tcPr>
            <w:tcW w:type="dxa" w:w="841"/>
            <w:tcMar>
              <w:top w:w="50" w:type="dxa"/>
              <w:bottom w:w="50" w:type="dxa"/>
              <w:left w:w="90" w:type="dxa"/>
              <w:right w:w="90" w:type="dxa"/>
            </w:tcMar>
          </w:tcPr>
          <w:p>
            <w:pPr>
              <w:pStyle w:val="BDOITable"/>
            </w:pPr>
            <w:r>
              <w:rPr>
                <w:b/>
                <w:sz w:val="15"/>
              </w:rPr>
              <w:t>INT-15</w:t>
            </w:r>
          </w:p>
        </w:tc>
        <w:tc>
          <w:tcPr>
            <w:tcW w:type="dxa" w:w="2042"/>
            <w:tcMar>
              <w:top w:w="50" w:type="dxa"/>
              <w:bottom w:w="50" w:type="dxa"/>
              <w:left w:w="90" w:type="dxa"/>
              <w:right w:w="90" w:type="dxa"/>
            </w:tcMar>
          </w:tcPr>
          <w:p>
            <w:pPr>
              <w:pStyle w:val="BDOITable"/>
            </w:pPr>
            <w:r>
              <w:rPr>
                <w:sz w:val="15"/>
              </w:rPr>
              <w:t>TFS (manual)</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Manual inbound</w:t>
            </w:r>
          </w:p>
        </w:tc>
        <w:tc>
          <w:tcPr>
            <w:tcW w:type="dxa" w:w="3604"/>
            <w:tcMar>
              <w:top w:w="50" w:type="dxa"/>
              <w:bottom w:w="50" w:type="dxa"/>
              <w:left w:w="90" w:type="dxa"/>
              <w:right w:w="90" w:type="dxa"/>
            </w:tcMar>
          </w:tcPr>
          <w:p>
            <w:pPr>
              <w:pStyle w:val="BDOITable"/>
            </w:pPr>
            <w:r>
              <w:rPr>
                <w:sz w:val="15"/>
              </w:rPr>
              <w:t>Trade client details; Trade payment file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INT-16</w:t>
            </w:r>
          </w:p>
        </w:tc>
        <w:tc>
          <w:tcPr>
            <w:tcW w:type="dxa" w:w="2042"/>
            <w:tcMar>
              <w:top w:w="50" w:type="dxa"/>
              <w:bottom w:w="50" w:type="dxa"/>
              <w:left w:w="90" w:type="dxa"/>
              <w:right w:w="90" w:type="dxa"/>
            </w:tcMar>
            <w:shd w:val="clear" w:color="auto" w:fill="E5F5FF"/>
          </w:tcPr>
          <w:p>
            <w:pPr>
              <w:pStyle w:val="BDOITable"/>
            </w:pPr>
            <w:r>
              <w:rPr>
                <w:sz w:val="15"/>
              </w:rPr>
              <w:t>EDP - Data Ingestion (SD 11)</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Outbound</w:t>
            </w:r>
          </w:p>
        </w:tc>
        <w:tc>
          <w:tcPr>
            <w:tcW w:type="dxa" w:w="3604"/>
            <w:tcMar>
              <w:top w:w="50" w:type="dxa"/>
              <w:bottom w:w="50" w:type="dxa"/>
              <w:left w:w="90" w:type="dxa"/>
              <w:right w:w="90" w:type="dxa"/>
            </w:tcMar>
            <w:shd w:val="clear" w:color="auto" w:fill="E5F5FF"/>
          </w:tcPr>
          <w:p>
            <w:pPr>
              <w:pStyle w:val="BDOITable"/>
            </w:pPr>
            <w:r>
              <w:rPr>
                <w:sz w:val="15"/>
              </w:rPr>
              <w:t>To agree (clients, accounts, invoices, receipts, remittances, GL; history and daily changes)</w:t>
            </w:r>
          </w:p>
        </w:tc>
      </w:tr>
      <w:tr>
        <w:trPr>
          <w:cantSplit w:val="true"/>
        </w:trPr>
        <w:tc>
          <w:tcPr>
            <w:tcW w:type="dxa" w:w="841"/>
            <w:tcMar>
              <w:top w:w="50" w:type="dxa"/>
              <w:bottom w:w="50" w:type="dxa"/>
              <w:left w:w="90" w:type="dxa"/>
              <w:right w:w="90" w:type="dxa"/>
            </w:tcMar>
          </w:tcPr>
          <w:p>
            <w:pPr>
              <w:pStyle w:val="BDOITable"/>
            </w:pPr>
            <w:r>
              <w:rPr>
                <w:b/>
                <w:sz w:val="15"/>
              </w:rPr>
              <w:t>INT-17</w:t>
            </w:r>
          </w:p>
        </w:tc>
        <w:tc>
          <w:tcPr>
            <w:tcW w:type="dxa" w:w="2042"/>
            <w:tcMar>
              <w:top w:w="50" w:type="dxa"/>
              <w:bottom w:w="50" w:type="dxa"/>
              <w:left w:w="90" w:type="dxa"/>
              <w:right w:w="90" w:type="dxa"/>
            </w:tcMar>
          </w:tcPr>
          <w:p>
            <w:pPr>
              <w:pStyle w:val="BDOITable"/>
            </w:pPr>
            <w:r>
              <w:rPr>
                <w:sz w:val="15"/>
              </w:rPr>
              <w:t>EGL</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Outbound</w:t>
            </w:r>
          </w:p>
        </w:tc>
        <w:tc>
          <w:tcPr>
            <w:tcW w:type="dxa" w:w="3604"/>
            <w:tcMar>
              <w:top w:w="50" w:type="dxa"/>
              <w:bottom w:w="50" w:type="dxa"/>
              <w:left w:w="90" w:type="dxa"/>
              <w:right w:w="90" w:type="dxa"/>
            </w:tcMar>
          </w:tcPr>
          <w:p>
            <w:pPr>
              <w:pStyle w:val="BDOITable"/>
            </w:pPr>
            <w:r>
              <w:rPr>
                <w:sz w:val="15"/>
              </w:rPr>
              <w:t>Journals or trial balance by account, branch, cost centre, currency; mapping to EGL accounts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INT-18</w:t>
            </w:r>
          </w:p>
        </w:tc>
        <w:tc>
          <w:tcPr>
            <w:tcW w:type="dxa" w:w="2042"/>
            <w:tcMar>
              <w:top w:w="50" w:type="dxa"/>
              <w:bottom w:w="50" w:type="dxa"/>
              <w:left w:w="90" w:type="dxa"/>
              <w:right w:w="90" w:type="dxa"/>
            </w:tcMar>
            <w:shd w:val="clear" w:color="auto" w:fill="E5F5FF"/>
          </w:tcPr>
          <w:p>
            <w:pPr>
              <w:pStyle w:val="BDOITable"/>
            </w:pPr>
            <w:r>
              <w:rPr>
                <w:sz w:val="15"/>
              </w:rPr>
              <w:t>CARMS</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INT-19</w:t>
            </w:r>
          </w:p>
        </w:tc>
        <w:tc>
          <w:tcPr>
            <w:tcW w:type="dxa" w:w="2042"/>
            <w:tcMar>
              <w:top w:w="50" w:type="dxa"/>
              <w:bottom w:w="50" w:type="dxa"/>
              <w:left w:w="90" w:type="dxa"/>
              <w:right w:w="90" w:type="dxa"/>
            </w:tcMar>
          </w:tcPr>
          <w:p>
            <w:pPr>
              <w:pStyle w:val="BDOITable"/>
            </w:pPr>
            <w:r>
              <w:rPr>
                <w:sz w:val="15"/>
              </w:rPr>
              <w:t>Insurer System</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Both</w:t>
            </w:r>
          </w:p>
        </w:tc>
        <w:tc>
          <w:tcPr>
            <w:tcW w:type="dxa" w:w="3604"/>
            <w:tcMar>
              <w:top w:w="50" w:type="dxa"/>
              <w:bottom w:w="50" w:type="dxa"/>
              <w:left w:w="90" w:type="dxa"/>
              <w:right w:w="90" w:type="dxa"/>
            </w:tcMar>
          </w:tcPr>
          <w:p>
            <w:pPr>
              <w:pStyle w:val="BDOITable"/>
            </w:pPr>
            <w:r>
              <w:rPr>
                <w:sz w:val="15"/>
              </w:rPr>
              <w:t>Per process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INT-20</w:t>
            </w:r>
          </w:p>
        </w:tc>
        <w:tc>
          <w:tcPr>
            <w:tcW w:type="dxa" w:w="2042"/>
            <w:tcMar>
              <w:top w:w="50" w:type="dxa"/>
              <w:bottom w:w="50" w:type="dxa"/>
              <w:left w:w="90" w:type="dxa"/>
              <w:right w:w="90" w:type="dxa"/>
            </w:tcMar>
            <w:shd w:val="clear" w:color="auto" w:fill="E5F5FF"/>
          </w:tcPr>
          <w:p>
            <w:pPr>
              <w:pStyle w:val="BDOITable"/>
            </w:pPr>
            <w:r>
              <w:rPr>
                <w:sz w:val="15"/>
              </w:rPr>
              <w:t>Bridger Insight XG (manual)</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Manual</w:t>
            </w:r>
          </w:p>
        </w:tc>
        <w:tc>
          <w:tcPr>
            <w:tcW w:type="dxa" w:w="3604"/>
            <w:tcMar>
              <w:top w:w="50" w:type="dxa"/>
              <w:bottom w:w="50" w:type="dxa"/>
              <w:left w:w="90" w:type="dxa"/>
              <w:right w:w="90" w:type="dxa"/>
            </w:tcMar>
            <w:shd w:val="clear" w:color="auto" w:fill="E5F5FF"/>
          </w:tcPr>
          <w:p>
            <w:pPr>
              <w:pStyle w:val="BDOITable"/>
            </w:pPr>
            <w:r>
              <w:rPr>
                <w:sz w:val="15"/>
              </w:rPr>
              <w:t>Screening result and evidence</w:t>
            </w:r>
          </w:p>
        </w:tc>
      </w:tr>
    </w:tbl>
    <w:p>
      <w:pPr>
        <w:pStyle w:val="BDOISpacer"/>
      </w:pPr>
    </w:p>
    <w:p>
      <w:pPr>
        <w:pStyle w:val="Heading2"/>
      </w:pPr>
      <w:bookmarkStart w:id="123" w:name="_Toc000123"/>
      <w:r>
        <w:rPr/>
        <w:t>6.3 Documents, e-mail and files</w:t>
      </w:r>
      <w:bookmarkEnd w:id="123"/>
    </w:p>
    <w:p>
      <w:pPr>
        <w:tabs>
          <w:tab w:pos="312" w:val="left"/>
        </w:tabs>
        <w:spacing w:after="40"/>
        <w:ind w:left="312" w:hanging="283"/>
      </w:pPr>
      <w:r>
        <w:rPr>
          <w:color w:val="004EA8"/>
        </w:rPr>
        <w:t>•</w:t>
        <w:tab/>
      </w:r>
      <w:r>
        <w:rPr/>
        <w:t>Business documents (slips, advices, receipts, statements of account, vouchers, letters) are generated from templates the Business Administrator maintains; documents that leave BDOI are password-protected PDF or Excel files (FR-CR-050, FR-CR-071, NFR-SEC-10).</w:t>
      </w:r>
    </w:p>
    <w:p>
      <w:pPr>
        <w:tabs>
          <w:tab w:pos="312" w:val="left"/>
        </w:tabs>
        <w:spacing w:after="40"/>
        <w:ind w:left="312" w:hanging="283"/>
      </w:pPr>
      <w:r>
        <w:rPr>
          <w:color w:val="004EA8"/>
        </w:rPr>
        <w:t>•</w:t>
        <w:tab/>
      </w:r>
      <w:r>
        <w:rPr/>
        <w:t>Outbound e-mail goes through CCM with its delivery status (NFR-INT-05).</w:t>
      </w:r>
    </w:p>
    <w:p>
      <w:pPr>
        <w:tabs>
          <w:tab w:pos="312" w:val="left"/>
        </w:tabs>
        <w:spacing w:after="40"/>
        <w:ind w:left="312" w:hanging="283"/>
      </w:pPr>
      <w:r>
        <w:rPr>
          <w:color w:val="004EA8"/>
        </w:rPr>
        <w:t>•</w:t>
        <w:tab/>
      </w:r>
      <w:r>
        <w:rPr/>
        <w:t>Every document and attachment is held in the S3 document store (answer A4), encrypted with BDOI keys, versioned and replicated to the DR region (NFR-SEC-06, NFR-REC-03).</w:t>
      </w:r>
    </w:p>
    <w:p>
      <w:pPr>
        <w:tabs>
          <w:tab w:pos="312" w:val="left"/>
        </w:tabs>
        <w:spacing w:after="120"/>
        <w:ind w:left="312" w:hanging="283"/>
      </w:pPr>
      <w:r>
        <w:rPr>
          <w:color w:val="004EA8"/>
        </w:rPr>
        <w:t>•</w:t>
        <w:tab/>
      </w:r>
      <w:r>
        <w:rPr/>
        <w:t>File interfaces (PDC list, bills payment, bank and insurer files) are validated per layout and reconciled to control totals (NFR-INT-04).</w:t>
      </w:r>
    </w:p>
    <w:p>
      <w:pPr>
        <w:pStyle w:val="Heading1"/>
        <w:pageBreakBefore/>
        <w:pBdr>
          <w:bottom w:val="single" w:sz="4" w:space="4" w:color="99C1E7"/>
        </w:pBdr>
      </w:pPr>
      <w:bookmarkStart w:id="124" w:name="_Toc000124"/>
      <w:r>
        <w:rPr/>
        <w:t>7 Data requirements</w:t>
      </w:r>
      <w:bookmarkEnd w:id="124"/>
    </w:p>
    <w:p>
      <w:pPr>
        <w:pStyle w:val="Heading2"/>
      </w:pPr>
      <w:bookmarkStart w:id="125" w:name="_Toc000125"/>
      <w:r>
        <w:rPr/>
        <w:t>7.1 Data domains</w:t>
      </w:r>
      <w:bookmarkEnd w:id="125"/>
    </w:p>
    <w:p>
      <w:pPr>
        <w:pStyle w:val="Caption"/>
        <w:keepNext/>
        <w:spacing w:after="60"/>
      </w:pPr>
      <w:r>
        <w:rPr>
          <w:b/>
          <w:i w:val="0"/>
        </w:rPr>
        <w:t xml:space="preserve">Table 10: </w:t>
      </w:r>
      <w:r>
        <w:rPr/>
        <w:t>Data domains of BIBS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926"/>
        <w:gridCol w:w="300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Domain</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Owner (BDOI)</w:t>
            </w:r>
          </w:p>
        </w:tc>
      </w:tr>
      <w:tr>
        <w:trPr>
          <w:cantSplit w:val="true"/>
        </w:trPr>
        <w:tc>
          <w:tcPr>
            <w:tcW w:type="dxa" w:w="2042"/>
            <w:tcMar>
              <w:top w:w="50" w:type="dxa"/>
              <w:bottom w:w="50" w:type="dxa"/>
              <w:left w:w="90" w:type="dxa"/>
              <w:right w:w="90" w:type="dxa"/>
            </w:tcMar>
          </w:tcPr>
          <w:p>
            <w:pPr>
              <w:pStyle w:val="BDOITable"/>
            </w:pPr>
            <w:r>
              <w:rPr>
                <w:sz w:val="17"/>
              </w:rPr>
              <w:t>Client and account</w:t>
            </w:r>
          </w:p>
        </w:tc>
        <w:tc>
          <w:tcPr>
            <w:tcW w:type="dxa" w:w="4926"/>
            <w:tcMar>
              <w:top w:w="50" w:type="dxa"/>
              <w:bottom w:w="50" w:type="dxa"/>
              <w:left w:w="90" w:type="dxa"/>
              <w:right w:w="90" w:type="dxa"/>
            </w:tcMar>
          </w:tcPr>
          <w:p>
            <w:pPr>
              <w:pStyle w:val="BDOITable"/>
            </w:pPr>
            <w:r>
              <w:rPr>
                <w:sz w:val="17"/>
              </w:rPr>
              <w:t>Clients (individual and corporate) with EOPT details (taxpayer name, TIN, registered address), KYC and risk profile, accounts, tags, contacts</w:t>
            </w:r>
          </w:p>
        </w:tc>
        <w:tc>
          <w:tcPr>
            <w:tcW w:type="dxa" w:w="3004"/>
            <w:tcMar>
              <w:top w:w="50" w:type="dxa"/>
              <w:bottom w:w="50" w:type="dxa"/>
              <w:left w:w="90" w:type="dxa"/>
              <w:right w:w="90" w:type="dxa"/>
            </w:tcMar>
          </w:tcPr>
          <w:p>
            <w:pPr>
              <w:pStyle w:val="BDOITable"/>
            </w:pPr>
            <w:r>
              <w:rPr>
                <w:sz w:val="17"/>
              </w:rPr>
              <w:t>Marketing; Compliance for the risk profile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Product and insurer</w:t>
            </w:r>
          </w:p>
        </w:tc>
        <w:tc>
          <w:tcPr>
            <w:tcW w:type="dxa" w:w="4926"/>
            <w:tcMar>
              <w:top w:w="50" w:type="dxa"/>
              <w:bottom w:w="50" w:type="dxa"/>
              <w:left w:w="90" w:type="dxa"/>
              <w:right w:w="90" w:type="dxa"/>
            </w:tcMar>
            <w:shd w:val="clear" w:color="auto" w:fill="E5F5FF"/>
          </w:tcPr>
          <w:p>
            <w:pPr>
              <w:pStyle w:val="BDOITable"/>
            </w:pPr>
            <w:r>
              <w:rPr>
                <w:sz w:val="17"/>
              </w:rPr>
              <w:t>Lines, covers and clauses, packages and versions, rate schemes, insurers, insurer contacts and terms, commission rates</w:t>
            </w:r>
          </w:p>
        </w:tc>
        <w:tc>
          <w:tcPr>
            <w:tcW w:type="dxa" w:w="3004"/>
            <w:tcMar>
              <w:top w:w="50" w:type="dxa"/>
              <w:bottom w:w="50" w:type="dxa"/>
              <w:left w:w="90" w:type="dxa"/>
              <w:right w:w="90" w:type="dxa"/>
            </w:tcMar>
            <w:shd w:val="clear" w:color="auto" w:fill="E5F5FF"/>
          </w:tcPr>
          <w:p>
            <w:pPr>
              <w:pStyle w:val="BDOITable"/>
            </w:pPr>
            <w:r>
              <w:rPr>
                <w:sz w:val="17"/>
              </w:rPr>
              <w:t>MBS, TSU</w:t>
            </w:r>
          </w:p>
        </w:tc>
      </w:tr>
      <w:tr>
        <w:trPr>
          <w:cantSplit w:val="true"/>
        </w:trPr>
        <w:tc>
          <w:tcPr>
            <w:tcW w:type="dxa" w:w="2042"/>
            <w:tcMar>
              <w:top w:w="50" w:type="dxa"/>
              <w:bottom w:w="50" w:type="dxa"/>
              <w:left w:w="90" w:type="dxa"/>
              <w:right w:w="90" w:type="dxa"/>
            </w:tcMar>
          </w:tcPr>
          <w:p>
            <w:pPr>
              <w:pStyle w:val="BDOITable"/>
            </w:pPr>
            <w:r>
              <w:rPr>
                <w:sz w:val="17"/>
              </w:rPr>
              <w:t>Placement and policy</w:t>
            </w:r>
          </w:p>
        </w:tc>
        <w:tc>
          <w:tcPr>
            <w:tcW w:type="dxa" w:w="4926"/>
            <w:tcMar>
              <w:top w:w="50" w:type="dxa"/>
              <w:bottom w:w="50" w:type="dxa"/>
              <w:left w:w="90" w:type="dxa"/>
              <w:right w:w="90" w:type="dxa"/>
            </w:tcMar>
          </w:tcPr>
          <w:p>
            <w:pPr>
              <w:pStyle w:val="BDOITable"/>
            </w:pPr>
            <w:r>
              <w:rPr>
                <w:sz w:val="17"/>
              </w:rPr>
              <w:t>Quotations, proposals, placements, policies and endorsements as issued by the insurers, e-policies, submitted policies</w:t>
            </w:r>
          </w:p>
        </w:tc>
        <w:tc>
          <w:tcPr>
            <w:tcW w:type="dxa" w:w="3004"/>
            <w:tcMar>
              <w:top w:w="50" w:type="dxa"/>
              <w:bottom w:w="50" w:type="dxa"/>
              <w:left w:w="90" w:type="dxa"/>
              <w:right w:w="90" w:type="dxa"/>
            </w:tcMar>
          </w:tcPr>
          <w:p>
            <w:pPr>
              <w:pStyle w:val="BDOITable"/>
            </w:pPr>
            <w:r>
              <w:rPr>
                <w:sz w:val="17"/>
              </w:rPr>
              <w:t>Processing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Money</w:t>
            </w:r>
          </w:p>
        </w:tc>
        <w:tc>
          <w:tcPr>
            <w:tcW w:type="dxa" w:w="4926"/>
            <w:tcMar>
              <w:top w:w="50" w:type="dxa"/>
              <w:bottom w:w="50" w:type="dxa"/>
              <w:left w:w="90" w:type="dxa"/>
              <w:right w:w="90" w:type="dxa"/>
            </w:tcMar>
            <w:shd w:val="clear" w:color="auto" w:fill="E5F5FF"/>
          </w:tcPr>
          <w:p>
            <w:pPr>
              <w:pStyle w:val="BDOITable"/>
            </w:pPr>
            <w:r>
              <w:rPr>
                <w:sz w:val="17"/>
              </w:rPr>
              <w:t>Invoice ledger, receipts, payments and their application, unapplied payments, remittances, commission receivables, disbursement vouchers</w:t>
            </w:r>
          </w:p>
        </w:tc>
        <w:tc>
          <w:tcPr>
            <w:tcW w:type="dxa" w:w="3004"/>
            <w:tcMar>
              <w:top w:w="50" w:type="dxa"/>
              <w:bottom w:w="50" w:type="dxa"/>
              <w:left w:w="90" w:type="dxa"/>
              <w:right w:w="90" w:type="dxa"/>
            </w:tcMar>
            <w:shd w:val="clear" w:color="auto" w:fill="E5F5FF"/>
          </w:tcPr>
          <w:p>
            <w:pPr>
              <w:pStyle w:val="BDOITable"/>
            </w:pPr>
            <w:r>
              <w:rPr>
                <w:sz w:val="17"/>
              </w:rPr>
              <w:t>Operations; Comptrollership</w:t>
            </w:r>
          </w:p>
        </w:tc>
      </w:tr>
      <w:tr>
        <w:trPr>
          <w:cantSplit w:val="true"/>
        </w:trPr>
        <w:tc>
          <w:tcPr>
            <w:tcW w:type="dxa" w:w="2042"/>
            <w:tcMar>
              <w:top w:w="50" w:type="dxa"/>
              <w:bottom w:w="50" w:type="dxa"/>
              <w:left w:w="90" w:type="dxa"/>
              <w:right w:w="90" w:type="dxa"/>
            </w:tcMar>
          </w:tcPr>
          <w:p>
            <w:pPr>
              <w:pStyle w:val="BDOITable"/>
            </w:pPr>
            <w:r>
              <w:rPr>
                <w:sz w:val="17"/>
              </w:rPr>
              <w:t>Accounting</w:t>
            </w:r>
          </w:p>
        </w:tc>
        <w:tc>
          <w:tcPr>
            <w:tcW w:type="dxa" w:w="4926"/>
            <w:tcMar>
              <w:top w:w="50" w:type="dxa"/>
              <w:bottom w:w="50" w:type="dxa"/>
              <w:left w:w="90" w:type="dxa"/>
              <w:right w:w="90" w:type="dxa"/>
            </w:tcMar>
          </w:tcPr>
          <w:p>
            <w:pPr>
              <w:pStyle w:val="BDOITable"/>
            </w:pPr>
            <w:r>
              <w:rPr>
                <w:sz w:val="17"/>
              </w:rPr>
              <w:t>Chart of accounts, journals, sub-ledgers, periods, revaluation rates, BIR worksheets and books</w:t>
            </w:r>
          </w:p>
        </w:tc>
        <w:tc>
          <w:tcPr>
            <w:tcW w:type="dxa" w:w="3004"/>
            <w:tcMar>
              <w:top w:w="50" w:type="dxa"/>
              <w:bottom w:w="50" w:type="dxa"/>
              <w:left w:w="90" w:type="dxa"/>
              <w:right w:w="90" w:type="dxa"/>
            </w:tcMar>
          </w:tcPr>
          <w:p>
            <w:pPr>
              <w:pStyle w:val="BDOITable"/>
            </w:pPr>
            <w:r>
              <w:rPr>
                <w:sz w:val="17"/>
              </w:rPr>
              <w:t>Comptrollership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Claims and employee benefits</w:t>
            </w:r>
          </w:p>
        </w:tc>
        <w:tc>
          <w:tcPr>
            <w:tcW w:type="dxa" w:w="4926"/>
            <w:tcMar>
              <w:top w:w="50" w:type="dxa"/>
              <w:bottom w:w="50" w:type="dxa"/>
              <w:left w:w="90" w:type="dxa"/>
              <w:right w:w="90" w:type="dxa"/>
            </w:tcMar>
            <w:shd w:val="clear" w:color="auto" w:fill="E5F5FF"/>
          </w:tcPr>
          <w:p>
            <w:pPr>
              <w:pStyle w:val="BDOITable"/>
            </w:pPr>
            <w:r>
              <w:rPr>
                <w:sz w:val="17"/>
              </w:rPr>
              <w:t>Claim case files with locations, insurer claim numbers, statuses; EB programmes, rosters and billing</w:t>
            </w:r>
          </w:p>
        </w:tc>
        <w:tc>
          <w:tcPr>
            <w:tcW w:type="dxa" w:w="3004"/>
            <w:tcMar>
              <w:top w:w="50" w:type="dxa"/>
              <w:bottom w:w="50" w:type="dxa"/>
              <w:left w:w="90" w:type="dxa"/>
              <w:right w:w="90" w:type="dxa"/>
            </w:tcMar>
            <w:shd w:val="clear" w:color="auto" w:fill="E5F5FF"/>
          </w:tcPr>
          <w:p>
            <w:pPr>
              <w:pStyle w:val="BDOITable"/>
            </w:pPr>
            <w:r>
              <w:rPr>
                <w:sz w:val="17"/>
              </w:rPr>
              <w:t>Claims; EB desk</w:t>
            </w:r>
          </w:p>
        </w:tc>
      </w:tr>
      <w:tr>
        <w:trPr>
          <w:cantSplit w:val="true"/>
        </w:trPr>
        <w:tc>
          <w:tcPr>
            <w:tcW w:type="dxa" w:w="2042"/>
            <w:tcMar>
              <w:top w:w="50" w:type="dxa"/>
              <w:bottom w:w="50" w:type="dxa"/>
              <w:left w:w="90" w:type="dxa"/>
              <w:right w:w="90" w:type="dxa"/>
            </w:tcMar>
          </w:tcPr>
          <w:p>
            <w:pPr>
              <w:pStyle w:val="BDOITable"/>
            </w:pPr>
            <w:r>
              <w:rPr>
                <w:sz w:val="17"/>
              </w:rPr>
              <w:t>Compliance</w:t>
            </w:r>
          </w:p>
        </w:tc>
        <w:tc>
          <w:tcPr>
            <w:tcW w:type="dxa" w:w="4926"/>
            <w:tcMar>
              <w:top w:w="50" w:type="dxa"/>
              <w:bottom w:w="50" w:type="dxa"/>
              <w:left w:w="90" w:type="dxa"/>
              <w:right w:w="90" w:type="dxa"/>
            </w:tcMar>
          </w:tcPr>
          <w:p>
            <w:pPr>
              <w:pStyle w:val="BDOITable"/>
            </w:pPr>
            <w:r>
              <w:rPr>
                <w:sz w:val="17"/>
              </w:rPr>
              <w:t>Sanctions and PEP list entries, screening cases, STRs</w:t>
            </w:r>
          </w:p>
        </w:tc>
        <w:tc>
          <w:tcPr>
            <w:tcW w:type="dxa" w:w="3004"/>
            <w:tcMar>
              <w:top w:w="50" w:type="dxa"/>
              <w:bottom w:w="50" w:type="dxa"/>
              <w:left w:w="90" w:type="dxa"/>
              <w:right w:w="90" w:type="dxa"/>
            </w:tcMar>
          </w:tcPr>
          <w:p>
            <w:pPr>
              <w:pStyle w:val="BDOITable"/>
            </w:pPr>
            <w:r>
              <w:rPr>
                <w:sz w:val="17"/>
              </w:rPr>
              <w:t>Compliance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Access and audit</w:t>
            </w:r>
          </w:p>
        </w:tc>
        <w:tc>
          <w:tcPr>
            <w:tcW w:type="dxa" w:w="4926"/>
            <w:tcMar>
              <w:top w:w="50" w:type="dxa"/>
              <w:bottom w:w="50" w:type="dxa"/>
              <w:left w:w="90" w:type="dxa"/>
              <w:right w:w="90" w:type="dxa"/>
            </w:tcMar>
            <w:shd w:val="clear" w:color="auto" w:fill="E5F5FF"/>
          </w:tcPr>
          <w:p>
            <w:pPr>
              <w:pStyle w:val="BDOITable"/>
            </w:pPr>
            <w:r>
              <w:rPr>
                <w:sz w:val="17"/>
              </w:rPr>
              <w:t>Users, roles, permissions, data scope, access requests, audit trail, change log</w:t>
            </w:r>
          </w:p>
        </w:tc>
        <w:tc>
          <w:tcPr>
            <w:tcW w:type="dxa" w:w="3004"/>
            <w:tcMar>
              <w:top w:w="50" w:type="dxa"/>
              <w:bottom w:w="50" w:type="dxa"/>
              <w:left w:w="90" w:type="dxa"/>
              <w:right w:w="90" w:type="dxa"/>
            </w:tcMar>
            <w:shd w:val="clear" w:color="auto" w:fill="E5F5FF"/>
          </w:tcPr>
          <w:p>
            <w:pPr>
              <w:pStyle w:val="BDOITable"/>
            </w:pPr>
            <w:r>
              <w:rPr>
                <w:sz w:val="17"/>
              </w:rPr>
              <w:t>Information Security; Business Administration</w:t>
            </w:r>
          </w:p>
        </w:tc>
      </w:tr>
      <w:tr>
        <w:trPr>
          <w:cantSplit w:val="true"/>
        </w:trPr>
        <w:tc>
          <w:tcPr>
            <w:tcW w:type="dxa" w:w="2042"/>
            <w:tcMar>
              <w:top w:w="50" w:type="dxa"/>
              <w:bottom w:w="50" w:type="dxa"/>
              <w:left w:w="90" w:type="dxa"/>
              <w:right w:w="90" w:type="dxa"/>
            </w:tcMar>
          </w:tcPr>
          <w:p>
            <w:pPr>
              <w:pStyle w:val="BDOITable"/>
            </w:pPr>
            <w:r>
              <w:rPr>
                <w:sz w:val="17"/>
              </w:rPr>
              <w:t>Configuration</w:t>
            </w:r>
          </w:p>
        </w:tc>
        <w:tc>
          <w:tcPr>
            <w:tcW w:type="dxa" w:w="4926"/>
            <w:tcMar>
              <w:top w:w="50" w:type="dxa"/>
              <w:bottom w:w="50" w:type="dxa"/>
              <w:left w:w="90" w:type="dxa"/>
              <w:right w:w="90" w:type="dxa"/>
            </w:tcMar>
          </w:tcPr>
          <w:p>
            <w:pPr>
              <w:pStyle w:val="BDOITable"/>
            </w:pPr>
            <w:r>
              <w:rPr>
                <w:sz w:val="17"/>
              </w:rPr>
              <w:t>Lists of values, parameters, rule tables, workflows, templates, job schedules</w:t>
            </w:r>
          </w:p>
        </w:tc>
        <w:tc>
          <w:tcPr>
            <w:tcW w:type="dxa" w:w="3004"/>
            <w:tcMar>
              <w:top w:w="50" w:type="dxa"/>
              <w:bottom w:w="50" w:type="dxa"/>
              <w:left w:w="90" w:type="dxa"/>
              <w:right w:w="90" w:type="dxa"/>
            </w:tcMar>
          </w:tcPr>
          <w:p>
            <w:pPr>
              <w:pStyle w:val="BDOITable"/>
            </w:pPr>
            <w:r>
              <w:rPr>
                <w:sz w:val="17"/>
              </w:rPr>
              <w:t>Business and System Administrators</w:t>
            </w:r>
          </w:p>
        </w:tc>
      </w:tr>
    </w:tbl>
    <w:p>
      <w:pPr>
        <w:pStyle w:val="BDOISpacer"/>
      </w:pPr>
    </w:p>
    <w:p>
      <w:pPr>
        <w:pStyle w:val="Heading2"/>
      </w:pPr>
      <w:bookmarkStart w:id="126" w:name="_Toc000126"/>
      <w:r>
        <w:rPr/>
        <w:t>7.2 Data rules</w:t>
      </w:r>
      <w:bookmarkEnd w:id="126"/>
    </w:p>
    <w:p>
      <w:pPr>
        <w:tabs>
          <w:tab w:pos="312" w:val="left"/>
        </w:tabs>
        <w:spacing w:after="40"/>
        <w:ind w:left="312" w:hanging="283"/>
      </w:pPr>
      <w:r>
        <w:rPr>
          <w:color w:val="004EA8"/>
        </w:rPr>
        <w:t>•</w:t>
        <w:tab/>
      </w:r>
      <w:r>
        <w:rPr>
          <w:b/>
        </w:rPr>
        <w:t>One record of each client</w:t>
      </w:r>
      <w:r>
        <w:rPr/>
        <w:t xml:space="preserve"> across modules; duplicates are matched at onboarding and at migration (FR-DM-031 to 033).</w:t>
      </w:r>
    </w:p>
    <w:p>
      <w:pPr>
        <w:tabs>
          <w:tab w:pos="312" w:val="left"/>
        </w:tabs>
        <w:spacing w:after="40"/>
        <w:ind w:left="312" w:hanging="283"/>
      </w:pPr>
      <w:r>
        <w:rPr>
          <w:color w:val="004EA8"/>
        </w:rPr>
        <w:t>•</w:t>
        <w:tab/>
      </w:r>
      <w:r>
        <w:rPr>
          <w:b/>
        </w:rPr>
        <w:t>Configuration as data.</w:t>
      </w:r>
      <w:r>
        <w:rPr/>
        <w:t xml:space="preserve"> Every business rule value is a parameter, list of values, rule table or template with an effective date and a second-user approval (NFR-CFG-01, NFR-CFG-02).</w:t>
      </w:r>
    </w:p>
    <w:p>
      <w:pPr>
        <w:tabs>
          <w:tab w:pos="312" w:val="left"/>
        </w:tabs>
        <w:spacing w:after="40"/>
        <w:ind w:left="312" w:hanging="283"/>
      </w:pPr>
      <w:r>
        <w:rPr>
          <w:color w:val="004EA8"/>
        </w:rPr>
        <w:t>•</w:t>
        <w:tab/>
      </w:r>
      <w:r>
        <w:rPr>
          <w:b/>
        </w:rPr>
        <w:t>Data scope.</w:t>
      </w:r>
      <w:r>
        <w:rPr/>
        <w:t xml:space="preserve"> Records carry their company and branch; users act only within their scope.</w:t>
      </w:r>
    </w:p>
    <w:p>
      <w:pPr>
        <w:tabs>
          <w:tab w:pos="312" w:val="left"/>
        </w:tabs>
        <w:spacing w:after="40"/>
        <w:ind w:left="312" w:hanging="283"/>
      </w:pPr>
      <w:r>
        <w:rPr>
          <w:color w:val="004EA8"/>
        </w:rPr>
        <w:t>•</w:t>
        <w:tab/>
      </w:r>
      <w:r>
        <w:rPr>
          <w:b/>
        </w:rPr>
        <w:t>Integrity of money and ledger.</w:t>
      </w:r>
      <w:r>
        <w:rPr/>
        <w:t xml:space="preserve"> Ledger entries are never changed: corrections are reversals; document numbers are gapless; journals balance.</w:t>
      </w:r>
    </w:p>
    <w:p>
      <w:pPr>
        <w:tabs>
          <w:tab w:pos="312" w:val="left"/>
        </w:tabs>
        <w:spacing w:after="40"/>
        <w:ind w:left="312" w:hanging="283"/>
      </w:pPr>
      <w:r>
        <w:rPr>
          <w:color w:val="004EA8"/>
        </w:rPr>
        <w:t>•</w:t>
        <w:tab/>
      </w:r>
      <w:r>
        <w:rPr>
          <w:b/>
        </w:rPr>
        <w:t>Base currency</w:t>
      </w:r>
      <w:r>
        <w:rPr/>
        <w:t xml:space="preserve"> PHP from the company record; other currencies with daily and month-end rates (NFR-LOC-03).</w:t>
      </w:r>
    </w:p>
    <w:p>
      <w:pPr>
        <w:tabs>
          <w:tab w:pos="312" w:val="left"/>
        </w:tabs>
        <w:spacing w:after="40"/>
        <w:ind w:left="312" w:hanging="283"/>
      </w:pPr>
      <w:r>
        <w:rPr>
          <w:color w:val="004EA8"/>
        </w:rPr>
        <w:t>•</w:t>
        <w:tab/>
      </w:r>
      <w:r>
        <w:rPr>
          <w:b/>
        </w:rPr>
        <w:t>Time.</w:t>
      </w:r>
      <w:r>
        <w:rPr/>
        <w:t xml:space="preserve"> The business date follows Asia/Manila; time stamps are kept in UTC (NFR-LOC-02).</w:t>
      </w:r>
    </w:p>
    <w:p>
      <w:pPr>
        <w:tabs>
          <w:tab w:pos="312" w:val="left"/>
        </w:tabs>
        <w:spacing w:after="120"/>
        <w:ind w:left="312" w:hanging="283"/>
      </w:pPr>
      <w:r>
        <w:rPr>
          <w:color w:val="004EA8"/>
        </w:rPr>
        <w:t>•</w:t>
        <w:tab/>
      </w:r>
      <w:r>
        <w:rPr>
          <w:b/>
        </w:rPr>
        <w:t>Masking.</w:t>
      </w:r>
      <w:r>
        <w:rPr/>
        <w:t xml:space="preserve"> Personal data is masked in every non-production environment (NFR-PRV-01).</w:t>
      </w:r>
    </w:p>
    <w:p>
      <w:pPr>
        <w:pStyle w:val="Heading2"/>
      </w:pPr>
      <w:bookmarkStart w:id="127" w:name="_Toc000127"/>
      <w:r>
        <w:rPr/>
        <w:t>7.3 Volumes, migration and retention</w:t>
      </w:r>
      <w:bookmarkEnd w:id="127"/>
    </w:p>
    <w:p>
      <w:pPr>
        <w:tabs>
          <w:tab w:pos="312" w:val="left"/>
        </w:tabs>
        <w:spacing w:after="40"/>
        <w:ind w:left="312" w:hanging="283"/>
      </w:pPr>
      <w:r>
        <w:rPr>
          <w:color w:val="004EA8"/>
        </w:rPr>
        <w:t>•</w:t>
        <w:tab/>
      </w:r>
      <w:r>
        <w:rPr/>
        <w:t>Volumes and growth follow NFR-CAP-02 and NFR-CAP-03: Year 1: New Business 21,200 transactions and 1,300 endorsements a month; Renewal 25,800 a month; Collections 1,200 updates a day; Claims 55 bookings and 1,096 updates a day; CSF 144,400 a year; Submitted Policies 63,000 sanitations a year. Growth 20% a year (Submitted Policies 25%).</w:t>
      </w:r>
    </w:p>
    <w:p>
      <w:pPr>
        <w:tabs>
          <w:tab w:pos="312" w:val="left"/>
        </w:tabs>
        <w:spacing w:after="40"/>
        <w:ind w:left="312" w:hanging="283"/>
      </w:pPr>
      <w:r>
        <w:rPr>
          <w:color w:val="004EA8"/>
        </w:rPr>
        <w:t>•</w:t>
        <w:tab/>
      </w:r>
      <w:r>
        <w:rPr/>
        <w:t>Migration (BRD-13) moves reference data, clients, accounts, open items and the legacy invoices BIBS still needs, reconciled at levels L1 to L5, in four trial migrations, a dress rehearsal and the production load of the cut-over (Data Migration Handbook).</w:t>
      </w:r>
    </w:p>
    <w:p>
      <w:pPr>
        <w:tabs>
          <w:tab w:pos="312" w:val="left"/>
        </w:tabs>
        <w:spacing w:after="120"/>
        <w:ind w:left="312" w:hanging="283"/>
      </w:pPr>
      <w:r>
        <w:rPr>
          <w:color w:val="004EA8"/>
        </w:rPr>
        <w:t>•</w:t>
        <w:tab/>
      </w:r>
      <w:r>
        <w:rPr/>
        <w:t>Retention is set per record type (NFR-RET-01): Default 5 years online and 15 years archive; Claims 10 years online and 15 archive; Accounting vouchers and reports, Sanction Screening and Submitted Policies 5 years online and 5 archive. Archive and purge run only after BDOI's retention decision (Q39).</w:t>
      </w:r>
    </w:p>
    <w:p>
      <w:pPr>
        <w:pStyle w:val="Heading1"/>
        <w:pageBreakBefore/>
        <w:pBdr>
          <w:bottom w:val="single" w:sz="4" w:space="4" w:color="99C1E7"/>
        </w:pBdr>
      </w:pPr>
      <w:bookmarkStart w:id="128" w:name="_Toc000128"/>
      <w:r>
        <w:rPr/>
        <w:t>8 Non-functional requirements</w:t>
      </w:r>
      <w:bookmarkEnd w:id="128"/>
    </w:p>
    <w:p>
      <w:r>
        <w:rPr/>
        <w:t xml:space="preserve">The non-functional requirements are specified in the companion document </w:t>
      </w:r>
      <w:r>
        <w:rPr>
          <w:i/>
        </w:rPr>
        <w:t>Non-Functional Requirements</w:t>
      </w:r>
      <w:r>
        <w:rPr/>
        <w:t xml:space="preserve"> v1.0: 99 NFRs in 18 categories, each with an ID, a measurable target, the verification method, the owner and the test type (53 aligned with the sources, 15 waiting for a BDOI decision between conflicting BRD values, 31 proposed by iorta TechNXT). The headline targets are:</w:t>
      </w:r>
    </w:p>
    <w:p>
      <w:pPr>
        <w:pStyle w:val="Caption"/>
        <w:keepNext/>
        <w:spacing w:after="60"/>
      </w:pPr>
      <w:r>
        <w:rPr>
          <w:b/>
          <w:i w:val="0"/>
        </w:rPr>
        <w:t xml:space="preserve">Table 11: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ageBreakBefore/>
        <w:pBdr>
          <w:bottom w:val="single" w:sz="4" w:space="4" w:color="99C1E7"/>
        </w:pBdr>
      </w:pPr>
      <w:bookmarkStart w:id="129" w:name="_Toc000129"/>
      <w:r>
        <w:rPr/>
        <w:t>9 Constraints</w:t>
      </w:r>
      <w:bookmarkEnd w:id="129"/>
    </w:p>
    <w:p>
      <w:pPr>
        <w:pStyle w:val="Caption"/>
        <w:keepNext/>
        <w:spacing w:after="60"/>
      </w:pPr>
      <w:r>
        <w:rPr>
          <w:b/>
          <w:i w:val="0"/>
        </w:rPr>
        <w:t xml:space="preserve">Table 12: </w:t>
      </w:r>
      <w:r>
        <w:rPr/>
        <w:t>Constraints on the solution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767"/>
        <w:gridCol w:w="2042"/>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Constraint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Statement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163"/>
            <w:tcMar>
              <w:top w:w="50" w:type="dxa"/>
              <w:bottom w:w="50" w:type="dxa"/>
              <w:left w:w="90" w:type="dxa"/>
              <w:right w:w="90" w:type="dxa"/>
            </w:tcMar>
          </w:tcPr>
          <w:p>
            <w:pPr>
              <w:pStyle w:val="BDOITable"/>
            </w:pPr>
            <w:r>
              <w:rPr>
                <w:sz w:val="17"/>
              </w:rPr>
              <w:t>Single go-live</w:t>
            </w:r>
          </w:p>
        </w:tc>
        <w:tc>
          <w:tcPr>
            <w:tcW w:type="dxa" w:w="5767"/>
            <w:tcMar>
              <w:top w:w="50" w:type="dxa"/>
              <w:bottom w:w="50" w:type="dxa"/>
              <w:left w:w="90" w:type="dxa"/>
              <w:right w:w="90" w:type="dxa"/>
            </w:tcMar>
          </w:tcPr>
          <w:p>
            <w:pPr>
              <w:pStyle w:val="BDOITable"/>
            </w:pPr>
            <w:r>
              <w:rPr>
                <w:sz w:val="17"/>
              </w:rPr>
              <w:t>All modules go live together in January 2028; proposed T = Monday 3 January 2028, legacy freeze after the end of day of 31 December 2027</w:t>
            </w:r>
          </w:p>
        </w:tc>
        <w:tc>
          <w:tcPr>
            <w:tcW w:type="dxa" w:w="2042"/>
            <w:tcMar>
              <w:top w:w="50" w:type="dxa"/>
              <w:bottom w:w="50" w:type="dxa"/>
              <w:left w:w="90" w:type="dxa"/>
              <w:right w:w="90" w:type="dxa"/>
            </w:tcMar>
          </w:tcPr>
          <w:p>
            <w:pPr>
              <w:pStyle w:val="BDOITable"/>
            </w:pPr>
            <w:r>
              <w:rPr>
                <w:sz w:val="17"/>
              </w:rPr>
              <w:t>BDOI answer A1; project plan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Broker scope</w:t>
            </w:r>
          </w:p>
        </w:tc>
        <w:tc>
          <w:tcPr>
            <w:tcW w:type="dxa" w:w="5767"/>
            <w:tcMar>
              <w:top w:w="50" w:type="dxa"/>
              <w:bottom w:w="50" w:type="dxa"/>
              <w:left w:w="90" w:type="dxa"/>
              <w:right w:w="90" w:type="dxa"/>
            </w:tcMar>
            <w:shd w:val="clear" w:color="auto" w:fill="E5F5FF"/>
          </w:tcPr>
          <w:p>
            <w:pPr>
              <w:pStyle w:val="BDOITable"/>
            </w:pPr>
            <w:r>
              <w:rPr>
                <w:sz w:val="17"/>
              </w:rPr>
              <w:t>BIBS records the insurer's policy, premium, reserve and settlement as information; it does not underwrite, pay claims or keep insurer books</w:t>
            </w:r>
          </w:p>
        </w:tc>
        <w:tc>
          <w:tcPr>
            <w:tcW w:type="dxa" w:w="2042"/>
            <w:tcMar>
              <w:top w:w="50" w:type="dxa"/>
              <w:bottom w:w="50" w:type="dxa"/>
              <w:left w:w="90" w:type="dxa"/>
              <w:right w:w="90" w:type="dxa"/>
            </w:tcMar>
            <w:shd w:val="clear" w:color="auto" w:fill="E5F5FF"/>
          </w:tcPr>
          <w:p>
            <w:pPr>
              <w:pStyle w:val="BDOITable"/>
            </w:pPr>
            <w:r>
              <w:rPr>
                <w:sz w:val="17"/>
              </w:rPr>
              <w:t>BRD-7 scope; client instruction of 8 October 2026</w:t>
            </w:r>
          </w:p>
        </w:tc>
      </w:tr>
      <w:tr>
        <w:trPr>
          <w:cantSplit w:val="true"/>
        </w:trPr>
        <w:tc>
          <w:tcPr>
            <w:tcW w:type="dxa" w:w="2163"/>
            <w:tcMar>
              <w:top w:w="50" w:type="dxa"/>
              <w:bottom w:w="50" w:type="dxa"/>
              <w:left w:w="90" w:type="dxa"/>
              <w:right w:w="90" w:type="dxa"/>
            </w:tcMar>
          </w:tcPr>
          <w:p>
            <w:pPr>
              <w:pStyle w:val="BDOITable"/>
            </w:pPr>
            <w:r>
              <w:rPr>
                <w:sz w:val="17"/>
              </w:rPr>
              <w:t>Component baseline</w:t>
            </w:r>
          </w:p>
        </w:tc>
        <w:tc>
          <w:tcPr>
            <w:tcW w:type="dxa" w:w="5767"/>
            <w:tcMar>
              <w:top w:w="50" w:type="dxa"/>
              <w:bottom w:w="50" w:type="dxa"/>
              <w:left w:w="90" w:type="dxa"/>
              <w:right w:w="90" w:type="dxa"/>
            </w:tcMar>
          </w:tcPr>
          <w:p>
            <w:pPr>
              <w:pStyle w:val="BDOITable"/>
            </w:pPr>
            <w:r>
              <w:rPr>
                <w:sz w:val="17"/>
              </w:rPr>
              <w:t>PostgreSQL 16, Valkey 8 (in place of Redis), Apache Kafka 3.9, OpenJDK 21 LTS, Spring Boot 3.5, React, with Node 22 LTS used only to compile the web screens, nginx web tier, managed Kubernetes with the Gateway API (in place of ingress-nginx)</w:t>
            </w:r>
          </w:p>
        </w:tc>
        <w:tc>
          <w:tcPr>
            <w:tcW w:type="dxa" w:w="2042"/>
            <w:tcMar>
              <w:top w:w="50" w:type="dxa"/>
              <w:bottom w:w="50" w:type="dxa"/>
              <w:left w:w="90" w:type="dxa"/>
              <w:right w:w="90" w:type="dxa"/>
            </w:tcMar>
          </w:tcPr>
          <w:p>
            <w:pPr>
              <w:pStyle w:val="BDOITable"/>
            </w:pPr>
            <w:r>
              <w:rPr>
                <w:sz w:val="17"/>
              </w:rPr>
              <w:t>Client decisions of 8 October 2026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Application structure</w:t>
            </w:r>
          </w:p>
        </w:tc>
        <w:tc>
          <w:tcPr>
            <w:tcW w:type="dxa" w:w="5767"/>
            <w:tcMar>
              <w:top w:w="50" w:type="dxa"/>
              <w:bottom w:w="50" w:type="dxa"/>
              <w:left w:w="90" w:type="dxa"/>
              <w:right w:w="90" w:type="dxa"/>
            </w:tcMar>
            <w:shd w:val="clear" w:color="auto" w:fill="E5F5FF"/>
          </w:tcPr>
          <w:p>
            <w:pPr>
              <w:pStyle w:val="BDOITable"/>
            </w:pPr>
            <w:r>
              <w:rPr>
                <w:sz w:val="17"/>
              </w:rPr>
              <w:t>One modular application with a module per business area and separate web, jobs and integration workloads</w:t>
            </w:r>
          </w:p>
        </w:tc>
        <w:tc>
          <w:tcPr>
            <w:tcW w:type="dxa" w:w="2042"/>
            <w:tcMar>
              <w:top w:w="50" w:type="dxa"/>
              <w:bottom w:w="50" w:type="dxa"/>
              <w:left w:w="90" w:type="dxa"/>
              <w:right w:w="90" w:type="dxa"/>
            </w:tcMar>
            <w:shd w:val="clear" w:color="auto" w:fill="E5F5FF"/>
          </w:tcPr>
          <w:p>
            <w:pPr>
              <w:pStyle w:val="BDOITable"/>
            </w:pPr>
            <w:r>
              <w:rPr>
                <w:sz w:val="17"/>
              </w:rPr>
              <w:t>Architecture option decision</w:t>
            </w:r>
          </w:p>
        </w:tc>
      </w:tr>
      <w:tr>
        <w:trPr>
          <w:cantSplit w:val="true"/>
        </w:trPr>
        <w:tc>
          <w:tcPr>
            <w:tcW w:type="dxa" w:w="2163"/>
            <w:tcMar>
              <w:top w:w="50" w:type="dxa"/>
              <w:bottom w:w="50" w:type="dxa"/>
              <w:left w:w="90" w:type="dxa"/>
              <w:right w:w="90" w:type="dxa"/>
            </w:tcMar>
          </w:tcPr>
          <w:p>
            <w:pPr>
              <w:pStyle w:val="BDOITable"/>
            </w:pPr>
            <w:r>
              <w:rPr>
                <w:sz w:val="17"/>
              </w:rPr>
              <w:t>Hosting</w:t>
            </w:r>
          </w:p>
        </w:tc>
        <w:tc>
          <w:tcPr>
            <w:tcW w:type="dxa" w:w="5767"/>
            <w:tcMar>
              <w:top w:w="50" w:type="dxa"/>
              <w:bottom w:w="50" w:type="dxa"/>
              <w:left w:w="90" w:type="dxa"/>
              <w:right w:w="90" w:type="dxa"/>
            </w:tcMar>
          </w:tcPr>
          <w:p>
            <w:pPr>
              <w:pStyle w:val="BDOITable"/>
            </w:pPr>
            <w:r>
              <w:rPr>
                <w:sz w:val="17"/>
              </w:rPr>
              <w:t>AWS ap-southeast-1; production access only by named personnel in the Philippines; DR region named by BDOI IT after the data-residency check</w:t>
            </w:r>
          </w:p>
        </w:tc>
        <w:tc>
          <w:tcPr>
            <w:tcW w:type="dxa" w:w="2042"/>
            <w:tcMar>
              <w:top w:w="50" w:type="dxa"/>
              <w:bottom w:w="50" w:type="dxa"/>
              <w:left w:w="90" w:type="dxa"/>
              <w:right w:w="90" w:type="dxa"/>
            </w:tcMar>
          </w:tcPr>
          <w:p>
            <w:pPr>
              <w:pStyle w:val="BDOITable"/>
            </w:pPr>
            <w:r>
              <w:rPr>
                <w:sz w:val="17"/>
              </w:rPr>
              <w:t>Hosting appendix; IER; IQ26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Documents</w:t>
            </w:r>
          </w:p>
        </w:tc>
        <w:tc>
          <w:tcPr>
            <w:tcW w:type="dxa" w:w="5767"/>
            <w:tcMar>
              <w:top w:w="50" w:type="dxa"/>
              <w:bottom w:w="50" w:type="dxa"/>
              <w:left w:w="90" w:type="dxa"/>
              <w:right w:w="90" w:type="dxa"/>
            </w:tcMar>
            <w:shd w:val="clear" w:color="auto" w:fill="E5F5FF"/>
          </w:tcPr>
          <w:p>
            <w:pPr>
              <w:pStyle w:val="BDOITable"/>
            </w:pPr>
            <w:r>
              <w:rPr>
                <w:sz w:val="17"/>
              </w:rPr>
              <w:t>Every document and attachment in the S3 document store; no document storage in ECM</w:t>
            </w:r>
          </w:p>
        </w:tc>
        <w:tc>
          <w:tcPr>
            <w:tcW w:type="dxa" w:w="2042"/>
            <w:tcMar>
              <w:top w:w="50" w:type="dxa"/>
              <w:bottom w:w="50" w:type="dxa"/>
              <w:left w:w="90" w:type="dxa"/>
              <w:right w:w="90" w:type="dxa"/>
            </w:tcMar>
            <w:shd w:val="clear" w:color="auto" w:fill="E5F5FF"/>
          </w:tcPr>
          <w:p>
            <w:pPr>
              <w:pStyle w:val="BDOITable"/>
            </w:pPr>
            <w:r>
              <w:rPr>
                <w:sz w:val="17"/>
              </w:rPr>
              <w:t>BDOI answer A4</w:t>
            </w:r>
          </w:p>
        </w:tc>
      </w:tr>
      <w:tr>
        <w:trPr>
          <w:cantSplit w:val="true"/>
        </w:trPr>
        <w:tc>
          <w:tcPr>
            <w:tcW w:type="dxa" w:w="2163"/>
            <w:tcMar>
              <w:top w:w="50" w:type="dxa"/>
              <w:bottom w:w="50" w:type="dxa"/>
              <w:left w:w="90" w:type="dxa"/>
              <w:right w:w="90" w:type="dxa"/>
            </w:tcMar>
          </w:tcPr>
          <w:p>
            <w:pPr>
              <w:pStyle w:val="BDOITable"/>
            </w:pPr>
            <w:r>
              <w:rPr>
                <w:sz w:val="17"/>
              </w:rPr>
              <w:t>Identity</w:t>
            </w:r>
          </w:p>
        </w:tc>
        <w:tc>
          <w:tcPr>
            <w:tcW w:type="dxa" w:w="5767"/>
            <w:tcMar>
              <w:top w:w="50" w:type="dxa"/>
              <w:bottom w:w="50" w:type="dxa"/>
              <w:left w:w="90" w:type="dxa"/>
              <w:right w:w="90" w:type="dxa"/>
            </w:tcMar>
          </w:tcPr>
          <w:p>
            <w:pPr>
              <w:pStyle w:val="BDOITable"/>
            </w:pPr>
            <w:r>
              <w:rPr>
                <w:sz w:val="17"/>
              </w:rPr>
              <w:t>Sign-in through EIAM; provisioning from UIDM-ISC; integrations through Apigee X</w:t>
            </w:r>
          </w:p>
        </w:tc>
        <w:tc>
          <w:tcPr>
            <w:tcW w:type="dxa" w:w="2042"/>
            <w:tcMar>
              <w:top w:w="50" w:type="dxa"/>
              <w:bottom w:w="50" w:type="dxa"/>
              <w:left w:w="90" w:type="dxa"/>
              <w:right w:w="90" w:type="dxa"/>
            </w:tcMar>
          </w:tcPr>
          <w:p>
            <w:pPr>
              <w:pStyle w:val="BDOITable"/>
            </w:pPr>
            <w:r>
              <w:rPr>
                <w:sz w:val="17"/>
              </w:rPr>
              <w:t>Drop plan integrations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Environments</w:t>
            </w:r>
          </w:p>
        </w:tc>
        <w:tc>
          <w:tcPr>
            <w:tcW w:type="dxa" w:w="5767"/>
            <w:tcMar>
              <w:top w:w="50" w:type="dxa"/>
              <w:bottom w:w="50" w:type="dxa"/>
              <w:left w:w="90" w:type="dxa"/>
              <w:right w:w="90" w:type="dxa"/>
            </w:tcMar>
            <w:shd w:val="clear" w:color="auto" w:fill="E5F5FF"/>
          </w:tcPr>
          <w:p>
            <w:pPr>
              <w:pStyle w:val="BDOITable"/>
            </w:pPr>
            <w:r>
              <w:rPr>
                <w:sz w:val="17"/>
              </w:rPr>
              <w:t>DEV, SIT, UAT, Pre-Prod, PROD and DR; non-production runs 12 x 5, production 24 x 7</w:t>
            </w:r>
          </w:p>
        </w:tc>
        <w:tc>
          <w:tcPr>
            <w:tcW w:type="dxa" w:w="2042"/>
            <w:tcMar>
              <w:top w:w="50" w:type="dxa"/>
              <w:bottom w:w="50" w:type="dxa"/>
              <w:left w:w="90" w:type="dxa"/>
              <w:right w:w="90" w:type="dxa"/>
            </w:tcMar>
            <w:shd w:val="clear" w:color="auto" w:fill="E5F5FF"/>
          </w:tcPr>
          <w:p>
            <w:pPr>
              <w:pStyle w:val="BDOITable"/>
            </w:pPr>
            <w:r>
              <w:rPr>
                <w:sz w:val="17"/>
              </w:rPr>
              <w:t>IER assumptions 3 and 4</w:t>
            </w:r>
          </w:p>
        </w:tc>
      </w:tr>
      <w:tr>
        <w:trPr>
          <w:cantSplit w:val="true"/>
        </w:trPr>
        <w:tc>
          <w:tcPr>
            <w:tcW w:type="dxa" w:w="2163"/>
            <w:tcMar>
              <w:top w:w="50" w:type="dxa"/>
              <w:bottom w:w="50" w:type="dxa"/>
              <w:left w:w="90" w:type="dxa"/>
              <w:right w:w="90" w:type="dxa"/>
            </w:tcMar>
          </w:tcPr>
          <w:p>
            <w:pPr>
              <w:pStyle w:val="BDOITable"/>
            </w:pPr>
            <w:r>
              <w:rPr>
                <w:sz w:val="17"/>
              </w:rPr>
              <w:t>Devices</w:t>
            </w:r>
          </w:p>
        </w:tc>
        <w:tc>
          <w:tcPr>
            <w:tcW w:type="dxa" w:w="5767"/>
            <w:tcMar>
              <w:top w:w="50" w:type="dxa"/>
              <w:bottom w:w="50" w:type="dxa"/>
              <w:left w:w="90" w:type="dxa"/>
              <w:right w:w="90" w:type="dxa"/>
            </w:tcMar>
          </w:tcPr>
          <w:p>
            <w:pPr>
              <w:pStyle w:val="BDOITable"/>
            </w:pPr>
            <w:r>
              <w:rPr>
                <w:sz w:val="17"/>
              </w:rPr>
              <w:t>Browser only; same functions on mobile and desktop</w:t>
            </w:r>
          </w:p>
        </w:tc>
        <w:tc>
          <w:tcPr>
            <w:tcW w:type="dxa" w:w="2042"/>
            <w:tcMar>
              <w:top w:w="50" w:type="dxa"/>
              <w:bottom w:w="50" w:type="dxa"/>
              <w:left w:w="90" w:type="dxa"/>
              <w:right w:w="90" w:type="dxa"/>
            </w:tcMar>
          </w:tcPr>
          <w:p>
            <w:pPr>
              <w:pStyle w:val="BDOITable"/>
            </w:pPr>
            <w:r>
              <w:rPr>
                <w:sz w:val="17"/>
              </w:rPr>
              <w:t>BRD usage requirements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Reinsurance</w:t>
            </w:r>
          </w:p>
        </w:tc>
        <w:tc>
          <w:tcPr>
            <w:tcW w:type="dxa" w:w="5767"/>
            <w:tcMar>
              <w:top w:w="50" w:type="dxa"/>
              <w:bottom w:w="50" w:type="dxa"/>
              <w:left w:w="90" w:type="dxa"/>
              <w:right w:w="90" w:type="dxa"/>
            </w:tcMar>
            <w:shd w:val="clear" w:color="auto" w:fill="E5F5FF"/>
          </w:tcPr>
          <w:p>
            <w:pPr>
              <w:pStyle w:val="BDOITable"/>
            </w:pPr>
            <w:r>
              <w:rPr>
                <w:sz w:val="17"/>
              </w:rPr>
              <w:t>Reinsurance module in phase 2; reinsurance transactions through Remittance in phase 1</w:t>
            </w:r>
          </w:p>
        </w:tc>
        <w:tc>
          <w:tcPr>
            <w:tcW w:type="dxa" w:w="2042"/>
            <w:tcMar>
              <w:top w:w="50" w:type="dxa"/>
              <w:bottom w:w="50" w:type="dxa"/>
              <w:left w:w="90" w:type="dxa"/>
              <w:right w:w="90" w:type="dxa"/>
            </w:tcMar>
            <w:shd w:val="clear" w:color="auto" w:fill="E5F5FF"/>
          </w:tcPr>
          <w:p>
            <w:pPr>
              <w:pStyle w:val="BDOITable"/>
            </w:pPr>
            <w:r>
              <w:rPr>
                <w:sz w:val="17"/>
              </w:rPr>
              <w:t>BDOI answer A3</w:t>
            </w:r>
          </w:p>
        </w:tc>
      </w:tr>
    </w:tbl>
    <w:p>
      <w:pPr>
        <w:pStyle w:val="BDOISpacer"/>
      </w:pPr>
    </w:p>
    <w:p>
      <w:pPr>
        <w:pStyle w:val="Heading1"/>
        <w:pageBreakBefore/>
        <w:pBdr>
          <w:bottom w:val="single" w:sz="4" w:space="4" w:color="99C1E7"/>
        </w:pBdr>
      </w:pPr>
      <w:bookmarkStart w:id="130" w:name="_Toc000130"/>
      <w:r>
        <w:rPr/>
        <w:t>10 Assumptions and dependencies</w:t>
      </w:r>
      <w:bookmarkEnd w:id="130"/>
    </w:p>
    <w:p>
      <w:pPr>
        <w:pStyle w:val="Heading2"/>
      </w:pPr>
      <w:bookmarkStart w:id="131" w:name="_Toc000131"/>
      <w:r>
        <w:rPr/>
        <w:t>10.1 Assumptions</w:t>
      </w:r>
      <w:bookmarkEnd w:id="131"/>
    </w:p>
    <w:p>
      <w:pPr>
        <w:pStyle w:val="Caption"/>
        <w:keepNext/>
        <w:spacing w:after="60"/>
      </w:pPr>
      <w:r>
        <w:rPr>
          <w:b/>
          <w:i w:val="0"/>
        </w:rPr>
        <w:t xml:space="preserve">Table 13: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849"/>
        <w:gridCol w:w="216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961"/>
            <w:tcMar>
              <w:top w:w="50" w:type="dxa"/>
              <w:bottom w:w="50" w:type="dxa"/>
              <w:left w:w="90" w:type="dxa"/>
              <w:right w:w="90" w:type="dxa"/>
            </w:tcMar>
          </w:tcPr>
          <w:p>
            <w:pPr>
              <w:pStyle w:val="BDOITable"/>
            </w:pPr>
            <w:r>
              <w:rPr>
                <w:sz w:val="17"/>
              </w:rPr>
              <w:t>SA-01</w:t>
            </w:r>
          </w:p>
        </w:tc>
        <w:tc>
          <w:tcPr>
            <w:tcW w:type="dxa" w:w="6848"/>
            <w:tcMar>
              <w:top w:w="50" w:type="dxa"/>
              <w:bottom w:w="50" w:type="dxa"/>
              <w:left w:w="90" w:type="dxa"/>
              <w:right w:w="90" w:type="dxa"/>
            </w:tcMar>
          </w:tcPr>
          <w:p>
            <w:pPr>
              <w:pStyle w:val="BDOITable"/>
            </w:pPr>
            <w:r>
              <w:rPr>
                <w:sz w:val="17"/>
              </w:rPr>
              <w:t>The function BRDs and their FRS govern the business processes; the umbrella BRD adds the cross-cutting requirements</w:t>
            </w:r>
          </w:p>
        </w:tc>
        <w:tc>
          <w:tcPr>
            <w:tcW w:type="dxa" w:w="2163"/>
            <w:tcMar>
              <w:top w:w="50" w:type="dxa"/>
              <w:bottom w:w="50" w:type="dxa"/>
              <w:left w:w="90" w:type="dxa"/>
              <w:right w:w="90" w:type="dxa"/>
            </w:tcMar>
          </w:tcPr>
          <w:p>
            <w:pPr>
              <w:pStyle w:val="BDOITable"/>
            </w:pPr>
            <w:r>
              <w:rPr>
                <w:sz w:val="17"/>
              </w:rPr>
              <w:t>FRS BRD-00 A-CR-01</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SA-02</w:t>
            </w:r>
          </w:p>
        </w:tc>
        <w:tc>
          <w:tcPr>
            <w:tcW w:type="dxa" w:w="6848"/>
            <w:tcMar>
              <w:top w:w="50" w:type="dxa"/>
              <w:bottom w:w="50" w:type="dxa"/>
              <w:left w:w="90" w:type="dxa"/>
              <w:right w:w="90" w:type="dxa"/>
            </w:tcMar>
            <w:shd w:val="clear" w:color="auto" w:fill="E5F5FF"/>
          </w:tcPr>
          <w:p>
            <w:pPr>
              <w:pStyle w:val="BDOITable"/>
            </w:pPr>
            <w:r>
              <w:rPr>
                <w:sz w:val="17"/>
              </w:rPr>
              <w:t>The BRD versions of 8 October 2026 are the baseline of phase 1; later changes pass the change-control process</w:t>
            </w:r>
          </w:p>
        </w:tc>
        <w:tc>
          <w:tcPr>
            <w:tcW w:type="dxa" w:w="2163"/>
            <w:tcMar>
              <w:top w:w="50" w:type="dxa"/>
              <w:bottom w:w="50" w:type="dxa"/>
              <w:left w:w="90" w:type="dxa"/>
              <w:right w:w="90" w:type="dxa"/>
            </w:tcMar>
            <w:shd w:val="clear" w:color="auto" w:fill="E5F5FF"/>
          </w:tcPr>
          <w:p>
            <w:pPr>
              <w:pStyle w:val="BDOITable"/>
            </w:pPr>
            <w:r>
              <w:rPr>
                <w:sz w:val="17"/>
              </w:rPr>
              <w:t>Change management register</w:t>
            </w:r>
          </w:p>
        </w:tc>
      </w:tr>
      <w:tr>
        <w:trPr>
          <w:cantSplit w:val="true"/>
        </w:trPr>
        <w:tc>
          <w:tcPr>
            <w:tcW w:type="dxa" w:w="961"/>
            <w:tcMar>
              <w:top w:w="50" w:type="dxa"/>
              <w:bottom w:w="50" w:type="dxa"/>
              <w:left w:w="90" w:type="dxa"/>
              <w:right w:w="90" w:type="dxa"/>
            </w:tcMar>
          </w:tcPr>
          <w:p>
            <w:pPr>
              <w:pStyle w:val="BDOITable"/>
            </w:pPr>
            <w:r>
              <w:rPr>
                <w:sz w:val="17"/>
              </w:rPr>
              <w:t>SA-03</w:t>
            </w:r>
          </w:p>
        </w:tc>
        <w:tc>
          <w:tcPr>
            <w:tcW w:type="dxa" w:w="6848"/>
            <w:tcMar>
              <w:top w:w="50" w:type="dxa"/>
              <w:bottom w:w="50" w:type="dxa"/>
              <w:left w:w="90" w:type="dxa"/>
              <w:right w:w="90" w:type="dxa"/>
            </w:tcMar>
          </w:tcPr>
          <w:p>
            <w:pPr>
              <w:pStyle w:val="BDOITable"/>
            </w:pPr>
            <w:r>
              <w:rPr>
                <w:sz w:val="17"/>
              </w:rPr>
              <w:t>The insurers keep issuing policies, invoices and claim decisions in their own systems; BIBS exchanges files or messages with them</w:t>
            </w:r>
          </w:p>
        </w:tc>
        <w:tc>
          <w:tcPr>
            <w:tcW w:type="dxa" w:w="2163"/>
            <w:tcMar>
              <w:top w:w="50" w:type="dxa"/>
              <w:bottom w:w="50" w:type="dxa"/>
              <w:left w:w="90" w:type="dxa"/>
              <w:right w:w="90" w:type="dxa"/>
            </w:tcMar>
          </w:tcPr>
          <w:p>
            <w:pPr>
              <w:pStyle w:val="BDOITable"/>
            </w:pPr>
            <w:r>
              <w:rPr>
                <w:sz w:val="17"/>
              </w:rPr>
              <w:t>Integration INT-19</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SA-04</w:t>
            </w:r>
          </w:p>
        </w:tc>
        <w:tc>
          <w:tcPr>
            <w:tcW w:type="dxa" w:w="6848"/>
            <w:tcMar>
              <w:top w:w="50" w:type="dxa"/>
              <w:bottom w:w="50" w:type="dxa"/>
              <w:left w:w="90" w:type="dxa"/>
              <w:right w:w="90" w:type="dxa"/>
            </w:tcMar>
            <w:shd w:val="clear" w:color="auto" w:fill="E5F5FF"/>
          </w:tcPr>
          <w:p>
            <w:pPr>
              <w:pStyle w:val="BDOITable"/>
            </w:pPr>
            <w:r>
              <w:rPr>
                <w:sz w:val="17"/>
              </w:rPr>
              <w:t>Users work on BDO-issued devices on the BDO network</w:t>
            </w:r>
          </w:p>
        </w:tc>
        <w:tc>
          <w:tcPr>
            <w:tcW w:type="dxa" w:w="2163"/>
            <w:tcMar>
              <w:top w:w="50" w:type="dxa"/>
              <w:bottom w:w="50" w:type="dxa"/>
              <w:left w:w="90" w:type="dxa"/>
              <w:right w:w="90" w:type="dxa"/>
            </w:tcMar>
            <w:shd w:val="clear" w:color="auto" w:fill="E5F5FF"/>
          </w:tcPr>
          <w:p>
            <w:pPr>
              <w:pStyle w:val="BDOITable"/>
            </w:pPr>
            <w:r>
              <w:rPr>
                <w:sz w:val="17"/>
              </w:rPr>
              <w:t>BRD usage requirements</w:t>
            </w:r>
          </w:p>
        </w:tc>
      </w:tr>
      <w:tr>
        <w:trPr>
          <w:cantSplit w:val="true"/>
        </w:trPr>
        <w:tc>
          <w:tcPr>
            <w:tcW w:type="dxa" w:w="961"/>
            <w:tcMar>
              <w:top w:w="50" w:type="dxa"/>
              <w:bottom w:w="50" w:type="dxa"/>
              <w:left w:w="90" w:type="dxa"/>
              <w:right w:w="90" w:type="dxa"/>
            </w:tcMar>
          </w:tcPr>
          <w:p>
            <w:pPr>
              <w:pStyle w:val="BDOITable"/>
            </w:pPr>
            <w:r>
              <w:rPr>
                <w:sz w:val="17"/>
              </w:rPr>
              <w:t>SA-05</w:t>
            </w:r>
          </w:p>
        </w:tc>
        <w:tc>
          <w:tcPr>
            <w:tcW w:type="dxa" w:w="6848"/>
            <w:tcMar>
              <w:top w:w="50" w:type="dxa"/>
              <w:bottom w:w="50" w:type="dxa"/>
              <w:left w:w="90" w:type="dxa"/>
              <w:right w:w="90" w:type="dxa"/>
            </w:tcMar>
          </w:tcPr>
          <w:p>
            <w:pPr>
              <w:pStyle w:val="BDOITable"/>
            </w:pPr>
            <w:r>
              <w:rPr>
                <w:sz w:val="17"/>
              </w:rPr>
              <w:t>The BIBS-wide NFR values of the register apply until BDOI decides otherwise (XQ08)</w:t>
            </w:r>
          </w:p>
        </w:tc>
        <w:tc>
          <w:tcPr>
            <w:tcW w:type="dxa" w:w="2163"/>
            <w:tcMar>
              <w:top w:w="50" w:type="dxa"/>
              <w:bottom w:w="50" w:type="dxa"/>
              <w:left w:w="90" w:type="dxa"/>
              <w:right w:w="90" w:type="dxa"/>
            </w:tcMar>
          </w:tcPr>
          <w:p>
            <w:pPr>
              <w:pStyle w:val="BDOITable"/>
            </w:pPr>
            <w:r>
              <w:rPr>
                <w:sz w:val="17"/>
              </w:rPr>
              <w:t>NFR document</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SA-06</w:t>
            </w:r>
          </w:p>
        </w:tc>
        <w:tc>
          <w:tcPr>
            <w:tcW w:type="dxa" w:w="6848"/>
            <w:tcMar>
              <w:top w:w="50" w:type="dxa"/>
              <w:bottom w:w="50" w:type="dxa"/>
              <w:left w:w="90" w:type="dxa"/>
              <w:right w:w="90" w:type="dxa"/>
            </w:tcMar>
            <w:shd w:val="clear" w:color="auto" w:fill="E5F5FF"/>
          </w:tcPr>
          <w:p>
            <w:pPr>
              <w:pStyle w:val="BDOITable"/>
            </w:pPr>
            <w:r>
              <w:rPr>
                <w:sz w:val="17"/>
              </w:rPr>
              <w:t>Non-production environments use seed data or masked migrated data only</w:t>
            </w:r>
          </w:p>
        </w:tc>
        <w:tc>
          <w:tcPr>
            <w:tcW w:type="dxa" w:w="2163"/>
            <w:tcMar>
              <w:top w:w="50" w:type="dxa"/>
              <w:bottom w:w="50" w:type="dxa"/>
              <w:left w:w="90" w:type="dxa"/>
              <w:right w:w="90" w:type="dxa"/>
            </w:tcMar>
            <w:shd w:val="clear" w:color="auto" w:fill="E5F5FF"/>
          </w:tcPr>
          <w:p>
            <w:pPr>
              <w:pStyle w:val="BDOITable"/>
            </w:pPr>
            <w:r>
              <w:rPr>
                <w:sz w:val="17"/>
              </w:rPr>
              <w:t>NFR-PRV-01</w:t>
            </w:r>
          </w:p>
        </w:tc>
      </w:tr>
    </w:tbl>
    <w:p>
      <w:pPr>
        <w:pStyle w:val="BDOISpacer"/>
      </w:pPr>
    </w:p>
    <w:p>
      <w:pPr>
        <w:pStyle w:val="Heading2"/>
      </w:pPr>
      <w:bookmarkStart w:id="132" w:name="_Toc000132"/>
      <w:r>
        <w:rPr/>
        <w:t>10.2 Dependencies on BDOI</w:t>
      </w:r>
      <w:bookmarkEnd w:id="132"/>
    </w:p>
    <w:p>
      <w:pPr>
        <w:pStyle w:val="Caption"/>
        <w:keepNext/>
        <w:spacing w:after="60"/>
      </w:pPr>
      <w:r>
        <w:rPr>
          <w:b/>
          <w:i w:val="0"/>
        </w:rPr>
        <w:t xml:space="preserve">Table 14: </w:t>
      </w:r>
      <w:r>
        <w:rPr/>
        <w:t>Dependencies (project plan DEP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5046"/>
        <w:gridCol w:w="2162"/>
        <w:gridCol w:w="180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6"/>
              </w:rPr>
              <w:t>Dependency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Provided by</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961"/>
            <w:tcMar>
              <w:top w:w="50" w:type="dxa"/>
              <w:bottom w:w="50" w:type="dxa"/>
              <w:left w:w="90" w:type="dxa"/>
              <w:right w:w="90" w:type="dxa"/>
            </w:tcMar>
          </w:tcPr>
          <w:p>
            <w:pPr>
              <w:pStyle w:val="BDOITable"/>
            </w:pPr>
            <w:r>
              <w:rPr>
                <w:sz w:val="16"/>
              </w:rPr>
              <w:t>DEP-04</w:t>
            </w:r>
          </w:p>
        </w:tc>
        <w:tc>
          <w:tcPr>
            <w:tcW w:type="dxa" w:w="5046"/>
            <w:tcMar>
              <w:top w:w="50" w:type="dxa"/>
              <w:bottom w:w="50" w:type="dxa"/>
              <w:left w:w="90" w:type="dxa"/>
              <w:right w:w="90" w:type="dxa"/>
            </w:tcMar>
          </w:tcPr>
          <w:p>
            <w:pPr>
              <w:pStyle w:val="BDOITable"/>
            </w:pPr>
            <w:r>
              <w:rPr>
                <w:sz w:val="16"/>
              </w:rPr>
              <w:t>Sign-off of the Drop 0 sets and the Drop 1 FRS</w:t>
            </w:r>
          </w:p>
        </w:tc>
        <w:tc>
          <w:tcPr>
            <w:tcW w:type="dxa" w:w="2163"/>
            <w:tcMar>
              <w:top w:w="50" w:type="dxa"/>
              <w:bottom w:w="50" w:type="dxa"/>
              <w:left w:w="90" w:type="dxa"/>
              <w:right w:w="90" w:type="dxa"/>
            </w:tcMar>
          </w:tcPr>
          <w:p>
            <w:pPr>
              <w:pStyle w:val="BDOITable"/>
            </w:pPr>
            <w:r>
              <w:rPr>
                <w:sz w:val="16"/>
              </w:rPr>
              <w:t>Product owners</w:t>
            </w:r>
          </w:p>
        </w:tc>
        <w:tc>
          <w:tcPr>
            <w:tcW w:type="dxa" w:w="1802"/>
            <w:tcMar>
              <w:top w:w="50" w:type="dxa"/>
              <w:bottom w:w="50" w:type="dxa"/>
              <w:left w:w="90" w:type="dxa"/>
              <w:right w:w="90" w:type="dxa"/>
            </w:tcMar>
          </w:tcPr>
          <w:p>
            <w:pPr>
              <w:pStyle w:val="BDOITable"/>
            </w:pPr>
            <w:r>
              <w:rPr>
                <w:sz w:val="16"/>
              </w:rPr>
              <w:t>30 Nov 2026</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DEP-06</w:t>
            </w:r>
          </w:p>
        </w:tc>
        <w:tc>
          <w:tcPr>
            <w:tcW w:type="dxa" w:w="5046"/>
            <w:tcMar>
              <w:top w:w="50" w:type="dxa"/>
              <w:bottom w:w="50" w:type="dxa"/>
              <w:left w:w="90" w:type="dxa"/>
              <w:right w:w="90" w:type="dxa"/>
            </w:tcMar>
            <w:shd w:val="clear" w:color="auto" w:fill="E5F5FF"/>
          </w:tcPr>
          <w:p>
            <w:pPr>
              <w:pStyle w:val="BDOITable"/>
            </w:pPr>
            <w:r>
              <w:rPr>
                <w:sz w:val="16"/>
              </w:rPr>
              <w:t>SIT environment on managed Kubernetes with PostgreSQL 16, Valkey 8, Kafka 3.9, document store and Gateway API</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4 Jan 2027</w:t>
            </w:r>
          </w:p>
        </w:tc>
      </w:tr>
      <w:tr>
        <w:trPr>
          <w:cantSplit w:val="true"/>
        </w:trPr>
        <w:tc>
          <w:tcPr>
            <w:tcW w:type="dxa" w:w="961"/>
            <w:tcMar>
              <w:top w:w="50" w:type="dxa"/>
              <w:bottom w:w="50" w:type="dxa"/>
              <w:left w:w="90" w:type="dxa"/>
              <w:right w:w="90" w:type="dxa"/>
            </w:tcMar>
          </w:tcPr>
          <w:p>
            <w:pPr>
              <w:pStyle w:val="BDOITable"/>
            </w:pPr>
            <w:r>
              <w:rPr>
                <w:sz w:val="16"/>
              </w:rPr>
              <w:t>DEP-07</w:t>
            </w:r>
          </w:p>
        </w:tc>
        <w:tc>
          <w:tcPr>
            <w:tcW w:type="dxa" w:w="5046"/>
            <w:tcMar>
              <w:top w:w="50" w:type="dxa"/>
              <w:bottom w:w="50" w:type="dxa"/>
              <w:left w:w="90" w:type="dxa"/>
              <w:right w:w="90" w:type="dxa"/>
            </w:tcMar>
          </w:tcPr>
          <w:p>
            <w:pPr>
              <w:pStyle w:val="BDOITable"/>
            </w:pPr>
            <w:r>
              <w:rPr>
                <w:sz w:val="16"/>
              </w:rPr>
              <w:t>EIAM sign-in specification and application registration</w:t>
            </w:r>
          </w:p>
        </w:tc>
        <w:tc>
          <w:tcPr>
            <w:tcW w:type="dxa" w:w="2163"/>
            <w:tcMar>
              <w:top w:w="50" w:type="dxa"/>
              <w:bottom w:w="50" w:type="dxa"/>
              <w:left w:w="90" w:type="dxa"/>
              <w:right w:w="90" w:type="dxa"/>
            </w:tcMar>
          </w:tcPr>
          <w:p>
            <w:pPr>
              <w:pStyle w:val="BDOITable"/>
            </w:pPr>
            <w:r>
              <w:rPr>
                <w:sz w:val="16"/>
              </w:rPr>
              <w:t>BDO IT EIAM team</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DEP-08</w:t>
            </w:r>
          </w:p>
        </w:tc>
        <w:tc>
          <w:tcPr>
            <w:tcW w:type="dxa" w:w="5046"/>
            <w:tcMar>
              <w:top w:w="50" w:type="dxa"/>
              <w:bottom w:w="50" w:type="dxa"/>
              <w:left w:w="90" w:type="dxa"/>
              <w:right w:w="90" w:type="dxa"/>
            </w:tcMar>
            <w:shd w:val="clear" w:color="auto" w:fill="E5F5FF"/>
          </w:tcPr>
          <w:p>
            <w:pPr>
              <w:pStyle w:val="BDOITable"/>
            </w:pPr>
            <w:r>
              <w:rPr>
                <w:sz w:val="16"/>
              </w:rPr>
              <w:t>UIDM-ISC option and SCIM provisioning connector</w:t>
            </w:r>
          </w:p>
        </w:tc>
        <w:tc>
          <w:tcPr>
            <w:tcW w:type="dxa" w:w="2163"/>
            <w:tcMar>
              <w:top w:w="50" w:type="dxa"/>
              <w:bottom w:w="50" w:type="dxa"/>
              <w:left w:w="90" w:type="dxa"/>
              <w:right w:w="90" w:type="dxa"/>
            </w:tcMar>
            <w:shd w:val="clear" w:color="auto" w:fill="E5F5FF"/>
          </w:tcPr>
          <w:p>
            <w:pPr>
              <w:pStyle w:val="BDOITable"/>
            </w:pPr>
            <w:r>
              <w:rPr>
                <w:sz w:val="16"/>
              </w:rPr>
              <w:t>BDO IT IGA team</w:t>
            </w:r>
          </w:p>
        </w:tc>
        <w:tc>
          <w:tcPr>
            <w:tcW w:type="dxa" w:w="1802"/>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961"/>
            <w:tcMar>
              <w:top w:w="50" w:type="dxa"/>
              <w:bottom w:w="50" w:type="dxa"/>
              <w:left w:w="90" w:type="dxa"/>
              <w:right w:w="90" w:type="dxa"/>
            </w:tcMar>
          </w:tcPr>
          <w:p>
            <w:pPr>
              <w:pStyle w:val="BDOITable"/>
            </w:pPr>
            <w:r>
              <w:rPr>
                <w:sz w:val="16"/>
              </w:rPr>
              <w:t>DEP-10</w:t>
            </w:r>
          </w:p>
        </w:tc>
        <w:tc>
          <w:tcPr>
            <w:tcW w:type="dxa" w:w="5046"/>
            <w:tcMar>
              <w:top w:w="50" w:type="dxa"/>
              <w:bottom w:w="50" w:type="dxa"/>
              <w:left w:w="90" w:type="dxa"/>
              <w:right w:w="90" w:type="dxa"/>
            </w:tcMar>
          </w:tcPr>
          <w:p>
            <w:pPr>
              <w:pStyle w:val="BDOITable"/>
            </w:pPr>
            <w:r>
              <w:rPr>
                <w:sz w:val="16"/>
              </w:rPr>
              <w:t>Drop 2 integration specifications: EGL, EDP, CARMS, insurer exchanges</w:t>
            </w:r>
          </w:p>
        </w:tc>
        <w:tc>
          <w:tcPr>
            <w:tcW w:type="dxa" w:w="2163"/>
            <w:tcMar>
              <w:top w:w="50" w:type="dxa"/>
              <w:bottom w:w="50" w:type="dxa"/>
              <w:left w:w="90" w:type="dxa"/>
              <w:right w:w="90" w:type="dxa"/>
            </w:tcMar>
          </w:tcPr>
          <w:p>
            <w:pPr>
              <w:pStyle w:val="BDOITable"/>
            </w:pPr>
            <w:r>
              <w:rPr>
                <w:sz w:val="16"/>
              </w:rPr>
              <w:t>BDOI IT</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DEP-11</w:t>
            </w:r>
          </w:p>
        </w:tc>
        <w:tc>
          <w:tcPr>
            <w:tcW w:type="dxa" w:w="5046"/>
            <w:tcMar>
              <w:top w:w="50" w:type="dxa"/>
              <w:bottom w:w="50" w:type="dxa"/>
              <w:left w:w="90" w:type="dxa"/>
              <w:right w:w="90" w:type="dxa"/>
            </w:tcMar>
            <w:shd w:val="clear" w:color="auto" w:fill="E5F5FF"/>
          </w:tcPr>
          <w:p>
            <w:pPr>
              <w:pStyle w:val="BDOITable"/>
            </w:pPr>
            <w:r>
              <w:rPr>
                <w:sz w:val="16"/>
              </w:rPr>
              <w:t>Bank channel layouts and transport: CMS / New BOB, OBPCS, Old BOB, AFTS, PMS</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26 Feb 2027</w:t>
            </w:r>
          </w:p>
        </w:tc>
      </w:tr>
      <w:tr>
        <w:trPr>
          <w:cantSplit w:val="true"/>
        </w:trPr>
        <w:tc>
          <w:tcPr>
            <w:tcW w:type="dxa" w:w="961"/>
            <w:tcMar>
              <w:top w:w="50" w:type="dxa"/>
              <w:bottom w:w="50" w:type="dxa"/>
              <w:left w:w="90" w:type="dxa"/>
              <w:right w:w="90" w:type="dxa"/>
            </w:tcMar>
          </w:tcPr>
          <w:p>
            <w:pPr>
              <w:pStyle w:val="BDOITable"/>
            </w:pPr>
            <w:r>
              <w:rPr>
                <w:sz w:val="16"/>
              </w:rPr>
              <w:t>DEP-13</w:t>
            </w:r>
          </w:p>
        </w:tc>
        <w:tc>
          <w:tcPr>
            <w:tcW w:type="dxa" w:w="5046"/>
            <w:tcMar>
              <w:top w:w="50" w:type="dxa"/>
              <w:bottom w:w="50" w:type="dxa"/>
              <w:left w:w="90" w:type="dxa"/>
              <w:right w:w="90" w:type="dxa"/>
            </w:tcMar>
          </w:tcPr>
          <w:p>
            <w:pPr>
              <w:pStyle w:val="BDOITable"/>
            </w:pPr>
            <w:r>
              <w:rPr>
                <w:sz w:val="16"/>
              </w:rPr>
              <w:t>Apigee X proxies, products and credentials for SIT, UAT and production</w:t>
            </w:r>
          </w:p>
        </w:tc>
        <w:tc>
          <w:tcPr>
            <w:tcW w:type="dxa" w:w="2163"/>
            <w:tcMar>
              <w:top w:w="50" w:type="dxa"/>
              <w:bottom w:w="50" w:type="dxa"/>
              <w:left w:w="90" w:type="dxa"/>
              <w:right w:w="90" w:type="dxa"/>
            </w:tcMar>
          </w:tcPr>
          <w:p>
            <w:pPr>
              <w:pStyle w:val="BDOITable"/>
            </w:pPr>
            <w:r>
              <w:rPr>
                <w:sz w:val="16"/>
              </w:rPr>
              <w:t>BDO IT API team</w:t>
            </w:r>
          </w:p>
        </w:tc>
        <w:tc>
          <w:tcPr>
            <w:tcW w:type="dxa" w:w="1802"/>
            <w:tcMar>
              <w:top w:w="50" w:type="dxa"/>
              <w:bottom w:w="50" w:type="dxa"/>
              <w:left w:w="90" w:type="dxa"/>
              <w:right w:w="90" w:type="dxa"/>
            </w:tcMar>
          </w:tcPr>
          <w:p>
            <w:pPr>
              <w:pStyle w:val="BDOITable"/>
            </w:pPr>
            <w:r>
              <w:rPr>
                <w:sz w:val="16"/>
              </w:rPr>
              <w:t>31 Mar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DEP-15</w:t>
            </w:r>
          </w:p>
        </w:tc>
        <w:tc>
          <w:tcPr>
            <w:tcW w:type="dxa" w:w="5046"/>
            <w:tcMar>
              <w:top w:w="50" w:type="dxa"/>
              <w:bottom w:w="50" w:type="dxa"/>
              <w:left w:w="90" w:type="dxa"/>
              <w:right w:w="90" w:type="dxa"/>
            </w:tcMar>
            <w:shd w:val="clear" w:color="auto" w:fill="E5F5FF"/>
          </w:tcPr>
          <w:p>
            <w:pPr>
              <w:pStyle w:val="BDOITable"/>
            </w:pPr>
            <w:r>
              <w:rPr>
                <w:sz w:val="16"/>
              </w:rPr>
              <w:t>DR region and data residency</w:t>
            </w:r>
          </w:p>
        </w:tc>
        <w:tc>
          <w:tcPr>
            <w:tcW w:type="dxa" w:w="2163"/>
            <w:tcMar>
              <w:top w:w="50" w:type="dxa"/>
              <w:bottom w:w="50" w:type="dxa"/>
              <w:left w:w="90" w:type="dxa"/>
              <w:right w:w="90" w:type="dxa"/>
            </w:tcMar>
            <w:shd w:val="clear" w:color="auto" w:fill="E5F5FF"/>
          </w:tcPr>
          <w:p>
            <w:pPr>
              <w:pStyle w:val="BDOITable"/>
            </w:pPr>
            <w:r>
              <w:rPr>
                <w:sz w:val="16"/>
              </w:rPr>
              <w:t>BDOI IT; Information Security</w:t>
            </w:r>
          </w:p>
        </w:tc>
        <w:tc>
          <w:tcPr>
            <w:tcW w:type="dxa" w:w="1802"/>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961"/>
            <w:tcMar>
              <w:top w:w="50" w:type="dxa"/>
              <w:bottom w:w="50" w:type="dxa"/>
              <w:left w:w="90" w:type="dxa"/>
              <w:right w:w="90" w:type="dxa"/>
            </w:tcMar>
          </w:tcPr>
          <w:p>
            <w:pPr>
              <w:pStyle w:val="BDOITable"/>
            </w:pPr>
            <w:r>
              <w:rPr>
                <w:sz w:val="16"/>
              </w:rPr>
              <w:t>DEP-20</w:t>
            </w:r>
          </w:p>
        </w:tc>
        <w:tc>
          <w:tcPr>
            <w:tcW w:type="dxa" w:w="5046"/>
            <w:tcMar>
              <w:top w:w="50" w:type="dxa"/>
              <w:bottom w:w="50" w:type="dxa"/>
              <w:left w:w="90" w:type="dxa"/>
              <w:right w:w="90" w:type="dxa"/>
            </w:tcMar>
          </w:tcPr>
          <w:p>
            <w:pPr>
              <w:pStyle w:val="BDOITable"/>
            </w:pPr>
            <w:r>
              <w:rPr>
                <w:sz w:val="16"/>
              </w:rPr>
              <w:t>UAT testers named per BRD and released for the UAT windows</w:t>
            </w:r>
          </w:p>
        </w:tc>
        <w:tc>
          <w:tcPr>
            <w:tcW w:type="dxa" w:w="2163"/>
            <w:tcMar>
              <w:top w:w="50" w:type="dxa"/>
              <w:bottom w:w="50" w:type="dxa"/>
              <w:left w:w="90" w:type="dxa"/>
              <w:right w:w="90" w:type="dxa"/>
            </w:tcMar>
          </w:tcPr>
          <w:p>
            <w:pPr>
              <w:pStyle w:val="BDOITable"/>
            </w:pPr>
            <w:r>
              <w:rPr>
                <w:sz w:val="16"/>
              </w:rPr>
              <w:t>Business owners</w:t>
            </w:r>
          </w:p>
        </w:tc>
        <w:tc>
          <w:tcPr>
            <w:tcW w:type="dxa" w:w="1802"/>
            <w:tcMar>
              <w:top w:w="50" w:type="dxa"/>
              <w:bottom w:w="50" w:type="dxa"/>
              <w:left w:w="90" w:type="dxa"/>
              <w:right w:w="90" w:type="dxa"/>
            </w:tcMar>
          </w:tcPr>
          <w:p>
            <w:pPr>
              <w:pStyle w:val="BDOITable"/>
            </w:pPr>
            <w:r>
              <w:rPr>
                <w:sz w:val="16"/>
              </w:rPr>
              <w:t>16 Jul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DEP-23</w:t>
            </w:r>
          </w:p>
        </w:tc>
        <w:tc>
          <w:tcPr>
            <w:tcW w:type="dxa" w:w="5046"/>
            <w:tcMar>
              <w:top w:w="50" w:type="dxa"/>
              <w:bottom w:w="50" w:type="dxa"/>
              <w:left w:w="90" w:type="dxa"/>
              <w:right w:w="90" w:type="dxa"/>
            </w:tcMar>
            <w:shd w:val="clear" w:color="auto" w:fill="E5F5FF"/>
          </w:tcPr>
          <w:p>
            <w:pPr>
              <w:pStyle w:val="BDOITable"/>
            </w:pPr>
            <w:r>
              <w:rPr>
                <w:sz w:val="16"/>
              </w:rPr>
              <w:t>Pre-Prod at production size</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1 Oct 2027</w:t>
            </w:r>
          </w:p>
        </w:tc>
      </w:tr>
    </w:tbl>
    <w:p>
      <w:pPr>
        <w:pStyle w:val="BDOISpacer"/>
      </w:pPr>
    </w:p>
    <w:p>
      <w:pPr>
        <w:pStyle w:val="Heading1"/>
        <w:pageBreakBefore/>
        <w:pBdr>
          <w:bottom w:val="single" w:sz="4" w:space="4" w:color="99C1E7"/>
        </w:pBdr>
      </w:pPr>
      <w:bookmarkStart w:id="133" w:name="_Toc000133"/>
      <w:r>
        <w:rPr/>
        <w:t>11 Compliance requirements</w:t>
      </w:r>
      <w:bookmarkEnd w:id="133"/>
    </w:p>
    <w:p>
      <w:r>
        <w:rPr/>
        <w:t>BIBS supports BDOI's obligations; it does not replace BDOI's compliance processes or filings. The table maps each law or regulation to the BIBS requirements that support it.</w:t>
      </w:r>
    </w:p>
    <w:p>
      <w:pPr>
        <w:pStyle w:val="Caption"/>
        <w:keepNext/>
        <w:spacing w:after="60"/>
      </w:pPr>
      <w:r>
        <w:rPr>
          <w:b/>
          <w:i w:val="0"/>
        </w:rPr>
        <w:t xml:space="preserve">Table 15: </w:t>
      </w:r>
      <w:r>
        <w:rPr/>
        <w:t>Regulatory requirements and the BIBS requirements that support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643"/>
        <w:gridCol w:w="168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Law or regulation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Obligation BIBS supports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BIBS requirement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BDOI owner</w:t>
            </w:r>
          </w:p>
        </w:tc>
      </w:tr>
      <w:tr>
        <w:trPr>
          <w:cantSplit w:val="true"/>
        </w:trPr>
        <w:tc>
          <w:tcPr>
            <w:tcW w:type="dxa" w:w="1922"/>
            <w:tcMar>
              <w:top w:w="50" w:type="dxa"/>
              <w:bottom w:w="50" w:type="dxa"/>
              <w:left w:w="90" w:type="dxa"/>
              <w:right w:w="90" w:type="dxa"/>
            </w:tcMar>
          </w:tcPr>
          <w:p>
            <w:pPr>
              <w:pStyle w:val="BDOITable"/>
            </w:pPr>
            <w:r>
              <w:rPr>
                <w:sz w:val="16"/>
              </w:rPr>
              <w:t>Insurance Code (RA 10607) and Insurance Commission</w:t>
            </w:r>
          </w:p>
        </w:tc>
        <w:tc>
          <w:tcPr>
            <w:tcW w:type="dxa" w:w="3724"/>
            <w:tcMar>
              <w:top w:w="50" w:type="dxa"/>
              <w:bottom w:w="50" w:type="dxa"/>
              <w:left w:w="90" w:type="dxa"/>
              <w:right w:w="90" w:type="dxa"/>
            </w:tcMar>
          </w:tcPr>
          <w:p>
            <w:pPr>
              <w:pStyle w:val="BDOITable"/>
            </w:pPr>
            <w:r>
              <w:rPr>
                <w:sz w:val="16"/>
              </w:rPr>
              <w:t>Premiums collected for insurers tracked per invoice until remitted and the insurer's official receipt recorded; placement records with slips and insurer terms; Insurance Commission Broker's Annual Statement of Business Operations</w:t>
            </w:r>
          </w:p>
        </w:tc>
        <w:tc>
          <w:tcPr>
            <w:tcW w:type="dxa" w:w="2643"/>
            <w:tcMar>
              <w:top w:w="50" w:type="dxa"/>
              <w:bottom w:w="50" w:type="dxa"/>
              <w:left w:w="90" w:type="dxa"/>
              <w:right w:w="90" w:type="dxa"/>
            </w:tcMar>
          </w:tcPr>
          <w:p>
            <w:pPr>
              <w:pStyle w:val="BDOITable"/>
            </w:pPr>
            <w:r>
              <w:rPr>
                <w:sz w:val="16"/>
              </w:rPr>
              <w:t>FR-OP-030 to 041 (Remittance), FR-OP-110 to 112, FR-NB-053 to 055, FR-AC-063; audit trail NFR-AUD-01</w:t>
            </w:r>
          </w:p>
        </w:tc>
        <w:tc>
          <w:tcPr>
            <w:tcW w:type="dxa" w:w="1682"/>
            <w:tcMar>
              <w:top w:w="50" w:type="dxa"/>
              <w:bottom w:w="50" w:type="dxa"/>
              <w:left w:w="90" w:type="dxa"/>
              <w:right w:w="90" w:type="dxa"/>
            </w:tcMar>
          </w:tcPr>
          <w:p>
            <w:pPr>
              <w:pStyle w:val="BDOITable"/>
            </w:pPr>
            <w:r>
              <w:rPr>
                <w:sz w:val="16"/>
              </w:rPr>
              <w:t>Head, Operations; 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BIR - books, returns and certificates</w:t>
            </w:r>
          </w:p>
        </w:tc>
        <w:tc>
          <w:tcPr>
            <w:tcW w:type="dxa" w:w="3724"/>
            <w:tcMar>
              <w:top w:w="50" w:type="dxa"/>
              <w:bottom w:w="50" w:type="dxa"/>
              <w:left w:w="90" w:type="dxa"/>
              <w:right w:w="90" w:type="dxa"/>
            </w:tcMar>
            <w:shd w:val="clear" w:color="auto" w:fill="E5F5FF"/>
          </w:tcPr>
          <w:p>
            <w:pPr>
              <w:pStyle w:val="BDOITable"/>
            </w:pPr>
            <w:r>
              <w:rPr>
                <w:sz w:val="16"/>
              </w:rPr>
              <w:t>Loose-leaf books of accounts (general journal, sales, purchase, cash receipts and disbursements, general ledger); worksheets of 2550-Q, 1601-EQ, 0619-F, 1603, 1702-Q, 1702; alphalists (QAP, MAP, 1604-E) and SAWT; BIR Form 2307 received, released and issued; receipt series with the BIR Authority to Print</w:t>
            </w:r>
          </w:p>
        </w:tc>
        <w:tc>
          <w:tcPr>
            <w:tcW w:type="dxa" w:w="2643"/>
            <w:tcMar>
              <w:top w:w="50" w:type="dxa"/>
              <w:bottom w:w="50" w:type="dxa"/>
              <w:left w:w="90" w:type="dxa"/>
              <w:right w:w="90" w:type="dxa"/>
            </w:tcMar>
            <w:shd w:val="clear" w:color="auto" w:fill="E5F5FF"/>
          </w:tcPr>
          <w:p>
            <w:pPr>
              <w:pStyle w:val="BDOITable"/>
            </w:pPr>
            <w:r>
              <w:rPr>
                <w:sz w:val="16"/>
              </w:rPr>
              <w:t>FR-AC-063 (outputs are worksheets and loose-leaf books, not eFPS, DAT or CAS files), FR-OP-010 to 014, FR-OP-096, FR-OP-113, FR-OP-121, FR-DS-058</w:t>
            </w:r>
          </w:p>
        </w:tc>
        <w:tc>
          <w:tcPr>
            <w:tcW w:type="dxa" w:w="168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922"/>
            <w:tcMar>
              <w:top w:w="50" w:type="dxa"/>
              <w:bottom w:w="50" w:type="dxa"/>
              <w:left w:w="90" w:type="dxa"/>
              <w:right w:w="90" w:type="dxa"/>
            </w:tcMar>
          </w:tcPr>
          <w:p>
            <w:pPr>
              <w:pStyle w:val="BDOITable"/>
            </w:pPr>
            <w:r>
              <w:rPr>
                <w:sz w:val="16"/>
              </w:rPr>
              <w:t>BIR - Ease of Paying Taxes (RA 11976)</w:t>
            </w:r>
          </w:p>
        </w:tc>
        <w:tc>
          <w:tcPr>
            <w:tcW w:type="dxa" w:w="3724"/>
            <w:tcMar>
              <w:top w:w="50" w:type="dxa"/>
              <w:bottom w:w="50" w:type="dxa"/>
              <w:left w:w="90" w:type="dxa"/>
              <w:right w:w="90" w:type="dxa"/>
            </w:tcMar>
          </w:tcPr>
          <w:p>
            <w:pPr>
              <w:pStyle w:val="BDOITable"/>
            </w:pPr>
            <w:r>
              <w:rPr>
                <w:sz w:val="16"/>
              </w:rPr>
              <w:t>EOPT details of the client (taxpayer name, TIN, registered address) on the placement sent to the insurer; service invoices numbered, produced and sent from BIBS</w:t>
            </w:r>
          </w:p>
        </w:tc>
        <w:tc>
          <w:tcPr>
            <w:tcW w:type="dxa" w:w="2643"/>
            <w:tcMar>
              <w:top w:w="50" w:type="dxa"/>
              <w:bottom w:w="50" w:type="dxa"/>
              <w:left w:w="90" w:type="dxa"/>
              <w:right w:w="90" w:type="dxa"/>
            </w:tcMar>
          </w:tcPr>
          <w:p>
            <w:pPr>
              <w:pStyle w:val="BDOITable"/>
            </w:pPr>
            <w:r>
              <w:rPr>
                <w:sz w:val="16"/>
              </w:rPr>
              <w:t>FR-NB-087, FR-NB-117, FR-CR-093; transmission to BIR CAS / e-invoicing is not in phase 1 (CLR-NB-33)</w:t>
            </w:r>
          </w:p>
        </w:tc>
        <w:tc>
          <w:tcPr>
            <w:tcW w:type="dxa" w:w="1682"/>
            <w:tcMar>
              <w:top w:w="50" w:type="dxa"/>
              <w:bottom w:w="50" w:type="dxa"/>
              <w:left w:w="90" w:type="dxa"/>
              <w:right w:w="90" w:type="dxa"/>
            </w:tcMar>
          </w:tcPr>
          <w:p>
            <w:pPr>
              <w:pStyle w:val="BDOITable"/>
            </w:pPr>
            <w:r>
              <w:rPr>
                <w:sz w:val="16"/>
              </w:rPr>
              <w:t>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AMLA (RA 9160, as amended); AMLC; BSP Circular 1182 (2023), BSP CL-2023-030, BSP M-2025-017; IC CL 2019-65</w:t>
            </w:r>
          </w:p>
        </w:tc>
        <w:tc>
          <w:tcPr>
            <w:tcW w:type="dxa" w:w="3724"/>
            <w:tcMar>
              <w:top w:w="50" w:type="dxa"/>
              <w:bottom w:w="50" w:type="dxa"/>
              <w:left w:w="90" w:type="dxa"/>
              <w:right w:w="90" w:type="dxa"/>
            </w:tcMar>
            <w:shd w:val="clear" w:color="auto" w:fill="E5F5FF"/>
          </w:tcPr>
          <w:p>
            <w:pPr>
              <w:pStyle w:val="BDOITable"/>
            </w:pPr>
            <w:r>
              <w:rPr>
                <w:sz w:val="16"/>
              </w:rPr>
              <w:t>Screening of clients against sanctions and PEP lists; risk profiling; case investigation and approval; STR prepared and extracted in the AMLC format (filing on the AMLC portal outside BIBS); records kept at least 5 years</w:t>
            </w:r>
          </w:p>
        </w:tc>
        <w:tc>
          <w:tcPr>
            <w:tcW w:type="dxa" w:w="2643"/>
            <w:tcMar>
              <w:top w:w="50" w:type="dxa"/>
              <w:bottom w:w="50" w:type="dxa"/>
              <w:left w:w="90" w:type="dxa"/>
              <w:right w:w="90" w:type="dxa"/>
            </w:tcMar>
            <w:shd w:val="clear" w:color="auto" w:fill="E5F5FF"/>
          </w:tcPr>
          <w:p>
            <w:pPr>
              <w:pStyle w:val="BDOITable"/>
            </w:pPr>
            <w:r>
              <w:rPr>
                <w:sz w:val="16"/>
              </w:rPr>
              <w:t>FR-SS-010 to 072, FR-SS-091; NFR-RET-05</w:t>
            </w:r>
          </w:p>
        </w:tc>
        <w:tc>
          <w:tcPr>
            <w:tcW w:type="dxa" w:w="1682"/>
            <w:tcMar>
              <w:top w:w="50" w:type="dxa"/>
              <w:bottom w:w="50" w:type="dxa"/>
              <w:left w:w="90" w:type="dxa"/>
              <w:right w:w="90" w:type="dxa"/>
            </w:tcMar>
            <w:shd w:val="clear" w:color="auto" w:fill="E5F5FF"/>
          </w:tcPr>
          <w:p>
            <w:pPr>
              <w:pStyle w:val="BDOITable"/>
            </w:pPr>
            <w:r>
              <w:rPr>
                <w:sz w:val="16"/>
              </w:rPr>
              <w:t>Compliance Officer</w:t>
            </w:r>
          </w:p>
        </w:tc>
      </w:tr>
      <w:tr>
        <w:trPr>
          <w:cantSplit w:val="true"/>
        </w:trPr>
        <w:tc>
          <w:tcPr>
            <w:tcW w:type="dxa" w:w="1922"/>
            <w:tcMar>
              <w:top w:w="50" w:type="dxa"/>
              <w:bottom w:w="50" w:type="dxa"/>
              <w:left w:w="90" w:type="dxa"/>
              <w:right w:w="90" w:type="dxa"/>
            </w:tcMar>
          </w:tcPr>
          <w:p>
            <w:pPr>
              <w:pStyle w:val="BDOITable"/>
            </w:pPr>
            <w:r>
              <w:rPr>
                <w:sz w:val="16"/>
              </w:rPr>
              <w:t>Data Privacy Act 2012 (RA 10173)</w:t>
            </w:r>
          </w:p>
        </w:tc>
        <w:tc>
          <w:tcPr>
            <w:tcW w:type="dxa" w:w="3724"/>
            <w:tcMar>
              <w:top w:w="50" w:type="dxa"/>
              <w:bottom w:w="50" w:type="dxa"/>
              <w:left w:w="90" w:type="dxa"/>
              <w:right w:w="90" w:type="dxa"/>
            </w:tcMar>
          </w:tcPr>
          <w:p>
            <w:pPr>
              <w:pStyle w:val="BDOITable"/>
            </w:pPr>
            <w:r>
              <w:rPr>
                <w:sz w:val="16"/>
              </w:rPr>
              <w:t>Lawful, proportionate processing with security measures; masked non-production data; access control and data scope; sensitive personal information of EB members; data-subject access and correction; breach detection; retention</w:t>
            </w:r>
          </w:p>
        </w:tc>
        <w:tc>
          <w:tcPr>
            <w:tcW w:type="dxa" w:w="2643"/>
            <w:tcMar>
              <w:top w:w="50" w:type="dxa"/>
              <w:bottom w:w="50" w:type="dxa"/>
              <w:left w:w="90" w:type="dxa"/>
              <w:right w:w="90" w:type="dxa"/>
            </w:tcMar>
          </w:tcPr>
          <w:p>
            <w:pPr>
              <w:pStyle w:val="BDOITable"/>
            </w:pPr>
            <w:r>
              <w:rPr>
                <w:sz w:val="16"/>
              </w:rPr>
              <w:t>NFR-SEC-04, NFR-SEC-06, NFR-PRV-01 to 06, NFR-AUD-01, NFR-RET-01; FR-CSF-040</w:t>
            </w:r>
          </w:p>
        </w:tc>
        <w:tc>
          <w:tcPr>
            <w:tcW w:type="dxa" w:w="1682"/>
            <w:tcMar>
              <w:top w:w="50" w:type="dxa"/>
              <w:bottom w:w="50" w:type="dxa"/>
              <w:left w:w="90" w:type="dxa"/>
              <w:right w:w="90" w:type="dxa"/>
            </w:tcMar>
          </w:tcPr>
          <w:p>
            <w:pPr>
              <w:pStyle w:val="BDOITable"/>
            </w:pPr>
            <w:r>
              <w:rPr>
                <w:sz w:val="16"/>
              </w:rPr>
              <w:t>Data Protection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BSP MORB and Circular 808 (IT risk management), BDO standards</w:t>
            </w:r>
          </w:p>
        </w:tc>
        <w:tc>
          <w:tcPr>
            <w:tcW w:type="dxa" w:w="3724"/>
            <w:tcMar>
              <w:top w:w="50" w:type="dxa"/>
              <w:bottom w:w="50" w:type="dxa"/>
              <w:left w:w="90" w:type="dxa"/>
              <w:right w:w="90" w:type="dxa"/>
            </w:tcMar>
            <w:shd w:val="clear" w:color="auto" w:fill="E5F5FF"/>
          </w:tcPr>
          <w:p>
            <w:pPr>
              <w:pStyle w:val="BDOITable"/>
            </w:pPr>
            <w:r>
              <w:rPr>
                <w:sz w:val="16"/>
              </w:rPr>
              <w:t>Four eyes on access changes, least privilege, segregation of duties, dormant-user deactivation, audit trail no user can change</w:t>
            </w:r>
          </w:p>
        </w:tc>
        <w:tc>
          <w:tcPr>
            <w:tcW w:type="dxa" w:w="2643"/>
            <w:tcMar>
              <w:top w:w="50" w:type="dxa"/>
              <w:bottom w:w="50" w:type="dxa"/>
              <w:left w:w="90" w:type="dxa"/>
              <w:right w:w="90" w:type="dxa"/>
            </w:tcMar>
            <w:shd w:val="clear" w:color="auto" w:fill="E5F5FF"/>
          </w:tcPr>
          <w:p>
            <w:pPr>
              <w:pStyle w:val="BDOITable"/>
            </w:pPr>
            <w:r>
              <w:rPr>
                <w:sz w:val="16"/>
              </w:rPr>
              <w:t>FRS BRD-11 (FR-UA-006, 053), NFR-SEC-03, NFR-AUD-02</w:t>
            </w:r>
          </w:p>
        </w:tc>
        <w:tc>
          <w:tcPr>
            <w:tcW w:type="dxa" w:w="1682"/>
            <w:tcMar>
              <w:top w:w="50" w:type="dxa"/>
              <w:bottom w:w="50" w:type="dxa"/>
              <w:left w:w="90" w:type="dxa"/>
              <w:right w:w="90" w:type="dxa"/>
            </w:tcMar>
            <w:shd w:val="clear" w:color="auto" w:fill="E5F5FF"/>
          </w:tcPr>
          <w:p>
            <w:pPr>
              <w:pStyle w:val="BDOITable"/>
            </w:pPr>
            <w:r>
              <w:rPr>
                <w:sz w:val="16"/>
              </w:rPr>
              <w:t>BDOI Information Security</w:t>
            </w:r>
          </w:p>
        </w:tc>
      </w:tr>
    </w:tbl>
    <w:p>
      <w:pPr>
        <w:pStyle w:val="BDOISpacer"/>
      </w:pPr>
    </w:p>
    <w:p>
      <w:pPr>
        <w:pStyle w:val="Heading1"/>
        <w:pageBreakBefore/>
        <w:pBdr>
          <w:bottom w:val="single" w:sz="4" w:space="4" w:color="99C1E7"/>
        </w:pBdr>
      </w:pPr>
      <w:bookmarkStart w:id="134" w:name="_Toc000134"/>
      <w:r>
        <w:rPr/>
        <w:t>12 Acceptance approach</w:t>
      </w:r>
      <w:bookmarkEnd w:id="134"/>
    </w:p>
    <w:p>
      <w:pPr>
        <w:pStyle w:val="Heading2"/>
      </w:pPr>
      <w:bookmarkStart w:id="135" w:name="_Toc000135"/>
      <w:r>
        <w:rPr/>
        <w:t>12.1 Acceptance steps</w:t>
      </w:r>
      <w:bookmarkEnd w:id="135"/>
    </w:p>
    <w:p>
      <w:pPr>
        <w:pStyle w:val="Caption"/>
        <w:keepNext/>
        <w:spacing w:after="60"/>
      </w:pPr>
      <w:r>
        <w:rPr>
          <w:b/>
          <w:i w:val="0"/>
        </w:rPr>
        <w:t xml:space="preserve">Table 16: </w:t>
      </w:r>
      <w:r>
        <w:rPr/>
        <w:t>How BDOI accepts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566"/>
        <w:gridCol w:w="2042"/>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6"/>
              </w:rPr>
              <w:t>What is accepted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Signed by</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When</w:t>
            </w:r>
          </w:p>
        </w:tc>
      </w:tr>
      <w:tr>
        <w:trPr>
          <w:cantSplit w:val="true"/>
        </w:trPr>
        <w:tc>
          <w:tcPr>
            <w:tcW w:type="dxa" w:w="2042"/>
            <w:tcMar>
              <w:top w:w="50" w:type="dxa"/>
              <w:bottom w:w="50" w:type="dxa"/>
              <w:left w:w="90" w:type="dxa"/>
              <w:right w:w="90" w:type="dxa"/>
            </w:tcMar>
          </w:tcPr>
          <w:p>
            <w:pPr>
              <w:pStyle w:val="BDOITable"/>
            </w:pPr>
            <w:r>
              <w:rPr>
                <w:sz w:val="16"/>
              </w:rPr>
              <w:t>FRS sign-off</w:t>
            </w:r>
          </w:p>
        </w:tc>
        <w:tc>
          <w:tcPr>
            <w:tcW w:type="dxa" w:w="4565"/>
            <w:tcMar>
              <w:top w:w="50" w:type="dxa"/>
              <w:bottom w:w="50" w:type="dxa"/>
              <w:left w:w="90" w:type="dxa"/>
              <w:right w:w="90" w:type="dxa"/>
            </w:tcMar>
          </w:tcPr>
          <w:p>
            <w:pPr>
              <w:pStyle w:val="BDOITable"/>
            </w:pPr>
            <w:r>
              <w:rPr>
                <w:sz w:val="16"/>
              </w:rPr>
              <w:t>FRS of each BRD, with its clarifications decided or parked under change control</w:t>
            </w:r>
          </w:p>
        </w:tc>
        <w:tc>
          <w:tcPr>
            <w:tcW w:type="dxa" w:w="2042"/>
            <w:tcMar>
              <w:top w:w="50" w:type="dxa"/>
              <w:bottom w:w="50" w:type="dxa"/>
              <w:left w:w="90" w:type="dxa"/>
              <w:right w:w="90" w:type="dxa"/>
            </w:tcMar>
          </w:tcPr>
          <w:p>
            <w:pPr>
              <w:pStyle w:val="BDOITable"/>
            </w:pPr>
            <w:r>
              <w:rPr>
                <w:sz w:val="16"/>
              </w:rPr>
              <w:t>Product owner of the BRD</w:t>
            </w:r>
          </w:p>
        </w:tc>
        <w:tc>
          <w:tcPr>
            <w:tcW w:type="dxa" w:w="1322"/>
            <w:tcMar>
              <w:top w:w="50" w:type="dxa"/>
              <w:bottom w:w="50" w:type="dxa"/>
              <w:left w:w="90" w:type="dxa"/>
              <w:right w:w="90" w:type="dxa"/>
            </w:tcMar>
          </w:tcPr>
          <w:p>
            <w:pPr>
              <w:pStyle w:val="BDOITable"/>
            </w:pPr>
            <w:r>
              <w:rPr>
                <w:sz w:val="16"/>
              </w:rPr>
              <w:t>Drop 0 and 1 by 30 Nov 2026 (BRD-11 1 Dec 2026); Drop 2 by 26 Feb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Test plan approval</w:t>
            </w:r>
          </w:p>
        </w:tc>
        <w:tc>
          <w:tcPr>
            <w:tcW w:type="dxa" w:w="4565"/>
            <w:tcMar>
              <w:top w:w="50" w:type="dxa"/>
              <w:bottom w:w="50" w:type="dxa"/>
              <w:left w:w="90" w:type="dxa"/>
              <w:right w:w="90" w:type="dxa"/>
            </w:tcMar>
            <w:shd w:val="clear" w:color="auto" w:fill="E5F5FF"/>
          </w:tcPr>
          <w:p>
            <w:pPr>
              <w:pStyle w:val="BDOITable"/>
            </w:pPr>
            <w:r>
              <w:rPr>
                <w:sz w:val="16"/>
              </w:rPr>
              <w:t>Test conditions and cases of each BRD; coverage of every in-scope BRD ID in the traceability matrix</w:t>
            </w:r>
          </w:p>
        </w:tc>
        <w:tc>
          <w:tcPr>
            <w:tcW w:type="dxa" w:w="2042"/>
            <w:tcMar>
              <w:top w:w="50" w:type="dxa"/>
              <w:bottom w:w="50" w:type="dxa"/>
              <w:left w:w="90" w:type="dxa"/>
              <w:right w:w="90" w:type="dxa"/>
            </w:tcMar>
            <w:shd w:val="clear" w:color="auto" w:fill="E5F5FF"/>
          </w:tcPr>
          <w:p>
            <w:pPr>
              <w:pStyle w:val="BDOITable"/>
            </w:pPr>
            <w:r>
              <w:rPr>
                <w:sz w:val="16"/>
              </w:rPr>
              <w:t>Business owners; iorta QA lead</w:t>
            </w:r>
          </w:p>
        </w:tc>
        <w:tc>
          <w:tcPr>
            <w:tcW w:type="dxa" w:w="1322"/>
            <w:tcMar>
              <w:top w:w="50" w:type="dxa"/>
              <w:bottom w:w="50" w:type="dxa"/>
              <w:left w:w="90" w:type="dxa"/>
              <w:right w:w="90" w:type="dxa"/>
            </w:tcMar>
            <w:shd w:val="clear" w:color="auto" w:fill="E5F5FF"/>
          </w:tcPr>
          <w:p>
            <w:pPr>
              <w:pStyle w:val="BDOITable"/>
            </w:pPr>
            <w:r>
              <w:rPr>
                <w:sz w:val="16"/>
              </w:rPr>
              <w:t>Drop 1 by 18 Dec 2026; Drop 2 by 30 Jun 2027</w:t>
            </w:r>
          </w:p>
        </w:tc>
      </w:tr>
      <w:tr>
        <w:trPr>
          <w:cantSplit w:val="true"/>
        </w:trPr>
        <w:tc>
          <w:tcPr>
            <w:tcW w:type="dxa" w:w="2042"/>
            <w:tcMar>
              <w:top w:w="50" w:type="dxa"/>
              <w:bottom w:w="50" w:type="dxa"/>
              <w:left w:w="90" w:type="dxa"/>
              <w:right w:w="90" w:type="dxa"/>
            </w:tcMar>
          </w:tcPr>
          <w:p>
            <w:pPr>
              <w:pStyle w:val="BDOITable"/>
            </w:pPr>
            <w:r>
              <w:rPr>
                <w:sz w:val="16"/>
              </w:rPr>
              <w:t>SIT exit</w:t>
            </w:r>
          </w:p>
        </w:tc>
        <w:tc>
          <w:tcPr>
            <w:tcW w:type="dxa" w:w="4565"/>
            <w:tcMar>
              <w:top w:w="50" w:type="dxa"/>
              <w:bottom w:w="50" w:type="dxa"/>
              <w:left w:w="90" w:type="dxa"/>
              <w:right w:w="90" w:type="dxa"/>
            </w:tcMar>
          </w:tcPr>
          <w:p>
            <w:pPr>
              <w:pStyle w:val="BDOITable"/>
            </w:pPr>
            <w:r>
              <w:rPr>
                <w:sz w:val="16"/>
              </w:rPr>
              <w:t>All Must-have cases passed; no open Severity 1 or 2 incident; Severity 3 with an agreed workaround</w:t>
            </w:r>
          </w:p>
        </w:tc>
        <w:tc>
          <w:tcPr>
            <w:tcW w:type="dxa" w:w="2042"/>
            <w:tcMar>
              <w:top w:w="50" w:type="dxa"/>
              <w:bottom w:w="50" w:type="dxa"/>
              <w:left w:w="90" w:type="dxa"/>
              <w:right w:w="90" w:type="dxa"/>
            </w:tcMar>
          </w:tcPr>
          <w:p>
            <w:pPr>
              <w:pStyle w:val="BDOITable"/>
            </w:pPr>
            <w:r>
              <w:rPr>
                <w:sz w:val="16"/>
              </w:rPr>
              <w:t>iorta QA lead; BIBS Product Owner</w:t>
            </w:r>
          </w:p>
        </w:tc>
        <w:tc>
          <w:tcPr>
            <w:tcW w:type="dxa" w:w="1322"/>
            <w:tcMar>
              <w:top w:w="50" w:type="dxa"/>
              <w:bottom w:w="50" w:type="dxa"/>
              <w:left w:w="90" w:type="dxa"/>
              <w:right w:w="90" w:type="dxa"/>
            </w:tcMar>
          </w:tcPr>
          <w:p>
            <w:pPr>
              <w:pStyle w:val="BDOITable"/>
            </w:pPr>
            <w:r>
              <w:rPr>
                <w:sz w:val="16"/>
              </w:rPr>
              <w:t>Drop 1 30 Jul 2027; Drop 2 30 Sep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UAT sign-off</w:t>
            </w:r>
          </w:p>
        </w:tc>
        <w:tc>
          <w:tcPr>
            <w:tcW w:type="dxa" w:w="4565"/>
            <w:tcMar>
              <w:top w:w="50" w:type="dxa"/>
              <w:bottom w:w="50" w:type="dxa"/>
              <w:left w:w="90" w:type="dxa"/>
              <w:right w:w="90" w:type="dxa"/>
            </w:tcMar>
            <w:shd w:val="clear" w:color="auto" w:fill="E5F5FF"/>
          </w:tcPr>
          <w:p>
            <w:pPr>
              <w:pStyle w:val="BDOITable"/>
            </w:pPr>
            <w:r>
              <w:rPr>
                <w:sz w:val="16"/>
              </w:rPr>
              <w:t>Business scenarios of each BRD on migrated, masked data; UAT sign-off certificate per BRD</w:t>
            </w:r>
          </w:p>
        </w:tc>
        <w:tc>
          <w:tcPr>
            <w:tcW w:type="dxa" w:w="2042"/>
            <w:tcMar>
              <w:top w:w="50" w:type="dxa"/>
              <w:bottom w:w="50" w:type="dxa"/>
              <w:left w:w="90" w:type="dxa"/>
              <w:right w:w="90" w:type="dxa"/>
            </w:tcMar>
            <w:shd w:val="clear" w:color="auto" w:fill="E5F5FF"/>
          </w:tcPr>
          <w:p>
            <w:pPr>
              <w:pStyle w:val="BDOITable"/>
            </w:pPr>
            <w:r>
              <w:rPr>
                <w:sz w:val="16"/>
              </w:rPr>
              <w:t>Product owner of each BRD; BIBS Product Owner</w:t>
            </w:r>
          </w:p>
        </w:tc>
        <w:tc>
          <w:tcPr>
            <w:tcW w:type="dxa" w:w="1322"/>
            <w:tcMar>
              <w:top w:w="50" w:type="dxa"/>
              <w:bottom w:w="50" w:type="dxa"/>
              <w:left w:w="90" w:type="dxa"/>
              <w:right w:w="90" w:type="dxa"/>
            </w:tcMar>
            <w:shd w:val="clear" w:color="auto" w:fill="E5F5FF"/>
          </w:tcPr>
          <w:p>
            <w:pPr>
              <w:pStyle w:val="BDOITable"/>
            </w:pPr>
            <w:r>
              <w:rPr>
                <w:sz w:val="16"/>
              </w:rPr>
              <w:t>Drop 2 by 30 Nov 2027; Drop 1 by 17 Dec 2027</w:t>
            </w:r>
          </w:p>
        </w:tc>
      </w:tr>
      <w:tr>
        <w:trPr>
          <w:cantSplit w:val="true"/>
        </w:trPr>
        <w:tc>
          <w:tcPr>
            <w:tcW w:type="dxa" w:w="2042"/>
            <w:tcMar>
              <w:top w:w="50" w:type="dxa"/>
              <w:bottom w:w="50" w:type="dxa"/>
              <w:left w:w="90" w:type="dxa"/>
              <w:right w:w="90" w:type="dxa"/>
            </w:tcMar>
          </w:tcPr>
          <w:p>
            <w:pPr>
              <w:pStyle w:val="BDOITable"/>
            </w:pPr>
            <w:r>
              <w:rPr>
                <w:sz w:val="16"/>
              </w:rPr>
              <w:t>NFR acceptance</w:t>
            </w:r>
          </w:p>
        </w:tc>
        <w:tc>
          <w:tcPr>
            <w:tcW w:type="dxa" w:w="4565"/>
            <w:tcMar>
              <w:top w:w="50" w:type="dxa"/>
              <w:bottom w:w="50" w:type="dxa"/>
              <w:left w:w="90" w:type="dxa"/>
              <w:right w:w="90" w:type="dxa"/>
            </w:tcMar>
          </w:tcPr>
          <w:p>
            <w:pPr>
              <w:pStyle w:val="BDOITable"/>
            </w:pPr>
            <w:r>
              <w:rPr>
                <w:sz w:val="16"/>
              </w:rPr>
              <w:t>Evidence of each NFR (test report, inspection record or analysis) against its target</w:t>
            </w:r>
          </w:p>
        </w:tc>
        <w:tc>
          <w:tcPr>
            <w:tcW w:type="dxa" w:w="2042"/>
            <w:tcMar>
              <w:top w:w="50" w:type="dxa"/>
              <w:bottom w:w="50" w:type="dxa"/>
              <w:left w:w="90" w:type="dxa"/>
              <w:right w:w="90" w:type="dxa"/>
            </w:tcMar>
          </w:tcPr>
          <w:p>
            <w:pPr>
              <w:pStyle w:val="BDOITable"/>
            </w:pPr>
            <w:r>
              <w:rPr>
                <w:sz w:val="16"/>
              </w:rPr>
              <w:t>BDOI acceptor named per NFR</w:t>
            </w:r>
          </w:p>
        </w:tc>
        <w:tc>
          <w:tcPr>
            <w:tcW w:type="dxa" w:w="1322"/>
            <w:tcMar>
              <w:top w:w="50" w:type="dxa"/>
              <w:bottom w:w="50" w:type="dxa"/>
              <w:left w:w="90" w:type="dxa"/>
              <w:right w:w="90" w:type="dxa"/>
            </w:tcMar>
          </w:tcPr>
          <w:p>
            <w:pPr>
              <w:pStyle w:val="BDOITable"/>
            </w:pPr>
            <w:r>
              <w:rPr>
                <w:sz w:val="16"/>
              </w:rPr>
              <w:t>By 15 Dec 2027 (NFT); ORR / PRR 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Migration acceptance</w:t>
            </w:r>
          </w:p>
        </w:tc>
        <w:tc>
          <w:tcPr>
            <w:tcW w:type="dxa" w:w="4565"/>
            <w:tcMar>
              <w:top w:w="50" w:type="dxa"/>
              <w:bottom w:w="50" w:type="dxa"/>
              <w:left w:w="90" w:type="dxa"/>
              <w:right w:w="90" w:type="dxa"/>
            </w:tcMar>
            <w:shd w:val="clear" w:color="auto" w:fill="E5F5FF"/>
          </w:tcPr>
          <w:p>
            <w:pPr>
              <w:pStyle w:val="BDOITable"/>
            </w:pPr>
            <w:r>
              <w:rPr>
                <w:sz w:val="16"/>
              </w:rPr>
              <w:t>Reconciliation L1 to L5 and business verification of each data object; dress rehearsal report</w:t>
            </w:r>
          </w:p>
        </w:tc>
        <w:tc>
          <w:tcPr>
            <w:tcW w:type="dxa" w:w="2042"/>
            <w:tcMar>
              <w:top w:w="50" w:type="dxa"/>
              <w:bottom w:w="50" w:type="dxa"/>
              <w:left w:w="90" w:type="dxa"/>
              <w:right w:w="90" w:type="dxa"/>
            </w:tcMar>
            <w:shd w:val="clear" w:color="auto" w:fill="E5F5FF"/>
          </w:tcPr>
          <w:p>
            <w:pPr>
              <w:pStyle w:val="BDOITable"/>
            </w:pPr>
            <w:r>
              <w:rPr>
                <w:sz w:val="16"/>
              </w:rPr>
              <w:t>Data Migration Lead; data owners</w:t>
            </w:r>
          </w:p>
        </w:tc>
        <w:tc>
          <w:tcPr>
            <w:tcW w:type="dxa" w:w="1322"/>
            <w:tcMar>
              <w:top w:w="50" w:type="dxa"/>
              <w:bottom w:w="50" w:type="dxa"/>
              <w:left w:w="90" w:type="dxa"/>
              <w:right w:w="90" w:type="dxa"/>
            </w:tcMar>
            <w:shd w:val="clear" w:color="auto" w:fill="E5F5FF"/>
          </w:tcPr>
          <w:p>
            <w:pPr>
              <w:pStyle w:val="BDOITable"/>
            </w:pPr>
            <w:r>
              <w:rPr>
                <w:sz w:val="16"/>
              </w:rPr>
              <w:t>Dress rehearsal 26 Nov 2027; go / no-go 2 Jan 2028</w:t>
            </w:r>
          </w:p>
        </w:tc>
      </w:tr>
      <w:tr>
        <w:trPr>
          <w:cantSplit w:val="true"/>
        </w:trPr>
        <w:tc>
          <w:tcPr>
            <w:tcW w:type="dxa" w:w="2042"/>
            <w:tcMar>
              <w:top w:w="50" w:type="dxa"/>
              <w:bottom w:w="50" w:type="dxa"/>
              <w:left w:w="90" w:type="dxa"/>
              <w:right w:w="90" w:type="dxa"/>
            </w:tcMar>
          </w:tcPr>
          <w:p>
            <w:pPr>
              <w:pStyle w:val="BDOITable"/>
            </w:pPr>
            <w:r>
              <w:rPr>
                <w:sz w:val="16"/>
              </w:rPr>
              <w:t>Go-live</w:t>
            </w:r>
          </w:p>
        </w:tc>
        <w:tc>
          <w:tcPr>
            <w:tcW w:type="dxa" w:w="4565"/>
            <w:tcMar>
              <w:top w:w="50" w:type="dxa"/>
              <w:bottom w:w="50" w:type="dxa"/>
              <w:left w:w="90" w:type="dxa"/>
              <w:right w:w="90" w:type="dxa"/>
            </w:tcMar>
          </w:tcPr>
          <w:p>
            <w:pPr>
              <w:pStyle w:val="BDOITable"/>
            </w:pPr>
            <w:r>
              <w:rPr>
                <w:sz w:val="16"/>
              </w:rPr>
              <w:t>Go / no-go decision on T-1</w:t>
            </w:r>
          </w:p>
        </w:tc>
        <w:tc>
          <w:tcPr>
            <w:tcW w:type="dxa" w:w="2042"/>
            <w:tcMar>
              <w:top w:w="50" w:type="dxa"/>
              <w:bottom w:w="50" w:type="dxa"/>
              <w:left w:w="90" w:type="dxa"/>
              <w:right w:w="90" w:type="dxa"/>
            </w:tcMar>
          </w:tcPr>
          <w:p>
            <w:pPr>
              <w:pStyle w:val="BDOITable"/>
            </w:pPr>
            <w:r>
              <w:rPr>
                <w:sz w:val="16"/>
              </w:rPr>
              <w:t>Go / no-go board</w:t>
            </w:r>
          </w:p>
        </w:tc>
        <w:tc>
          <w:tcPr>
            <w:tcW w:type="dxa" w:w="1322"/>
            <w:tcMar>
              <w:top w:w="50" w:type="dxa"/>
              <w:bottom w:w="50" w:type="dxa"/>
              <w:left w:w="90" w:type="dxa"/>
              <w:right w:w="90" w:type="dxa"/>
            </w:tcMar>
          </w:tcPr>
          <w:p>
            <w:pPr>
              <w:pStyle w:val="BDOITable"/>
            </w:pPr>
            <w:r>
              <w:rPr>
                <w:sz w:val="16"/>
              </w:rPr>
              <w:t>2 Jan 2028</w:t>
            </w:r>
          </w:p>
        </w:tc>
      </w:tr>
    </w:tbl>
    <w:p>
      <w:pPr>
        <w:pStyle w:val="BDOISpacer"/>
      </w:pPr>
    </w:p>
    <w:p>
      <w:pPr>
        <w:pStyle w:val="Heading2"/>
      </w:pPr>
      <w:bookmarkStart w:id="136" w:name="_Toc000136"/>
      <w:r>
        <w:rPr/>
        <w:t>12.2 Requirements coverage</w:t>
      </w:r>
      <w:bookmarkEnd w:id="136"/>
    </w:p>
    <w:p>
      <w:r>
        <w:rPr/>
        <w:t>The traceability matrix v1.0 traces 2325 BRD requirement IDs: 2279 are covered by FRs and test cases (usage requirements by the NFR catalogue), 4 by FRs without a test case yet (umbrella FRs), 6 wait for a BDOI decision on a proposed rule, 35 are out of scope, replaced or removed, and 1 have no FR named. Coverage of the in-scope IDs is 99.8%. The test plans hold 3630 test cases.</w:t>
      </w:r>
    </w:p>
    <w:p>
      <w:pPr>
        <w:pStyle w:val="Caption"/>
        <w:keepNext/>
        <w:spacing w:after="60"/>
      </w:pPr>
      <w:r>
        <w:rPr>
          <w:b/>
          <w:i w:val="0"/>
        </w:rPr>
        <w:t xml:space="preserve">Table 17: </w:t>
      </w:r>
      <w:r>
        <w:rPr/>
        <w:t>Coverage per BRD (Summary sheet of the traceability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2445"/>
        <w:gridCol w:w="836"/>
        <w:gridCol w:w="900"/>
        <w:gridCol w:w="836"/>
        <w:gridCol w:w="836"/>
        <w:gridCol w:w="707"/>
        <w:gridCol w:w="643"/>
        <w:gridCol w:w="1093"/>
        <w:gridCol w:w="836"/>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445"/>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Covered</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FR only</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Clarif.</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643"/>
            <w:shd w:val="clear" w:color="auto" w:fill="004EA8"/>
            <w:tcMar>
              <w:top w:w="50" w:type="dxa"/>
              <w:bottom w:w="50" w:type="dxa"/>
              <w:left w:w="90" w:type="dxa"/>
              <w:right w:w="90" w:type="dxa"/>
            </w:tcMar>
            <w:vAlign w:val="center"/>
          </w:tcPr>
          <w:p>
            <w:pPr>
              <w:pStyle w:val="BDOITableHeader"/>
            </w:pPr>
            <w:r>
              <w:rPr>
                <w:b/>
                <w:color w:val="FFFFFF"/>
                <w:sz w:val="16"/>
              </w:rPr>
              <w:t>Gap</w:t>
            </w:r>
          </w:p>
        </w:tc>
        <w:tc>
          <w:tcPr>
            <w:tcW w:type="dxa" w:w="1094"/>
            <w:shd w:val="clear" w:color="auto" w:fill="004EA8"/>
            <w:tcMar>
              <w:top w:w="50" w:type="dxa"/>
              <w:bottom w:w="50" w:type="dxa"/>
              <w:left w:w="90" w:type="dxa"/>
              <w:right w:w="90" w:type="dxa"/>
            </w:tcMar>
            <w:vAlign w:val="center"/>
          </w:tcPr>
          <w:p>
            <w:pPr>
              <w:pStyle w:val="BDOITableHeader"/>
            </w:pPr>
            <w:r>
              <w:rPr>
                <w:b/>
                <w:color w:val="FFFFFF"/>
                <w:sz w:val="16"/>
              </w:rPr>
              <w:t>Coverage %</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836"/>
            <w:tcMar>
              <w:top w:w="50" w:type="dxa"/>
              <w:bottom w:w="50" w:type="dxa"/>
              <w:left w:w="90" w:type="dxa"/>
              <w:right w:w="90" w:type="dxa"/>
            </w:tcMar>
          </w:tcPr>
          <w:p>
            <w:pPr>
              <w:pStyle w:val="BDOITable"/>
            </w:pPr>
            <w:r>
              <w:rPr>
                <w:b/>
                <w:sz w:val="16"/>
              </w:rPr>
              <w:t>BRD-00</w:t>
            </w:r>
          </w:p>
        </w:tc>
        <w:tc>
          <w:tcPr>
            <w:tcW w:type="dxa" w:w="2445"/>
            <w:tcMar>
              <w:top w:w="50" w:type="dxa"/>
              <w:bottom w:w="50" w:type="dxa"/>
              <w:left w:w="90" w:type="dxa"/>
              <w:right w:w="90" w:type="dxa"/>
            </w:tcMar>
          </w:tcPr>
          <w:p>
            <w:pPr>
              <w:pStyle w:val="BDOITable"/>
            </w:pPr>
            <w:r>
              <w:rPr>
                <w:sz w:val="16"/>
              </w:rPr>
              <w:t>Core Replacement (umbrella)</w:t>
            </w:r>
          </w:p>
        </w:tc>
        <w:tc>
          <w:tcPr>
            <w:tcW w:type="dxa" w:w="836"/>
            <w:tcMar>
              <w:top w:w="50" w:type="dxa"/>
              <w:bottom w:w="50" w:type="dxa"/>
              <w:left w:w="90" w:type="dxa"/>
              <w:right w:w="90" w:type="dxa"/>
            </w:tcMar>
          </w:tcPr>
          <w:p>
            <w:pPr>
              <w:pStyle w:val="BDOITable"/>
            </w:pPr>
            <w:r>
              <w:rPr>
                <w:sz w:val="16"/>
              </w:rPr>
              <w:t>215</w:t>
            </w:r>
          </w:p>
        </w:tc>
        <w:tc>
          <w:tcPr>
            <w:tcW w:type="dxa" w:w="901"/>
            <w:tcMar>
              <w:top w:w="50" w:type="dxa"/>
              <w:bottom w:w="50" w:type="dxa"/>
              <w:left w:w="90" w:type="dxa"/>
              <w:right w:w="90" w:type="dxa"/>
            </w:tcMar>
          </w:tcPr>
          <w:p>
            <w:pPr>
              <w:pStyle w:val="BDOITable"/>
            </w:pPr>
            <w:r>
              <w:rPr>
                <w:sz w:val="16"/>
              </w:rPr>
              <w:t>193</w:t>
            </w:r>
          </w:p>
        </w:tc>
        <w:tc>
          <w:tcPr>
            <w:tcW w:type="dxa" w:w="836"/>
            <w:tcMar>
              <w:top w:w="50" w:type="dxa"/>
              <w:bottom w:w="50" w:type="dxa"/>
              <w:left w:w="90" w:type="dxa"/>
              <w:right w:w="90" w:type="dxa"/>
            </w:tcMar>
          </w:tcPr>
          <w:p>
            <w:pPr>
              <w:pStyle w:val="BDOITable"/>
            </w:pPr>
            <w:r>
              <w:rPr>
                <w:sz w:val="16"/>
              </w:rPr>
              <w:t>4</w:t>
            </w:r>
          </w:p>
        </w:tc>
        <w:tc>
          <w:tcPr>
            <w:tcW w:type="dxa" w:w="836"/>
            <w:tcMar>
              <w:top w:w="50" w:type="dxa"/>
              <w:bottom w:w="50" w:type="dxa"/>
              <w:left w:w="90" w:type="dxa"/>
              <w:right w:w="90" w:type="dxa"/>
            </w:tcMar>
          </w:tcPr>
          <w:p>
            <w:pPr>
              <w:pStyle w:val="BDOITable"/>
            </w:pPr>
            <w:r>
              <w:rPr>
                <w:sz w:val="16"/>
              </w:rPr>
              <w:t>6</w:t>
            </w:r>
          </w:p>
        </w:tc>
        <w:tc>
          <w:tcPr>
            <w:tcW w:type="dxa" w:w="708"/>
            <w:tcMar>
              <w:top w:w="50" w:type="dxa"/>
              <w:bottom w:w="50" w:type="dxa"/>
              <w:left w:w="90" w:type="dxa"/>
              <w:right w:w="90" w:type="dxa"/>
            </w:tcMar>
          </w:tcPr>
          <w:p>
            <w:pPr>
              <w:pStyle w:val="BDOITable"/>
            </w:pPr>
            <w:r>
              <w:rPr>
                <w:sz w:val="16"/>
              </w:rPr>
              <w:t>11</w:t>
            </w:r>
          </w:p>
        </w:tc>
        <w:tc>
          <w:tcPr>
            <w:tcW w:type="dxa" w:w="643"/>
            <w:tcMar>
              <w:top w:w="50" w:type="dxa"/>
              <w:bottom w:w="50" w:type="dxa"/>
              <w:left w:w="90" w:type="dxa"/>
              <w:right w:w="90" w:type="dxa"/>
            </w:tcMar>
          </w:tcPr>
          <w:p>
            <w:pPr>
              <w:pStyle w:val="BDOITable"/>
            </w:pPr>
            <w:r>
              <w:rPr>
                <w:sz w:val="16"/>
              </w:rPr>
              <w:t>1</w:t>
            </w:r>
          </w:p>
        </w:tc>
        <w:tc>
          <w:tcPr>
            <w:tcW w:type="dxa" w:w="1094"/>
            <w:tcMar>
              <w:top w:w="50" w:type="dxa"/>
              <w:bottom w:w="50" w:type="dxa"/>
              <w:left w:w="90" w:type="dxa"/>
              <w:right w:w="90" w:type="dxa"/>
            </w:tcMar>
          </w:tcPr>
          <w:p>
            <w:pPr>
              <w:pStyle w:val="BDOITable"/>
            </w:pPr>
            <w:r>
              <w:rPr>
                <w:sz w:val="16"/>
              </w:rPr>
              <w:t>97.5</w:t>
            </w:r>
          </w:p>
        </w:tc>
        <w:tc>
          <w:tcPr>
            <w:tcW w:type="dxa" w:w="836"/>
            <w:tcMar>
              <w:top w:w="50" w:type="dxa"/>
              <w:bottom w:w="50" w:type="dxa"/>
              <w:left w:w="90" w:type="dxa"/>
              <w:right w:w="90" w:type="dxa"/>
            </w:tcMar>
          </w:tcPr>
          <w:p>
            <w:pPr>
              <w:pStyle w:val="BDOITable"/>
            </w:pPr>
            <w:r>
              <w:rPr>
                <w:sz w:val="16"/>
              </w:rPr>
              <w:t>0</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BRD-01</w:t>
            </w:r>
          </w:p>
        </w:tc>
        <w:tc>
          <w:tcPr>
            <w:tcW w:type="dxa" w:w="2445"/>
            <w:tcMar>
              <w:top w:w="50" w:type="dxa"/>
              <w:bottom w:w="50" w:type="dxa"/>
              <w:left w:w="90" w:type="dxa"/>
              <w:right w:w="90" w:type="dxa"/>
            </w:tcMar>
            <w:shd w:val="clear" w:color="auto" w:fill="E5F5FF"/>
          </w:tcPr>
          <w:p>
            <w:pPr>
              <w:pStyle w:val="BDOITable"/>
            </w:pPr>
            <w:r>
              <w:rPr>
                <w:sz w:val="16"/>
              </w:rPr>
              <w:t>New Business</w:t>
            </w:r>
          </w:p>
        </w:tc>
        <w:tc>
          <w:tcPr>
            <w:tcW w:type="dxa" w:w="836"/>
            <w:tcMar>
              <w:top w:w="50" w:type="dxa"/>
              <w:bottom w:w="50" w:type="dxa"/>
              <w:left w:w="90" w:type="dxa"/>
              <w:right w:w="90" w:type="dxa"/>
            </w:tcMar>
            <w:shd w:val="clear" w:color="auto" w:fill="E5F5FF"/>
          </w:tcPr>
          <w:p>
            <w:pPr>
              <w:pStyle w:val="BDOITable"/>
            </w:pPr>
            <w:r>
              <w:rPr>
                <w:sz w:val="16"/>
              </w:rPr>
              <w:t>119</w:t>
            </w:r>
          </w:p>
        </w:tc>
        <w:tc>
          <w:tcPr>
            <w:tcW w:type="dxa" w:w="901"/>
            <w:tcMar>
              <w:top w:w="50" w:type="dxa"/>
              <w:bottom w:w="50" w:type="dxa"/>
              <w:left w:w="90" w:type="dxa"/>
              <w:right w:w="90" w:type="dxa"/>
            </w:tcMar>
            <w:shd w:val="clear" w:color="auto" w:fill="E5F5FF"/>
          </w:tcPr>
          <w:p>
            <w:pPr>
              <w:pStyle w:val="BDOITable"/>
            </w:pPr>
            <w:r>
              <w:rPr>
                <w:sz w:val="16"/>
              </w:rPr>
              <w:t>118</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1</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497</w:t>
            </w:r>
          </w:p>
        </w:tc>
      </w:tr>
      <w:tr>
        <w:trPr>
          <w:cantSplit w:val="true"/>
        </w:trPr>
        <w:tc>
          <w:tcPr>
            <w:tcW w:type="dxa" w:w="836"/>
            <w:tcMar>
              <w:top w:w="50" w:type="dxa"/>
              <w:bottom w:w="50" w:type="dxa"/>
              <w:left w:w="90" w:type="dxa"/>
              <w:right w:w="90" w:type="dxa"/>
            </w:tcMar>
          </w:tcPr>
          <w:p>
            <w:pPr>
              <w:pStyle w:val="BDOITable"/>
            </w:pPr>
            <w:r>
              <w:rPr>
                <w:b/>
                <w:sz w:val="16"/>
              </w:rPr>
              <w:t>BRD-02</w:t>
            </w:r>
          </w:p>
        </w:tc>
        <w:tc>
          <w:tcPr>
            <w:tcW w:type="dxa" w:w="2445"/>
            <w:tcMar>
              <w:top w:w="50" w:type="dxa"/>
              <w:bottom w:w="50" w:type="dxa"/>
              <w:left w:w="90" w:type="dxa"/>
              <w:right w:w="90" w:type="dxa"/>
            </w:tcMar>
          </w:tcPr>
          <w:p>
            <w:pPr>
              <w:pStyle w:val="BDOITable"/>
            </w:pPr>
            <w:r>
              <w:rPr>
                <w:sz w:val="16"/>
              </w:rPr>
              <w:t>Operations</w:t>
            </w:r>
          </w:p>
        </w:tc>
        <w:tc>
          <w:tcPr>
            <w:tcW w:type="dxa" w:w="836"/>
            <w:tcMar>
              <w:top w:w="50" w:type="dxa"/>
              <w:bottom w:w="50" w:type="dxa"/>
              <w:left w:w="90" w:type="dxa"/>
              <w:right w:w="90" w:type="dxa"/>
            </w:tcMar>
          </w:tcPr>
          <w:p>
            <w:pPr>
              <w:pStyle w:val="BDOITable"/>
            </w:pPr>
            <w:r>
              <w:rPr>
                <w:sz w:val="16"/>
              </w:rPr>
              <w:t>177</w:t>
            </w:r>
          </w:p>
        </w:tc>
        <w:tc>
          <w:tcPr>
            <w:tcW w:type="dxa" w:w="901"/>
            <w:tcMar>
              <w:top w:w="50" w:type="dxa"/>
              <w:bottom w:w="50" w:type="dxa"/>
              <w:left w:w="90" w:type="dxa"/>
              <w:right w:w="90" w:type="dxa"/>
            </w:tcMar>
          </w:tcPr>
          <w:p>
            <w:pPr>
              <w:pStyle w:val="BDOITable"/>
            </w:pPr>
            <w:r>
              <w:rPr>
                <w:sz w:val="16"/>
              </w:rPr>
              <w:t>174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3</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415</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BRD-03</w:t>
            </w:r>
          </w:p>
        </w:tc>
        <w:tc>
          <w:tcPr>
            <w:tcW w:type="dxa" w:w="2445"/>
            <w:tcMar>
              <w:top w:w="50" w:type="dxa"/>
              <w:bottom w:w="50" w:type="dxa"/>
              <w:left w:w="90" w:type="dxa"/>
              <w:right w:w="90" w:type="dxa"/>
            </w:tcMar>
            <w:shd w:val="clear" w:color="auto" w:fill="E5F5FF"/>
          </w:tcPr>
          <w:p>
            <w:pPr>
              <w:pStyle w:val="BDOITable"/>
            </w:pPr>
            <w:r>
              <w:rPr>
                <w:sz w:val="16"/>
              </w:rPr>
              <w:t>Product Maintenance</w:t>
            </w:r>
          </w:p>
        </w:tc>
        <w:tc>
          <w:tcPr>
            <w:tcW w:type="dxa" w:w="836"/>
            <w:tcMar>
              <w:top w:w="50" w:type="dxa"/>
              <w:bottom w:w="50" w:type="dxa"/>
              <w:left w:w="90" w:type="dxa"/>
              <w:right w:w="90" w:type="dxa"/>
            </w:tcMar>
            <w:shd w:val="clear" w:color="auto" w:fill="E5F5FF"/>
          </w:tcPr>
          <w:p>
            <w:pPr>
              <w:pStyle w:val="BDOITable"/>
            </w:pPr>
            <w:r>
              <w:rPr>
                <w:sz w:val="16"/>
              </w:rPr>
              <w:t>31</w:t>
            </w:r>
          </w:p>
        </w:tc>
        <w:tc>
          <w:tcPr>
            <w:tcW w:type="dxa" w:w="901"/>
            <w:tcMar>
              <w:top w:w="50" w:type="dxa"/>
              <w:bottom w:w="50" w:type="dxa"/>
              <w:left w:w="90" w:type="dxa"/>
              <w:right w:w="90" w:type="dxa"/>
            </w:tcMar>
            <w:shd w:val="clear" w:color="auto" w:fill="E5F5FF"/>
          </w:tcPr>
          <w:p>
            <w:pPr>
              <w:pStyle w:val="BDOITable"/>
            </w:pPr>
            <w:r>
              <w:rPr>
                <w:sz w:val="16"/>
              </w:rPr>
              <w:t>31</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270</w:t>
            </w:r>
          </w:p>
        </w:tc>
      </w:tr>
      <w:tr>
        <w:trPr>
          <w:cantSplit w:val="true"/>
        </w:trPr>
        <w:tc>
          <w:tcPr>
            <w:tcW w:type="dxa" w:w="836"/>
            <w:tcMar>
              <w:top w:w="50" w:type="dxa"/>
              <w:bottom w:w="50" w:type="dxa"/>
              <w:left w:w="90" w:type="dxa"/>
              <w:right w:w="90" w:type="dxa"/>
            </w:tcMar>
          </w:tcPr>
          <w:p>
            <w:pPr>
              <w:pStyle w:val="BDOITable"/>
            </w:pPr>
            <w:r>
              <w:rPr>
                <w:b/>
                <w:sz w:val="16"/>
              </w:rPr>
              <w:t>BRD-04</w:t>
            </w:r>
          </w:p>
        </w:tc>
        <w:tc>
          <w:tcPr>
            <w:tcW w:type="dxa" w:w="2445"/>
            <w:tcMar>
              <w:top w:w="50" w:type="dxa"/>
              <w:bottom w:w="50" w:type="dxa"/>
              <w:left w:w="90" w:type="dxa"/>
              <w:right w:w="90" w:type="dxa"/>
            </w:tcMar>
          </w:tcPr>
          <w:p>
            <w:pPr>
              <w:pStyle w:val="BDOITable"/>
            </w:pPr>
            <w:r>
              <w:rPr>
                <w:sz w:val="16"/>
              </w:rPr>
              <w:t>Collections</w:t>
            </w:r>
          </w:p>
        </w:tc>
        <w:tc>
          <w:tcPr>
            <w:tcW w:type="dxa" w:w="836"/>
            <w:tcMar>
              <w:top w:w="50" w:type="dxa"/>
              <w:bottom w:w="50" w:type="dxa"/>
              <w:left w:w="90" w:type="dxa"/>
              <w:right w:w="90" w:type="dxa"/>
            </w:tcMar>
          </w:tcPr>
          <w:p>
            <w:pPr>
              <w:pStyle w:val="BDOITable"/>
            </w:pPr>
            <w:r>
              <w:rPr>
                <w:sz w:val="16"/>
              </w:rPr>
              <w:t>64</w:t>
            </w:r>
          </w:p>
        </w:tc>
        <w:tc>
          <w:tcPr>
            <w:tcW w:type="dxa" w:w="901"/>
            <w:tcMar>
              <w:top w:w="50" w:type="dxa"/>
              <w:bottom w:w="50" w:type="dxa"/>
              <w:left w:w="90" w:type="dxa"/>
              <w:right w:w="90" w:type="dxa"/>
            </w:tcMar>
          </w:tcPr>
          <w:p>
            <w:pPr>
              <w:pStyle w:val="BDOITable"/>
            </w:pPr>
            <w:r>
              <w:rPr>
                <w:sz w:val="16"/>
              </w:rPr>
              <w:t>64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286</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BRD-05</w:t>
            </w:r>
          </w:p>
        </w:tc>
        <w:tc>
          <w:tcPr>
            <w:tcW w:type="dxa" w:w="2445"/>
            <w:tcMar>
              <w:top w:w="50" w:type="dxa"/>
              <w:bottom w:w="50" w:type="dxa"/>
              <w:left w:w="90" w:type="dxa"/>
              <w:right w:w="90" w:type="dxa"/>
            </w:tcMar>
            <w:shd w:val="clear" w:color="auto" w:fill="E5F5FF"/>
          </w:tcPr>
          <w:p>
            <w:pPr>
              <w:pStyle w:val="BDOITable"/>
            </w:pPr>
            <w:r>
              <w:rPr>
                <w:sz w:val="16"/>
              </w:rPr>
              <w:t>Accounting Disbursement ACSL</w:t>
            </w:r>
          </w:p>
        </w:tc>
        <w:tc>
          <w:tcPr>
            <w:tcW w:type="dxa" w:w="836"/>
            <w:tcMar>
              <w:top w:w="50" w:type="dxa"/>
              <w:bottom w:w="50" w:type="dxa"/>
              <w:left w:w="90" w:type="dxa"/>
              <w:right w:w="90" w:type="dxa"/>
            </w:tcMar>
            <w:shd w:val="clear" w:color="auto" w:fill="E5F5FF"/>
          </w:tcPr>
          <w:p>
            <w:pPr>
              <w:pStyle w:val="BDOITable"/>
            </w:pPr>
            <w:r>
              <w:rPr>
                <w:sz w:val="16"/>
              </w:rPr>
              <w:t>277</w:t>
            </w:r>
          </w:p>
        </w:tc>
        <w:tc>
          <w:tcPr>
            <w:tcW w:type="dxa" w:w="901"/>
            <w:tcMar>
              <w:top w:w="50" w:type="dxa"/>
              <w:bottom w:w="50" w:type="dxa"/>
              <w:left w:w="90" w:type="dxa"/>
              <w:right w:w="90" w:type="dxa"/>
            </w:tcMar>
            <w:shd w:val="clear" w:color="auto" w:fill="E5F5FF"/>
          </w:tcPr>
          <w:p>
            <w:pPr>
              <w:pStyle w:val="BDOITable"/>
            </w:pPr>
            <w:r>
              <w:rPr>
                <w:sz w:val="16"/>
              </w:rPr>
              <w:t>277</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569</w:t>
            </w:r>
          </w:p>
        </w:tc>
      </w:tr>
      <w:tr>
        <w:trPr>
          <w:cantSplit w:val="true"/>
        </w:trPr>
        <w:tc>
          <w:tcPr>
            <w:tcW w:type="dxa" w:w="836"/>
            <w:tcMar>
              <w:top w:w="50" w:type="dxa"/>
              <w:bottom w:w="50" w:type="dxa"/>
              <w:left w:w="90" w:type="dxa"/>
              <w:right w:w="90" w:type="dxa"/>
            </w:tcMar>
          </w:tcPr>
          <w:p>
            <w:pPr>
              <w:pStyle w:val="BDOITable"/>
            </w:pPr>
            <w:r>
              <w:rPr>
                <w:b/>
                <w:sz w:val="16"/>
              </w:rPr>
              <w:t>BRD-06</w:t>
            </w:r>
          </w:p>
        </w:tc>
        <w:tc>
          <w:tcPr>
            <w:tcW w:type="dxa" w:w="2445"/>
            <w:tcMar>
              <w:top w:w="50" w:type="dxa"/>
              <w:bottom w:w="50" w:type="dxa"/>
              <w:left w:w="90" w:type="dxa"/>
              <w:right w:w="90" w:type="dxa"/>
            </w:tcMar>
          </w:tcPr>
          <w:p>
            <w:pPr>
              <w:pStyle w:val="BDOITable"/>
            </w:pPr>
            <w:r>
              <w:rPr>
                <w:sz w:val="16"/>
              </w:rPr>
              <w:t>Renewal</w:t>
            </w:r>
          </w:p>
        </w:tc>
        <w:tc>
          <w:tcPr>
            <w:tcW w:type="dxa" w:w="836"/>
            <w:tcMar>
              <w:top w:w="50" w:type="dxa"/>
              <w:bottom w:w="50" w:type="dxa"/>
              <w:left w:w="90" w:type="dxa"/>
              <w:right w:w="90" w:type="dxa"/>
            </w:tcMar>
          </w:tcPr>
          <w:p>
            <w:pPr>
              <w:pStyle w:val="BDOITable"/>
            </w:pPr>
            <w:r>
              <w:rPr>
                <w:sz w:val="16"/>
              </w:rPr>
              <w:t>1081</w:t>
            </w:r>
          </w:p>
        </w:tc>
        <w:tc>
          <w:tcPr>
            <w:tcW w:type="dxa" w:w="901"/>
            <w:tcMar>
              <w:top w:w="50" w:type="dxa"/>
              <w:bottom w:w="50" w:type="dxa"/>
              <w:left w:w="90" w:type="dxa"/>
              <w:right w:w="90" w:type="dxa"/>
            </w:tcMar>
          </w:tcPr>
          <w:p>
            <w:pPr>
              <w:pStyle w:val="BDOITable"/>
            </w:pPr>
            <w:r>
              <w:rPr>
                <w:sz w:val="16"/>
              </w:rPr>
              <w:t>1063</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18</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343</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BRD-07</w:t>
            </w:r>
          </w:p>
        </w:tc>
        <w:tc>
          <w:tcPr>
            <w:tcW w:type="dxa" w:w="2445"/>
            <w:tcMar>
              <w:top w:w="50" w:type="dxa"/>
              <w:bottom w:w="50" w:type="dxa"/>
              <w:left w:w="90" w:type="dxa"/>
              <w:right w:w="90" w:type="dxa"/>
            </w:tcMar>
            <w:shd w:val="clear" w:color="auto" w:fill="E5F5FF"/>
          </w:tcPr>
          <w:p>
            <w:pPr>
              <w:pStyle w:val="BDOITable"/>
            </w:pPr>
            <w:r>
              <w:rPr>
                <w:sz w:val="16"/>
              </w:rPr>
              <w:t>Claims</w:t>
            </w:r>
          </w:p>
        </w:tc>
        <w:tc>
          <w:tcPr>
            <w:tcW w:type="dxa" w:w="836"/>
            <w:tcMar>
              <w:top w:w="50" w:type="dxa"/>
              <w:bottom w:w="50" w:type="dxa"/>
              <w:left w:w="90" w:type="dxa"/>
              <w:right w:w="90" w:type="dxa"/>
            </w:tcMar>
            <w:shd w:val="clear" w:color="auto" w:fill="E5F5FF"/>
          </w:tcPr>
          <w:p>
            <w:pPr>
              <w:pStyle w:val="BDOITable"/>
            </w:pPr>
            <w:r>
              <w:rPr>
                <w:sz w:val="16"/>
              </w:rPr>
              <w:t>43</w:t>
            </w:r>
          </w:p>
        </w:tc>
        <w:tc>
          <w:tcPr>
            <w:tcW w:type="dxa" w:w="901"/>
            <w:tcMar>
              <w:top w:w="50" w:type="dxa"/>
              <w:bottom w:w="50" w:type="dxa"/>
              <w:left w:w="90" w:type="dxa"/>
              <w:right w:w="90" w:type="dxa"/>
            </w:tcMar>
            <w:shd w:val="clear" w:color="auto" w:fill="E5F5FF"/>
          </w:tcPr>
          <w:p>
            <w:pPr>
              <w:pStyle w:val="BDOITable"/>
            </w:pPr>
            <w:r>
              <w:rPr>
                <w:sz w:val="16"/>
              </w:rPr>
              <w:t>43</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185</w:t>
            </w:r>
          </w:p>
        </w:tc>
      </w:tr>
      <w:tr>
        <w:trPr>
          <w:cantSplit w:val="true"/>
        </w:trPr>
        <w:tc>
          <w:tcPr>
            <w:tcW w:type="dxa" w:w="836"/>
            <w:tcMar>
              <w:top w:w="50" w:type="dxa"/>
              <w:bottom w:w="50" w:type="dxa"/>
              <w:left w:w="90" w:type="dxa"/>
              <w:right w:w="90" w:type="dxa"/>
            </w:tcMar>
          </w:tcPr>
          <w:p>
            <w:pPr>
              <w:pStyle w:val="BDOITable"/>
            </w:pPr>
            <w:r>
              <w:rPr>
                <w:b/>
                <w:sz w:val="16"/>
              </w:rPr>
              <w:t>BRD-08</w:t>
            </w:r>
          </w:p>
        </w:tc>
        <w:tc>
          <w:tcPr>
            <w:tcW w:type="dxa" w:w="2445"/>
            <w:tcMar>
              <w:top w:w="50" w:type="dxa"/>
              <w:bottom w:w="50" w:type="dxa"/>
              <w:left w:w="90" w:type="dxa"/>
              <w:right w:w="90" w:type="dxa"/>
            </w:tcMar>
          </w:tcPr>
          <w:p>
            <w:pPr>
              <w:pStyle w:val="BDOITable"/>
            </w:pPr>
            <w:r>
              <w:rPr>
                <w:sz w:val="16"/>
              </w:rPr>
              <w:t>Employee Benefits</w:t>
            </w:r>
          </w:p>
        </w:tc>
        <w:tc>
          <w:tcPr>
            <w:tcW w:type="dxa" w:w="836"/>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33</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154</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BRD-09</w:t>
            </w:r>
          </w:p>
        </w:tc>
        <w:tc>
          <w:tcPr>
            <w:tcW w:type="dxa" w:w="2445"/>
            <w:tcMar>
              <w:top w:w="50" w:type="dxa"/>
              <w:bottom w:w="50" w:type="dxa"/>
              <w:left w:w="90" w:type="dxa"/>
              <w:right w:w="90" w:type="dxa"/>
            </w:tcMar>
            <w:shd w:val="clear" w:color="auto" w:fill="E5F5FF"/>
          </w:tcPr>
          <w:p>
            <w:pPr>
              <w:pStyle w:val="BDOITable"/>
            </w:pPr>
            <w:r>
              <w:rPr>
                <w:sz w:val="16"/>
              </w:rPr>
              <w:t>Customer Servicing Facility</w:t>
            </w:r>
          </w:p>
        </w:tc>
        <w:tc>
          <w:tcPr>
            <w:tcW w:type="dxa" w:w="836"/>
            <w:tcMar>
              <w:top w:w="50" w:type="dxa"/>
              <w:bottom w:w="50" w:type="dxa"/>
              <w:left w:w="90" w:type="dxa"/>
              <w:right w:w="90" w:type="dxa"/>
            </w:tcMar>
            <w:shd w:val="clear" w:color="auto" w:fill="E5F5FF"/>
          </w:tcPr>
          <w:p>
            <w:pPr>
              <w:pStyle w:val="BDOITable"/>
            </w:pPr>
            <w:r>
              <w:rPr>
                <w:sz w:val="16"/>
              </w:rPr>
              <w:t>23</w:t>
            </w:r>
          </w:p>
        </w:tc>
        <w:tc>
          <w:tcPr>
            <w:tcW w:type="dxa" w:w="901"/>
            <w:tcMar>
              <w:top w:w="50" w:type="dxa"/>
              <w:bottom w:w="50" w:type="dxa"/>
              <w:left w:w="90" w:type="dxa"/>
              <w:right w:w="90" w:type="dxa"/>
            </w:tcMar>
            <w:shd w:val="clear" w:color="auto" w:fill="E5F5FF"/>
          </w:tcPr>
          <w:p>
            <w:pPr>
              <w:pStyle w:val="BDOITable"/>
            </w:pPr>
            <w:r>
              <w:rPr>
                <w:sz w:val="16"/>
              </w:rPr>
              <w:t>22</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1</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116</w:t>
            </w:r>
          </w:p>
        </w:tc>
      </w:tr>
      <w:tr>
        <w:trPr>
          <w:cantSplit w:val="true"/>
        </w:trPr>
        <w:tc>
          <w:tcPr>
            <w:tcW w:type="dxa" w:w="836"/>
            <w:tcMar>
              <w:top w:w="50" w:type="dxa"/>
              <w:bottom w:w="50" w:type="dxa"/>
              <w:left w:w="90" w:type="dxa"/>
              <w:right w:w="90" w:type="dxa"/>
            </w:tcMar>
          </w:tcPr>
          <w:p>
            <w:pPr>
              <w:pStyle w:val="BDOITable"/>
            </w:pPr>
            <w:r>
              <w:rPr>
                <w:b/>
                <w:sz w:val="16"/>
              </w:rPr>
              <w:t>BRD-10</w:t>
            </w:r>
          </w:p>
        </w:tc>
        <w:tc>
          <w:tcPr>
            <w:tcW w:type="dxa" w:w="2445"/>
            <w:tcMar>
              <w:top w:w="50" w:type="dxa"/>
              <w:bottom w:w="50" w:type="dxa"/>
              <w:left w:w="90" w:type="dxa"/>
              <w:right w:w="90" w:type="dxa"/>
            </w:tcMar>
          </w:tcPr>
          <w:p>
            <w:pPr>
              <w:pStyle w:val="BDOITable"/>
            </w:pPr>
            <w:r>
              <w:rPr>
                <w:sz w:val="16"/>
              </w:rPr>
              <w:t>Sanction Screening</w:t>
            </w:r>
          </w:p>
        </w:tc>
        <w:tc>
          <w:tcPr>
            <w:tcW w:type="dxa" w:w="836"/>
            <w:tcMar>
              <w:top w:w="50" w:type="dxa"/>
              <w:bottom w:w="50" w:type="dxa"/>
              <w:left w:w="90" w:type="dxa"/>
              <w:right w:w="90" w:type="dxa"/>
            </w:tcMar>
          </w:tcPr>
          <w:p>
            <w:pPr>
              <w:pStyle w:val="BDOITable"/>
            </w:pPr>
            <w:r>
              <w:rPr>
                <w:sz w:val="16"/>
              </w:rPr>
              <w:t>37</w:t>
            </w:r>
          </w:p>
        </w:tc>
        <w:tc>
          <w:tcPr>
            <w:tcW w:type="dxa" w:w="901"/>
            <w:tcMar>
              <w:top w:w="50" w:type="dxa"/>
              <w:bottom w:w="50" w:type="dxa"/>
              <w:left w:w="90" w:type="dxa"/>
              <w:right w:w="90" w:type="dxa"/>
            </w:tcMar>
          </w:tcPr>
          <w:p>
            <w:pPr>
              <w:pStyle w:val="BDOITable"/>
            </w:pPr>
            <w:r>
              <w:rPr>
                <w:sz w:val="16"/>
              </w:rPr>
              <w:t>37</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214</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BRD-11</w:t>
            </w:r>
          </w:p>
        </w:tc>
        <w:tc>
          <w:tcPr>
            <w:tcW w:type="dxa" w:w="2445"/>
            <w:tcMar>
              <w:top w:w="50" w:type="dxa"/>
              <w:bottom w:w="50" w:type="dxa"/>
              <w:left w:w="90" w:type="dxa"/>
              <w:right w:w="90" w:type="dxa"/>
            </w:tcMar>
            <w:shd w:val="clear" w:color="auto" w:fill="E5F5FF"/>
          </w:tcPr>
          <w:p>
            <w:pPr>
              <w:pStyle w:val="BDOITable"/>
            </w:pPr>
            <w:r>
              <w:rPr>
                <w:sz w:val="16"/>
              </w:rPr>
              <w:t>User Access Maintenance</w:t>
            </w:r>
          </w:p>
        </w:tc>
        <w:tc>
          <w:tcPr>
            <w:tcW w:type="dxa" w:w="836"/>
            <w:tcMar>
              <w:top w:w="50" w:type="dxa"/>
              <w:bottom w:w="50" w:type="dxa"/>
              <w:left w:w="90" w:type="dxa"/>
              <w:right w:w="90" w:type="dxa"/>
            </w:tcMar>
            <w:shd w:val="clear" w:color="auto" w:fill="E5F5FF"/>
          </w:tcPr>
          <w:p>
            <w:pPr>
              <w:pStyle w:val="BDOITable"/>
            </w:pPr>
            <w:r>
              <w:rPr>
                <w:sz w:val="16"/>
              </w:rPr>
              <w:t>160</w:t>
            </w:r>
          </w:p>
        </w:tc>
        <w:tc>
          <w:tcPr>
            <w:tcW w:type="dxa" w:w="901"/>
            <w:tcMar>
              <w:top w:w="50" w:type="dxa"/>
              <w:bottom w:w="50" w:type="dxa"/>
              <w:left w:w="90" w:type="dxa"/>
              <w:right w:w="90" w:type="dxa"/>
            </w:tcMar>
            <w:shd w:val="clear" w:color="auto" w:fill="E5F5FF"/>
          </w:tcPr>
          <w:p>
            <w:pPr>
              <w:pStyle w:val="BDOITable"/>
            </w:pPr>
            <w:r>
              <w:rPr>
                <w:sz w:val="16"/>
              </w:rPr>
              <w:t>160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213</w:t>
            </w:r>
          </w:p>
        </w:tc>
      </w:tr>
      <w:tr>
        <w:trPr>
          <w:cantSplit w:val="true"/>
        </w:trPr>
        <w:tc>
          <w:tcPr>
            <w:tcW w:type="dxa" w:w="836"/>
            <w:tcMar>
              <w:top w:w="50" w:type="dxa"/>
              <w:bottom w:w="50" w:type="dxa"/>
              <w:left w:w="90" w:type="dxa"/>
              <w:right w:w="90" w:type="dxa"/>
            </w:tcMar>
          </w:tcPr>
          <w:p>
            <w:pPr>
              <w:pStyle w:val="BDOITable"/>
            </w:pPr>
            <w:r>
              <w:rPr>
                <w:b/>
                <w:sz w:val="16"/>
              </w:rPr>
              <w:t>BRD-12</w:t>
            </w:r>
          </w:p>
        </w:tc>
        <w:tc>
          <w:tcPr>
            <w:tcW w:type="dxa" w:w="2445"/>
            <w:tcMar>
              <w:top w:w="50" w:type="dxa"/>
              <w:bottom w:w="50" w:type="dxa"/>
              <w:left w:w="90" w:type="dxa"/>
              <w:right w:w="90" w:type="dxa"/>
            </w:tcMar>
          </w:tcPr>
          <w:p>
            <w:pPr>
              <w:pStyle w:val="BDOITable"/>
            </w:pPr>
            <w:r>
              <w:rPr>
                <w:sz w:val="16"/>
              </w:rPr>
              <w:t>Submitted Policies</w:t>
            </w:r>
          </w:p>
        </w:tc>
        <w:tc>
          <w:tcPr>
            <w:tcW w:type="dxa" w:w="836"/>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122</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BRD-13</w:t>
            </w:r>
          </w:p>
        </w:tc>
        <w:tc>
          <w:tcPr>
            <w:tcW w:type="dxa" w:w="2445"/>
            <w:tcMar>
              <w:top w:w="50" w:type="dxa"/>
              <w:bottom w:w="50" w:type="dxa"/>
              <w:left w:w="90" w:type="dxa"/>
              <w:right w:w="90" w:type="dxa"/>
            </w:tcMar>
            <w:shd w:val="clear" w:color="auto" w:fill="E5F5FF"/>
          </w:tcPr>
          <w:p>
            <w:pPr>
              <w:pStyle w:val="BDOITable"/>
            </w:pPr>
            <w:r>
              <w:rPr>
                <w:sz w:val="16"/>
              </w:rPr>
              <w:t>Data Migration</w:t>
            </w:r>
          </w:p>
        </w:tc>
        <w:tc>
          <w:tcPr>
            <w:tcW w:type="dxa" w:w="836"/>
            <w:tcMar>
              <w:top w:w="50" w:type="dxa"/>
              <w:bottom w:w="50" w:type="dxa"/>
              <w:left w:w="90" w:type="dxa"/>
              <w:right w:w="90" w:type="dxa"/>
            </w:tcMar>
            <w:shd w:val="clear" w:color="auto" w:fill="E5F5FF"/>
          </w:tcPr>
          <w:p>
            <w:pPr>
              <w:pStyle w:val="BDOITable"/>
            </w:pPr>
            <w:r>
              <w:rPr>
                <w:sz w:val="16"/>
              </w:rPr>
              <w:t>30</w:t>
            </w:r>
          </w:p>
        </w:tc>
        <w:tc>
          <w:tcPr>
            <w:tcW w:type="dxa" w:w="901"/>
            <w:tcMar>
              <w:top w:w="50" w:type="dxa"/>
              <w:bottom w:w="50" w:type="dxa"/>
              <w:left w:w="90" w:type="dxa"/>
              <w:right w:w="90" w:type="dxa"/>
            </w:tcMar>
            <w:shd w:val="clear" w:color="auto" w:fill="E5F5FF"/>
          </w:tcPr>
          <w:p>
            <w:pPr>
              <w:pStyle w:val="BDOITable"/>
            </w:pPr>
            <w:r>
              <w:rPr>
                <w:sz w:val="16"/>
              </w:rPr>
              <w:t>30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246</w:t>
            </w:r>
          </w:p>
        </w:tc>
      </w:tr>
    </w:tbl>
    <w:p>
      <w:pPr>
        <w:pStyle w:val="BDOISpacer"/>
      </w:pPr>
    </w:p>
    <w:p>
      <w:r>
        <w:rPr/>
        <w:t>Rule for UAT entry: every in-scope BRD ID of the drop is covered by at least one test case, and every FR has at least one positive and one negative case.</w:t>
      </w:r>
    </w:p>
    <w:p>
      <w:pPr>
        <w:pStyle w:val="Heading2"/>
      </w:pPr>
      <w:bookmarkStart w:id="137" w:name="_Toc000137"/>
      <w:r>
        <w:rPr/>
        <w:t>12.3 Change control</w:t>
      </w:r>
      <w:bookmarkEnd w:id="137"/>
    </w:p>
    <w:p>
      <w:r>
        <w:rPr/>
        <w:t>A change to an approved requirement goes through the change-control process of the change management register: impact analysis, effort, decision by the Change Control Board, FRS revision citing the CR ID, new or changed test cases and an updated traceability row.</w:t>
      </w:r>
    </w:p>
    <w:p>
      <w:pPr>
        <w:pStyle w:val="Heading1"/>
        <w:pageBreakBefore/>
        <w:pBdr>
          <w:bottom w:val="single" w:sz="4" w:space="4" w:color="99C1E7"/>
        </w:pBdr>
      </w:pPr>
      <w:bookmarkStart w:id="138" w:name="_Toc000138"/>
      <w:r>
        <w:rPr/>
        <w:t>13 Decisions and open points for BDOI</w:t>
      </w:r>
      <w:bookmarkEnd w:id="138"/>
    </w:p>
    <w:p>
      <w:pPr>
        <w:pStyle w:val="Caption"/>
        <w:keepNext/>
        <w:spacing w:after="60"/>
      </w:pPr>
      <w:r>
        <w:rPr>
          <w:b/>
          <w:i w:val="0"/>
        </w:rPr>
        <w:t xml:space="preserve">Table 18: </w:t>
      </w:r>
      <w:r>
        <w:rPr/>
        <w:t>Decisions requested from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4"/>
        <w:gridCol w:w="5342"/>
        <w:gridCol w:w="2137"/>
        <w:gridCol w:w="1127"/>
        <w:gridCol w:w="831"/>
      </w:tblGrid>
      <w:tr>
        <w:trPr>
          <w:tblHeader w:val="true"/>
          <w:cantSplit w:val="true"/>
        </w:trPr>
        <w:tc>
          <w:tcPr>
            <w:tcW w:type="dxa" w:w="534"/>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342"/>
            <w:shd w:val="clear" w:color="auto" w:fill="004EA8"/>
            <w:tcMar>
              <w:top w:w="50" w:type="dxa"/>
              <w:bottom w:w="50" w:type="dxa"/>
              <w:left w:w="90" w:type="dxa"/>
              <w:right w:w="90" w:type="dxa"/>
            </w:tcMar>
            <w:vAlign w:val="center"/>
          </w:tcPr>
          <w:p>
            <w:pPr>
              <w:pStyle w:val="BDOITableHeader"/>
            </w:pPr>
            <w:r>
              <w:rPr>
                <w:b/>
                <w:color w:val="FFFFFF"/>
                <w:sz w:val="16"/>
              </w:rPr>
              <w:t>Decision or open point</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128"/>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4"/>
            <w:tcMar>
              <w:top w:w="50" w:type="dxa"/>
              <w:bottom w:w="50" w:type="dxa"/>
              <w:left w:w="90" w:type="dxa"/>
              <w:right w:w="90" w:type="dxa"/>
            </w:tcMar>
          </w:tcPr>
          <w:p>
            <w:pPr>
              <w:pStyle w:val="BDOITable"/>
            </w:pPr>
            <w:r>
              <w:rPr>
                <w:sz w:val="16"/>
              </w:rPr>
              <w:t>1</w:t>
            </w:r>
          </w:p>
        </w:tc>
        <w:tc>
          <w:tcPr>
            <w:tcW w:type="dxa" w:w="5342"/>
            <w:tcMar>
              <w:top w:w="50" w:type="dxa"/>
              <w:bottom w:w="50" w:type="dxa"/>
              <w:left w:w="90" w:type="dxa"/>
              <w:right w:w="90" w:type="dxa"/>
            </w:tcMar>
          </w:tcPr>
          <w:p>
            <w:pPr>
              <w:pStyle w:val="BDOITable"/>
            </w:pPr>
            <w:r>
              <w:rPr>
                <w:sz w:val="16"/>
              </w:rPr>
              <w:t>Accept this SRS as the programme-level baseline, with the FRS governing functional behaviour</w:t>
            </w:r>
          </w:p>
        </w:tc>
        <w:tc>
          <w:tcPr>
            <w:tcW w:type="dxa" w:w="2137"/>
            <w:tcMar>
              <w:top w:w="50" w:type="dxa"/>
              <w:bottom w:w="50" w:type="dxa"/>
              <w:left w:w="90" w:type="dxa"/>
              <w:right w:w="90" w:type="dxa"/>
            </w:tcMar>
          </w:tcPr>
          <w:p>
            <w:pPr>
              <w:pStyle w:val="BDOITable"/>
            </w:pPr>
            <w:r>
              <w:rPr>
                <w:sz w:val="16"/>
              </w:rPr>
              <w:t>BIBS Product Owner</w:t>
            </w:r>
          </w:p>
        </w:tc>
        <w:tc>
          <w:tcPr>
            <w:tcW w:type="dxa" w:w="1128"/>
            <w:tcMar>
              <w:top w:w="50" w:type="dxa"/>
              <w:bottom w:w="50" w:type="dxa"/>
              <w:left w:w="90" w:type="dxa"/>
              <w:right w:w="90" w:type="dxa"/>
            </w:tcMar>
          </w:tcPr>
          <w:p>
            <w:pPr>
              <w:pStyle w:val="BDOITable"/>
            </w:pPr>
            <w:r>
              <w:rPr>
                <w:sz w:val="16"/>
              </w:rPr>
              <w:t>23 Oct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2</w:t>
            </w:r>
          </w:p>
        </w:tc>
        <w:tc>
          <w:tcPr>
            <w:tcW w:type="dxa" w:w="5342"/>
            <w:tcMar>
              <w:top w:w="50" w:type="dxa"/>
              <w:bottom w:w="50" w:type="dxa"/>
              <w:left w:w="90" w:type="dxa"/>
              <w:right w:w="90" w:type="dxa"/>
            </w:tcMar>
            <w:shd w:val="clear" w:color="auto" w:fill="E5F5FF"/>
          </w:tcPr>
          <w:p>
            <w:pPr>
              <w:pStyle w:val="BDOITable"/>
            </w:pPr>
            <w:r>
              <w:rPr>
                <w:sz w:val="16"/>
              </w:rPr>
              <w:t>Decide the BIBS-wide NFR values that conflict between BRDs (response time, availability, service and maintenance windows, backup and record retention) - see the NFR document</w:t>
            </w:r>
          </w:p>
        </w:tc>
        <w:tc>
          <w:tcPr>
            <w:tcW w:type="dxa" w:w="2137"/>
            <w:tcMar>
              <w:top w:w="50" w:type="dxa"/>
              <w:bottom w:w="50" w:type="dxa"/>
              <w:left w:w="90" w:type="dxa"/>
              <w:right w:w="90" w:type="dxa"/>
            </w:tcMar>
            <w:shd w:val="clear" w:color="auto" w:fill="E5F5FF"/>
          </w:tcPr>
          <w:p>
            <w:pPr>
              <w:pStyle w:val="BDOITable"/>
            </w:pPr>
            <w:r>
              <w:rPr>
                <w:sz w:val="16"/>
              </w:rPr>
              <w:t>BIBS Product Owner with the BRD owners</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3</w:t>
            </w:r>
          </w:p>
        </w:tc>
        <w:tc>
          <w:tcPr>
            <w:tcW w:type="dxa" w:w="5342"/>
            <w:tcMar>
              <w:top w:w="50" w:type="dxa"/>
              <w:bottom w:w="50" w:type="dxa"/>
              <w:left w:w="90" w:type="dxa"/>
              <w:right w:w="90" w:type="dxa"/>
            </w:tcMar>
          </w:tcPr>
          <w:p>
            <w:pPr>
              <w:pStyle w:val="BDOITable"/>
            </w:pPr>
            <w:r>
              <w:rPr>
                <w:sz w:val="16"/>
              </w:rPr>
              <w:t>Confirm EIAM single sign-on in place of the EUA directory sign-in of BRD-11 (IQ04) and the split of access requests between UIDM-ISC and BIBS (IQ05)</w:t>
            </w:r>
          </w:p>
        </w:tc>
        <w:tc>
          <w:tcPr>
            <w:tcW w:type="dxa" w:w="2137"/>
            <w:tcMar>
              <w:top w:w="50" w:type="dxa"/>
              <w:bottom w:w="50" w:type="dxa"/>
              <w:left w:w="90" w:type="dxa"/>
              <w:right w:w="90" w:type="dxa"/>
            </w:tcMar>
          </w:tcPr>
          <w:p>
            <w:pPr>
              <w:pStyle w:val="BDOITable"/>
            </w:pPr>
            <w:r>
              <w:rPr>
                <w:sz w:val="16"/>
              </w:rPr>
              <w:t>BDOI Information Security; BDOI IT</w:t>
            </w:r>
          </w:p>
        </w:tc>
        <w:tc>
          <w:tcPr>
            <w:tcW w:type="dxa" w:w="1128"/>
            <w:tcMar>
              <w:top w:w="50" w:type="dxa"/>
              <w:bottom w:w="50" w:type="dxa"/>
              <w:left w:w="90" w:type="dxa"/>
              <w:right w:w="90" w:type="dxa"/>
            </w:tcMar>
          </w:tcPr>
          <w:p>
            <w:pPr>
              <w:pStyle w:val="BDOITable"/>
            </w:pPr>
            <w:r>
              <w:rPr>
                <w:sz w:val="16"/>
              </w:rPr>
              <w:t>31 Jan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4</w:t>
            </w:r>
          </w:p>
        </w:tc>
        <w:tc>
          <w:tcPr>
            <w:tcW w:type="dxa" w:w="5342"/>
            <w:tcMar>
              <w:top w:w="50" w:type="dxa"/>
              <w:bottom w:w="50" w:type="dxa"/>
              <w:left w:w="90" w:type="dxa"/>
              <w:right w:w="90" w:type="dxa"/>
            </w:tcMar>
            <w:shd w:val="clear" w:color="auto" w:fill="E5F5FF"/>
          </w:tcPr>
          <w:p>
            <w:pPr>
              <w:pStyle w:val="BDOITable"/>
            </w:pPr>
            <w:r>
              <w:rPr>
                <w:sz w:val="16"/>
              </w:rPr>
              <w:t>Name the DR region after the data-residency check (IQ26)</w:t>
            </w:r>
          </w:p>
        </w:tc>
        <w:tc>
          <w:tcPr>
            <w:tcW w:type="dxa" w:w="2137"/>
            <w:tcMar>
              <w:top w:w="50" w:type="dxa"/>
              <w:bottom w:w="50" w:type="dxa"/>
              <w:left w:w="90" w:type="dxa"/>
              <w:right w:w="90" w:type="dxa"/>
            </w:tcMar>
            <w:shd w:val="clear" w:color="auto" w:fill="E5F5FF"/>
          </w:tcPr>
          <w:p>
            <w:pPr>
              <w:pStyle w:val="BDOITable"/>
            </w:pPr>
            <w:r>
              <w:rPr>
                <w:sz w:val="16"/>
              </w:rPr>
              <w:t>BDOI IT</w:t>
            </w:r>
          </w:p>
        </w:tc>
        <w:tc>
          <w:tcPr>
            <w:tcW w:type="dxa" w:w="1128"/>
            <w:tcMar>
              <w:top w:w="50" w:type="dxa"/>
              <w:bottom w:w="50" w:type="dxa"/>
              <w:left w:w="90" w:type="dxa"/>
              <w:right w:w="90" w:type="dxa"/>
            </w:tcMar>
            <w:shd w:val="clear" w:color="auto" w:fill="E5F5FF"/>
          </w:tcPr>
          <w:p>
            <w:pPr>
              <w:pStyle w:val="BDOITable"/>
            </w:pPr>
            <w:r>
              <w:rPr>
                <w:sz w:val="16"/>
              </w:rPr>
              <w:t>31 Mar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5</w:t>
            </w:r>
          </w:p>
        </w:tc>
        <w:tc>
          <w:tcPr>
            <w:tcW w:type="dxa" w:w="5342"/>
            <w:tcMar>
              <w:top w:w="50" w:type="dxa"/>
              <w:bottom w:w="50" w:type="dxa"/>
              <w:left w:w="90" w:type="dxa"/>
              <w:right w:w="90" w:type="dxa"/>
            </w:tcMar>
          </w:tcPr>
          <w:p>
            <w:pPr>
              <w:pStyle w:val="BDOITable"/>
            </w:pPr>
            <w:r>
              <w:rPr>
                <w:sz w:val="16"/>
              </w:rPr>
              <w:t>Confirm that transmission of service invoices to BIR CAS / e-invoicing is outside phase 1 (CLR-NB-33)</w:t>
            </w:r>
          </w:p>
        </w:tc>
        <w:tc>
          <w:tcPr>
            <w:tcW w:type="dxa" w:w="2137"/>
            <w:tcMar>
              <w:top w:w="50" w:type="dxa"/>
              <w:bottom w:w="50" w:type="dxa"/>
              <w:left w:w="90" w:type="dxa"/>
              <w:right w:w="90" w:type="dxa"/>
            </w:tcMar>
          </w:tcPr>
          <w:p>
            <w:pPr>
              <w:pStyle w:val="BDOITable"/>
            </w:pPr>
            <w:r>
              <w:rPr>
                <w:sz w:val="16"/>
              </w:rPr>
              <w:t>Head, Comptrollership</w:t>
            </w:r>
          </w:p>
        </w:tc>
        <w:tc>
          <w:tcPr>
            <w:tcW w:type="dxa" w:w="1128"/>
            <w:tcMar>
              <w:top w:w="50" w:type="dxa"/>
              <w:bottom w:w="50" w:type="dxa"/>
              <w:left w:w="90" w:type="dxa"/>
              <w:right w:w="90" w:type="dxa"/>
            </w:tcMar>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6</w:t>
            </w:r>
          </w:p>
        </w:tc>
        <w:tc>
          <w:tcPr>
            <w:tcW w:type="dxa" w:w="5342"/>
            <w:tcMar>
              <w:top w:w="50" w:type="dxa"/>
              <w:bottom w:w="50" w:type="dxa"/>
              <w:left w:w="90" w:type="dxa"/>
              <w:right w:w="90" w:type="dxa"/>
            </w:tcMar>
            <w:shd w:val="clear" w:color="auto" w:fill="E5F5FF"/>
          </w:tcPr>
          <w:p>
            <w:pPr>
              <w:pStyle w:val="BDOITable"/>
            </w:pPr>
            <w:r>
              <w:rPr>
                <w:sz w:val="16"/>
              </w:rPr>
              <w:t>Decide the umbrella rows waiting for a proposed rule: claim cheques held by BDOI (CRQ03), CSF case resolution (CRQ04), emerging capabilities (CRQ10), ALeA e-mail encoding (CRQ20)</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7</w:t>
            </w:r>
          </w:p>
        </w:tc>
        <w:tc>
          <w:tcPr>
            <w:tcW w:type="dxa" w:w="5342"/>
            <w:tcMar>
              <w:top w:w="50" w:type="dxa"/>
              <w:bottom w:w="50" w:type="dxa"/>
              <w:left w:w="90" w:type="dxa"/>
              <w:right w:w="90" w:type="dxa"/>
            </w:tcMar>
          </w:tcPr>
          <w:p>
            <w:pPr>
              <w:pStyle w:val="BDOITable"/>
            </w:pPr>
            <w:r>
              <w:rPr>
                <w:sz w:val="16"/>
              </w:rPr>
              <w:t>Scope and drop of Customer Servicing Case Management (CSF addendum)</w:t>
            </w:r>
          </w:p>
        </w:tc>
        <w:tc>
          <w:tcPr>
            <w:tcW w:type="dxa" w:w="2137"/>
            <w:tcMar>
              <w:top w:w="50" w:type="dxa"/>
              <w:bottom w:w="50" w:type="dxa"/>
              <w:left w:w="90" w:type="dxa"/>
              <w:right w:w="90" w:type="dxa"/>
            </w:tcMar>
          </w:tcPr>
          <w:p>
            <w:pPr>
              <w:pStyle w:val="BDOITable"/>
            </w:pPr>
            <w:r>
              <w:rPr>
                <w:sz w:val="16"/>
              </w:rPr>
              <w:t>Product Owner, CSF; Change Control Board</w:t>
            </w:r>
          </w:p>
        </w:tc>
        <w:tc>
          <w:tcPr>
            <w:tcW w:type="dxa" w:w="1128"/>
            <w:tcMar>
              <w:top w:w="50" w:type="dxa"/>
              <w:bottom w:w="50" w:type="dxa"/>
              <w:left w:w="90" w:type="dxa"/>
              <w:right w:w="90" w:type="dxa"/>
            </w:tcMar>
          </w:tcPr>
          <w:p>
            <w:pPr>
              <w:pStyle w:val="BDOITable"/>
            </w:pPr>
            <w:r>
              <w:rPr>
                <w:sz w:val="16"/>
              </w:rPr>
              <w:t>30 Oct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8</w:t>
            </w:r>
          </w:p>
        </w:tc>
        <w:tc>
          <w:tcPr>
            <w:tcW w:type="dxa" w:w="5342"/>
            <w:tcMar>
              <w:top w:w="50" w:type="dxa"/>
              <w:bottom w:w="50" w:type="dxa"/>
              <w:left w:w="90" w:type="dxa"/>
              <w:right w:w="90" w:type="dxa"/>
            </w:tcMar>
            <w:shd w:val="clear" w:color="auto" w:fill="E5F5FF"/>
          </w:tcPr>
          <w:p>
            <w:pPr>
              <w:pStyle w:val="BDOITable"/>
            </w:pPr>
            <w:r>
              <w:rPr>
                <w:sz w:val="16"/>
              </w:rPr>
              <w:t>Accept WCAG 2.2 level AA as the accessibility level of BIBS</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9</w:t>
            </w:r>
          </w:p>
        </w:tc>
        <w:tc>
          <w:tcPr>
            <w:tcW w:type="dxa" w:w="5342"/>
            <w:tcMar>
              <w:top w:w="50" w:type="dxa"/>
              <w:bottom w:w="50" w:type="dxa"/>
              <w:left w:w="90" w:type="dxa"/>
              <w:right w:w="90" w:type="dxa"/>
            </w:tcMar>
          </w:tcPr>
          <w:p>
            <w:pPr>
              <w:pStyle w:val="BDOITable"/>
            </w:pPr>
            <w:r>
              <w:rPr>
                <w:sz w:val="16"/>
              </w:rPr>
              <w:t>Plan the privacy impact assessment of BIBS by the Data Protection Officer before UAT</w:t>
            </w:r>
          </w:p>
        </w:tc>
        <w:tc>
          <w:tcPr>
            <w:tcW w:type="dxa" w:w="2137"/>
            <w:tcMar>
              <w:top w:w="50" w:type="dxa"/>
              <w:bottom w:w="50" w:type="dxa"/>
              <w:left w:w="90" w:type="dxa"/>
              <w:right w:w="90" w:type="dxa"/>
            </w:tcMar>
          </w:tcPr>
          <w:p>
            <w:pPr>
              <w:pStyle w:val="BDOITable"/>
            </w:pPr>
            <w:r>
              <w:rPr>
                <w:sz w:val="16"/>
              </w:rPr>
              <w:t>Data Protection Officer</w:t>
            </w:r>
          </w:p>
        </w:tc>
        <w:tc>
          <w:tcPr>
            <w:tcW w:type="dxa" w:w="1128"/>
            <w:tcMar>
              <w:top w:w="50" w:type="dxa"/>
              <w:bottom w:w="50" w:type="dxa"/>
              <w:left w:w="90" w:type="dxa"/>
              <w:right w:w="90" w:type="dxa"/>
            </w:tcMar>
          </w:tcPr>
          <w:p>
            <w:pPr>
              <w:pStyle w:val="BDOITable"/>
            </w:pPr>
            <w:r>
              <w:rPr>
                <w:sz w:val="16"/>
              </w:rPr>
              <w:t>30 Jun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10</w:t>
            </w:r>
          </w:p>
        </w:tc>
        <w:tc>
          <w:tcPr>
            <w:tcW w:type="dxa" w:w="5342"/>
            <w:tcMar>
              <w:top w:w="50" w:type="dxa"/>
              <w:bottom w:w="50" w:type="dxa"/>
              <w:left w:w="90" w:type="dxa"/>
              <w:right w:w="90" w:type="dxa"/>
            </w:tcMar>
            <w:shd w:val="clear" w:color="auto" w:fill="E5F5FF"/>
          </w:tcPr>
          <w:p>
            <w:pPr>
              <w:pStyle w:val="BDOITable"/>
            </w:pPr>
            <w:r>
              <w:rPr>
                <w:sz w:val="16"/>
              </w:rPr>
              <w:t>Confirm the re-issue of the FRS of BRD-06 to BRD-10 and BRD-12 with the user-story view and storyboard index</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13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39" w:name="_Toc000139"/>
      <w:r>
        <w:rPr/>
        <w:t>Sign-off</w:t>
      </w:r>
      <w:bookmarkEnd w:id="139"/>
    </w:p>
    <w:p>
      <w:r>
        <w:rPr/>
        <w:t>By signing, BDOI accepts this System Requirements Specification as the programme-level requirements baseline of BIBS phase 1. The FRS of each BRD remain the specification of the functional behaviour and are signed separately.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 BIBS System Requirements Specification</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BRD-00 System Requirements Specification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