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PROGRAMME ALIGNMENT</w:t>
      </w:r>
    </w:p>
    <w:p>
      <w:pPr>
        <w:spacing w:after="80" w:line="240" w:lineRule="auto"/>
      </w:pPr>
      <w:r>
        <w:rPr>
          <w:b/>
          <w:color w:val="004EA8"/>
          <w:sz w:val="56"/>
        </w:rPr>
        <w:t>Programme Alignment - Drops, Integrations and Infrastructure</w:t>
      </w:r>
    </w:p>
    <w:p>
      <w:pPr>
        <w:spacing w:after="40"/>
      </w:pPr>
      <w:r>
        <w:rPr>
          <w:color w:val="2E2E2E"/>
          <w:sz w:val="28"/>
        </w:rPr>
        <w:t>BDOI drop plan, timeline and IER workbook against BIBS as built and designed</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BIBS-ALN-BRD-00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26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Program Manager (pending)</w:t>
            </w:r>
          </w:p>
        </w:tc>
        <w:tc>
          <w:tcPr>
            <w:tcW w:type="dxa" w:w="2606"/>
            <w:tcMar>
              <w:top w:w="50" w:type="dxa"/>
              <w:bottom w:w="50" w:type="dxa"/>
              <w:left w:w="90" w:type="dxa"/>
              <w:right w:w="90" w:type="dxa"/>
            </w:tcMar>
          </w:tcPr>
          <w:p>
            <w:pPr>
              <w:pStyle w:val="BDOITable"/>
            </w:pPr>
            <w:r>
              <w:rPr>
                <w:sz w:val="18"/>
              </w:rPr>
              <w:t>First issue, from the drop plan and timeline slides, the IER workbook v20, the early renewal concept paper and the BDOI answers of 26 September 2026</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Program Manager, Business Project Services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Drops, timeline, cut-over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BDOI IT (integration owners)</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Integration inventory and open questions IQ04-IQ19</w:t>
            </w:r>
          </w:p>
        </w:tc>
      </w:tr>
      <w:tr>
        <w:trPr>
          <w:cantSplit w:val="true"/>
        </w:trPr>
        <w:tc>
          <w:tcPr>
            <w:tcW w:type="dxa" w:w="2606"/>
            <w:tcMar>
              <w:top w:w="50" w:type="dxa"/>
              <w:bottom w:w="50" w:type="dxa"/>
              <w:left w:w="90" w:type="dxa"/>
              <w:right w:w="90" w:type="dxa"/>
            </w:tcMar>
          </w:tcPr>
          <w:p>
            <w:pPr>
              <w:pStyle w:val="BDOITable"/>
            </w:pPr>
            <w:r>
              <w:rPr>
                <w:sz w:val="18"/>
              </w:rPr>
              <w:t>Cloud and Digital Operations Engineering (IER owner)</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 Unibank IT</w:t>
            </w:r>
          </w:p>
        </w:tc>
        <w:tc>
          <w:tcPr>
            <w:tcW w:type="dxa" w:w="2833"/>
            <w:tcMar>
              <w:top w:w="50" w:type="dxa"/>
              <w:bottom w:w="50" w:type="dxa"/>
              <w:left w:w="90" w:type="dxa"/>
              <w:right w:w="90" w:type="dxa"/>
            </w:tcMar>
          </w:tcPr>
          <w:p>
            <w:pPr>
              <w:pStyle w:val="BDOITable"/>
            </w:pPr>
            <w:r>
              <w:rPr>
                <w:sz w:val="18"/>
              </w:rPr>
              <w:t>Infrastructure alignment and the IER changes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Owner, Marketing Business System</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Drop mapping, renewal transition</w:t>
            </w:r>
          </w:p>
        </w:tc>
      </w:tr>
      <w:tr>
        <w:trPr>
          <w:cantSplit w:val="true"/>
        </w:trPr>
        <w:tc>
          <w:tcPr>
            <w:tcW w:type="dxa" w:w="2606"/>
            <w:tcMar>
              <w:top w:w="50" w:type="dxa"/>
              <w:bottom w:w="50" w:type="dxa"/>
              <w:left w:w="90" w:type="dxa"/>
              <w:right w:w="90" w:type="dxa"/>
            </w:tcMar>
          </w:tcPr>
          <w:p>
            <w:pPr>
              <w:pStyle w:val="BDOITable"/>
            </w:pPr>
            <w:r>
              <w:rPr>
                <w:sz w:val="18"/>
              </w:rPr>
              <w:t>Head, Comptrollership; Head, Operations</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Drop 1 downstream, EGL, bank channels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Build plan, test and migration plan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1.2 Sources</w:t>
        </w:r>
        <w:r>
          <w:t xml:space="preserve">	</w:t>
        </w:r>
        <w:r>
          <w:t xml:space="preserve">4</w:t>
        </w:r>
      </w:hyperlink>
    </w:p>
    <w:p>
      <w:pPr>
        <w:pStyle w:val="toc2"/>
      </w:pPr>
      <w:hyperlink w:anchor="_Toc000104" w:history="1">
        <w:r>
          <w:t xml:space="preserve">1.3 BDOI answers of 26 September 2026</w:t>
        </w:r>
        <w:r>
          <w:t xml:space="preserve">	</w:t>
        </w:r>
        <w:r>
          <w:t xml:space="preserve">4</w:t>
        </w:r>
      </w:hyperlink>
    </w:p>
    <w:p>
      <w:pPr>
        <w:pStyle w:val="toc2"/>
      </w:pPr>
      <w:hyperlink w:anchor="_Toc000105" w:history="1">
        <w:r>
          <w:t xml:space="preserve">1.4 BIBS status used in this document</w:t>
        </w:r>
        <w:r>
          <w:t xml:space="preserve">	</w:t>
        </w:r>
        <w:r>
          <w:t xml:space="preserve">5</w:t>
        </w:r>
      </w:hyperlink>
    </w:p>
    <w:p>
      <w:pPr>
        <w:pStyle w:val="toc1"/>
      </w:pPr>
      <w:hyperlink w:anchor="_Toc000106" w:history="1">
        <w:r>
          <w:t xml:space="preserve">2 Drop mapping</w:t>
        </w:r>
        <w:r>
          <w:t xml:space="preserve">	</w:t>
        </w:r>
        <w:r>
          <w:t xml:space="preserve">6</w:t>
        </w:r>
      </w:hyperlink>
    </w:p>
    <w:p>
      <w:pPr>
        <w:pStyle w:val="toc2"/>
      </w:pPr>
      <w:hyperlink w:anchor="_Toc000107" w:history="1">
        <w:r>
          <w:t xml:space="preserve">2.1 The drops at a glance</w:t>
        </w:r>
        <w:r>
          <w:t xml:space="preserve">	</w:t>
        </w:r>
        <w:r>
          <w:t xml:space="preserve">6</w:t>
        </w:r>
      </w:hyperlink>
    </w:p>
    <w:p>
      <w:pPr>
        <w:pStyle w:val="toc2"/>
      </w:pPr>
      <w:hyperlink w:anchor="_Toc000108" w:history="1">
        <w:r>
          <w:t xml:space="preserve">2.2 Drop items against BRDs, FRS and BIBS</w:t>
        </w:r>
        <w:r>
          <w:t xml:space="preserve">	</w:t>
        </w:r>
        <w:r>
          <w:t xml:space="preserve">7</w:t>
        </w:r>
      </w:hyperlink>
    </w:p>
    <w:p>
      <w:pPr>
        <w:pStyle w:val="toc2"/>
      </w:pPr>
      <w:hyperlink w:anchor="_Toc000109" w:history="1">
        <w:r>
          <w:t xml:space="preserve">2.3 Gaps and mismatches in the drop plan</w:t>
        </w:r>
        <w:r>
          <w:t xml:space="preserve">	</w:t>
        </w:r>
        <w:r>
          <w:t xml:space="preserve">10</w:t>
        </w:r>
      </w:hyperlink>
    </w:p>
    <w:p>
      <w:pPr>
        <w:pStyle w:val="toc2"/>
      </w:pPr>
      <w:hyperlink w:anchor="_Toc000110" w:history="1">
        <w:r>
          <w:t xml:space="preserve">2.4 Drop-to-document map</w:t>
        </w:r>
        <w:r>
          <w:t xml:space="preserve">	</w:t>
        </w:r>
        <w:r>
          <w:t xml:space="preserve">10</w:t>
        </w:r>
      </w:hyperlink>
    </w:p>
    <w:p>
      <w:pPr>
        <w:pStyle w:val="toc1"/>
      </w:pPr>
      <w:hyperlink w:anchor="_Toc000111" w:history="1">
        <w:r>
          <w:t xml:space="preserve">3 Early renewal concept paper</w:t>
        </w:r>
        <w:r>
          <w:t xml:space="preserve">	</w:t>
        </w:r>
        <w:r>
          <w:t xml:space="preserve">12</w:t>
        </w:r>
      </w:hyperlink>
    </w:p>
    <w:p>
      <w:pPr>
        <w:pStyle w:val="toc2"/>
      </w:pPr>
      <w:hyperlink w:anchor="_Toc000112" w:history="1">
        <w:r>
          <w:t xml:space="preserve">3.1 What the paper proposed</w:t>
        </w:r>
        <w:r>
          <w:t xml:space="preserve">	</w:t>
        </w:r>
        <w:r>
          <w:t xml:space="preserve">12</w:t>
        </w:r>
      </w:hyperlink>
    </w:p>
    <w:p>
      <w:pPr>
        <w:pStyle w:val="toc2"/>
      </w:pPr>
      <w:hyperlink w:anchor="_Toc000113" w:history="1">
        <w:r>
          <w:t xml:space="preserve">3.2 Status: superseded</w:t>
        </w:r>
        <w:r>
          <w:t xml:space="preserve">	</w:t>
        </w:r>
        <w:r>
          <w:t xml:space="preserve">12</w:t>
        </w:r>
      </w:hyperlink>
    </w:p>
    <w:p>
      <w:pPr>
        <w:pStyle w:val="toc2"/>
      </w:pPr>
      <w:hyperlink w:anchor="_Toc000114" w:history="1">
        <w:r>
          <w:t xml:space="preserve">3.3 What remains from the paper</w:t>
        </w:r>
        <w:r>
          <w:t xml:space="preserve">	</w:t>
        </w:r>
        <w:r>
          <w:t xml:space="preserve">13</w:t>
        </w:r>
      </w:hyperlink>
    </w:p>
    <w:p>
      <w:pPr>
        <w:pStyle w:val="toc1"/>
      </w:pPr>
      <w:hyperlink w:anchor="_Toc000115" w:history="1">
        <w:r>
          <w:t xml:space="preserve">4 Timeline alignment</w:t>
        </w:r>
        <w:r>
          <w:t xml:space="preserve">	</w:t>
        </w:r>
        <w:r>
          <w:t xml:space="preserve">14</w:t>
        </w:r>
      </w:hyperlink>
    </w:p>
    <w:p>
      <w:pPr>
        <w:pStyle w:val="toc2"/>
      </w:pPr>
      <w:hyperlink w:anchor="_Toc000116" w:history="1">
        <w:r>
          <w:t xml:space="preserve">4.1 BDOI timeline against the BIBS plan</w:t>
        </w:r>
        <w:r>
          <w:t xml:space="preserve">	</w:t>
        </w:r>
        <w:r>
          <w:t xml:space="preserve">14</w:t>
        </w:r>
      </w:hyperlink>
    </w:p>
    <w:p>
      <w:pPr>
        <w:pStyle w:val="toc2"/>
      </w:pPr>
      <w:hyperlink w:anchor="_Toc000117" w:history="1">
        <w:r>
          <w:t xml:space="preserve">4.2 Go-live date</w:t>
        </w:r>
        <w:r>
          <w:t xml:space="preserve">	</w:t>
        </w:r>
        <w:r>
          <w:t xml:space="preserve">15</w:t>
        </w:r>
      </w:hyperlink>
    </w:p>
    <w:p>
      <w:pPr>
        <w:pStyle w:val="toc2"/>
      </w:pPr>
      <w:hyperlink w:anchor="_Toc000118" w:history="1">
        <w:r>
          <w:t xml:space="preserve">4.3 What each drop needs from us, and from BDOI</w:t>
        </w:r>
        <w:r>
          <w:t xml:space="preserve">	</w:t>
        </w:r>
        <w:r>
          <w:t xml:space="preserve">15</w:t>
        </w:r>
      </w:hyperlink>
    </w:p>
    <w:p>
      <w:pPr>
        <w:pStyle w:val="toc1"/>
      </w:pPr>
      <w:hyperlink w:anchor="_Toc000119" w:history="1">
        <w:r>
          <w:t xml:space="preserve">5 Integration inventory</w:t>
        </w:r>
        <w:r>
          <w:t xml:space="preserve">	</w:t>
        </w:r>
        <w:r>
          <w:t xml:space="preserve">16</w:t>
        </w:r>
      </w:hyperlink>
    </w:p>
    <w:p>
      <w:pPr>
        <w:pStyle w:val="toc2"/>
      </w:pPr>
      <w:hyperlink w:anchor="_Toc000120" w:history="1">
        <w:r>
          <w:t xml:space="preserve">5.1 Context</w:t>
        </w:r>
        <w:r>
          <w:t xml:space="preserve">	</w:t>
        </w:r>
        <w:r>
          <w:t xml:space="preserve">16</w:t>
        </w:r>
      </w:hyperlink>
    </w:p>
    <w:p>
      <w:pPr>
        <w:pStyle w:val="toc2"/>
      </w:pPr>
      <w:hyperlink w:anchor="_Toc000121" w:history="1">
        <w:r>
          <w:t xml:space="preserve">5.2 Inventory</w:t>
        </w:r>
        <w:r>
          <w:t xml:space="preserve">	</w:t>
        </w:r>
        <w:r>
          <w:t xml:space="preserve">17</w:t>
        </w:r>
      </w:hyperlink>
    </w:p>
    <w:p>
      <w:pPr>
        <w:pStyle w:val="toc2"/>
      </w:pPr>
      <w:hyperlink w:anchor="_Toc000122" w:history="1">
        <w:r>
          <w:t xml:space="preserve">5.3 Interfaces named in the BRDs but not on the slide</w:t>
        </w:r>
        <w:r>
          <w:t xml:space="preserve">	</w:t>
        </w:r>
        <w:r>
          <w:t xml:space="preserve">21</w:t>
        </w:r>
      </w:hyperlink>
    </w:p>
    <w:p>
      <w:pPr>
        <w:pStyle w:val="toc2"/>
      </w:pPr>
      <w:hyperlink w:anchor="_Toc000123" w:history="1">
        <w:r>
          <w:t xml:space="preserve">5.4 Integration build summary</w:t>
        </w:r>
        <w:r>
          <w:t xml:space="preserve">	</w:t>
        </w:r>
        <w:r>
          <w:t xml:space="preserve">21</w:t>
        </w:r>
      </w:hyperlink>
    </w:p>
    <w:p>
      <w:pPr>
        <w:pStyle w:val="toc1"/>
      </w:pPr>
      <w:hyperlink w:anchor="_Toc000124" w:history="1">
        <w:r>
          <w:t xml:space="preserve">6 Infrastructure alignment</w:t>
        </w:r>
        <w:r>
          <w:t xml:space="preserve">	</w:t>
        </w:r>
        <w:r>
          <w:t xml:space="preserve">22</w:t>
        </w:r>
      </w:hyperlink>
    </w:p>
    <w:p>
      <w:pPr>
        <w:pStyle w:val="toc2"/>
      </w:pPr>
      <w:hyperlink w:anchor="_Toc000125" w:history="1">
        <w:r>
          <w:t xml:space="preserve">6.1 What the IER says</w:t>
        </w:r>
        <w:r>
          <w:t xml:space="preserve">	</w:t>
        </w:r>
        <w:r>
          <w:t xml:space="preserve">22</w:t>
        </w:r>
      </w:hyperlink>
    </w:p>
    <w:p>
      <w:pPr>
        <w:pStyle w:val="toc2"/>
      </w:pPr>
      <w:hyperlink w:anchor="_Toc000126" w:history="1">
        <w:r>
          <w:t xml:space="preserve">6.2 IER against BIBS</w:t>
        </w:r>
        <w:r>
          <w:t xml:space="preserve">	</w:t>
        </w:r>
        <w:r>
          <w:t xml:space="preserve">24</w:t>
        </w:r>
      </w:hyperlink>
    </w:p>
    <w:p>
      <w:pPr>
        <w:pStyle w:val="toc2"/>
      </w:pPr>
      <w:hyperlink w:anchor="_Toc000127" w:history="1">
        <w:r>
          <w:t xml:space="preserve">6.3 Documents in S3 only</w:t>
        </w:r>
        <w:r>
          <w:t xml:space="preserve">	</w:t>
        </w:r>
        <w:r>
          <w:t xml:space="preserve">27</w:t>
        </w:r>
      </w:hyperlink>
    </w:p>
    <w:p>
      <w:pPr>
        <w:pStyle w:val="toc2"/>
      </w:pPr>
      <w:hyperlink w:anchor="_Toc000128" w:history="1">
        <w:r>
          <w:t xml:space="preserve">6.4 Kubernetes sizing of the BIBS workloads</w:t>
        </w:r>
        <w:r>
          <w:t xml:space="preserve">	</w:t>
        </w:r>
        <w:r>
          <w:t xml:space="preserve">28</w:t>
        </w:r>
      </w:hyperlink>
    </w:p>
    <w:p>
      <w:pPr>
        <w:pStyle w:val="toc2"/>
      </w:pPr>
      <w:hyperlink w:anchor="_Toc000129" w:history="1">
        <w:r>
          <w:t xml:space="preserve">6.5 Environments, hours and disaster recovery</w:t>
        </w:r>
        <w:r>
          <w:t xml:space="preserve">	</w:t>
        </w:r>
        <w:r>
          <w:t xml:space="preserve">28</w:t>
        </w:r>
      </w:hyperlink>
    </w:p>
    <w:p>
      <w:pPr>
        <w:pStyle w:val="toc2"/>
      </w:pPr>
      <w:hyperlink w:anchor="_Toc000130" w:history="1">
        <w:r>
          <w:t xml:space="preserve">6.6 Changes needed</w:t>
        </w:r>
        <w:r>
          <w:t xml:space="preserve">	</w:t>
        </w:r>
        <w:r>
          <w:t xml:space="preserve">29</w:t>
        </w:r>
      </w:hyperlink>
    </w:p>
    <w:p>
      <w:pPr>
        <w:pStyle w:val="toc1"/>
      </w:pPr>
      <w:hyperlink w:anchor="_Toc000131" w:history="1">
        <w:r>
          <w:t xml:space="preserve">7 Open questions for BDOI</w:t>
        </w:r>
        <w:r>
          <w:t xml:space="preserve">	</w:t>
        </w:r>
        <w:r>
          <w:t xml:space="preserve">30</w:t>
        </w:r>
      </w:hyperlink>
    </w:p>
    <w:p>
      <w:pPr>
        <w:pStyle w:val="toc1"/>
      </w:pPr>
      <w:hyperlink w:anchor="_Toc000132" w:history="1">
        <w:r>
          <w:t xml:space="preserve">Glossary</w:t>
        </w:r>
        <w:r>
          <w:t xml:space="preserve">	</w:t>
        </w:r>
        <w:r>
          <w:t xml:space="preserve">33</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BDOI has issued a drop plan, a programme timeline, an infrastructure estimation and recommendation (IER) workbook and a concept paper on early renewal processing. This document sets each of them against BIBS (BDOI Broker System, on iNXT BrokerVerse) as built and as designed, so that the requirements, build, tests and infrastructure follow BDOI's drops and process. For each topic it states what fits, what does not, what we build, and what we need from BDOI and by when.</w:t>
      </w:r>
    </w:p>
    <w:p>
      <w:pPr>
        <w:pStyle w:val="Heading2"/>
      </w:pPr>
      <w:bookmarkStart w:id="103" w:name="_Toc000103"/>
      <w:r>
        <w:rPr/>
        <w:t>1.2 Sources</w:t>
      </w:r>
      <w:bookmarkEnd w:id="103"/>
    </w:p>
    <w:p>
      <w:pPr>
        <w:pStyle w:val="Caption"/>
        <w:keepNext/>
        <w:spacing w:after="60"/>
      </w:pPr>
      <w:r>
        <w:rPr>
          <w:b/>
          <w:i w:val="0"/>
        </w:rPr>
        <w:t xml:space="preserve">Table 1: </w:t>
      </w:r>
      <w:r>
        <w:rPr/>
        <w:t>Sources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67"/>
        <w:gridCol w:w="4603"/>
        <w:gridCol w:w="4603"/>
      </w:tblGrid>
      <w:tr>
        <w:trPr>
          <w:tblHeader w:val="true"/>
          <w:cantSplit w:val="true"/>
        </w:trPr>
        <w:tc>
          <w:tcPr>
            <w:tcW w:type="dxa" w:w="767"/>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4602"/>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4602"/>
            <w:shd w:val="clear" w:color="auto" w:fill="004EA8"/>
            <w:tcMar>
              <w:top w:w="50" w:type="dxa"/>
              <w:bottom w:w="50" w:type="dxa"/>
              <w:left w:w="90" w:type="dxa"/>
              <w:right w:w="90" w:type="dxa"/>
            </w:tcMar>
            <w:vAlign w:val="center"/>
          </w:tcPr>
          <w:p>
            <w:pPr>
              <w:pStyle w:val="BDOITableHeader"/>
            </w:pPr>
            <w:r>
              <w:rPr>
                <w:b/>
                <w:color w:val="FFFFFF"/>
                <w:sz w:val="18"/>
              </w:rPr>
              <w:t>Content used</w:t>
            </w:r>
          </w:p>
        </w:tc>
      </w:tr>
      <w:tr>
        <w:trPr>
          <w:cantSplit w:val="true"/>
        </w:trPr>
        <w:tc>
          <w:tcPr>
            <w:tcW w:type="dxa" w:w="767"/>
            <w:tcMar>
              <w:top w:w="50" w:type="dxa"/>
              <w:bottom w:w="50" w:type="dxa"/>
              <w:left w:w="90" w:type="dxa"/>
              <w:right w:w="90" w:type="dxa"/>
            </w:tcMar>
          </w:tcPr>
          <w:p>
            <w:pPr>
              <w:pStyle w:val="BDOITable"/>
            </w:pPr>
            <w:r>
              <w:rPr>
                <w:b/>
                <w:sz w:val="18"/>
              </w:rPr>
              <w:t>S1</w:t>
            </w:r>
          </w:p>
        </w:tc>
        <w:tc>
          <w:tcPr>
            <w:tcW w:type="dxa" w:w="4602"/>
            <w:tcMar>
              <w:top w:w="50" w:type="dxa"/>
              <w:bottom w:w="50" w:type="dxa"/>
              <w:left w:w="90" w:type="dxa"/>
              <w:right w:w="90" w:type="dxa"/>
            </w:tcMar>
          </w:tcPr>
          <w:p>
            <w:pPr>
              <w:pStyle w:val="BDOITable"/>
            </w:pPr>
            <w:r>
              <w:rPr>
                <w:sz w:val="18"/>
              </w:rPr>
              <w:t>Drop plan slide ("BDOI Drop Plan - modules and integrations") and its transcription</w:t>
            </w:r>
          </w:p>
        </w:tc>
        <w:tc>
          <w:tcPr>
            <w:tcW w:type="dxa" w:w="4602"/>
            <w:tcMar>
              <w:top w:w="50" w:type="dxa"/>
              <w:bottom w:w="50" w:type="dxa"/>
              <w:left w:w="90" w:type="dxa"/>
              <w:right w:w="90" w:type="dxa"/>
            </w:tcMar>
          </w:tcPr>
          <w:p>
            <w:pPr>
              <w:pStyle w:val="BDOITable"/>
            </w:pPr>
            <w:r>
              <w:rPr>
                <w:sz w:val="18"/>
              </w:rPr>
              <w:t>Drops 0, 1 and 2, the BRD column, the integrations per drop</w:t>
            </w:r>
          </w:p>
        </w:tc>
      </w:tr>
      <w:tr>
        <w:trPr>
          <w:cantSplit w:val="true"/>
        </w:trPr>
        <w:tc>
          <w:tcPr>
            <w:tcW w:type="dxa" w:w="767"/>
            <w:tcMar>
              <w:top w:w="50" w:type="dxa"/>
              <w:bottom w:w="50" w:type="dxa"/>
              <w:left w:w="90" w:type="dxa"/>
              <w:right w:w="90" w:type="dxa"/>
            </w:tcMar>
            <w:shd w:val="clear" w:color="auto" w:fill="E5F5FF"/>
          </w:tcPr>
          <w:p>
            <w:pPr>
              <w:pStyle w:val="BDOITable"/>
            </w:pPr>
            <w:r>
              <w:rPr>
                <w:b/>
                <w:sz w:val="18"/>
              </w:rPr>
              <w:t>S2</w:t>
            </w:r>
          </w:p>
        </w:tc>
        <w:tc>
          <w:tcPr>
            <w:tcW w:type="dxa" w:w="4602"/>
            <w:tcMar>
              <w:top w:w="50" w:type="dxa"/>
              <w:bottom w:w="50" w:type="dxa"/>
              <w:left w:w="90" w:type="dxa"/>
              <w:right w:w="90" w:type="dxa"/>
            </w:tcMar>
            <w:shd w:val="clear" w:color="auto" w:fill="E5F5FF"/>
          </w:tcPr>
          <w:p>
            <w:pPr>
              <w:pStyle w:val="BDOITable"/>
            </w:pPr>
            <w:r>
              <w:rPr>
                <w:sz w:val="18"/>
              </w:rPr>
              <w:t>Programme timeline slide</w:t>
            </w:r>
          </w:p>
        </w:tc>
        <w:tc>
          <w:tcPr>
            <w:tcW w:type="dxa" w:w="4602"/>
            <w:tcMar>
              <w:top w:w="50" w:type="dxa"/>
              <w:bottom w:w="50" w:type="dxa"/>
              <w:left w:w="90" w:type="dxa"/>
              <w:right w:w="90" w:type="dxa"/>
            </w:tcMar>
            <w:shd w:val="clear" w:color="auto" w:fill="E5F5FF"/>
          </w:tcPr>
          <w:p>
            <w:pPr>
              <w:pStyle w:val="BDOITable"/>
            </w:pPr>
            <w:r>
              <w:rPr>
                <w:sz w:val="18"/>
              </w:rPr>
              <w:t>Requirements, build, SIT, UAT, migration, ORR / PRR bars; go-live January 2028; three waves</w:t>
            </w:r>
          </w:p>
        </w:tc>
      </w:tr>
      <w:tr>
        <w:trPr>
          <w:cantSplit w:val="true"/>
        </w:trPr>
        <w:tc>
          <w:tcPr>
            <w:tcW w:type="dxa" w:w="767"/>
            <w:tcMar>
              <w:top w:w="50" w:type="dxa"/>
              <w:bottom w:w="50" w:type="dxa"/>
              <w:left w:w="90" w:type="dxa"/>
              <w:right w:w="90" w:type="dxa"/>
            </w:tcMar>
          </w:tcPr>
          <w:p>
            <w:pPr>
              <w:pStyle w:val="BDOITable"/>
            </w:pPr>
            <w:r>
              <w:rPr>
                <w:b/>
                <w:sz w:val="18"/>
              </w:rPr>
              <w:t>S3</w:t>
            </w:r>
          </w:p>
        </w:tc>
        <w:tc>
          <w:tcPr>
            <w:tcW w:type="dxa" w:w="4602"/>
            <w:tcMar>
              <w:top w:w="50" w:type="dxa"/>
              <w:bottom w:w="50" w:type="dxa"/>
              <w:left w:w="90" w:type="dxa"/>
              <w:right w:w="90" w:type="dxa"/>
            </w:tcMar>
          </w:tcPr>
          <w:p>
            <w:pPr>
              <w:pStyle w:val="BDOITable"/>
            </w:pPr>
            <w:r>
              <w:rPr>
                <w:sz w:val="18"/>
              </w:rPr>
              <w:t>IER workbook v20 (FR-ITC-ENG007)</w:t>
            </w:r>
          </w:p>
        </w:tc>
        <w:tc>
          <w:tcPr>
            <w:tcW w:type="dxa" w:w="4602"/>
            <w:tcMar>
              <w:top w:w="50" w:type="dxa"/>
              <w:bottom w:w="50" w:type="dxa"/>
              <w:left w:w="90" w:type="dxa"/>
              <w:right w:w="90" w:type="dxa"/>
            </w:tcMar>
          </w:tcPr>
          <w:p>
            <w:pPr>
              <w:pStyle w:val="BDOITable"/>
            </w:pPr>
            <w:r>
              <w:rPr>
                <w:sz w:val="18"/>
              </w:rPr>
              <w:t>RPO / RTO, HW and SW requirements, VDI, architecture diagrams, environment and Kubernetes sheets, summary</w:t>
            </w:r>
          </w:p>
        </w:tc>
      </w:tr>
      <w:tr>
        <w:trPr>
          <w:cantSplit w:val="true"/>
        </w:trPr>
        <w:tc>
          <w:tcPr>
            <w:tcW w:type="dxa" w:w="767"/>
            <w:tcMar>
              <w:top w:w="50" w:type="dxa"/>
              <w:bottom w:w="50" w:type="dxa"/>
              <w:left w:w="90" w:type="dxa"/>
              <w:right w:w="90" w:type="dxa"/>
            </w:tcMar>
            <w:shd w:val="clear" w:color="auto" w:fill="E5F5FF"/>
          </w:tcPr>
          <w:p>
            <w:pPr>
              <w:pStyle w:val="BDOITable"/>
            </w:pPr>
            <w:r>
              <w:rPr>
                <w:b/>
                <w:sz w:val="18"/>
              </w:rPr>
              <w:t>S4</w:t>
            </w:r>
          </w:p>
        </w:tc>
        <w:tc>
          <w:tcPr>
            <w:tcW w:type="dxa" w:w="4602"/>
            <w:tcMar>
              <w:top w:w="50" w:type="dxa"/>
              <w:bottom w:w="50" w:type="dxa"/>
              <w:left w:w="90" w:type="dxa"/>
              <w:right w:w="90" w:type="dxa"/>
            </w:tcMar>
            <w:shd w:val="clear" w:color="auto" w:fill="E5F5FF"/>
          </w:tcPr>
          <w:p>
            <w:pPr>
              <w:pStyle w:val="BDOITable"/>
            </w:pPr>
            <w:r>
              <w:rPr>
                <w:sz w:val="18"/>
              </w:rPr>
              <w:t>Concept paper "Advance Implementation of Renewal Processing" V1.0, dated 06/09/2026</w:t>
            </w:r>
          </w:p>
        </w:tc>
        <w:tc>
          <w:tcPr>
            <w:tcW w:type="dxa" w:w="4602"/>
            <w:tcMar>
              <w:top w:w="50" w:type="dxa"/>
              <w:bottom w:w="50" w:type="dxa"/>
              <w:left w:w="90" w:type="dxa"/>
              <w:right w:w="90" w:type="dxa"/>
            </w:tcMar>
            <w:shd w:val="clear" w:color="auto" w:fill="E5F5FF"/>
          </w:tcPr>
          <w:p>
            <w:pPr>
              <w:pStyle w:val="BDOITable"/>
            </w:pPr>
            <w:r>
              <w:rPr>
                <w:sz w:val="18"/>
              </w:rPr>
              <w:t>Early renewal release by 15 August 2027 (superseded, see 1.3)</w:t>
            </w:r>
          </w:p>
        </w:tc>
      </w:tr>
      <w:tr>
        <w:trPr>
          <w:cantSplit w:val="true"/>
        </w:trPr>
        <w:tc>
          <w:tcPr>
            <w:tcW w:type="dxa" w:w="767"/>
            <w:tcMar>
              <w:top w:w="50" w:type="dxa"/>
              <w:bottom w:w="50" w:type="dxa"/>
              <w:left w:w="90" w:type="dxa"/>
              <w:right w:w="90" w:type="dxa"/>
            </w:tcMar>
          </w:tcPr>
          <w:p>
            <w:pPr>
              <w:pStyle w:val="BDOITable"/>
            </w:pPr>
            <w:r>
              <w:rPr>
                <w:b/>
                <w:sz w:val="18"/>
              </w:rPr>
              <w:t>S5</w:t>
            </w:r>
          </w:p>
        </w:tc>
        <w:tc>
          <w:tcPr>
            <w:tcW w:type="dxa" w:w="4602"/>
            <w:tcMar>
              <w:top w:w="50" w:type="dxa"/>
              <w:bottom w:w="50" w:type="dxa"/>
              <w:left w:w="90" w:type="dxa"/>
              <w:right w:w="90" w:type="dxa"/>
            </w:tcMar>
          </w:tcPr>
          <w:p>
            <w:pPr>
              <w:pStyle w:val="BDOITable"/>
            </w:pPr>
            <w:r>
              <w:rPr>
                <w:sz w:val="18"/>
              </w:rPr>
              <w:t>BDOI answers and integration list of 26 September 2026</w:t>
            </w:r>
          </w:p>
        </w:tc>
        <w:tc>
          <w:tcPr>
            <w:tcW w:type="dxa" w:w="4602"/>
            <w:tcMar>
              <w:top w:w="50" w:type="dxa"/>
              <w:bottom w:w="50" w:type="dxa"/>
              <w:left w:w="90" w:type="dxa"/>
              <w:right w:w="90" w:type="dxa"/>
            </w:tcMar>
          </w:tcPr>
          <w:p>
            <w:pPr>
              <w:pStyle w:val="BDOITable"/>
            </w:pPr>
            <w:r>
              <w:rPr>
                <w:sz w:val="18"/>
              </w:rPr>
              <w:t>A1 to A6 below</w:t>
            </w:r>
          </w:p>
        </w:tc>
      </w:tr>
      <w:tr>
        <w:trPr>
          <w:cantSplit w:val="true"/>
        </w:trPr>
        <w:tc>
          <w:tcPr>
            <w:tcW w:type="dxa" w:w="767"/>
            <w:tcMar>
              <w:top w:w="50" w:type="dxa"/>
              <w:bottom w:w="50" w:type="dxa"/>
              <w:left w:w="90" w:type="dxa"/>
              <w:right w:w="90" w:type="dxa"/>
            </w:tcMar>
            <w:shd w:val="clear" w:color="auto" w:fill="E5F5FF"/>
          </w:tcPr>
          <w:p>
            <w:pPr>
              <w:pStyle w:val="BDOITable"/>
            </w:pPr>
            <w:r>
              <w:rPr>
                <w:b/>
                <w:sz w:val="18"/>
              </w:rPr>
              <w:t>S6</w:t>
            </w:r>
          </w:p>
        </w:tc>
        <w:tc>
          <w:tcPr>
            <w:tcW w:type="dxa" w:w="4602"/>
            <w:tcMar>
              <w:top w:w="50" w:type="dxa"/>
              <w:bottom w:w="50" w:type="dxa"/>
              <w:left w:w="90" w:type="dxa"/>
              <w:right w:w="90" w:type="dxa"/>
            </w:tcMar>
            <w:shd w:val="clear" w:color="auto" w:fill="E5F5FF"/>
          </w:tcPr>
          <w:p>
            <w:pPr>
              <w:pStyle w:val="BDOITable"/>
            </w:pPr>
            <w:r>
              <w:rPr>
                <w:sz w:val="18"/>
              </w:rPr>
              <w:t>Document storage decision (DOCUMENT_STORAGE_DECISION.md, 26 September 2026)</w:t>
            </w:r>
          </w:p>
        </w:tc>
        <w:tc>
          <w:tcPr>
            <w:tcW w:type="dxa" w:w="4602"/>
            <w:tcMar>
              <w:top w:w="50" w:type="dxa"/>
              <w:bottom w:w="50" w:type="dxa"/>
              <w:left w:w="90" w:type="dxa"/>
              <w:right w:w="90" w:type="dxa"/>
            </w:tcMar>
            <w:shd w:val="clear" w:color="auto" w:fill="E5F5FF"/>
          </w:tcPr>
          <w:p>
            <w:pPr>
              <w:pStyle w:val="BDOITable"/>
            </w:pPr>
            <w:r>
              <w:rPr>
                <w:sz w:val="18"/>
              </w:rPr>
              <w:t>S3 for file content, PostgreSQL for metadata</w:t>
            </w:r>
          </w:p>
        </w:tc>
      </w:tr>
    </w:tbl>
    <w:p>
      <w:pPr>
        <w:pStyle w:val="BDOISpacer"/>
      </w:pPr>
    </w:p>
    <w:p>
      <w:pPr>
        <w:pStyle w:val="Heading2"/>
      </w:pPr>
      <w:bookmarkStart w:id="104" w:name="_Toc000104"/>
      <w:r>
        <w:rPr/>
        <w:t>1.3 BDOI answers of 26 September 2026</w:t>
      </w:r>
      <w:bookmarkEnd w:id="104"/>
    </w:p>
    <w:p>
      <w:pPr>
        <w:pStyle w:val="Caption"/>
        <w:keepNext/>
        <w:spacing w:after="60"/>
      </w:pPr>
      <w:r>
        <w:rPr>
          <w:b/>
          <w:i w:val="0"/>
        </w:rPr>
        <w:t xml:space="preserve">Table 2: </w:t>
      </w:r>
      <w:r>
        <w:rPr/>
        <w:t>BDOI answers of 26 September 2026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12"/>
        <w:gridCol w:w="5698"/>
        <w:gridCol w:w="3561"/>
      </w:tblGrid>
      <w:tr>
        <w:trPr>
          <w:tblHeader w:val="true"/>
          <w:cantSplit w:val="true"/>
        </w:trPr>
        <w:tc>
          <w:tcPr>
            <w:tcW w:type="dxa" w:w="712"/>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5698"/>
            <w:shd w:val="clear" w:color="auto" w:fill="004EA8"/>
            <w:tcMar>
              <w:top w:w="50" w:type="dxa"/>
              <w:bottom w:w="50" w:type="dxa"/>
              <w:left w:w="90" w:type="dxa"/>
              <w:right w:w="90" w:type="dxa"/>
            </w:tcMar>
            <w:vAlign w:val="center"/>
          </w:tcPr>
          <w:p>
            <w:pPr>
              <w:pStyle w:val="BDOITableHeader"/>
            </w:pPr>
            <w:r>
              <w:rPr>
                <w:b/>
                <w:color w:val="FFFFFF"/>
                <w:sz w:val="18"/>
              </w:rPr>
              <w:t>Answer</w:t>
            </w:r>
          </w:p>
        </w:tc>
        <w:tc>
          <w:tcPr>
            <w:tcW w:type="dxa" w:w="3561"/>
            <w:shd w:val="clear" w:color="auto" w:fill="004EA8"/>
            <w:tcMar>
              <w:top w:w="50" w:type="dxa"/>
              <w:bottom w:w="50" w:type="dxa"/>
              <w:left w:w="90" w:type="dxa"/>
              <w:right w:w="90" w:type="dxa"/>
            </w:tcMar>
            <w:vAlign w:val="center"/>
          </w:tcPr>
          <w:p>
            <w:pPr>
              <w:pStyle w:val="BDOITableHeader"/>
            </w:pPr>
            <w:r>
              <w:rPr>
                <w:b/>
                <w:color w:val="FFFFFF"/>
                <w:sz w:val="18"/>
              </w:rPr>
              <w:t>Effect on this document</w:t>
            </w:r>
          </w:p>
        </w:tc>
      </w:tr>
      <w:tr>
        <w:trPr>
          <w:cantSplit w:val="true"/>
        </w:trPr>
        <w:tc>
          <w:tcPr>
            <w:tcW w:type="dxa" w:w="712"/>
            <w:tcMar>
              <w:top w:w="50" w:type="dxa"/>
              <w:bottom w:w="50" w:type="dxa"/>
              <w:left w:w="90" w:type="dxa"/>
              <w:right w:w="90" w:type="dxa"/>
            </w:tcMar>
          </w:tcPr>
          <w:p>
            <w:pPr>
              <w:pStyle w:val="BDOITable"/>
            </w:pPr>
            <w:r>
              <w:rPr>
                <w:b/>
                <w:sz w:val="18"/>
              </w:rPr>
              <w:t>A1</w:t>
            </w:r>
          </w:p>
        </w:tc>
        <w:tc>
          <w:tcPr>
            <w:tcW w:type="dxa" w:w="5698"/>
            <w:tcMar>
              <w:top w:w="50" w:type="dxa"/>
              <w:bottom w:w="50" w:type="dxa"/>
              <w:left w:w="90" w:type="dxa"/>
              <w:right w:w="90" w:type="dxa"/>
            </w:tcMar>
          </w:tcPr>
          <w:p>
            <w:pPr>
              <w:pStyle w:val="BDOITable"/>
            </w:pPr>
            <w:r>
              <w:rPr>
                <w:sz w:val="18"/>
              </w:rPr>
              <w:t>All modules go live together in January 2028. There is no early go-live. Drops split the requirements, build, test and sign-off workload; the platform is built end to end and goes to UAT complete</w:t>
            </w:r>
          </w:p>
        </w:tc>
        <w:tc>
          <w:tcPr>
            <w:tcW w:type="dxa" w:w="3561"/>
            <w:tcMar>
              <w:top w:w="50" w:type="dxa"/>
              <w:bottom w:w="50" w:type="dxa"/>
              <w:left w:w="90" w:type="dxa"/>
              <w:right w:w="90" w:type="dxa"/>
            </w:tcMar>
          </w:tcPr>
          <w:p>
            <w:pPr>
              <w:pStyle w:val="BDOITable"/>
            </w:pPr>
            <w:r>
              <w:rPr>
                <w:sz w:val="18"/>
              </w:rPr>
              <w:t>The concept paper is recorded as superseded (chapter 3); no separate release</w:t>
            </w:r>
          </w:p>
        </w:tc>
      </w:tr>
      <w:tr>
        <w:trPr>
          <w:cantSplit w:val="true"/>
        </w:trPr>
        <w:tc>
          <w:tcPr>
            <w:tcW w:type="dxa" w:w="712"/>
            <w:tcMar>
              <w:top w:w="50" w:type="dxa"/>
              <w:bottom w:w="50" w:type="dxa"/>
              <w:left w:w="90" w:type="dxa"/>
              <w:right w:w="90" w:type="dxa"/>
            </w:tcMar>
            <w:shd w:val="clear" w:color="auto" w:fill="E5F5FF"/>
          </w:tcPr>
          <w:p>
            <w:pPr>
              <w:pStyle w:val="BDOITable"/>
            </w:pPr>
            <w:r>
              <w:rPr>
                <w:b/>
                <w:sz w:val="18"/>
              </w:rPr>
              <w:t>A2</w:t>
            </w:r>
          </w:p>
        </w:tc>
        <w:tc>
          <w:tcPr>
            <w:tcW w:type="dxa" w:w="5698"/>
            <w:tcMar>
              <w:top w:w="50" w:type="dxa"/>
              <w:bottom w:w="50" w:type="dxa"/>
              <w:left w:w="90" w:type="dxa"/>
              <w:right w:w="90" w:type="dxa"/>
            </w:tcMar>
            <w:shd w:val="clear" w:color="auto" w:fill="E5F5FF"/>
          </w:tcPr>
          <w:p>
            <w:pPr>
              <w:pStyle w:val="BDOITable"/>
            </w:pPr>
            <w:r>
              <w:rPr>
                <w:sz w:val="18"/>
              </w:rPr>
              <w:t>Integration names and meanings (EIAM, UIDM-ISC, ECM, CCM, M365, LMS, HL-LOAS, LFS SaaS, PMS, CMS / New BOB, OBPCS, Old BOB, TFS, EDP, EGL, Bridger Insight XG); all touch-points are owned by BDOI IT</w:t>
            </w:r>
          </w:p>
        </w:tc>
        <w:tc>
          <w:tcPr>
            <w:tcW w:type="dxa" w:w="3561"/>
            <w:tcMar>
              <w:top w:w="50" w:type="dxa"/>
              <w:bottom w:w="50" w:type="dxa"/>
              <w:left w:w="90" w:type="dxa"/>
              <w:right w:w="90" w:type="dxa"/>
            </w:tcMar>
            <w:shd w:val="clear" w:color="auto" w:fill="E5F5FF"/>
          </w:tcPr>
          <w:p>
            <w:pPr>
              <w:pStyle w:val="BDOITable"/>
            </w:pPr>
            <w:r>
              <w:rPr>
                <w:sz w:val="18"/>
              </w:rPr>
              <w:t>Used in the integration inventory (chapter 5)</w:t>
            </w:r>
          </w:p>
        </w:tc>
      </w:tr>
      <w:tr>
        <w:trPr>
          <w:cantSplit w:val="true"/>
        </w:trPr>
        <w:tc>
          <w:tcPr>
            <w:tcW w:type="dxa" w:w="712"/>
            <w:tcMar>
              <w:top w:w="50" w:type="dxa"/>
              <w:bottom w:w="50" w:type="dxa"/>
              <w:left w:w="90" w:type="dxa"/>
              <w:right w:w="90" w:type="dxa"/>
            </w:tcMar>
          </w:tcPr>
          <w:p>
            <w:pPr>
              <w:pStyle w:val="BDOITable"/>
            </w:pPr>
            <w:r>
              <w:rPr>
                <w:b/>
                <w:sz w:val="18"/>
              </w:rPr>
              <w:t>A3</w:t>
            </w:r>
          </w:p>
        </w:tc>
        <w:tc>
          <w:tcPr>
            <w:tcW w:type="dxa" w:w="5698"/>
            <w:tcMar>
              <w:top w:w="50" w:type="dxa"/>
              <w:bottom w:w="50" w:type="dxa"/>
              <w:left w:w="90" w:type="dxa"/>
              <w:right w:w="90" w:type="dxa"/>
            </w:tcMar>
          </w:tcPr>
          <w:p>
            <w:pPr>
              <w:pStyle w:val="BDOITable"/>
            </w:pPr>
            <w:r>
              <w:rPr>
                <w:sz w:val="18"/>
              </w:rPr>
              <w:t>Remittance handles the reinsurance transactions in Drop 1; the reinsurance module is phase 2</w:t>
            </w:r>
          </w:p>
        </w:tc>
        <w:tc>
          <w:tcPr>
            <w:tcW w:type="dxa" w:w="3561"/>
            <w:tcMar>
              <w:top w:w="50" w:type="dxa"/>
              <w:bottom w:w="50" w:type="dxa"/>
              <w:left w:w="90" w:type="dxa"/>
              <w:right w:w="90" w:type="dxa"/>
            </w:tcMar>
          </w:tcPr>
          <w:p>
            <w:pPr>
              <w:pStyle w:val="BDOITable"/>
            </w:pPr>
            <w:r>
              <w:rPr>
                <w:sz w:val="18"/>
              </w:rPr>
              <w:t>Drop item 1.D3 (IQ20)</w:t>
            </w:r>
          </w:p>
        </w:tc>
      </w:tr>
      <w:tr>
        <w:trPr>
          <w:cantSplit w:val="true"/>
        </w:trPr>
        <w:tc>
          <w:tcPr>
            <w:tcW w:type="dxa" w:w="712"/>
            <w:tcMar>
              <w:top w:w="50" w:type="dxa"/>
              <w:bottom w:w="50" w:type="dxa"/>
              <w:left w:w="90" w:type="dxa"/>
              <w:right w:w="90" w:type="dxa"/>
            </w:tcMar>
            <w:shd w:val="clear" w:color="auto" w:fill="E5F5FF"/>
          </w:tcPr>
          <w:p>
            <w:pPr>
              <w:pStyle w:val="BDOITable"/>
            </w:pPr>
            <w:r>
              <w:rPr>
                <w:b/>
                <w:sz w:val="18"/>
              </w:rPr>
              <w:t>A4</w:t>
            </w:r>
          </w:p>
        </w:tc>
        <w:tc>
          <w:tcPr>
            <w:tcW w:type="dxa" w:w="5698"/>
            <w:tcMar>
              <w:top w:w="50" w:type="dxa"/>
              <w:bottom w:w="50" w:type="dxa"/>
              <w:left w:w="90" w:type="dxa"/>
              <w:right w:w="90" w:type="dxa"/>
            </w:tcMar>
            <w:shd w:val="clear" w:color="auto" w:fill="E5F5FF"/>
          </w:tcPr>
          <w:p>
            <w:pPr>
              <w:pStyle w:val="BDOITable"/>
            </w:pPr>
            <w:r>
              <w:rPr>
                <w:sz w:val="18"/>
              </w:rPr>
              <w:t>Documents and attachments are stored in an S3 bucket only</w:t>
            </w:r>
          </w:p>
        </w:tc>
        <w:tc>
          <w:tcPr>
            <w:tcW w:type="dxa" w:w="3561"/>
            <w:tcMar>
              <w:top w:w="50" w:type="dxa"/>
              <w:bottom w:w="50" w:type="dxa"/>
              <w:left w:w="90" w:type="dxa"/>
              <w:right w:w="90" w:type="dxa"/>
            </w:tcMar>
            <w:shd w:val="clear" w:color="auto" w:fill="E5F5FF"/>
          </w:tcPr>
          <w:p>
            <w:pPr>
              <w:pStyle w:val="BDOITable"/>
            </w:pPr>
            <w:r>
              <w:rPr>
                <w:sz w:val="18"/>
              </w:rPr>
              <w:t>Build item, section 6.3</w:t>
            </w:r>
          </w:p>
        </w:tc>
      </w:tr>
      <w:tr>
        <w:trPr>
          <w:cantSplit w:val="true"/>
        </w:trPr>
        <w:tc>
          <w:tcPr>
            <w:tcW w:type="dxa" w:w="712"/>
            <w:tcMar>
              <w:top w:w="50" w:type="dxa"/>
              <w:bottom w:w="50" w:type="dxa"/>
              <w:left w:w="90" w:type="dxa"/>
              <w:right w:w="90" w:type="dxa"/>
            </w:tcMar>
          </w:tcPr>
          <w:p>
            <w:pPr>
              <w:pStyle w:val="BDOITable"/>
            </w:pPr>
            <w:r>
              <w:rPr>
                <w:b/>
                <w:sz w:val="18"/>
              </w:rPr>
              <w:t>A5</w:t>
            </w:r>
          </w:p>
        </w:tc>
        <w:tc>
          <w:tcPr>
            <w:tcW w:type="dxa" w:w="5698"/>
            <w:tcMar>
              <w:top w:w="50" w:type="dxa"/>
              <w:bottom w:w="50" w:type="dxa"/>
              <w:left w:w="90" w:type="dxa"/>
              <w:right w:w="90" w:type="dxa"/>
            </w:tcMar>
          </w:tcPr>
          <w:p>
            <w:pPr>
              <w:pStyle w:val="BDOITable"/>
            </w:pPr>
            <w:r>
              <w:rPr>
                <w:sz w:val="18"/>
              </w:rPr>
              <w:t>BRDs, FRS, test plans and collaterals are grouped under the drops</w:t>
            </w:r>
          </w:p>
        </w:tc>
        <w:tc>
          <w:tcPr>
            <w:tcW w:type="dxa" w:w="3561"/>
            <w:tcMar>
              <w:top w:w="50" w:type="dxa"/>
              <w:bottom w:w="50" w:type="dxa"/>
              <w:left w:w="90" w:type="dxa"/>
              <w:right w:w="90" w:type="dxa"/>
            </w:tcMar>
          </w:tcPr>
          <w:p>
            <w:pPr>
              <w:pStyle w:val="BDOITable"/>
            </w:pPr>
            <w:r>
              <w:rPr>
                <w:sz w:val="18"/>
              </w:rPr>
              <w:t>Drop-to-document map, section 2.4</w:t>
            </w:r>
          </w:p>
        </w:tc>
      </w:tr>
      <w:tr>
        <w:trPr>
          <w:cantSplit w:val="true"/>
        </w:trPr>
        <w:tc>
          <w:tcPr>
            <w:tcW w:type="dxa" w:w="712"/>
            <w:tcMar>
              <w:top w:w="50" w:type="dxa"/>
              <w:bottom w:w="50" w:type="dxa"/>
              <w:left w:w="90" w:type="dxa"/>
              <w:right w:w="90" w:type="dxa"/>
            </w:tcMar>
            <w:shd w:val="clear" w:color="auto" w:fill="E5F5FF"/>
          </w:tcPr>
          <w:p>
            <w:pPr>
              <w:pStyle w:val="BDOITable"/>
            </w:pPr>
            <w:r>
              <w:rPr>
                <w:b/>
                <w:sz w:val="18"/>
              </w:rPr>
              <w:t>A6</w:t>
            </w:r>
          </w:p>
        </w:tc>
        <w:tc>
          <w:tcPr>
            <w:tcW w:type="dxa" w:w="5698"/>
            <w:tcMar>
              <w:top w:w="50" w:type="dxa"/>
              <w:bottom w:w="50" w:type="dxa"/>
              <w:left w:w="90" w:type="dxa"/>
              <w:right w:w="90" w:type="dxa"/>
            </w:tcMar>
            <w:shd w:val="clear" w:color="auto" w:fill="E5F5FF"/>
          </w:tcPr>
          <w:p>
            <w:pPr>
              <w:pStyle w:val="BDOITable"/>
            </w:pPr>
            <w:r>
              <w:rPr>
                <w:sz w:val="18"/>
              </w:rPr>
              <w:t>BDOI supplies the diagrams for the "Architecture Diagram" sheets of the IER</w:t>
            </w:r>
          </w:p>
        </w:tc>
        <w:tc>
          <w:tcPr>
            <w:tcW w:type="dxa" w:w="3561"/>
            <w:tcMar>
              <w:top w:w="50" w:type="dxa"/>
              <w:bottom w:w="50" w:type="dxa"/>
              <w:left w:w="90" w:type="dxa"/>
              <w:right w:w="90" w:type="dxa"/>
            </w:tcMar>
            <w:shd w:val="clear" w:color="auto" w:fill="E5F5FF"/>
          </w:tcPr>
          <w:p>
            <w:pPr>
              <w:pStyle w:val="BDOITable"/>
            </w:pPr>
            <w:r>
              <w:rPr>
                <w:sz w:val="18"/>
              </w:rPr>
              <w:t>Figures 3 and 4, delivered as PNG files</w:t>
            </w:r>
          </w:p>
        </w:tc>
      </w:tr>
    </w:tbl>
    <w:p>
      <w:pPr>
        <w:pStyle w:val="BDOISpacer"/>
      </w:pPr>
    </w:p>
    <w:p>
      <w:pPr>
        <w:pStyle w:val="Heading2"/>
      </w:pPr>
      <w:bookmarkStart w:id="105" w:name="_Toc000105"/>
      <w:r>
        <w:rPr/>
        <w:t>1.4 BIBS status used in this document</w:t>
      </w:r>
      <w:bookmarkEnd w:id="105"/>
    </w:p>
    <w:p>
      <w:pPr>
        <w:tabs>
          <w:tab w:pos="312" w:val="left"/>
        </w:tabs>
        <w:spacing w:after="40"/>
        <w:ind w:left="312" w:hanging="283"/>
      </w:pPr>
      <w:r>
        <w:rPr>
          <w:color w:val="004EA8"/>
        </w:rPr>
        <w:t>•</w:t>
        <w:tab/>
      </w:r>
      <w:r>
        <w:rPr>
          <w:b/>
        </w:rPr>
        <w:t>Built:</w:t>
      </w:r>
      <w:r>
        <w:rPr/>
        <w:t xml:space="preserve"> BRD-1 New Business, BRD-2 Operations, BRD-3 Product Maintenance, BRD-4 Collections, BRD-5 Accounting / Disbursement / ACSL, BRD-10 Sanction Screening, BRD-11 User Access.</w:t>
      </w:r>
    </w:p>
    <w:p>
      <w:pPr>
        <w:tabs>
          <w:tab w:pos="312" w:val="left"/>
        </w:tabs>
        <w:spacing w:after="40"/>
        <w:ind w:left="312" w:hanging="283"/>
      </w:pPr>
      <w:r>
        <w:rPr>
          <w:color w:val="004EA8"/>
        </w:rPr>
        <w:t>•</w:t>
        <w:tab/>
      </w:r>
      <w:r>
        <w:rPr>
          <w:b/>
        </w:rPr>
        <w:t>Being built:</w:t>
      </w:r>
      <w:r>
        <w:rPr/>
        <w:t xml:space="preserve"> BRD-7 Claims.</w:t>
      </w:r>
    </w:p>
    <w:p>
      <w:pPr>
        <w:tabs>
          <w:tab w:pos="312" w:val="left"/>
        </w:tabs>
        <w:spacing w:after="40"/>
        <w:ind w:left="312" w:hanging="283"/>
      </w:pPr>
      <w:r>
        <w:rPr>
          <w:color w:val="004EA8"/>
        </w:rPr>
        <w:t>•</w:t>
        <w:tab/>
      </w:r>
      <w:r>
        <w:rPr>
          <w:b/>
        </w:rPr>
        <w:t>Designed, not built:</w:t>
      </w:r>
      <w:r>
        <w:rPr/>
        <w:t xml:space="preserve"> BRD-6 Renewal, BRD-8 Employee Benefits, BRD-9 Customer Servicing Facility, BRD-12 Submitted Policies, BRD-13 Data Migration.</w:t>
      </w:r>
    </w:p>
    <w:p>
      <w:pPr>
        <w:tabs>
          <w:tab w:pos="312" w:val="left"/>
        </w:tabs>
        <w:spacing w:after="120"/>
        <w:ind w:left="312" w:hanging="283"/>
      </w:pPr>
      <w:r>
        <w:rPr>
          <w:color w:val="004EA8"/>
        </w:rPr>
        <w:t>•</w:t>
        <w:tab/>
      </w:r>
      <w:r>
        <w:rPr>
          <w:b/>
        </w:rPr>
        <w:t>Phase 2:</w:t>
      </w:r>
      <w:r>
        <w:rPr/>
        <w:t xml:space="preserve"> ReInsurance BRD.</w:t>
      </w:r>
    </w:p>
    <w:p>
      <w:r>
        <w:rPr/>
        <w:t>Fit classes: FIT (works today), CONFIGURE (set-up only), CHANGE (extends an existing capability), NEW (new build), OUT (out of scope). Questions to BDOI are numbered IQ01 to IQ35 (chapter 7); register items DCR-210 to DCR-235 are added to the discrepancy register.</w:t>
      </w:r>
    </w:p>
    <w:p>
      <w:pPr>
        <w:pStyle w:val="Heading1"/>
        <w:pageBreakBefore/>
        <w:pBdr>
          <w:bottom w:val="single" w:sz="4" w:space="4" w:color="99C1E7"/>
        </w:pBdr>
      </w:pPr>
      <w:bookmarkStart w:id="106" w:name="_Toc000106"/>
      <w:r>
        <w:rPr/>
        <w:t>2 Drop mapping</w:t>
      </w:r>
      <w:bookmarkEnd w:id="106"/>
    </w:p>
    <w:p>
      <w:pPr>
        <w:pStyle w:val="Heading2"/>
      </w:pPr>
      <w:bookmarkStart w:id="107" w:name="_Toc000107"/>
      <w:r>
        <w:rPr/>
        <w:t>2.1 The drops at a glance</w:t>
      </w:r>
      <w:bookmarkEnd w:id="107"/>
    </w:p>
    <w:p>
      <w:r>
        <w:rPr/>
        <w:t>Figure 1 shows each drop item with the BIBS status of the functions behind it. Most of Drop 1 downstream and of Drop 0 is built. The items still to build are Submitted Policies, Renewal, the Customer Servicing Facility functions, Employee Benefits and Data Migration, plus the integrations.</w:t>
      </w:r>
    </w:p>
    <w:p>
      <w:pPr>
        <w:keepNext/>
        <w:spacing w:before="80" w:after="0"/>
        <w:jc w:val="center"/>
      </w:pPr>
      <w:r>
        <w:drawing>
          <wp:inline xmlns:a="http://schemas.openxmlformats.org/drawingml/2006/main" xmlns:pic="http://schemas.openxmlformats.org/drawingml/2006/picture">
            <wp:extent cx="5580000" cy="4365503"/>
            <wp:docPr id="3" name="Picture 3"/>
            <wp:cNvGraphicFramePr>
              <a:graphicFrameLocks noChangeAspect="1"/>
            </wp:cNvGraphicFramePr>
            <a:graphic>
              <a:graphicData uri="http://schemas.openxmlformats.org/drawingml/2006/picture">
                <pic:pic>
                  <pic:nvPicPr>
                    <pic:cNvPr id="0" name="al_drop_map.png"/>
                    <pic:cNvPicPr/>
                  </pic:nvPicPr>
                  <pic:blipFill>
                    <a:blip r:embed="rId15"/>
                    <a:stretch>
                      <a:fillRect/>
                    </a:stretch>
                  </pic:blipFill>
                  <pic:spPr>
                    <a:xfrm>
                      <a:off x="0" y="0"/>
                      <a:ext cx="5580000" cy="4365503"/>
                    </a:xfrm>
                    <a:prstGeom prst="rect"/>
                  </pic:spPr>
                </pic:pic>
              </a:graphicData>
            </a:graphic>
          </wp:inline>
        </w:drawing>
      </w:r>
    </w:p>
    <w:p>
      <w:pPr>
        <w:pStyle w:val="Caption"/>
        <w:jc w:val="center"/>
      </w:pPr>
      <w:r>
        <w:rPr>
          <w:b/>
          <w:i w:val="0"/>
        </w:rPr>
        <w:t xml:space="preserve">Figure 1: </w:t>
      </w:r>
      <w:r>
        <w:rPr/>
        <w:t>Drop items and BIBS status</w:t>
      </w:r>
    </w:p>
    <w:p>
      <w:pPr>
        <w:sectPr>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pPr>
    </w:p>
    <w:p>
      <w:pPr>
        <w:pStyle w:val="Heading2"/>
      </w:pPr>
      <w:bookmarkStart w:id="108" w:name="_Toc000108"/>
      <w:r>
        <w:rPr/>
        <w:t>2.2 Drop items against BRDs, FRS and BIBS</w:t>
      </w:r>
      <w:bookmarkEnd w:id="108"/>
    </w:p>
    <w:p>
      <w:pPr>
        <w:pStyle w:val="Caption"/>
        <w:keepNext/>
        <w:spacing w:after="60"/>
      </w:pPr>
      <w:r>
        <w:rPr>
          <w:b/>
          <w:i w:val="0"/>
        </w:rPr>
        <w:t xml:space="preserve">Table 3: </w:t>
      </w:r>
      <w:r>
        <w:rPr/>
        <w:t>Drop 0 - Setup and Data Migration</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23"/>
        <w:gridCol w:w="1523"/>
        <w:gridCol w:w="1523"/>
        <w:gridCol w:w="1523"/>
        <w:gridCol w:w="1315"/>
        <w:gridCol w:w="2216"/>
        <w:gridCol w:w="900"/>
        <w:gridCol w:w="2908"/>
        <w:gridCol w:w="1038"/>
      </w:tblGrid>
      <w:tr>
        <w:trPr>
          <w:tblHeader w:val="true"/>
          <w:cantSplit w:val="true"/>
        </w:trPr>
        <w:tc>
          <w:tcPr>
            <w:tcW w:type="dxa" w:w="623"/>
            <w:shd w:val="clear" w:color="auto" w:fill="004EA8"/>
            <w:tcMar>
              <w:top w:w="50" w:type="dxa"/>
              <w:bottom w:w="50" w:type="dxa"/>
              <w:left w:w="90" w:type="dxa"/>
              <w:right w:w="90" w:type="dxa"/>
            </w:tcMar>
            <w:vAlign w:val="center"/>
          </w:tcPr>
          <w:p>
            <w:pPr>
              <w:pStyle w:val="BDOITableHeader"/>
            </w:pPr>
            <w:r>
              <w:rPr>
                <w:b/>
                <w:color w:val="FFFFFF"/>
                <w:sz w:val="15"/>
              </w:rPr>
              <w:t>#</w:t>
            </w:r>
          </w:p>
        </w:tc>
        <w:tc>
          <w:tcPr>
            <w:tcW w:type="dxa" w:w="1523"/>
            <w:shd w:val="clear" w:color="auto" w:fill="004EA8"/>
            <w:tcMar>
              <w:top w:w="50" w:type="dxa"/>
              <w:bottom w:w="50" w:type="dxa"/>
              <w:left w:w="90" w:type="dxa"/>
              <w:right w:w="90" w:type="dxa"/>
            </w:tcMar>
            <w:vAlign w:val="center"/>
          </w:tcPr>
          <w:p>
            <w:pPr>
              <w:pStyle w:val="BDOITableHeader"/>
            </w:pPr>
            <w:r>
              <w:rPr>
                <w:b/>
                <w:color w:val="FFFFFF"/>
                <w:sz w:val="15"/>
              </w:rPr>
              <w:t>Drop item</w:t>
            </w:r>
          </w:p>
        </w:tc>
        <w:tc>
          <w:tcPr>
            <w:tcW w:type="dxa" w:w="1523"/>
            <w:shd w:val="clear" w:color="auto" w:fill="004EA8"/>
            <w:tcMar>
              <w:top w:w="50" w:type="dxa"/>
              <w:bottom w:w="50" w:type="dxa"/>
              <w:left w:w="90" w:type="dxa"/>
              <w:right w:w="90" w:type="dxa"/>
            </w:tcMar>
            <w:vAlign w:val="center"/>
          </w:tcPr>
          <w:p>
            <w:pPr>
              <w:pStyle w:val="BDOITableHeader"/>
            </w:pPr>
            <w:r>
              <w:rPr>
                <w:b/>
                <w:color w:val="FFFFFF"/>
                <w:sz w:val="15"/>
              </w:rPr>
              <w:t>BRD named by BDOI</w:t>
            </w:r>
          </w:p>
        </w:tc>
        <w:tc>
          <w:tcPr>
            <w:tcW w:type="dxa" w:w="1523"/>
            <w:shd w:val="clear" w:color="auto" w:fill="004EA8"/>
            <w:tcMar>
              <w:top w:w="50" w:type="dxa"/>
              <w:bottom w:w="50" w:type="dxa"/>
              <w:left w:w="90" w:type="dxa"/>
              <w:right w:w="90" w:type="dxa"/>
            </w:tcMar>
            <w:vAlign w:val="center"/>
          </w:tcPr>
          <w:p>
            <w:pPr>
              <w:pStyle w:val="BDOITableHeader"/>
            </w:pPr>
            <w:r>
              <w:rPr>
                <w:b/>
                <w:color w:val="FFFFFF"/>
                <w:sz w:val="15"/>
              </w:rPr>
              <w:t>BIBS BRD</w:t>
            </w:r>
          </w:p>
        </w:tc>
        <w:tc>
          <w:tcPr>
            <w:tcW w:type="dxa" w:w="13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BIBS modules and screens</w:t>
            </w:r>
          </w:p>
        </w:tc>
        <w:tc>
          <w:tcPr>
            <w:tcW w:type="dxa" w:w="900"/>
            <w:shd w:val="clear" w:color="auto" w:fill="004EA8"/>
            <w:tcMar>
              <w:top w:w="50" w:type="dxa"/>
              <w:bottom w:w="50" w:type="dxa"/>
              <w:left w:w="90" w:type="dxa"/>
              <w:right w:w="90" w:type="dxa"/>
            </w:tcMar>
            <w:vAlign w:val="center"/>
          </w:tcPr>
          <w:p>
            <w:pPr>
              <w:pStyle w:val="BDOITableHeader"/>
            </w:pPr>
            <w:r>
              <w:rPr>
                <w:b/>
                <w:color w:val="FFFFFF"/>
                <w:sz w:val="15"/>
              </w:rPr>
              <w:t>Status</w:t>
            </w:r>
          </w:p>
        </w:tc>
        <w:tc>
          <w:tcPr>
            <w:tcW w:type="dxa" w:w="2908"/>
            <w:shd w:val="clear" w:color="auto" w:fill="004EA8"/>
            <w:tcMar>
              <w:top w:w="50" w:type="dxa"/>
              <w:bottom w:w="50" w:type="dxa"/>
              <w:left w:w="90" w:type="dxa"/>
              <w:right w:w="90" w:type="dxa"/>
            </w:tcMar>
            <w:vAlign w:val="center"/>
          </w:tcPr>
          <w:p>
            <w:pPr>
              <w:pStyle w:val="BDOITableHeader"/>
            </w:pPr>
            <w:r>
              <w:rPr>
                <w:b/>
                <w:color w:val="FFFFFF"/>
                <w:sz w:val="15"/>
              </w:rPr>
              <w:t>Gap or mismatch</w:t>
            </w:r>
          </w:p>
        </w:tc>
        <w:tc>
          <w:tcPr>
            <w:tcW w:type="dxa" w:w="1039"/>
            <w:shd w:val="clear" w:color="auto" w:fill="004EA8"/>
            <w:tcMar>
              <w:top w:w="50" w:type="dxa"/>
              <w:bottom w:w="50" w:type="dxa"/>
              <w:left w:w="90" w:type="dxa"/>
              <w:right w:w="90" w:type="dxa"/>
            </w:tcMar>
            <w:vAlign w:val="center"/>
          </w:tcPr>
          <w:p>
            <w:pPr>
              <w:pStyle w:val="BDOITableHeader"/>
            </w:pPr>
            <w:r>
              <w:rPr>
                <w:b/>
                <w:color w:val="FFFFFF"/>
                <w:sz w:val="15"/>
              </w:rPr>
              <w:t>Refs</w:t>
            </w:r>
          </w:p>
        </w:tc>
      </w:tr>
      <w:tr>
        <w:trPr>
          <w:cantSplit w:val="true"/>
        </w:trPr>
        <w:tc>
          <w:tcPr>
            <w:tcW w:type="dxa" w:w="623"/>
            <w:tcMar>
              <w:top w:w="50" w:type="dxa"/>
              <w:bottom w:w="50" w:type="dxa"/>
              <w:left w:w="90" w:type="dxa"/>
              <w:right w:w="90" w:type="dxa"/>
            </w:tcMar>
          </w:tcPr>
          <w:p>
            <w:pPr>
              <w:pStyle w:val="BDOITable"/>
            </w:pPr>
            <w:r>
              <w:rPr>
                <w:b/>
                <w:sz w:val="15"/>
              </w:rPr>
              <w:t>0.1</w:t>
            </w:r>
          </w:p>
        </w:tc>
        <w:tc>
          <w:tcPr>
            <w:tcW w:type="dxa" w:w="1523"/>
            <w:tcMar>
              <w:top w:w="50" w:type="dxa"/>
              <w:bottom w:w="50" w:type="dxa"/>
              <w:left w:w="90" w:type="dxa"/>
              <w:right w:w="90" w:type="dxa"/>
            </w:tcMar>
          </w:tcPr>
          <w:p>
            <w:pPr>
              <w:pStyle w:val="BDOITable"/>
            </w:pPr>
            <w:r>
              <w:rPr>
                <w:sz w:val="15"/>
              </w:rPr>
              <w:t>Accessibility &amp; Login</w:t>
            </w:r>
          </w:p>
        </w:tc>
        <w:tc>
          <w:tcPr>
            <w:tcW w:type="dxa" w:w="1523"/>
            <w:tcMar>
              <w:top w:w="50" w:type="dxa"/>
              <w:bottom w:w="50" w:type="dxa"/>
              <w:left w:w="90" w:type="dxa"/>
              <w:right w:w="90" w:type="dxa"/>
            </w:tcMar>
          </w:tcPr>
          <w:p>
            <w:pPr>
              <w:pStyle w:val="BDOITable"/>
            </w:pPr>
            <w:r>
              <w:rPr>
                <w:sz w:val="15"/>
              </w:rPr>
              <w:t>-</w:t>
            </w:r>
          </w:p>
        </w:tc>
        <w:tc>
          <w:tcPr>
            <w:tcW w:type="dxa" w:w="1523"/>
            <w:tcMar>
              <w:top w:w="50" w:type="dxa"/>
              <w:bottom w:w="50" w:type="dxa"/>
              <w:left w:w="90" w:type="dxa"/>
              <w:right w:w="90" w:type="dxa"/>
            </w:tcMar>
          </w:tcPr>
          <w:p>
            <w:pPr>
              <w:pStyle w:val="BDOITable"/>
            </w:pPr>
            <w:r>
              <w:rPr>
                <w:sz w:val="15"/>
              </w:rPr>
              <w:t>BRD-11 UAM; BRD-00 XC-01</w:t>
            </w:r>
          </w:p>
        </w:tc>
        <w:tc>
          <w:tcPr>
            <w:tcW w:type="dxa" w:w="1316"/>
            <w:tcMar>
              <w:top w:w="50" w:type="dxa"/>
              <w:bottom w:w="50" w:type="dxa"/>
              <w:left w:w="90" w:type="dxa"/>
              <w:right w:w="90" w:type="dxa"/>
            </w:tcMar>
          </w:tcPr>
          <w:p>
            <w:pPr>
              <w:pStyle w:val="BDOITable"/>
            </w:pPr>
            <w:r>
              <w:rPr>
                <w:sz w:val="15"/>
              </w:rPr>
              <w:t>FR-UA (log-in, session, password); FR-CR</w:t>
            </w:r>
          </w:p>
        </w:tc>
        <w:tc>
          <w:tcPr>
            <w:tcW w:type="dxa" w:w="2216"/>
            <w:tcMar>
              <w:top w:w="50" w:type="dxa"/>
              <w:bottom w:w="50" w:type="dxa"/>
              <w:left w:w="90" w:type="dxa"/>
              <w:right w:w="90" w:type="dxa"/>
            </w:tcMar>
          </w:tcPr>
          <w:p>
            <w:pPr>
              <w:pStyle w:val="BDOITable"/>
            </w:pPr>
            <w:r>
              <w:rPr>
                <w:sz w:val="15"/>
              </w:rPr>
              <w:t>security (JWT log-in, lockout, sessions); Setup &amp; Administration &gt; Users; accessibility statement (deliverable 40)</w:t>
            </w:r>
          </w:p>
        </w:tc>
        <w:tc>
          <w:tcPr>
            <w:tcW w:type="dxa" w:w="900"/>
            <w:tcMar>
              <w:top w:w="50" w:type="dxa"/>
              <w:bottom w:w="50" w:type="dxa"/>
              <w:left w:w="90" w:type="dxa"/>
              <w:right w:w="90" w:type="dxa"/>
            </w:tcMar>
          </w:tcPr>
          <w:p>
            <w:pPr>
              <w:pStyle w:val="BDOITable"/>
            </w:pPr>
            <w:r>
              <w:rPr>
                <w:sz w:val="15"/>
              </w:rPr>
              <w:t>Mixed</w:t>
            </w:r>
          </w:p>
        </w:tc>
        <w:tc>
          <w:tcPr>
            <w:tcW w:type="dxa" w:w="2908"/>
            <w:tcMar>
              <w:top w:w="50" w:type="dxa"/>
              <w:bottom w:w="50" w:type="dxa"/>
              <w:left w:w="90" w:type="dxa"/>
              <w:right w:w="90" w:type="dxa"/>
            </w:tcMar>
          </w:tcPr>
          <w:p>
            <w:pPr>
              <w:pStyle w:val="BDOITable"/>
            </w:pPr>
            <w:r>
              <w:rPr>
                <w:sz w:val="15"/>
              </w:rPr>
              <w:t>No BRD named. Log-in is built with local passwords; EIAM (Entra ID) sign-in is not built (the DirectoryAuthenticator port is for a password bind, not an OIDC redirect). "Accessibility" may mean WCAG (UAM-NFR-05) or system access.</w:t>
            </w:r>
          </w:p>
        </w:tc>
        <w:tc>
          <w:tcPr>
            <w:tcW w:type="dxa" w:w="1039"/>
            <w:tcMar>
              <w:top w:w="50" w:type="dxa"/>
              <w:bottom w:w="50" w:type="dxa"/>
              <w:left w:w="90" w:type="dxa"/>
              <w:right w:w="90" w:type="dxa"/>
            </w:tcMar>
          </w:tcPr>
          <w:p>
            <w:pPr>
              <w:pStyle w:val="BDOITable"/>
            </w:pPr>
            <w:r>
              <w:rPr>
                <w:sz w:val="15"/>
              </w:rPr>
              <w:t>IQ04, IQ24; DCR-214, DCR-230</w:t>
            </w:r>
          </w:p>
        </w:tc>
      </w:tr>
      <w:tr>
        <w:trPr>
          <w:cantSplit w:val="true"/>
        </w:trPr>
        <w:tc>
          <w:tcPr>
            <w:tcW w:type="dxa" w:w="623"/>
            <w:tcMar>
              <w:top w:w="50" w:type="dxa"/>
              <w:bottom w:w="50" w:type="dxa"/>
              <w:left w:w="90" w:type="dxa"/>
              <w:right w:w="90" w:type="dxa"/>
            </w:tcMar>
            <w:shd w:val="clear" w:color="auto" w:fill="E5F5FF"/>
          </w:tcPr>
          <w:p>
            <w:pPr>
              <w:pStyle w:val="BDOITable"/>
            </w:pPr>
            <w:r>
              <w:rPr>
                <w:b/>
                <w:sz w:val="15"/>
              </w:rPr>
              <w:t>0.2</w:t>
            </w:r>
          </w:p>
        </w:tc>
        <w:tc>
          <w:tcPr>
            <w:tcW w:type="dxa" w:w="1523"/>
            <w:tcMar>
              <w:top w:w="50" w:type="dxa"/>
              <w:bottom w:w="50" w:type="dxa"/>
              <w:left w:w="90" w:type="dxa"/>
              <w:right w:w="90" w:type="dxa"/>
            </w:tcMar>
            <w:shd w:val="clear" w:color="auto" w:fill="E5F5FF"/>
          </w:tcPr>
          <w:p>
            <w:pPr>
              <w:pStyle w:val="BDOITable"/>
            </w:pPr>
            <w:r>
              <w:rPr>
                <w:sz w:val="15"/>
              </w:rPr>
              <w:t>Authorization</w:t>
            </w:r>
          </w:p>
        </w:tc>
        <w:tc>
          <w:tcPr>
            <w:tcW w:type="dxa" w:w="1523"/>
            <w:tcMar>
              <w:top w:w="50" w:type="dxa"/>
              <w:bottom w:w="50" w:type="dxa"/>
              <w:left w:w="90" w:type="dxa"/>
              <w:right w:w="90" w:type="dxa"/>
            </w:tcMar>
            <w:shd w:val="clear" w:color="auto" w:fill="E5F5FF"/>
          </w:tcPr>
          <w:p>
            <w:pPr>
              <w:pStyle w:val="BDOITable"/>
            </w:pPr>
            <w:r>
              <w:rPr>
                <w:sz w:val="15"/>
              </w:rPr>
              <w:t>-</w:t>
            </w:r>
          </w:p>
        </w:tc>
        <w:tc>
          <w:tcPr>
            <w:tcW w:type="dxa" w:w="1523"/>
            <w:tcMar>
              <w:top w:w="50" w:type="dxa"/>
              <w:bottom w:w="50" w:type="dxa"/>
              <w:left w:w="90" w:type="dxa"/>
              <w:right w:w="90" w:type="dxa"/>
            </w:tcMar>
            <w:shd w:val="clear" w:color="auto" w:fill="E5F5FF"/>
          </w:tcPr>
          <w:p>
            <w:pPr>
              <w:pStyle w:val="BDOITable"/>
            </w:pPr>
            <w:r>
              <w:rPr>
                <w:sz w:val="15"/>
              </w:rPr>
              <w:t>BRD-11 UAM</w:t>
            </w:r>
          </w:p>
        </w:tc>
        <w:tc>
          <w:tcPr>
            <w:tcW w:type="dxa" w:w="1316"/>
            <w:tcMar>
              <w:top w:w="50" w:type="dxa"/>
              <w:bottom w:w="50" w:type="dxa"/>
              <w:left w:w="90" w:type="dxa"/>
              <w:right w:w="90" w:type="dxa"/>
            </w:tcMar>
            <w:shd w:val="clear" w:color="auto" w:fill="E5F5FF"/>
          </w:tcPr>
          <w:p>
            <w:pPr>
              <w:pStyle w:val="BDOITable"/>
            </w:pPr>
            <w:r>
              <w:rPr>
                <w:sz w:val="15"/>
              </w:rPr>
              <w:t>FR-UA</w:t>
            </w:r>
          </w:p>
        </w:tc>
        <w:tc>
          <w:tcPr>
            <w:tcW w:type="dxa" w:w="2216"/>
            <w:tcMar>
              <w:top w:w="50" w:type="dxa"/>
              <w:bottom w:w="50" w:type="dxa"/>
              <w:left w:w="90" w:type="dxa"/>
              <w:right w:w="90" w:type="dxa"/>
            </w:tcMar>
            <w:shd w:val="clear" w:color="auto" w:fill="E5F5FF"/>
          </w:tcPr>
          <w:p>
            <w:pPr>
              <w:pStyle w:val="BDOITable"/>
            </w:pPr>
            <w:r>
              <w:rPr>
                <w:sz w:val="15"/>
              </w:rPr>
              <w:t>security (roles, permissions, persona menus); Setup &amp; Administration &gt; Access Requests</w:t>
            </w:r>
          </w:p>
        </w:tc>
        <w:tc>
          <w:tcPr>
            <w:tcW w:type="dxa" w:w="900"/>
            <w:tcMar>
              <w:top w:w="50" w:type="dxa"/>
              <w:bottom w:w="50" w:type="dxa"/>
              <w:left w:w="90" w:type="dxa"/>
              <w:right w:w="90" w:type="dxa"/>
            </w:tcMar>
            <w:shd w:val="clear" w:color="auto" w:fill="E8F5E9"/>
          </w:tcPr>
          <w:p>
            <w:pPr>
              <w:pStyle w:val="BDOITable"/>
            </w:pPr>
            <w:r>
              <w:rPr>
                <w:b/>
                <w:color w:val="2E7D32"/>
                <w:sz w:val="15"/>
              </w:rPr>
              <w:t>Built</w:t>
            </w:r>
          </w:p>
        </w:tc>
        <w:tc>
          <w:tcPr>
            <w:tcW w:type="dxa" w:w="2908"/>
            <w:tcMar>
              <w:top w:w="50" w:type="dxa"/>
              <w:bottom w:w="50" w:type="dxa"/>
              <w:left w:w="90" w:type="dxa"/>
              <w:right w:w="90" w:type="dxa"/>
            </w:tcMar>
            <w:shd w:val="clear" w:color="auto" w:fill="E5F5FF"/>
          </w:tcPr>
          <w:p>
            <w:pPr>
              <w:pStyle w:val="BDOITable"/>
            </w:pPr>
            <w:r>
              <w:rPr>
                <w:sz w:val="15"/>
              </w:rPr>
              <w:t>No BRD named. Access requests and approvals are in BIBS (BRD-11); UIDM-ISC (the IGA) may take them over.</w:t>
            </w:r>
          </w:p>
        </w:tc>
        <w:tc>
          <w:tcPr>
            <w:tcW w:type="dxa" w:w="1039"/>
            <w:tcMar>
              <w:top w:w="50" w:type="dxa"/>
              <w:bottom w:w="50" w:type="dxa"/>
              <w:left w:w="90" w:type="dxa"/>
              <w:right w:w="90" w:type="dxa"/>
            </w:tcMar>
            <w:shd w:val="clear" w:color="auto" w:fill="E5F5FF"/>
          </w:tcPr>
          <w:p>
            <w:pPr>
              <w:pStyle w:val="BDOITable"/>
            </w:pPr>
            <w:r>
              <w:rPr>
                <w:sz w:val="15"/>
              </w:rPr>
              <w:t>IQ05; DCR-229</w:t>
            </w:r>
          </w:p>
        </w:tc>
      </w:tr>
      <w:tr>
        <w:trPr>
          <w:cantSplit w:val="true"/>
        </w:trPr>
        <w:tc>
          <w:tcPr>
            <w:tcW w:type="dxa" w:w="623"/>
            <w:tcMar>
              <w:top w:w="50" w:type="dxa"/>
              <w:bottom w:w="50" w:type="dxa"/>
              <w:left w:w="90" w:type="dxa"/>
              <w:right w:w="90" w:type="dxa"/>
            </w:tcMar>
          </w:tcPr>
          <w:p>
            <w:pPr>
              <w:pStyle w:val="BDOITable"/>
            </w:pPr>
            <w:r>
              <w:rPr>
                <w:b/>
                <w:sz w:val="15"/>
              </w:rPr>
              <w:t>0.3</w:t>
            </w:r>
          </w:p>
        </w:tc>
        <w:tc>
          <w:tcPr>
            <w:tcW w:type="dxa" w:w="1523"/>
            <w:tcMar>
              <w:top w:w="50" w:type="dxa"/>
              <w:bottom w:w="50" w:type="dxa"/>
              <w:left w:w="90" w:type="dxa"/>
              <w:right w:w="90" w:type="dxa"/>
            </w:tcMar>
          </w:tcPr>
          <w:p>
            <w:pPr>
              <w:pStyle w:val="BDOITable"/>
            </w:pPr>
            <w:r>
              <w:rPr>
                <w:sz w:val="15"/>
              </w:rPr>
              <w:t>User Maintenance</w:t>
            </w:r>
          </w:p>
        </w:tc>
        <w:tc>
          <w:tcPr>
            <w:tcW w:type="dxa" w:w="1523"/>
            <w:tcMar>
              <w:top w:w="50" w:type="dxa"/>
              <w:bottom w:w="50" w:type="dxa"/>
              <w:left w:w="90" w:type="dxa"/>
              <w:right w:w="90" w:type="dxa"/>
            </w:tcMar>
          </w:tcPr>
          <w:p>
            <w:pPr>
              <w:pStyle w:val="BDOITable"/>
            </w:pPr>
            <w:r>
              <w:rPr>
                <w:sz w:val="15"/>
              </w:rPr>
              <w:t>-</w:t>
            </w:r>
          </w:p>
        </w:tc>
        <w:tc>
          <w:tcPr>
            <w:tcW w:type="dxa" w:w="1523"/>
            <w:tcMar>
              <w:top w:w="50" w:type="dxa"/>
              <w:bottom w:w="50" w:type="dxa"/>
              <w:left w:w="90" w:type="dxa"/>
              <w:right w:w="90" w:type="dxa"/>
            </w:tcMar>
          </w:tcPr>
          <w:p>
            <w:pPr>
              <w:pStyle w:val="BDOITable"/>
            </w:pPr>
            <w:r>
              <w:rPr>
                <w:sz w:val="15"/>
              </w:rPr>
              <w:t>BRD-11 UAM</w:t>
            </w:r>
          </w:p>
        </w:tc>
        <w:tc>
          <w:tcPr>
            <w:tcW w:type="dxa" w:w="1316"/>
            <w:tcMar>
              <w:top w:w="50" w:type="dxa"/>
              <w:bottom w:w="50" w:type="dxa"/>
              <w:left w:w="90" w:type="dxa"/>
              <w:right w:w="90" w:type="dxa"/>
            </w:tcMar>
          </w:tcPr>
          <w:p>
            <w:pPr>
              <w:pStyle w:val="BDOITable"/>
            </w:pPr>
            <w:r>
              <w:rPr>
                <w:sz w:val="15"/>
              </w:rPr>
              <w:t>FR-UA</w:t>
            </w:r>
          </w:p>
        </w:tc>
        <w:tc>
          <w:tcPr>
            <w:tcW w:type="dxa" w:w="2216"/>
            <w:tcMar>
              <w:top w:w="50" w:type="dxa"/>
              <w:bottom w:w="50" w:type="dxa"/>
              <w:left w:w="90" w:type="dxa"/>
              <w:right w:w="90" w:type="dxa"/>
            </w:tcMar>
          </w:tcPr>
          <w:p>
            <w:pPr>
              <w:pStyle w:val="BDOITable"/>
            </w:pPr>
            <w:r>
              <w:rPr>
                <w:sz w:val="15"/>
              </w:rPr>
              <w:t>nbadmin (request lifecycle, four eyes, bulk), security (UserAdminService, access change log)</w:t>
            </w:r>
          </w:p>
        </w:tc>
        <w:tc>
          <w:tcPr>
            <w:tcW w:type="dxa" w:w="900"/>
            <w:tcMar>
              <w:top w:w="50" w:type="dxa"/>
              <w:bottom w:w="50" w:type="dxa"/>
              <w:left w:w="90" w:type="dxa"/>
              <w:right w:w="90" w:type="dxa"/>
            </w:tcMar>
            <w:shd w:val="clear" w:color="auto" w:fill="E8F5E9"/>
          </w:tcPr>
          <w:p>
            <w:pPr>
              <w:pStyle w:val="BDOITable"/>
            </w:pPr>
            <w:r>
              <w:rPr>
                <w:b/>
                <w:color w:val="2E7D32"/>
                <w:sz w:val="15"/>
              </w:rPr>
              <w:t>Built</w:t>
            </w:r>
          </w:p>
        </w:tc>
        <w:tc>
          <w:tcPr>
            <w:tcW w:type="dxa" w:w="2908"/>
            <w:tcMar>
              <w:top w:w="50" w:type="dxa"/>
              <w:bottom w:w="50" w:type="dxa"/>
              <w:left w:w="90" w:type="dxa"/>
              <w:right w:w="90" w:type="dxa"/>
            </w:tcMar>
          </w:tcPr>
          <w:p>
            <w:pPr>
              <w:pStyle w:val="BDOITable"/>
            </w:pPr>
            <w:r>
              <w:rPr>
                <w:sz w:val="15"/>
              </w:rPr>
              <w:t>Provisioning by UIDM-ISC conflicts with BRD-11 principle "a request in BIBS is the only way to change access".</w:t>
            </w:r>
          </w:p>
        </w:tc>
        <w:tc>
          <w:tcPr>
            <w:tcW w:type="dxa" w:w="1039"/>
            <w:tcMar>
              <w:top w:w="50" w:type="dxa"/>
              <w:bottom w:w="50" w:type="dxa"/>
              <w:left w:w="90" w:type="dxa"/>
              <w:right w:w="90" w:type="dxa"/>
            </w:tcMar>
          </w:tcPr>
          <w:p>
            <w:pPr>
              <w:pStyle w:val="BDOITable"/>
            </w:pPr>
            <w:r>
              <w:rPr>
                <w:sz w:val="15"/>
              </w:rPr>
              <w:t>IQ05; DCR-229</w:t>
            </w:r>
          </w:p>
        </w:tc>
      </w:tr>
      <w:tr>
        <w:trPr>
          <w:cantSplit w:val="true"/>
        </w:trPr>
        <w:tc>
          <w:tcPr>
            <w:tcW w:type="dxa" w:w="623"/>
            <w:tcMar>
              <w:top w:w="50" w:type="dxa"/>
              <w:bottom w:w="50" w:type="dxa"/>
              <w:left w:w="90" w:type="dxa"/>
              <w:right w:w="90" w:type="dxa"/>
            </w:tcMar>
            <w:shd w:val="clear" w:color="auto" w:fill="E5F5FF"/>
          </w:tcPr>
          <w:p>
            <w:pPr>
              <w:pStyle w:val="BDOITable"/>
            </w:pPr>
            <w:r>
              <w:rPr>
                <w:b/>
                <w:sz w:val="15"/>
              </w:rPr>
              <w:t>0.4</w:t>
            </w:r>
          </w:p>
        </w:tc>
        <w:tc>
          <w:tcPr>
            <w:tcW w:type="dxa" w:w="1523"/>
            <w:tcMar>
              <w:top w:w="50" w:type="dxa"/>
              <w:bottom w:w="50" w:type="dxa"/>
              <w:left w:w="90" w:type="dxa"/>
              <w:right w:w="90" w:type="dxa"/>
            </w:tcMar>
            <w:shd w:val="clear" w:color="auto" w:fill="E5F5FF"/>
          </w:tcPr>
          <w:p>
            <w:pPr>
              <w:pStyle w:val="BDOITable"/>
            </w:pPr>
            <w:r>
              <w:rPr>
                <w:sz w:val="15"/>
              </w:rPr>
              <w:t>Data Management (GL accounts, reference tables)</w:t>
            </w:r>
          </w:p>
        </w:tc>
        <w:tc>
          <w:tcPr>
            <w:tcW w:type="dxa" w:w="1523"/>
            <w:tcMar>
              <w:top w:w="50" w:type="dxa"/>
              <w:bottom w:w="50" w:type="dxa"/>
              <w:left w:w="90" w:type="dxa"/>
              <w:right w:w="90" w:type="dxa"/>
            </w:tcMar>
            <w:shd w:val="clear" w:color="auto" w:fill="E5F5FF"/>
          </w:tcPr>
          <w:p>
            <w:pPr>
              <w:pStyle w:val="BDOITable"/>
            </w:pPr>
            <w:r>
              <w:rPr>
                <w:sz w:val="15"/>
              </w:rPr>
              <w:t>-</w:t>
            </w:r>
          </w:p>
        </w:tc>
        <w:tc>
          <w:tcPr>
            <w:tcW w:type="dxa" w:w="1523"/>
            <w:tcMar>
              <w:top w:w="50" w:type="dxa"/>
              <w:bottom w:w="50" w:type="dxa"/>
              <w:left w:w="90" w:type="dxa"/>
              <w:right w:w="90" w:type="dxa"/>
            </w:tcMar>
            <w:shd w:val="clear" w:color="auto" w:fill="E5F5FF"/>
          </w:tcPr>
          <w:p>
            <w:pPr>
              <w:pStyle w:val="BDOITable"/>
            </w:pPr>
            <w:r>
              <w:rPr>
                <w:sz w:val="15"/>
              </w:rPr>
              <w:t>BRD-00 CORE-17; BRD-5 (chart of accounts); BRD-1 (LOVs); BRD-3; BRD-13 (reference data R01-R09)</w:t>
            </w:r>
          </w:p>
        </w:tc>
        <w:tc>
          <w:tcPr>
            <w:tcW w:type="dxa" w:w="1316"/>
            <w:tcMar>
              <w:top w:w="50" w:type="dxa"/>
              <w:bottom w:w="50" w:type="dxa"/>
              <w:left w:w="90" w:type="dxa"/>
              <w:right w:w="90" w:type="dxa"/>
            </w:tcMar>
            <w:shd w:val="clear" w:color="auto" w:fill="E5F5FF"/>
          </w:tcPr>
          <w:p>
            <w:pPr>
              <w:pStyle w:val="BDOITable"/>
            </w:pPr>
            <w:r>
              <w:rPr>
                <w:sz w:val="15"/>
              </w:rPr>
              <w:t>FR-CR (CORE-17); FR-AC (chart); FR-NB-132 (LOVs)</w:t>
            </w:r>
          </w:p>
        </w:tc>
        <w:tc>
          <w:tcPr>
            <w:tcW w:type="dxa" w:w="2216"/>
            <w:tcMar>
              <w:top w:w="50" w:type="dxa"/>
              <w:bottom w:w="50" w:type="dxa"/>
              <w:left w:w="90" w:type="dxa"/>
              <w:right w:w="90" w:type="dxa"/>
            </w:tcMar>
            <w:shd w:val="clear" w:color="auto" w:fill="E5F5FF"/>
          </w:tcPr>
          <w:p>
            <w:pPr>
              <w:pStyle w:val="BDOITable"/>
            </w:pPr>
            <w:r>
              <w:rPr>
                <w:sz w:val="15"/>
              </w:rPr>
              <w:t>coa (chart, upload), lov (LOV master with approval), catalog (insurers), dimension; Broking Setup &gt; Lists of Values</w:t>
            </w:r>
          </w:p>
        </w:tc>
        <w:tc>
          <w:tcPr>
            <w:tcW w:type="dxa" w:w="900"/>
            <w:tcMar>
              <w:top w:w="50" w:type="dxa"/>
              <w:bottom w:w="50" w:type="dxa"/>
              <w:left w:w="90" w:type="dxa"/>
              <w:right w:w="90" w:type="dxa"/>
            </w:tcMar>
            <w:shd w:val="clear" w:color="auto" w:fill="E5F5FF"/>
          </w:tcPr>
          <w:p>
            <w:pPr>
              <w:pStyle w:val="BDOITable"/>
            </w:pPr>
            <w:r>
              <w:rPr>
                <w:sz w:val="15"/>
              </w:rPr>
              <w:t>Mixed</w:t>
            </w:r>
          </w:p>
        </w:tc>
        <w:tc>
          <w:tcPr>
            <w:tcW w:type="dxa" w:w="2908"/>
            <w:tcMar>
              <w:top w:w="50" w:type="dxa"/>
              <w:bottom w:w="50" w:type="dxa"/>
              <w:left w:w="90" w:type="dxa"/>
              <w:right w:w="90" w:type="dxa"/>
            </w:tcMar>
            <w:shd w:val="clear" w:color="auto" w:fill="E5F5FF"/>
          </w:tcPr>
          <w:p>
            <w:pPr>
              <w:pStyle w:val="BDOITable"/>
            </w:pPr>
            <w:r>
              <w:rPr>
                <w:sz w:val="15"/>
              </w:rPr>
              <w:t>CORE-17 has no BRD: MIS field definition is NEW (CRQ09), insurer management is CHANGE (one screen). Acceptance criteria not stated.</w:t>
            </w:r>
          </w:p>
        </w:tc>
        <w:tc>
          <w:tcPr>
            <w:tcW w:type="dxa" w:w="1039"/>
            <w:tcMar>
              <w:top w:w="50" w:type="dxa"/>
              <w:bottom w:w="50" w:type="dxa"/>
              <w:left w:w="90" w:type="dxa"/>
              <w:right w:w="90" w:type="dxa"/>
            </w:tcMar>
            <w:shd w:val="clear" w:color="auto" w:fill="E5F5FF"/>
          </w:tcPr>
          <w:p>
            <w:pPr>
              <w:pStyle w:val="BDOITable"/>
            </w:pPr>
            <w:r>
              <w:rPr>
                <w:sz w:val="15"/>
              </w:rPr>
              <w:t>IQ24; DCR-214</w:t>
            </w:r>
          </w:p>
        </w:tc>
      </w:tr>
      <w:tr>
        <w:trPr>
          <w:cantSplit w:val="true"/>
        </w:trPr>
        <w:tc>
          <w:tcPr>
            <w:tcW w:type="dxa" w:w="623"/>
            <w:tcMar>
              <w:top w:w="50" w:type="dxa"/>
              <w:bottom w:w="50" w:type="dxa"/>
              <w:left w:w="90" w:type="dxa"/>
              <w:right w:w="90" w:type="dxa"/>
            </w:tcMar>
          </w:tcPr>
          <w:p>
            <w:pPr>
              <w:pStyle w:val="BDOITable"/>
            </w:pPr>
            <w:r>
              <w:rPr>
                <w:b/>
                <w:sz w:val="15"/>
              </w:rPr>
              <w:t>0.5</w:t>
            </w:r>
          </w:p>
        </w:tc>
        <w:tc>
          <w:tcPr>
            <w:tcW w:type="dxa" w:w="1523"/>
            <w:tcMar>
              <w:top w:w="50" w:type="dxa"/>
              <w:bottom w:w="50" w:type="dxa"/>
              <w:left w:w="90" w:type="dxa"/>
              <w:right w:w="90" w:type="dxa"/>
            </w:tcMar>
          </w:tcPr>
          <w:p>
            <w:pPr>
              <w:pStyle w:val="BDOITable"/>
            </w:pPr>
            <w:r>
              <w:rPr>
                <w:sz w:val="15"/>
              </w:rPr>
              <w:t>Workflow</w:t>
            </w:r>
          </w:p>
        </w:tc>
        <w:tc>
          <w:tcPr>
            <w:tcW w:type="dxa" w:w="1523"/>
            <w:tcMar>
              <w:top w:w="50" w:type="dxa"/>
              <w:bottom w:w="50" w:type="dxa"/>
              <w:left w:w="90" w:type="dxa"/>
              <w:right w:w="90" w:type="dxa"/>
            </w:tcMar>
          </w:tcPr>
          <w:p>
            <w:pPr>
              <w:pStyle w:val="BDOITable"/>
            </w:pPr>
            <w:r>
              <w:rPr>
                <w:sz w:val="15"/>
              </w:rPr>
              <w:t>-</w:t>
            </w:r>
          </w:p>
        </w:tc>
        <w:tc>
          <w:tcPr>
            <w:tcW w:type="dxa" w:w="1523"/>
            <w:tcMar>
              <w:top w:w="50" w:type="dxa"/>
              <w:bottom w:w="50" w:type="dxa"/>
              <w:left w:w="90" w:type="dxa"/>
              <w:right w:w="90" w:type="dxa"/>
            </w:tcMar>
          </w:tcPr>
          <w:p>
            <w:pPr>
              <w:pStyle w:val="BDOITable"/>
            </w:pPr>
            <w:r>
              <w:rPr>
                <w:sz w:val="15"/>
              </w:rPr>
              <w:t>Cross-BRD (every BRD with approvals)</w:t>
            </w:r>
          </w:p>
        </w:tc>
        <w:tc>
          <w:tcPr>
            <w:tcW w:type="dxa" w:w="1316"/>
            <w:tcMar>
              <w:top w:w="50" w:type="dxa"/>
              <w:bottom w:w="50" w:type="dxa"/>
              <w:left w:w="90" w:type="dxa"/>
              <w:right w:w="90" w:type="dxa"/>
            </w:tcMar>
          </w:tcPr>
          <w:p>
            <w:pPr>
              <w:pStyle w:val="BDOITable"/>
            </w:pPr>
            <w:r>
              <w:rPr>
                <w:sz w:val="15"/>
              </w:rPr>
              <w:t>Workflow chapters of each FRS</w:t>
            </w:r>
          </w:p>
        </w:tc>
        <w:tc>
          <w:tcPr>
            <w:tcW w:type="dxa" w:w="2216"/>
            <w:tcMar>
              <w:top w:w="50" w:type="dxa"/>
              <w:bottom w:w="50" w:type="dxa"/>
              <w:left w:w="90" w:type="dxa"/>
              <w:right w:w="90" w:type="dxa"/>
            </w:tcMar>
          </w:tcPr>
          <w:p>
            <w:pPr>
              <w:pStyle w:val="BDOITable"/>
            </w:pPr>
            <w:r>
              <w:rPr>
                <w:sz w:val="15"/>
              </w:rPr>
              <w:t>workflow (definitions, queues, SLA timers), approval (My Approvals)</w:t>
            </w:r>
          </w:p>
        </w:tc>
        <w:tc>
          <w:tcPr>
            <w:tcW w:type="dxa" w:w="900"/>
            <w:tcMar>
              <w:top w:w="50" w:type="dxa"/>
              <w:bottom w:w="50" w:type="dxa"/>
              <w:left w:w="90" w:type="dxa"/>
              <w:right w:w="90" w:type="dxa"/>
            </w:tcMar>
            <w:shd w:val="clear" w:color="auto" w:fill="E8F5E9"/>
          </w:tcPr>
          <w:p>
            <w:pPr>
              <w:pStyle w:val="BDOITable"/>
            </w:pPr>
            <w:r>
              <w:rPr>
                <w:b/>
                <w:color w:val="2E7D32"/>
                <w:sz w:val="15"/>
              </w:rPr>
              <w:t>Built</w:t>
            </w:r>
          </w:p>
        </w:tc>
        <w:tc>
          <w:tcPr>
            <w:tcW w:type="dxa" w:w="2908"/>
            <w:tcMar>
              <w:top w:w="50" w:type="dxa"/>
              <w:bottom w:w="50" w:type="dxa"/>
              <w:left w:w="90" w:type="dxa"/>
              <w:right w:w="90" w:type="dxa"/>
            </w:tcMar>
          </w:tcPr>
          <w:p>
            <w:pPr>
              <w:pStyle w:val="BDOITable"/>
            </w:pPr>
            <w:r>
              <w:rPr>
                <w:sz w:val="15"/>
              </w:rPr>
              <w:t>No BRD; accepted through the workflows of each BRD. The BRD-6, 8, 9, 12 and 13 workflows are designed, not built.</w:t>
            </w:r>
          </w:p>
        </w:tc>
        <w:tc>
          <w:tcPr>
            <w:tcW w:type="dxa" w:w="1039"/>
            <w:tcMar>
              <w:top w:w="50" w:type="dxa"/>
              <w:bottom w:w="50" w:type="dxa"/>
              <w:left w:w="90" w:type="dxa"/>
              <w:right w:w="90" w:type="dxa"/>
            </w:tcMar>
          </w:tcPr>
          <w:p>
            <w:pPr>
              <w:pStyle w:val="BDOITable"/>
            </w:pPr>
            <w:r>
              <w:rPr>
                <w:sz w:val="15"/>
              </w:rPr>
              <w:t>DCR-214</w:t>
            </w:r>
          </w:p>
        </w:tc>
      </w:tr>
      <w:tr>
        <w:trPr>
          <w:cantSplit w:val="true"/>
        </w:trPr>
        <w:tc>
          <w:tcPr>
            <w:tcW w:type="dxa" w:w="623"/>
            <w:tcMar>
              <w:top w:w="50" w:type="dxa"/>
              <w:bottom w:w="50" w:type="dxa"/>
              <w:left w:w="90" w:type="dxa"/>
              <w:right w:w="90" w:type="dxa"/>
            </w:tcMar>
            <w:shd w:val="clear" w:color="auto" w:fill="E5F5FF"/>
          </w:tcPr>
          <w:p>
            <w:pPr>
              <w:pStyle w:val="BDOITable"/>
            </w:pPr>
            <w:r>
              <w:rPr>
                <w:b/>
                <w:sz w:val="15"/>
              </w:rPr>
              <w:t>0.6</w:t>
            </w:r>
          </w:p>
        </w:tc>
        <w:tc>
          <w:tcPr>
            <w:tcW w:type="dxa" w:w="1523"/>
            <w:tcMar>
              <w:top w:w="50" w:type="dxa"/>
              <w:bottom w:w="50" w:type="dxa"/>
              <w:left w:w="90" w:type="dxa"/>
              <w:right w:w="90" w:type="dxa"/>
            </w:tcMar>
            <w:shd w:val="clear" w:color="auto" w:fill="E5F5FF"/>
          </w:tcPr>
          <w:p>
            <w:pPr>
              <w:pStyle w:val="BDOITable"/>
            </w:pPr>
            <w:r>
              <w:rPr>
                <w:sz w:val="15"/>
              </w:rPr>
              <w:t>Product Maintenance</w:t>
            </w:r>
          </w:p>
        </w:tc>
        <w:tc>
          <w:tcPr>
            <w:tcW w:type="dxa" w:w="1523"/>
            <w:tcMar>
              <w:top w:w="50" w:type="dxa"/>
              <w:bottom w:w="50" w:type="dxa"/>
              <w:left w:w="90" w:type="dxa"/>
              <w:right w:w="90" w:type="dxa"/>
            </w:tcMar>
            <w:shd w:val="clear" w:color="auto" w:fill="E5F5FF"/>
          </w:tcPr>
          <w:p>
            <w:pPr>
              <w:pStyle w:val="BDOITable"/>
            </w:pPr>
            <w:r>
              <w:rPr>
                <w:sz w:val="15"/>
              </w:rPr>
              <w:t>-</w:t>
            </w:r>
          </w:p>
        </w:tc>
        <w:tc>
          <w:tcPr>
            <w:tcW w:type="dxa" w:w="1523"/>
            <w:tcMar>
              <w:top w:w="50" w:type="dxa"/>
              <w:bottom w:w="50" w:type="dxa"/>
              <w:left w:w="90" w:type="dxa"/>
              <w:right w:w="90" w:type="dxa"/>
            </w:tcMar>
            <w:shd w:val="clear" w:color="auto" w:fill="E5F5FF"/>
          </w:tcPr>
          <w:p>
            <w:pPr>
              <w:pStyle w:val="BDOITable"/>
            </w:pPr>
            <w:r>
              <w:rPr>
                <w:sz w:val="15"/>
              </w:rPr>
              <w:t>BRD-3 PM</w:t>
            </w:r>
          </w:p>
        </w:tc>
        <w:tc>
          <w:tcPr>
            <w:tcW w:type="dxa" w:w="1316"/>
            <w:tcMar>
              <w:top w:w="50" w:type="dxa"/>
              <w:bottom w:w="50" w:type="dxa"/>
              <w:left w:w="90" w:type="dxa"/>
              <w:right w:w="90" w:type="dxa"/>
            </w:tcMar>
            <w:shd w:val="clear" w:color="auto" w:fill="E5F5FF"/>
          </w:tcPr>
          <w:p>
            <w:pPr>
              <w:pStyle w:val="BDOITable"/>
            </w:pPr>
            <w:r>
              <w:rPr>
                <w:sz w:val="15"/>
              </w:rPr>
              <w:t>FR-PM</w:t>
            </w:r>
          </w:p>
        </w:tc>
        <w:tc>
          <w:tcPr>
            <w:tcW w:type="dxa" w:w="2216"/>
            <w:tcMar>
              <w:top w:w="50" w:type="dxa"/>
              <w:bottom w:w="50" w:type="dxa"/>
              <w:left w:w="90" w:type="dxa"/>
              <w:right w:w="90" w:type="dxa"/>
            </w:tcMar>
            <w:shd w:val="clear" w:color="auto" w:fill="E5F5FF"/>
          </w:tcPr>
          <w:p>
            <w:pPr>
              <w:pStyle w:val="BDOITable"/>
            </w:pPr>
            <w:r>
              <w:rPr>
                <w:sz w:val="15"/>
              </w:rPr>
              <w:t>catalog, productmaint; Client &amp; Policy &gt; Products, Package Requests</w:t>
            </w:r>
          </w:p>
        </w:tc>
        <w:tc>
          <w:tcPr>
            <w:tcW w:type="dxa" w:w="900"/>
            <w:tcMar>
              <w:top w:w="50" w:type="dxa"/>
              <w:bottom w:w="50" w:type="dxa"/>
              <w:left w:w="90" w:type="dxa"/>
              <w:right w:w="90" w:type="dxa"/>
            </w:tcMar>
            <w:shd w:val="clear" w:color="auto" w:fill="E8F5E9"/>
          </w:tcPr>
          <w:p>
            <w:pPr>
              <w:pStyle w:val="BDOITable"/>
            </w:pPr>
            <w:r>
              <w:rPr>
                <w:b/>
                <w:color w:val="2E7D32"/>
                <w:sz w:val="15"/>
              </w:rPr>
              <w:t>Built</w:t>
            </w:r>
          </w:p>
        </w:tc>
        <w:tc>
          <w:tcPr>
            <w:tcW w:type="dxa" w:w="2908"/>
            <w:tcMar>
              <w:top w:w="50" w:type="dxa"/>
              <w:bottom w:w="50" w:type="dxa"/>
              <w:left w:w="90" w:type="dxa"/>
              <w:right w:w="90" w:type="dxa"/>
            </w:tcMar>
            <w:shd w:val="clear" w:color="auto" w:fill="E5F5FF"/>
          </w:tcPr>
          <w:p>
            <w:pPr>
              <w:pStyle w:val="BDOITable"/>
            </w:pPr>
            <w:r>
              <w:rPr>
                <w:sz w:val="15"/>
              </w:rPr>
              <w:t>None. BRD-3 is also named for Quotation (1.U2).</w:t>
            </w:r>
          </w:p>
        </w:tc>
        <w:tc>
          <w:tcPr>
            <w:tcW w:type="dxa" w:w="1039"/>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Caption"/>
        <w:keepNext/>
        <w:spacing w:after="60"/>
      </w:pPr>
      <w:r>
        <w:rPr>
          <w:b/>
          <w:i w:val="0"/>
        </w:rPr>
        <w:t xml:space="preserve">Table 4: </w:t>
      </w:r>
      <w:r>
        <w:rPr/>
        <w:t>Drop 1 - Transactional, upstream (product inherent)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23"/>
        <w:gridCol w:w="1523"/>
        <w:gridCol w:w="1523"/>
        <w:gridCol w:w="1523"/>
        <w:gridCol w:w="1315"/>
        <w:gridCol w:w="2216"/>
        <w:gridCol w:w="900"/>
        <w:gridCol w:w="2908"/>
        <w:gridCol w:w="1038"/>
      </w:tblGrid>
      <w:tr>
        <w:trPr>
          <w:tblHeader w:val="true"/>
          <w:cantSplit w:val="true"/>
        </w:trPr>
        <w:tc>
          <w:tcPr>
            <w:tcW w:type="dxa" w:w="623"/>
            <w:shd w:val="clear" w:color="auto" w:fill="004EA8"/>
            <w:tcMar>
              <w:top w:w="50" w:type="dxa"/>
              <w:bottom w:w="50" w:type="dxa"/>
              <w:left w:w="90" w:type="dxa"/>
              <w:right w:w="90" w:type="dxa"/>
            </w:tcMar>
            <w:vAlign w:val="center"/>
          </w:tcPr>
          <w:p>
            <w:pPr>
              <w:pStyle w:val="BDOITableHeader"/>
            </w:pPr>
            <w:r>
              <w:rPr>
                <w:b/>
                <w:color w:val="FFFFFF"/>
                <w:sz w:val="15"/>
              </w:rPr>
              <w:t>#</w:t>
            </w:r>
          </w:p>
        </w:tc>
        <w:tc>
          <w:tcPr>
            <w:tcW w:type="dxa" w:w="1523"/>
            <w:shd w:val="clear" w:color="auto" w:fill="004EA8"/>
            <w:tcMar>
              <w:top w:w="50" w:type="dxa"/>
              <w:bottom w:w="50" w:type="dxa"/>
              <w:left w:w="90" w:type="dxa"/>
              <w:right w:w="90" w:type="dxa"/>
            </w:tcMar>
            <w:vAlign w:val="center"/>
          </w:tcPr>
          <w:p>
            <w:pPr>
              <w:pStyle w:val="BDOITableHeader"/>
            </w:pPr>
            <w:r>
              <w:rPr>
                <w:b/>
                <w:color w:val="FFFFFF"/>
                <w:sz w:val="15"/>
              </w:rPr>
              <w:t>Drop item</w:t>
            </w:r>
          </w:p>
        </w:tc>
        <w:tc>
          <w:tcPr>
            <w:tcW w:type="dxa" w:w="1523"/>
            <w:shd w:val="clear" w:color="auto" w:fill="004EA8"/>
            <w:tcMar>
              <w:top w:w="50" w:type="dxa"/>
              <w:bottom w:w="50" w:type="dxa"/>
              <w:left w:w="90" w:type="dxa"/>
              <w:right w:w="90" w:type="dxa"/>
            </w:tcMar>
            <w:vAlign w:val="center"/>
          </w:tcPr>
          <w:p>
            <w:pPr>
              <w:pStyle w:val="BDOITableHeader"/>
            </w:pPr>
            <w:r>
              <w:rPr>
                <w:b/>
                <w:color w:val="FFFFFF"/>
                <w:sz w:val="15"/>
              </w:rPr>
              <w:t>BRD named by BDOI</w:t>
            </w:r>
          </w:p>
        </w:tc>
        <w:tc>
          <w:tcPr>
            <w:tcW w:type="dxa" w:w="1523"/>
            <w:shd w:val="clear" w:color="auto" w:fill="004EA8"/>
            <w:tcMar>
              <w:top w:w="50" w:type="dxa"/>
              <w:bottom w:w="50" w:type="dxa"/>
              <w:left w:w="90" w:type="dxa"/>
              <w:right w:w="90" w:type="dxa"/>
            </w:tcMar>
            <w:vAlign w:val="center"/>
          </w:tcPr>
          <w:p>
            <w:pPr>
              <w:pStyle w:val="BDOITableHeader"/>
            </w:pPr>
            <w:r>
              <w:rPr>
                <w:b/>
                <w:color w:val="FFFFFF"/>
                <w:sz w:val="15"/>
              </w:rPr>
              <w:t>BIBS BRD</w:t>
            </w:r>
          </w:p>
        </w:tc>
        <w:tc>
          <w:tcPr>
            <w:tcW w:type="dxa" w:w="13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BIBS modules and screens</w:t>
            </w:r>
          </w:p>
        </w:tc>
        <w:tc>
          <w:tcPr>
            <w:tcW w:type="dxa" w:w="900"/>
            <w:shd w:val="clear" w:color="auto" w:fill="004EA8"/>
            <w:tcMar>
              <w:top w:w="50" w:type="dxa"/>
              <w:bottom w:w="50" w:type="dxa"/>
              <w:left w:w="90" w:type="dxa"/>
              <w:right w:w="90" w:type="dxa"/>
            </w:tcMar>
            <w:vAlign w:val="center"/>
          </w:tcPr>
          <w:p>
            <w:pPr>
              <w:pStyle w:val="BDOITableHeader"/>
            </w:pPr>
            <w:r>
              <w:rPr>
                <w:b/>
                <w:color w:val="FFFFFF"/>
                <w:sz w:val="15"/>
              </w:rPr>
              <w:t>Status</w:t>
            </w:r>
          </w:p>
        </w:tc>
        <w:tc>
          <w:tcPr>
            <w:tcW w:type="dxa" w:w="2908"/>
            <w:shd w:val="clear" w:color="auto" w:fill="004EA8"/>
            <w:tcMar>
              <w:top w:w="50" w:type="dxa"/>
              <w:bottom w:w="50" w:type="dxa"/>
              <w:left w:w="90" w:type="dxa"/>
              <w:right w:w="90" w:type="dxa"/>
            </w:tcMar>
            <w:vAlign w:val="center"/>
          </w:tcPr>
          <w:p>
            <w:pPr>
              <w:pStyle w:val="BDOITableHeader"/>
            </w:pPr>
            <w:r>
              <w:rPr>
                <w:b/>
                <w:color w:val="FFFFFF"/>
                <w:sz w:val="15"/>
              </w:rPr>
              <w:t>Gap or mismatch</w:t>
            </w:r>
          </w:p>
        </w:tc>
        <w:tc>
          <w:tcPr>
            <w:tcW w:type="dxa" w:w="1039"/>
            <w:shd w:val="clear" w:color="auto" w:fill="004EA8"/>
            <w:tcMar>
              <w:top w:w="50" w:type="dxa"/>
              <w:bottom w:w="50" w:type="dxa"/>
              <w:left w:w="90" w:type="dxa"/>
              <w:right w:w="90" w:type="dxa"/>
            </w:tcMar>
            <w:vAlign w:val="center"/>
          </w:tcPr>
          <w:p>
            <w:pPr>
              <w:pStyle w:val="BDOITableHeader"/>
            </w:pPr>
            <w:r>
              <w:rPr>
                <w:b/>
                <w:color w:val="FFFFFF"/>
                <w:sz w:val="15"/>
              </w:rPr>
              <w:t>Refs</w:t>
            </w:r>
          </w:p>
        </w:tc>
      </w:tr>
      <w:tr>
        <w:trPr>
          <w:cantSplit w:val="true"/>
        </w:trPr>
        <w:tc>
          <w:tcPr>
            <w:tcW w:type="dxa" w:w="623"/>
            <w:tcMar>
              <w:top w:w="50" w:type="dxa"/>
              <w:bottom w:w="50" w:type="dxa"/>
              <w:left w:w="90" w:type="dxa"/>
              <w:right w:w="90" w:type="dxa"/>
            </w:tcMar>
          </w:tcPr>
          <w:p>
            <w:pPr>
              <w:pStyle w:val="BDOITable"/>
            </w:pPr>
            <w:r>
              <w:rPr>
                <w:b/>
                <w:sz w:val="15"/>
              </w:rPr>
              <w:t>1.U1</w:t>
            </w:r>
          </w:p>
        </w:tc>
        <w:tc>
          <w:tcPr>
            <w:tcW w:type="dxa" w:w="1523"/>
            <w:tcMar>
              <w:top w:w="50" w:type="dxa"/>
              <w:bottom w:w="50" w:type="dxa"/>
              <w:left w:w="90" w:type="dxa"/>
              <w:right w:w="90" w:type="dxa"/>
            </w:tcMar>
          </w:tcPr>
          <w:p>
            <w:pPr>
              <w:pStyle w:val="BDOITable"/>
            </w:pPr>
            <w:r>
              <w:rPr>
                <w:sz w:val="15"/>
              </w:rPr>
              <w:t>Client Onboarding</w:t>
            </w:r>
          </w:p>
        </w:tc>
        <w:tc>
          <w:tcPr>
            <w:tcW w:type="dxa" w:w="1523"/>
            <w:tcMar>
              <w:top w:w="50" w:type="dxa"/>
              <w:bottom w:w="50" w:type="dxa"/>
              <w:left w:w="90" w:type="dxa"/>
              <w:right w:w="90" w:type="dxa"/>
            </w:tcMar>
          </w:tcPr>
          <w:p>
            <w:pPr>
              <w:pStyle w:val="BDOITable"/>
            </w:pPr>
            <w:r>
              <w:rPr>
                <w:sz w:val="15"/>
              </w:rPr>
              <w:t>Data Migration BRD, New Business BRD</w:t>
            </w:r>
          </w:p>
        </w:tc>
        <w:tc>
          <w:tcPr>
            <w:tcW w:type="dxa" w:w="1523"/>
            <w:tcMar>
              <w:top w:w="50" w:type="dxa"/>
              <w:bottom w:w="50" w:type="dxa"/>
              <w:left w:w="90" w:type="dxa"/>
              <w:right w:w="90" w:type="dxa"/>
            </w:tcMar>
          </w:tcPr>
          <w:p>
            <w:pPr>
              <w:pStyle w:val="BDOITable"/>
            </w:pPr>
            <w:r>
              <w:rPr>
                <w:sz w:val="15"/>
              </w:rPr>
              <w:t>BRD-1 NB; BRD-13 DM (C01-C03); BRD-10 SANC (onboarding screening)</w:t>
            </w:r>
          </w:p>
        </w:tc>
        <w:tc>
          <w:tcPr>
            <w:tcW w:type="dxa" w:w="1316"/>
            <w:tcMar>
              <w:top w:w="50" w:type="dxa"/>
              <w:bottom w:w="50" w:type="dxa"/>
              <w:left w:w="90" w:type="dxa"/>
              <w:right w:w="90" w:type="dxa"/>
            </w:tcMar>
          </w:tcPr>
          <w:p>
            <w:pPr>
              <w:pStyle w:val="BDOITable"/>
            </w:pPr>
            <w:r>
              <w:rPr>
                <w:sz w:val="15"/>
              </w:rPr>
              <w:t>FR-NB (client); FR-DM; FR-SS</w:t>
            </w:r>
          </w:p>
        </w:tc>
        <w:tc>
          <w:tcPr>
            <w:tcW w:type="dxa" w:w="2216"/>
            <w:tcMar>
              <w:top w:w="50" w:type="dxa"/>
              <w:bottom w:w="50" w:type="dxa"/>
              <w:left w:w="90" w:type="dxa"/>
              <w:right w:w="90" w:type="dxa"/>
            </w:tcMar>
          </w:tcPr>
          <w:p>
            <w:pPr>
              <w:pStyle w:val="BDOITable"/>
            </w:pPr>
            <w:r>
              <w:rPr>
                <w:sz w:val="15"/>
              </w:rPr>
              <w:t>crm (Clients), screening (onboarding check); migration (designed)</w:t>
            </w:r>
          </w:p>
        </w:tc>
        <w:tc>
          <w:tcPr>
            <w:tcW w:type="dxa" w:w="900"/>
            <w:tcMar>
              <w:top w:w="50" w:type="dxa"/>
              <w:bottom w:w="50" w:type="dxa"/>
              <w:left w:w="90" w:type="dxa"/>
              <w:right w:w="90" w:type="dxa"/>
            </w:tcMar>
          </w:tcPr>
          <w:p>
            <w:pPr>
              <w:pStyle w:val="BDOITable"/>
            </w:pPr>
            <w:r>
              <w:rPr>
                <w:sz w:val="15"/>
              </w:rPr>
              <w:t>Mixed</w:t>
            </w:r>
          </w:p>
        </w:tc>
        <w:tc>
          <w:tcPr>
            <w:tcW w:type="dxa" w:w="2908"/>
            <w:tcMar>
              <w:top w:w="50" w:type="dxa"/>
              <w:bottom w:w="50" w:type="dxa"/>
              <w:left w:w="90" w:type="dxa"/>
              <w:right w:w="90" w:type="dxa"/>
            </w:tcMar>
          </w:tcPr>
          <w:p>
            <w:pPr>
              <w:pStyle w:val="BDOITable"/>
            </w:pPr>
            <w:r>
              <w:rPr>
                <w:sz w:val="15"/>
              </w:rPr>
              <w:t>Client onboarding is built; client migration is designed. Screening at onboarding (BRD-10, built) is in no drop.</w:t>
            </w:r>
          </w:p>
        </w:tc>
        <w:tc>
          <w:tcPr>
            <w:tcW w:type="dxa" w:w="1039"/>
            <w:tcMar>
              <w:top w:w="50" w:type="dxa"/>
              <w:bottom w:w="50" w:type="dxa"/>
              <w:left w:w="90" w:type="dxa"/>
              <w:right w:w="90" w:type="dxa"/>
            </w:tcMar>
          </w:tcPr>
          <w:p>
            <w:pPr>
              <w:pStyle w:val="BDOITable"/>
            </w:pPr>
            <w:r>
              <w:rPr>
                <w:sz w:val="15"/>
              </w:rPr>
              <w:t>IQ23; DCR-213</w:t>
            </w:r>
          </w:p>
        </w:tc>
      </w:tr>
      <w:tr>
        <w:trPr>
          <w:cantSplit w:val="true"/>
        </w:trPr>
        <w:tc>
          <w:tcPr>
            <w:tcW w:type="dxa" w:w="623"/>
            <w:tcMar>
              <w:top w:w="50" w:type="dxa"/>
              <w:bottom w:w="50" w:type="dxa"/>
              <w:left w:w="90" w:type="dxa"/>
              <w:right w:w="90" w:type="dxa"/>
            </w:tcMar>
            <w:shd w:val="clear" w:color="auto" w:fill="E5F5FF"/>
          </w:tcPr>
          <w:p>
            <w:pPr>
              <w:pStyle w:val="BDOITable"/>
            </w:pPr>
            <w:r>
              <w:rPr>
                <w:b/>
                <w:sz w:val="15"/>
              </w:rPr>
              <w:t>1.U2</w:t>
            </w:r>
          </w:p>
        </w:tc>
        <w:tc>
          <w:tcPr>
            <w:tcW w:type="dxa" w:w="1523"/>
            <w:tcMar>
              <w:top w:w="50" w:type="dxa"/>
              <w:bottom w:w="50" w:type="dxa"/>
              <w:left w:w="90" w:type="dxa"/>
              <w:right w:w="90" w:type="dxa"/>
            </w:tcMar>
            <w:shd w:val="clear" w:color="auto" w:fill="E5F5FF"/>
          </w:tcPr>
          <w:p>
            <w:pPr>
              <w:pStyle w:val="BDOITable"/>
            </w:pPr>
            <w:r>
              <w:rPr>
                <w:sz w:val="15"/>
              </w:rPr>
              <w:t>Quotation or Proposal</w:t>
            </w:r>
          </w:p>
        </w:tc>
        <w:tc>
          <w:tcPr>
            <w:tcW w:type="dxa" w:w="1523"/>
            <w:tcMar>
              <w:top w:w="50" w:type="dxa"/>
              <w:bottom w:w="50" w:type="dxa"/>
              <w:left w:w="90" w:type="dxa"/>
              <w:right w:w="90" w:type="dxa"/>
            </w:tcMar>
            <w:shd w:val="clear" w:color="auto" w:fill="E5F5FF"/>
          </w:tcPr>
          <w:p>
            <w:pPr>
              <w:pStyle w:val="BDOITable"/>
            </w:pPr>
            <w:r>
              <w:rPr>
                <w:sz w:val="15"/>
              </w:rPr>
              <w:t>New Business BRD, Product Maintenance</w:t>
            </w:r>
          </w:p>
        </w:tc>
        <w:tc>
          <w:tcPr>
            <w:tcW w:type="dxa" w:w="1523"/>
            <w:tcMar>
              <w:top w:w="50" w:type="dxa"/>
              <w:bottom w:w="50" w:type="dxa"/>
              <w:left w:w="90" w:type="dxa"/>
              <w:right w:w="90" w:type="dxa"/>
            </w:tcMar>
            <w:shd w:val="clear" w:color="auto" w:fill="E5F5FF"/>
          </w:tcPr>
          <w:p>
            <w:pPr>
              <w:pStyle w:val="BDOITable"/>
            </w:pPr>
            <w:r>
              <w:rPr>
                <w:sz w:val="15"/>
              </w:rPr>
              <w:t>BRD-1 NB (incl. Non-Package); BRD-3 PM</w:t>
            </w:r>
          </w:p>
        </w:tc>
        <w:tc>
          <w:tcPr>
            <w:tcW w:type="dxa" w:w="1316"/>
            <w:tcMar>
              <w:top w:w="50" w:type="dxa"/>
              <w:bottom w:w="50" w:type="dxa"/>
              <w:left w:w="90" w:type="dxa"/>
              <w:right w:w="90" w:type="dxa"/>
            </w:tcMar>
            <w:shd w:val="clear" w:color="auto" w:fill="E5F5FF"/>
          </w:tcPr>
          <w:p>
            <w:pPr>
              <w:pStyle w:val="BDOITable"/>
            </w:pPr>
            <w:r>
              <w:rPr>
                <w:sz w:val="15"/>
              </w:rPr>
              <w:t>FR-NB; FR-PM</w:t>
            </w:r>
          </w:p>
        </w:tc>
        <w:tc>
          <w:tcPr>
            <w:tcW w:type="dxa" w:w="2216"/>
            <w:tcMar>
              <w:top w:w="50" w:type="dxa"/>
              <w:bottom w:w="50" w:type="dxa"/>
              <w:left w:w="90" w:type="dxa"/>
              <w:right w:w="90" w:type="dxa"/>
            </w:tcMar>
            <w:shd w:val="clear" w:color="auto" w:fill="E5F5FF"/>
          </w:tcPr>
          <w:p>
            <w:pPr>
              <w:pStyle w:val="BDOITable"/>
            </w:pPr>
            <w:r>
              <w:rPr>
                <w:sz w:val="15"/>
              </w:rPr>
              <w:t>quotation, nonpackage; Client &amp; Policy &gt; Quotations, Proposal Requests</w:t>
            </w:r>
          </w:p>
        </w:tc>
        <w:tc>
          <w:tcPr>
            <w:tcW w:type="dxa" w:w="900"/>
            <w:tcMar>
              <w:top w:w="50" w:type="dxa"/>
              <w:bottom w:w="50" w:type="dxa"/>
              <w:left w:w="90" w:type="dxa"/>
              <w:right w:w="90" w:type="dxa"/>
            </w:tcMar>
            <w:shd w:val="clear" w:color="auto" w:fill="E8F5E9"/>
          </w:tcPr>
          <w:p>
            <w:pPr>
              <w:pStyle w:val="BDOITable"/>
            </w:pPr>
            <w:r>
              <w:rPr>
                <w:b/>
                <w:color w:val="2E7D32"/>
                <w:sz w:val="15"/>
              </w:rPr>
              <w:t>Built</w:t>
            </w:r>
          </w:p>
        </w:tc>
        <w:tc>
          <w:tcPr>
            <w:tcW w:type="dxa" w:w="2908"/>
            <w:tcMar>
              <w:top w:w="50" w:type="dxa"/>
              <w:bottom w:w="50" w:type="dxa"/>
              <w:left w:w="90" w:type="dxa"/>
              <w:right w:w="90" w:type="dxa"/>
            </w:tcMar>
            <w:shd w:val="clear" w:color="auto" w:fill="E5F5FF"/>
          </w:tcPr>
          <w:p>
            <w:pPr>
              <w:pStyle w:val="BDOITable"/>
            </w:pPr>
            <w:r>
              <w:rPr>
                <w:sz w:val="15"/>
              </w:rPr>
              <w:t>Non-Package Management (CORE-04) is not named; read as part of this item.</w:t>
            </w:r>
          </w:p>
        </w:tc>
        <w:tc>
          <w:tcPr>
            <w:tcW w:type="dxa" w:w="1039"/>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623"/>
            <w:tcMar>
              <w:top w:w="50" w:type="dxa"/>
              <w:bottom w:w="50" w:type="dxa"/>
              <w:left w:w="90" w:type="dxa"/>
              <w:right w:w="90" w:type="dxa"/>
            </w:tcMar>
          </w:tcPr>
          <w:p>
            <w:pPr>
              <w:pStyle w:val="BDOITable"/>
            </w:pPr>
            <w:r>
              <w:rPr>
                <w:b/>
                <w:sz w:val="15"/>
              </w:rPr>
              <w:t>1.U3</w:t>
            </w:r>
          </w:p>
        </w:tc>
        <w:tc>
          <w:tcPr>
            <w:tcW w:type="dxa" w:w="1523"/>
            <w:tcMar>
              <w:top w:w="50" w:type="dxa"/>
              <w:bottom w:w="50" w:type="dxa"/>
              <w:left w:w="90" w:type="dxa"/>
              <w:right w:w="90" w:type="dxa"/>
            </w:tcMar>
          </w:tcPr>
          <w:p>
            <w:pPr>
              <w:pStyle w:val="BDOITable"/>
            </w:pPr>
            <w:r>
              <w:rPr>
                <w:sz w:val="15"/>
              </w:rPr>
              <w:t>Account Creation and Maintenance</w:t>
            </w:r>
          </w:p>
        </w:tc>
        <w:tc>
          <w:tcPr>
            <w:tcW w:type="dxa" w:w="1523"/>
            <w:tcMar>
              <w:top w:w="50" w:type="dxa"/>
              <w:bottom w:w="50" w:type="dxa"/>
              <w:left w:w="90" w:type="dxa"/>
              <w:right w:w="90" w:type="dxa"/>
            </w:tcMar>
          </w:tcPr>
          <w:p>
            <w:pPr>
              <w:pStyle w:val="BDOITable"/>
            </w:pPr>
            <w:r>
              <w:rPr>
                <w:sz w:val="15"/>
              </w:rPr>
              <w:t>New Business BRD, CSF</w:t>
            </w:r>
          </w:p>
        </w:tc>
        <w:tc>
          <w:tcPr>
            <w:tcW w:type="dxa" w:w="1523"/>
            <w:tcMar>
              <w:top w:w="50" w:type="dxa"/>
              <w:bottom w:w="50" w:type="dxa"/>
              <w:left w:w="90" w:type="dxa"/>
              <w:right w:w="90" w:type="dxa"/>
            </w:tcMar>
          </w:tcPr>
          <w:p>
            <w:pPr>
              <w:pStyle w:val="BDOITable"/>
            </w:pPr>
            <w:r>
              <w:rPr>
                <w:sz w:val="15"/>
              </w:rPr>
              <w:t>BRD-1 NB; BRD-9 CSF</w:t>
            </w:r>
          </w:p>
        </w:tc>
        <w:tc>
          <w:tcPr>
            <w:tcW w:type="dxa" w:w="1316"/>
            <w:tcMar>
              <w:top w:w="50" w:type="dxa"/>
              <w:bottom w:w="50" w:type="dxa"/>
              <w:left w:w="90" w:type="dxa"/>
              <w:right w:w="90" w:type="dxa"/>
            </w:tcMar>
          </w:tcPr>
          <w:p>
            <w:pPr>
              <w:pStyle w:val="BDOITable"/>
            </w:pPr>
            <w:r>
              <w:rPr>
                <w:sz w:val="15"/>
              </w:rPr>
              <w:t>FR-NB; FR-CSF</w:t>
            </w:r>
          </w:p>
        </w:tc>
        <w:tc>
          <w:tcPr>
            <w:tcW w:type="dxa" w:w="2216"/>
            <w:tcMar>
              <w:top w:w="50" w:type="dxa"/>
              <w:bottom w:w="50" w:type="dxa"/>
              <w:left w:w="90" w:type="dxa"/>
              <w:right w:w="90" w:type="dxa"/>
            </w:tcMar>
          </w:tcPr>
          <w:p>
            <w:pPr>
              <w:pStyle w:val="BDOITable"/>
            </w:pPr>
            <w:r>
              <w:rPr>
                <w:sz w:val="15"/>
              </w:rPr>
              <w:t>account (Accounts); csf (designed)</w:t>
            </w:r>
          </w:p>
        </w:tc>
        <w:tc>
          <w:tcPr>
            <w:tcW w:type="dxa" w:w="900"/>
            <w:tcMar>
              <w:top w:w="50" w:type="dxa"/>
              <w:bottom w:w="50" w:type="dxa"/>
              <w:left w:w="90" w:type="dxa"/>
              <w:right w:w="90" w:type="dxa"/>
            </w:tcMar>
          </w:tcPr>
          <w:p>
            <w:pPr>
              <w:pStyle w:val="BDOITable"/>
            </w:pPr>
            <w:r>
              <w:rPr>
                <w:sz w:val="15"/>
              </w:rPr>
              <w:t>Mixed</w:t>
            </w:r>
          </w:p>
        </w:tc>
        <w:tc>
          <w:tcPr>
            <w:tcW w:type="dxa" w:w="2908"/>
            <w:tcMar>
              <w:top w:w="50" w:type="dxa"/>
              <w:bottom w:w="50" w:type="dxa"/>
              <w:left w:w="90" w:type="dxa"/>
              <w:right w:w="90" w:type="dxa"/>
            </w:tcMar>
          </w:tcPr>
          <w:p>
            <w:pPr>
              <w:pStyle w:val="BDOITable"/>
            </w:pPr>
            <w:r>
              <w:rPr>
                <w:sz w:val="15"/>
              </w:rPr>
              <w:t>Accounts are built; the CSF maintenance functions (contact updates, service requests) are designed, not built. The rest of CSF is in no drop.</w:t>
            </w:r>
          </w:p>
        </w:tc>
        <w:tc>
          <w:tcPr>
            <w:tcW w:type="dxa" w:w="1039"/>
            <w:tcMar>
              <w:top w:w="50" w:type="dxa"/>
              <w:bottom w:w="50" w:type="dxa"/>
              <w:left w:w="90" w:type="dxa"/>
              <w:right w:w="90" w:type="dxa"/>
            </w:tcMar>
          </w:tcPr>
          <w:p>
            <w:pPr>
              <w:pStyle w:val="BDOITable"/>
            </w:pPr>
            <w:r>
              <w:rPr>
                <w:sz w:val="15"/>
              </w:rPr>
              <w:t>IQ23; DCR-213</w:t>
            </w:r>
          </w:p>
        </w:tc>
      </w:tr>
      <w:tr>
        <w:trPr>
          <w:cantSplit w:val="true"/>
        </w:trPr>
        <w:tc>
          <w:tcPr>
            <w:tcW w:type="dxa" w:w="623"/>
            <w:tcMar>
              <w:top w:w="50" w:type="dxa"/>
              <w:bottom w:w="50" w:type="dxa"/>
              <w:left w:w="90" w:type="dxa"/>
              <w:right w:w="90" w:type="dxa"/>
            </w:tcMar>
            <w:shd w:val="clear" w:color="auto" w:fill="E5F5FF"/>
          </w:tcPr>
          <w:p>
            <w:pPr>
              <w:pStyle w:val="BDOITable"/>
            </w:pPr>
            <w:r>
              <w:rPr>
                <w:b/>
                <w:sz w:val="15"/>
              </w:rPr>
              <w:t>1.U4</w:t>
            </w:r>
          </w:p>
        </w:tc>
        <w:tc>
          <w:tcPr>
            <w:tcW w:type="dxa" w:w="1523"/>
            <w:tcMar>
              <w:top w:w="50" w:type="dxa"/>
              <w:bottom w:w="50" w:type="dxa"/>
              <w:left w:w="90" w:type="dxa"/>
              <w:right w:w="90" w:type="dxa"/>
            </w:tcMar>
            <w:shd w:val="clear" w:color="auto" w:fill="E5F5FF"/>
          </w:tcPr>
          <w:p>
            <w:pPr>
              <w:pStyle w:val="BDOITable"/>
            </w:pPr>
            <w:r>
              <w:rPr>
                <w:sz w:val="15"/>
              </w:rPr>
              <w:t>Submitted Policy</w:t>
            </w:r>
          </w:p>
        </w:tc>
        <w:tc>
          <w:tcPr>
            <w:tcW w:type="dxa" w:w="1523"/>
            <w:tcMar>
              <w:top w:w="50" w:type="dxa"/>
              <w:bottom w:w="50" w:type="dxa"/>
              <w:left w:w="90" w:type="dxa"/>
              <w:right w:w="90" w:type="dxa"/>
            </w:tcMar>
            <w:shd w:val="clear" w:color="auto" w:fill="E5F5FF"/>
          </w:tcPr>
          <w:p>
            <w:pPr>
              <w:pStyle w:val="BDOITable"/>
            </w:pPr>
            <w:r>
              <w:rPr>
                <w:sz w:val="15"/>
              </w:rPr>
              <w:t>Submitted Policies</w:t>
            </w:r>
          </w:p>
        </w:tc>
        <w:tc>
          <w:tcPr>
            <w:tcW w:type="dxa" w:w="1523"/>
            <w:tcMar>
              <w:top w:w="50" w:type="dxa"/>
              <w:bottom w:w="50" w:type="dxa"/>
              <w:left w:w="90" w:type="dxa"/>
              <w:right w:w="90" w:type="dxa"/>
            </w:tcMar>
            <w:shd w:val="clear" w:color="auto" w:fill="E5F5FF"/>
          </w:tcPr>
          <w:p>
            <w:pPr>
              <w:pStyle w:val="BDOITable"/>
            </w:pPr>
            <w:r>
              <w:rPr>
                <w:sz w:val="15"/>
              </w:rPr>
              <w:t>BRD-12 SP</w:t>
            </w:r>
          </w:p>
        </w:tc>
        <w:tc>
          <w:tcPr>
            <w:tcW w:type="dxa" w:w="1316"/>
            <w:tcMar>
              <w:top w:w="50" w:type="dxa"/>
              <w:bottom w:w="50" w:type="dxa"/>
              <w:left w:w="90" w:type="dxa"/>
              <w:right w:w="90" w:type="dxa"/>
            </w:tcMar>
            <w:shd w:val="clear" w:color="auto" w:fill="E5F5FF"/>
          </w:tcPr>
          <w:p>
            <w:pPr>
              <w:pStyle w:val="BDOITable"/>
            </w:pPr>
            <w:r>
              <w:rPr>
                <w:sz w:val="15"/>
              </w:rPr>
              <w:t>FR-SP</w:t>
            </w:r>
          </w:p>
        </w:tc>
        <w:tc>
          <w:tcPr>
            <w:tcW w:type="dxa" w:w="2216"/>
            <w:tcMar>
              <w:top w:w="50" w:type="dxa"/>
              <w:bottom w:w="50" w:type="dxa"/>
              <w:left w:w="90" w:type="dxa"/>
              <w:right w:w="90" w:type="dxa"/>
            </w:tcMar>
            <w:shd w:val="clear" w:color="auto" w:fill="E5F5FF"/>
          </w:tcPr>
          <w:p>
            <w:pPr>
              <w:pStyle w:val="BDOITable"/>
            </w:pPr>
            <w:r>
              <w:rPr>
                <w:sz w:val="15"/>
              </w:rPr>
              <w:t>submitted (designed)</w:t>
            </w:r>
          </w:p>
        </w:tc>
        <w:tc>
          <w:tcPr>
            <w:tcW w:type="dxa" w:w="900"/>
            <w:tcMar>
              <w:top w:w="50" w:type="dxa"/>
              <w:bottom w:w="50" w:type="dxa"/>
              <w:left w:w="90" w:type="dxa"/>
              <w:right w:w="90" w:type="dxa"/>
            </w:tcMar>
            <w:shd w:val="clear" w:color="auto" w:fill="E5F5FF"/>
          </w:tcPr>
          <w:p>
            <w:pPr>
              <w:pStyle w:val="BDOITable"/>
            </w:pPr>
            <w:r>
              <w:rPr>
                <w:sz w:val="15"/>
              </w:rPr>
              <w:t>Designed</w:t>
            </w:r>
          </w:p>
        </w:tc>
        <w:tc>
          <w:tcPr>
            <w:tcW w:type="dxa" w:w="2908"/>
            <w:tcMar>
              <w:top w:w="50" w:type="dxa"/>
              <w:bottom w:w="50" w:type="dxa"/>
              <w:left w:w="90" w:type="dxa"/>
              <w:right w:w="90" w:type="dxa"/>
            </w:tcMar>
            <w:shd w:val="clear" w:color="auto" w:fill="E5F5FF"/>
          </w:tcPr>
          <w:p>
            <w:pPr>
              <w:pStyle w:val="BDOITable"/>
            </w:pPr>
            <w:r>
              <w:rPr>
                <w:sz w:val="15"/>
              </w:rPr>
              <w:t>Build needed in wave 1 (Nov-Dec 2026). Sources LFS, HL-LOAS, LMS (LAMD) are integrations.</w:t>
            </w:r>
          </w:p>
        </w:tc>
        <w:tc>
          <w:tcPr>
            <w:tcW w:type="dxa" w:w="1039"/>
            <w:tcMar>
              <w:top w:w="50" w:type="dxa"/>
              <w:bottom w:w="50" w:type="dxa"/>
              <w:left w:w="90" w:type="dxa"/>
              <w:right w:w="90" w:type="dxa"/>
            </w:tcMar>
            <w:shd w:val="clear" w:color="auto" w:fill="E5F5FF"/>
          </w:tcPr>
          <w:p>
            <w:pPr>
              <w:pStyle w:val="BDOITable"/>
            </w:pPr>
            <w:r>
              <w:rPr>
                <w:sz w:val="15"/>
              </w:rPr>
              <w:t>IQ06, IQ07, IQ08</w:t>
            </w:r>
          </w:p>
        </w:tc>
      </w:tr>
      <w:tr>
        <w:trPr>
          <w:cantSplit w:val="true"/>
        </w:trPr>
        <w:tc>
          <w:tcPr>
            <w:tcW w:type="dxa" w:w="623"/>
            <w:tcMar>
              <w:top w:w="50" w:type="dxa"/>
              <w:bottom w:w="50" w:type="dxa"/>
              <w:left w:w="90" w:type="dxa"/>
              <w:right w:w="90" w:type="dxa"/>
            </w:tcMar>
          </w:tcPr>
          <w:p>
            <w:pPr>
              <w:pStyle w:val="BDOITable"/>
            </w:pPr>
            <w:r>
              <w:rPr>
                <w:b/>
                <w:sz w:val="15"/>
              </w:rPr>
              <w:t>1.U5</w:t>
            </w:r>
          </w:p>
        </w:tc>
        <w:tc>
          <w:tcPr>
            <w:tcW w:type="dxa" w:w="1523"/>
            <w:tcMar>
              <w:top w:w="50" w:type="dxa"/>
              <w:bottom w:w="50" w:type="dxa"/>
              <w:left w:w="90" w:type="dxa"/>
              <w:right w:w="90" w:type="dxa"/>
            </w:tcMar>
          </w:tcPr>
          <w:p>
            <w:pPr>
              <w:pStyle w:val="BDOITable"/>
            </w:pPr>
            <w:r>
              <w:rPr>
                <w:sz w:val="15"/>
              </w:rPr>
              <w:t>Renewal</w:t>
            </w:r>
          </w:p>
        </w:tc>
        <w:tc>
          <w:tcPr>
            <w:tcW w:type="dxa" w:w="1523"/>
            <w:tcMar>
              <w:top w:w="50" w:type="dxa"/>
              <w:bottom w:w="50" w:type="dxa"/>
              <w:left w:w="90" w:type="dxa"/>
              <w:right w:w="90" w:type="dxa"/>
            </w:tcMar>
          </w:tcPr>
          <w:p>
            <w:pPr>
              <w:pStyle w:val="BDOITable"/>
            </w:pPr>
            <w:r>
              <w:rPr>
                <w:sz w:val="15"/>
              </w:rPr>
              <w:t>Renewal</w:t>
            </w:r>
          </w:p>
        </w:tc>
        <w:tc>
          <w:tcPr>
            <w:tcW w:type="dxa" w:w="1523"/>
            <w:tcMar>
              <w:top w:w="50" w:type="dxa"/>
              <w:bottom w:w="50" w:type="dxa"/>
              <w:left w:w="90" w:type="dxa"/>
              <w:right w:w="90" w:type="dxa"/>
            </w:tcMar>
          </w:tcPr>
          <w:p>
            <w:pPr>
              <w:pStyle w:val="BDOITable"/>
            </w:pPr>
            <w:r>
              <w:rPr>
                <w:sz w:val="15"/>
              </w:rPr>
              <w:t>BRD-6 RN</w:t>
            </w:r>
          </w:p>
        </w:tc>
        <w:tc>
          <w:tcPr>
            <w:tcW w:type="dxa" w:w="1316"/>
            <w:tcMar>
              <w:top w:w="50" w:type="dxa"/>
              <w:bottom w:w="50" w:type="dxa"/>
              <w:left w:w="90" w:type="dxa"/>
              <w:right w:w="90" w:type="dxa"/>
            </w:tcMar>
          </w:tcPr>
          <w:p>
            <w:pPr>
              <w:pStyle w:val="BDOITable"/>
            </w:pPr>
            <w:r>
              <w:rPr>
                <w:sz w:val="15"/>
              </w:rPr>
              <w:t>FR-RN</w:t>
            </w:r>
          </w:p>
        </w:tc>
        <w:tc>
          <w:tcPr>
            <w:tcW w:type="dxa" w:w="2216"/>
            <w:tcMar>
              <w:top w:w="50" w:type="dxa"/>
              <w:bottom w:w="50" w:type="dxa"/>
              <w:left w:w="90" w:type="dxa"/>
              <w:right w:w="90" w:type="dxa"/>
            </w:tcMar>
          </w:tcPr>
          <w:p>
            <w:pPr>
              <w:pStyle w:val="BDOITable"/>
            </w:pPr>
            <w:r>
              <w:rPr>
                <w:sz w:val="15"/>
              </w:rPr>
              <w:t>renewal (designed; waves R0-R3)</w:t>
            </w:r>
          </w:p>
        </w:tc>
        <w:tc>
          <w:tcPr>
            <w:tcW w:type="dxa" w:w="900"/>
            <w:tcMar>
              <w:top w:w="50" w:type="dxa"/>
              <w:bottom w:w="50" w:type="dxa"/>
              <w:left w:w="90" w:type="dxa"/>
              <w:right w:w="90" w:type="dxa"/>
            </w:tcMar>
          </w:tcPr>
          <w:p>
            <w:pPr>
              <w:pStyle w:val="BDOITable"/>
            </w:pPr>
            <w:r>
              <w:rPr>
                <w:sz w:val="15"/>
              </w:rPr>
              <w:t>Designed</w:t>
            </w:r>
          </w:p>
        </w:tc>
        <w:tc>
          <w:tcPr>
            <w:tcW w:type="dxa" w:w="2908"/>
            <w:tcMar>
              <w:top w:w="50" w:type="dxa"/>
              <w:bottom w:w="50" w:type="dxa"/>
              <w:left w:w="90" w:type="dxa"/>
              <w:right w:w="90" w:type="dxa"/>
            </w:tcMar>
          </w:tcPr>
          <w:p>
            <w:pPr>
              <w:pStyle w:val="BDOITable"/>
            </w:pPr>
            <w:r>
              <w:rPr>
                <w:sz w:val="15"/>
              </w:rPr>
              <w:t>Build needed in waves 1-2. The early renewal release is withdrawn (answer A1); legacy RMEL cohorts are carried forward at cut-over (P03).</w:t>
            </w:r>
          </w:p>
        </w:tc>
        <w:tc>
          <w:tcPr>
            <w:tcW w:type="dxa" w:w="1039"/>
            <w:tcMar>
              <w:top w:w="50" w:type="dxa"/>
              <w:bottom w:w="50" w:type="dxa"/>
              <w:left w:w="90" w:type="dxa"/>
              <w:right w:w="90" w:type="dxa"/>
            </w:tcMar>
          </w:tcPr>
          <w:p>
            <w:pPr>
              <w:pStyle w:val="BDOITable"/>
            </w:pPr>
            <w:r>
              <w:rPr>
                <w:sz w:val="15"/>
              </w:rPr>
              <w:t>IQ02, IQ03; DCR-218, DCR-219</w:t>
            </w:r>
          </w:p>
        </w:tc>
      </w:tr>
      <w:tr>
        <w:trPr>
          <w:cantSplit w:val="true"/>
        </w:trPr>
        <w:tc>
          <w:tcPr>
            <w:tcW w:type="dxa" w:w="623"/>
            <w:tcMar>
              <w:top w:w="50" w:type="dxa"/>
              <w:bottom w:w="50" w:type="dxa"/>
              <w:left w:w="90" w:type="dxa"/>
              <w:right w:w="90" w:type="dxa"/>
            </w:tcMar>
            <w:shd w:val="clear" w:color="auto" w:fill="E5F5FF"/>
          </w:tcPr>
          <w:p>
            <w:pPr>
              <w:pStyle w:val="BDOITable"/>
            </w:pPr>
            <w:r>
              <w:rPr>
                <w:b/>
                <w:sz w:val="15"/>
              </w:rPr>
              <w:t>1.U6</w:t>
            </w:r>
          </w:p>
        </w:tc>
        <w:tc>
          <w:tcPr>
            <w:tcW w:type="dxa" w:w="1523"/>
            <w:tcMar>
              <w:top w:w="50" w:type="dxa"/>
              <w:bottom w:w="50" w:type="dxa"/>
              <w:left w:w="90" w:type="dxa"/>
              <w:right w:w="90" w:type="dxa"/>
            </w:tcMar>
            <w:shd w:val="clear" w:color="auto" w:fill="E5F5FF"/>
          </w:tcPr>
          <w:p>
            <w:pPr>
              <w:pStyle w:val="BDOITable"/>
            </w:pPr>
            <w:r>
              <w:rPr>
                <w:sz w:val="15"/>
              </w:rPr>
              <w:t>Placement &amp; ePolicy</w:t>
            </w:r>
          </w:p>
        </w:tc>
        <w:tc>
          <w:tcPr>
            <w:tcW w:type="dxa" w:w="1523"/>
            <w:tcMar>
              <w:top w:w="50" w:type="dxa"/>
              <w:bottom w:w="50" w:type="dxa"/>
              <w:left w:w="90" w:type="dxa"/>
              <w:right w:w="90" w:type="dxa"/>
            </w:tcMar>
            <w:shd w:val="clear" w:color="auto" w:fill="E5F5FF"/>
          </w:tcPr>
          <w:p>
            <w:pPr>
              <w:pStyle w:val="BDOITable"/>
            </w:pPr>
            <w:r>
              <w:rPr>
                <w:sz w:val="15"/>
              </w:rPr>
              <w:t>New Business BRD, Renewal BRD, Employee Benefits</w:t>
            </w:r>
          </w:p>
        </w:tc>
        <w:tc>
          <w:tcPr>
            <w:tcW w:type="dxa" w:w="1523"/>
            <w:tcMar>
              <w:top w:w="50" w:type="dxa"/>
              <w:bottom w:w="50" w:type="dxa"/>
              <w:left w:w="90" w:type="dxa"/>
              <w:right w:w="90" w:type="dxa"/>
            </w:tcMar>
            <w:shd w:val="clear" w:color="auto" w:fill="E5F5FF"/>
          </w:tcPr>
          <w:p>
            <w:pPr>
              <w:pStyle w:val="BDOITable"/>
            </w:pPr>
            <w:r>
              <w:rPr>
                <w:sz w:val="15"/>
              </w:rPr>
              <w:t>BRD-1 NB; BRD-6 RN; BRD-8 EB</w:t>
            </w:r>
          </w:p>
        </w:tc>
        <w:tc>
          <w:tcPr>
            <w:tcW w:type="dxa" w:w="1316"/>
            <w:tcMar>
              <w:top w:w="50" w:type="dxa"/>
              <w:bottom w:w="50" w:type="dxa"/>
              <w:left w:w="90" w:type="dxa"/>
              <w:right w:w="90" w:type="dxa"/>
            </w:tcMar>
            <w:shd w:val="clear" w:color="auto" w:fill="E5F5FF"/>
          </w:tcPr>
          <w:p>
            <w:pPr>
              <w:pStyle w:val="BDOITable"/>
            </w:pPr>
            <w:r>
              <w:rPr>
                <w:sz w:val="15"/>
              </w:rPr>
              <w:t>FR-NB; FR-RN; FR-EB</w:t>
            </w:r>
          </w:p>
        </w:tc>
        <w:tc>
          <w:tcPr>
            <w:tcW w:type="dxa" w:w="2216"/>
            <w:tcMar>
              <w:top w:w="50" w:type="dxa"/>
              <w:bottom w:w="50" w:type="dxa"/>
              <w:left w:w="90" w:type="dxa"/>
              <w:right w:w="90" w:type="dxa"/>
            </w:tcMar>
            <w:shd w:val="clear" w:color="auto" w:fill="E5F5FF"/>
          </w:tcPr>
          <w:p>
            <w:pPr>
              <w:pStyle w:val="BDOITable"/>
            </w:pPr>
            <w:r>
              <w:rPr>
                <w:sz w:val="15"/>
              </w:rPr>
              <w:t>placement, issuance (Placement and Issuance Workbenches); eb (designed)</w:t>
            </w:r>
          </w:p>
        </w:tc>
        <w:tc>
          <w:tcPr>
            <w:tcW w:type="dxa" w:w="900"/>
            <w:tcMar>
              <w:top w:w="50" w:type="dxa"/>
              <w:bottom w:w="50" w:type="dxa"/>
              <w:left w:w="90" w:type="dxa"/>
              <w:right w:w="90" w:type="dxa"/>
            </w:tcMar>
            <w:shd w:val="clear" w:color="auto" w:fill="E5F5FF"/>
          </w:tcPr>
          <w:p>
            <w:pPr>
              <w:pStyle w:val="BDOITable"/>
            </w:pPr>
            <w:r>
              <w:rPr>
                <w:sz w:val="15"/>
              </w:rPr>
              <w:t>Mixed</w:t>
            </w:r>
          </w:p>
        </w:tc>
        <w:tc>
          <w:tcPr>
            <w:tcW w:type="dxa" w:w="2908"/>
            <w:tcMar>
              <w:top w:w="50" w:type="dxa"/>
              <w:bottom w:w="50" w:type="dxa"/>
              <w:left w:w="90" w:type="dxa"/>
              <w:right w:w="90" w:type="dxa"/>
            </w:tcMar>
            <w:shd w:val="clear" w:color="auto" w:fill="E5F5FF"/>
          </w:tcPr>
          <w:p>
            <w:pPr>
              <w:pStyle w:val="BDOITable"/>
            </w:pPr>
            <w:r>
              <w:rPr>
                <w:sz w:val="15"/>
              </w:rPr>
              <w:t>EB placement is in Drop 1 while the EB module is in Drop 2.</w:t>
            </w:r>
          </w:p>
        </w:tc>
        <w:tc>
          <w:tcPr>
            <w:tcW w:type="dxa" w:w="1039"/>
            <w:tcMar>
              <w:top w:w="50" w:type="dxa"/>
              <w:bottom w:w="50" w:type="dxa"/>
              <w:left w:w="90" w:type="dxa"/>
              <w:right w:w="90" w:type="dxa"/>
            </w:tcMar>
            <w:shd w:val="clear" w:color="auto" w:fill="E5F5FF"/>
          </w:tcPr>
          <w:p>
            <w:pPr>
              <w:pStyle w:val="BDOITable"/>
            </w:pPr>
            <w:r>
              <w:rPr>
                <w:sz w:val="15"/>
              </w:rPr>
              <w:t>IQ22; DCR-235</w:t>
            </w:r>
          </w:p>
        </w:tc>
      </w:tr>
      <w:tr>
        <w:trPr>
          <w:cantSplit w:val="true"/>
        </w:trPr>
        <w:tc>
          <w:tcPr>
            <w:tcW w:type="dxa" w:w="623"/>
            <w:tcMar>
              <w:top w:w="50" w:type="dxa"/>
              <w:bottom w:w="50" w:type="dxa"/>
              <w:left w:w="90" w:type="dxa"/>
              <w:right w:w="90" w:type="dxa"/>
            </w:tcMar>
          </w:tcPr>
          <w:p>
            <w:pPr>
              <w:pStyle w:val="BDOITable"/>
            </w:pPr>
            <w:r>
              <w:rPr>
                <w:b/>
                <w:sz w:val="15"/>
              </w:rPr>
              <w:t>1.U7</w:t>
            </w:r>
          </w:p>
        </w:tc>
        <w:tc>
          <w:tcPr>
            <w:tcW w:type="dxa" w:w="1523"/>
            <w:tcMar>
              <w:top w:w="50" w:type="dxa"/>
              <w:bottom w:w="50" w:type="dxa"/>
              <w:left w:w="90" w:type="dxa"/>
              <w:right w:w="90" w:type="dxa"/>
            </w:tcMar>
          </w:tcPr>
          <w:p>
            <w:pPr>
              <w:pStyle w:val="BDOITable"/>
            </w:pPr>
            <w:r>
              <w:rPr>
                <w:sz w:val="15"/>
              </w:rPr>
              <w:t>Booking</w:t>
            </w:r>
          </w:p>
        </w:tc>
        <w:tc>
          <w:tcPr>
            <w:tcW w:type="dxa" w:w="1523"/>
            <w:tcMar>
              <w:top w:w="50" w:type="dxa"/>
              <w:bottom w:w="50" w:type="dxa"/>
              <w:left w:w="90" w:type="dxa"/>
              <w:right w:w="90" w:type="dxa"/>
            </w:tcMar>
          </w:tcPr>
          <w:p>
            <w:pPr>
              <w:pStyle w:val="BDOITable"/>
            </w:pPr>
            <w:r>
              <w:rPr>
                <w:sz w:val="15"/>
              </w:rPr>
              <w:t>New Business BRD, Renewal BRD, Submitted Policies</w:t>
            </w:r>
          </w:p>
        </w:tc>
        <w:tc>
          <w:tcPr>
            <w:tcW w:type="dxa" w:w="1523"/>
            <w:tcMar>
              <w:top w:w="50" w:type="dxa"/>
              <w:bottom w:w="50" w:type="dxa"/>
              <w:left w:w="90" w:type="dxa"/>
              <w:right w:w="90" w:type="dxa"/>
            </w:tcMar>
          </w:tcPr>
          <w:p>
            <w:pPr>
              <w:pStyle w:val="BDOITable"/>
            </w:pPr>
            <w:r>
              <w:rPr>
                <w:sz w:val="15"/>
              </w:rPr>
              <w:t>BRD-1 NB; BRD-6; BRD-12</w:t>
            </w:r>
          </w:p>
        </w:tc>
        <w:tc>
          <w:tcPr>
            <w:tcW w:type="dxa" w:w="1316"/>
            <w:tcMar>
              <w:top w:w="50" w:type="dxa"/>
              <w:bottom w:w="50" w:type="dxa"/>
              <w:left w:w="90" w:type="dxa"/>
              <w:right w:w="90" w:type="dxa"/>
            </w:tcMar>
          </w:tcPr>
          <w:p>
            <w:pPr>
              <w:pStyle w:val="BDOITable"/>
            </w:pPr>
            <w:r>
              <w:rPr>
                <w:sz w:val="15"/>
              </w:rPr>
              <w:t>FR-NB; FR-RN; FR-SP</w:t>
            </w:r>
          </w:p>
        </w:tc>
        <w:tc>
          <w:tcPr>
            <w:tcW w:type="dxa" w:w="2216"/>
            <w:tcMar>
              <w:top w:w="50" w:type="dxa"/>
              <w:bottom w:w="50" w:type="dxa"/>
              <w:left w:w="90" w:type="dxa"/>
              <w:right w:w="90" w:type="dxa"/>
            </w:tcMar>
          </w:tcPr>
          <w:p>
            <w:pPr>
              <w:pStyle w:val="BDOITable"/>
            </w:pPr>
            <w:r>
              <w:rPr>
                <w:sz w:val="15"/>
              </w:rPr>
              <w:t>booking (Booking Workbench, EOD booking batch)</w:t>
            </w:r>
          </w:p>
        </w:tc>
        <w:tc>
          <w:tcPr>
            <w:tcW w:type="dxa" w:w="900"/>
            <w:tcMar>
              <w:top w:w="50" w:type="dxa"/>
              <w:bottom w:w="50" w:type="dxa"/>
              <w:left w:w="90" w:type="dxa"/>
              <w:right w:w="90" w:type="dxa"/>
            </w:tcMar>
          </w:tcPr>
          <w:p>
            <w:pPr>
              <w:pStyle w:val="BDOITable"/>
            </w:pPr>
            <w:r>
              <w:rPr>
                <w:sz w:val="15"/>
              </w:rPr>
              <w:t>Mixed</w:t>
            </w:r>
          </w:p>
        </w:tc>
        <w:tc>
          <w:tcPr>
            <w:tcW w:type="dxa" w:w="2908"/>
            <w:tcMar>
              <w:top w:w="50" w:type="dxa"/>
              <w:bottom w:w="50" w:type="dxa"/>
              <w:left w:w="90" w:type="dxa"/>
              <w:right w:w="90" w:type="dxa"/>
            </w:tcMar>
          </w:tcPr>
          <w:p>
            <w:pPr>
              <w:pStyle w:val="BDOITable"/>
            </w:pPr>
            <w:r>
              <w:rPr>
                <w:sz w:val="15"/>
              </w:rPr>
              <w:t>Booking is built; the shared business-type change (V822, BT0) for renewal and submitted policies is designed.</w:t>
            </w:r>
          </w:p>
        </w:tc>
        <w:tc>
          <w:tcPr>
            <w:tcW w:type="dxa" w:w="1039"/>
            <w:tcMar>
              <w:top w:w="50" w:type="dxa"/>
              <w:bottom w:w="50" w:type="dxa"/>
              <w:left w:w="90" w:type="dxa"/>
              <w:right w:w="90" w:type="dxa"/>
            </w:tcMar>
          </w:tcPr>
          <w:p>
            <w:pPr>
              <w:pStyle w:val="BDOITable"/>
            </w:pPr>
            <w:r>
              <w:rPr>
                <w:sz w:val="15"/>
              </w:rPr>
              <w:t>-</w:t>
            </w:r>
          </w:p>
        </w:tc>
      </w:tr>
      <w:tr>
        <w:trPr>
          <w:cantSplit w:val="true"/>
        </w:trPr>
        <w:tc>
          <w:tcPr>
            <w:tcW w:type="dxa" w:w="623"/>
            <w:tcMar>
              <w:top w:w="50" w:type="dxa"/>
              <w:bottom w:w="50" w:type="dxa"/>
              <w:left w:w="90" w:type="dxa"/>
              <w:right w:w="90" w:type="dxa"/>
            </w:tcMar>
            <w:shd w:val="clear" w:color="auto" w:fill="E5F5FF"/>
          </w:tcPr>
          <w:p>
            <w:pPr>
              <w:pStyle w:val="BDOITable"/>
            </w:pPr>
            <w:r>
              <w:rPr>
                <w:b/>
                <w:sz w:val="15"/>
              </w:rPr>
              <w:t>1.U8</w:t>
            </w:r>
          </w:p>
        </w:tc>
        <w:tc>
          <w:tcPr>
            <w:tcW w:type="dxa" w:w="1523"/>
            <w:tcMar>
              <w:top w:w="50" w:type="dxa"/>
              <w:bottom w:w="50" w:type="dxa"/>
              <w:left w:w="90" w:type="dxa"/>
              <w:right w:w="90" w:type="dxa"/>
            </w:tcMar>
            <w:shd w:val="clear" w:color="auto" w:fill="E5F5FF"/>
          </w:tcPr>
          <w:p>
            <w:pPr>
              <w:pStyle w:val="BDOITable"/>
            </w:pPr>
            <w:r>
              <w:rPr>
                <w:sz w:val="15"/>
              </w:rPr>
              <w:t>Accounting / GL</w:t>
            </w:r>
          </w:p>
        </w:tc>
        <w:tc>
          <w:tcPr>
            <w:tcW w:type="dxa" w:w="1523"/>
            <w:tcMar>
              <w:top w:w="50" w:type="dxa"/>
              <w:bottom w:w="50" w:type="dxa"/>
              <w:left w:w="90" w:type="dxa"/>
              <w:right w:w="90" w:type="dxa"/>
            </w:tcMar>
            <w:shd w:val="clear" w:color="auto" w:fill="E5F5FF"/>
          </w:tcPr>
          <w:p>
            <w:pPr>
              <w:pStyle w:val="BDOITable"/>
            </w:pPr>
            <w:r>
              <w:rPr>
                <w:sz w:val="15"/>
              </w:rPr>
              <w:t>Accounting, Disbursement &amp; ACSL BRD</w:t>
            </w:r>
          </w:p>
        </w:tc>
        <w:tc>
          <w:tcPr>
            <w:tcW w:type="dxa" w:w="1523"/>
            <w:tcMar>
              <w:top w:w="50" w:type="dxa"/>
              <w:bottom w:w="50" w:type="dxa"/>
              <w:left w:w="90" w:type="dxa"/>
              <w:right w:w="90" w:type="dxa"/>
            </w:tcMar>
            <w:shd w:val="clear" w:color="auto" w:fill="E5F5FF"/>
          </w:tcPr>
          <w:p>
            <w:pPr>
              <w:pStyle w:val="BDOITable"/>
            </w:pPr>
            <w:r>
              <w:rPr>
                <w:sz w:val="15"/>
              </w:rPr>
              <w:t>BRD-5 ACCT</w:t>
            </w:r>
          </w:p>
        </w:tc>
        <w:tc>
          <w:tcPr>
            <w:tcW w:type="dxa" w:w="1316"/>
            <w:tcMar>
              <w:top w:w="50" w:type="dxa"/>
              <w:bottom w:w="50" w:type="dxa"/>
              <w:left w:w="90" w:type="dxa"/>
              <w:right w:w="90" w:type="dxa"/>
            </w:tcMar>
            <w:shd w:val="clear" w:color="auto" w:fill="E5F5FF"/>
          </w:tcPr>
          <w:p>
            <w:pPr>
              <w:pStyle w:val="BDOITable"/>
            </w:pPr>
            <w:r>
              <w:rPr>
                <w:sz w:val="15"/>
              </w:rPr>
              <w:t>FR-AC</w:t>
            </w:r>
          </w:p>
        </w:tc>
        <w:tc>
          <w:tcPr>
            <w:tcW w:type="dxa" w:w="2216"/>
            <w:tcMar>
              <w:top w:w="50" w:type="dxa"/>
              <w:bottom w:w="50" w:type="dxa"/>
              <w:left w:w="90" w:type="dxa"/>
              <w:right w:w="90" w:type="dxa"/>
            </w:tcMar>
            <w:shd w:val="clear" w:color="auto" w:fill="E5F5FF"/>
          </w:tcPr>
          <w:p>
            <w:pPr>
              <w:pStyle w:val="BDOITable"/>
            </w:pPr>
            <w:r>
              <w:rPr>
                <w:sz w:val="15"/>
              </w:rPr>
              <w:t>accounting engine (BROKER_BOOKING events), journal, ledger</w:t>
            </w:r>
          </w:p>
        </w:tc>
        <w:tc>
          <w:tcPr>
            <w:tcW w:type="dxa" w:w="900"/>
            <w:tcMar>
              <w:top w:w="50" w:type="dxa"/>
              <w:bottom w:w="50" w:type="dxa"/>
              <w:left w:w="90" w:type="dxa"/>
              <w:right w:w="90" w:type="dxa"/>
            </w:tcMar>
            <w:shd w:val="clear" w:color="auto" w:fill="E8F5E9"/>
          </w:tcPr>
          <w:p>
            <w:pPr>
              <w:pStyle w:val="BDOITable"/>
            </w:pPr>
            <w:r>
              <w:rPr>
                <w:b/>
                <w:color w:val="2E7D32"/>
                <w:sz w:val="15"/>
              </w:rPr>
              <w:t>Built</w:t>
            </w:r>
          </w:p>
        </w:tc>
        <w:tc>
          <w:tcPr>
            <w:tcW w:type="dxa" w:w="2908"/>
            <w:tcMar>
              <w:top w:w="50" w:type="dxa"/>
              <w:bottom w:w="50" w:type="dxa"/>
              <w:left w:w="90" w:type="dxa"/>
              <w:right w:w="90" w:type="dxa"/>
            </w:tcMar>
            <w:shd w:val="clear" w:color="auto" w:fill="E5F5FF"/>
          </w:tcPr>
          <w:p>
            <w:pPr>
              <w:pStyle w:val="BDOITable"/>
            </w:pPr>
            <w:r>
              <w:rPr>
                <w:sz w:val="15"/>
              </w:rPr>
              <w:t>Listed again as downstream 1.D5. Read as: upstream = postings of booking; downstream = GL, FRBS and ACSL.</w:t>
            </w:r>
          </w:p>
        </w:tc>
        <w:tc>
          <w:tcPr>
            <w:tcW w:type="dxa" w:w="1039"/>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623"/>
            <w:tcMar>
              <w:top w:w="50" w:type="dxa"/>
              <w:bottom w:w="50" w:type="dxa"/>
              <w:left w:w="90" w:type="dxa"/>
              <w:right w:w="90" w:type="dxa"/>
            </w:tcMar>
          </w:tcPr>
          <w:p>
            <w:pPr>
              <w:pStyle w:val="BDOITable"/>
            </w:pPr>
            <w:r>
              <w:rPr>
                <w:b/>
                <w:sz w:val="15"/>
              </w:rPr>
              <w:t>1.U9</w:t>
            </w:r>
          </w:p>
        </w:tc>
        <w:tc>
          <w:tcPr>
            <w:tcW w:type="dxa" w:w="1523"/>
            <w:tcMar>
              <w:top w:w="50" w:type="dxa"/>
              <w:bottom w:w="50" w:type="dxa"/>
              <w:left w:w="90" w:type="dxa"/>
              <w:right w:w="90" w:type="dxa"/>
            </w:tcMar>
          </w:tcPr>
          <w:p>
            <w:pPr>
              <w:pStyle w:val="BDOITable"/>
            </w:pPr>
            <w:r>
              <w:rPr>
                <w:sz w:val="15"/>
              </w:rPr>
              <w:t>Reports (upstream)</w:t>
            </w:r>
          </w:p>
        </w:tc>
        <w:tc>
          <w:tcPr>
            <w:tcW w:type="dxa" w:w="1523"/>
            <w:tcMar>
              <w:top w:w="50" w:type="dxa"/>
              <w:bottom w:w="50" w:type="dxa"/>
              <w:left w:w="90" w:type="dxa"/>
              <w:right w:w="90" w:type="dxa"/>
            </w:tcMar>
          </w:tcPr>
          <w:p>
            <w:pPr>
              <w:pStyle w:val="BDOITable"/>
            </w:pPr>
            <w:r>
              <w:rPr>
                <w:sz w:val="15"/>
              </w:rPr>
              <w:t>NB, RN, SP, EB BRDs</w:t>
            </w:r>
          </w:p>
        </w:tc>
        <w:tc>
          <w:tcPr>
            <w:tcW w:type="dxa" w:w="1523"/>
            <w:tcMar>
              <w:top w:w="50" w:type="dxa"/>
              <w:bottom w:w="50" w:type="dxa"/>
              <w:left w:w="90" w:type="dxa"/>
              <w:right w:w="90" w:type="dxa"/>
            </w:tcMar>
          </w:tcPr>
          <w:p>
            <w:pPr>
              <w:pStyle w:val="BDOITable"/>
            </w:pPr>
            <w:r>
              <w:rPr>
                <w:sz w:val="15"/>
              </w:rPr>
              <w:t>BRD-1, 6, 12, 8; Report List</w:t>
            </w:r>
          </w:p>
        </w:tc>
        <w:tc>
          <w:tcPr>
            <w:tcW w:type="dxa" w:w="1316"/>
            <w:tcMar>
              <w:top w:w="50" w:type="dxa"/>
              <w:bottom w:w="50" w:type="dxa"/>
              <w:left w:w="90" w:type="dxa"/>
              <w:right w:w="90" w:type="dxa"/>
            </w:tcMar>
          </w:tcPr>
          <w:p>
            <w:pPr>
              <w:pStyle w:val="BDOITable"/>
            </w:pPr>
            <w:r>
              <w:rPr>
                <w:sz w:val="15"/>
              </w:rPr>
              <w:t>Report sections of each FRS</w:t>
            </w:r>
          </w:p>
        </w:tc>
        <w:tc>
          <w:tcPr>
            <w:tcW w:type="dxa" w:w="2216"/>
            <w:tcMar>
              <w:top w:w="50" w:type="dxa"/>
              <w:bottom w:w="50" w:type="dxa"/>
              <w:left w:w="90" w:type="dxa"/>
              <w:right w:w="90" w:type="dxa"/>
            </w:tcMar>
          </w:tcPr>
          <w:p>
            <w:pPr>
              <w:pStyle w:val="BDOITable"/>
            </w:pPr>
            <w:r>
              <w:rPr>
                <w:sz w:val="15"/>
              </w:rPr>
              <w:t>nbreport, report (Report Centre); renewal, submitted, eb reports (designed)</w:t>
            </w:r>
          </w:p>
        </w:tc>
        <w:tc>
          <w:tcPr>
            <w:tcW w:type="dxa" w:w="900"/>
            <w:tcMar>
              <w:top w:w="50" w:type="dxa"/>
              <w:bottom w:w="50" w:type="dxa"/>
              <w:left w:w="90" w:type="dxa"/>
              <w:right w:w="90" w:type="dxa"/>
            </w:tcMar>
          </w:tcPr>
          <w:p>
            <w:pPr>
              <w:pStyle w:val="BDOITable"/>
            </w:pPr>
            <w:r>
              <w:rPr>
                <w:sz w:val="15"/>
              </w:rPr>
              <w:t>Mixed</w:t>
            </w:r>
          </w:p>
        </w:tc>
        <w:tc>
          <w:tcPr>
            <w:tcW w:type="dxa" w:w="2908"/>
            <w:tcMar>
              <w:top w:w="50" w:type="dxa"/>
              <w:bottom w:w="50" w:type="dxa"/>
              <w:left w:w="90" w:type="dxa"/>
              <w:right w:w="90" w:type="dxa"/>
            </w:tcMar>
          </w:tcPr>
          <w:p>
            <w:pPr>
              <w:pStyle w:val="BDOITable"/>
            </w:pPr>
            <w:r>
              <w:rPr>
                <w:sz w:val="15"/>
              </w:rPr>
              <w:t>NB reports built; RN, SP and EB reports designed. The Report List is not split by drop.</w:t>
            </w:r>
          </w:p>
        </w:tc>
        <w:tc>
          <w:tcPr>
            <w:tcW w:type="dxa" w:w="1039"/>
            <w:tcMar>
              <w:top w:w="50" w:type="dxa"/>
              <w:bottom w:w="50" w:type="dxa"/>
              <w:left w:w="90" w:type="dxa"/>
              <w:right w:w="90" w:type="dxa"/>
            </w:tcMar>
          </w:tcPr>
          <w:p>
            <w:pPr>
              <w:pStyle w:val="BDOITable"/>
            </w:pPr>
            <w:r>
              <w:rPr>
                <w:sz w:val="15"/>
              </w:rPr>
              <w:t>DCR-235</w:t>
            </w:r>
          </w:p>
        </w:tc>
      </w:tr>
    </w:tbl>
    <w:p>
      <w:pPr>
        <w:pStyle w:val="BDOISpacer"/>
      </w:pPr>
    </w:p>
    <w:p>
      <w:pPr>
        <w:pStyle w:val="Caption"/>
        <w:keepNext/>
        <w:spacing w:after="60"/>
      </w:pPr>
      <w:r>
        <w:rPr>
          <w:b/>
          <w:i w:val="0"/>
        </w:rPr>
        <w:t xml:space="preserve">Table 5: </w:t>
      </w:r>
      <w:r>
        <w:rPr/>
        <w:t>Drop 1 - Transactional, downstream (product agnostic)</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23"/>
        <w:gridCol w:w="1523"/>
        <w:gridCol w:w="1523"/>
        <w:gridCol w:w="1523"/>
        <w:gridCol w:w="1315"/>
        <w:gridCol w:w="2216"/>
        <w:gridCol w:w="900"/>
        <w:gridCol w:w="2908"/>
        <w:gridCol w:w="1038"/>
      </w:tblGrid>
      <w:tr>
        <w:trPr>
          <w:tblHeader w:val="true"/>
          <w:cantSplit w:val="true"/>
        </w:trPr>
        <w:tc>
          <w:tcPr>
            <w:tcW w:type="dxa" w:w="623"/>
            <w:shd w:val="clear" w:color="auto" w:fill="004EA8"/>
            <w:tcMar>
              <w:top w:w="50" w:type="dxa"/>
              <w:bottom w:w="50" w:type="dxa"/>
              <w:left w:w="90" w:type="dxa"/>
              <w:right w:w="90" w:type="dxa"/>
            </w:tcMar>
            <w:vAlign w:val="center"/>
          </w:tcPr>
          <w:p>
            <w:pPr>
              <w:pStyle w:val="BDOITableHeader"/>
            </w:pPr>
            <w:r>
              <w:rPr>
                <w:b/>
                <w:color w:val="FFFFFF"/>
                <w:sz w:val="15"/>
              </w:rPr>
              <w:t>#</w:t>
            </w:r>
          </w:p>
        </w:tc>
        <w:tc>
          <w:tcPr>
            <w:tcW w:type="dxa" w:w="1523"/>
            <w:shd w:val="clear" w:color="auto" w:fill="004EA8"/>
            <w:tcMar>
              <w:top w:w="50" w:type="dxa"/>
              <w:bottom w:w="50" w:type="dxa"/>
              <w:left w:w="90" w:type="dxa"/>
              <w:right w:w="90" w:type="dxa"/>
            </w:tcMar>
            <w:vAlign w:val="center"/>
          </w:tcPr>
          <w:p>
            <w:pPr>
              <w:pStyle w:val="BDOITableHeader"/>
            </w:pPr>
            <w:r>
              <w:rPr>
                <w:b/>
                <w:color w:val="FFFFFF"/>
                <w:sz w:val="15"/>
              </w:rPr>
              <w:t>Drop item</w:t>
            </w:r>
          </w:p>
        </w:tc>
        <w:tc>
          <w:tcPr>
            <w:tcW w:type="dxa" w:w="1523"/>
            <w:shd w:val="clear" w:color="auto" w:fill="004EA8"/>
            <w:tcMar>
              <w:top w:w="50" w:type="dxa"/>
              <w:bottom w:w="50" w:type="dxa"/>
              <w:left w:w="90" w:type="dxa"/>
              <w:right w:w="90" w:type="dxa"/>
            </w:tcMar>
            <w:vAlign w:val="center"/>
          </w:tcPr>
          <w:p>
            <w:pPr>
              <w:pStyle w:val="BDOITableHeader"/>
            </w:pPr>
            <w:r>
              <w:rPr>
                <w:b/>
                <w:color w:val="FFFFFF"/>
                <w:sz w:val="15"/>
              </w:rPr>
              <w:t>BRD named by BDOI</w:t>
            </w:r>
          </w:p>
        </w:tc>
        <w:tc>
          <w:tcPr>
            <w:tcW w:type="dxa" w:w="1523"/>
            <w:shd w:val="clear" w:color="auto" w:fill="004EA8"/>
            <w:tcMar>
              <w:top w:w="50" w:type="dxa"/>
              <w:bottom w:w="50" w:type="dxa"/>
              <w:left w:w="90" w:type="dxa"/>
              <w:right w:w="90" w:type="dxa"/>
            </w:tcMar>
            <w:vAlign w:val="center"/>
          </w:tcPr>
          <w:p>
            <w:pPr>
              <w:pStyle w:val="BDOITableHeader"/>
            </w:pPr>
            <w:r>
              <w:rPr>
                <w:b/>
                <w:color w:val="FFFFFF"/>
                <w:sz w:val="15"/>
              </w:rPr>
              <w:t>BIBS BRD</w:t>
            </w:r>
          </w:p>
        </w:tc>
        <w:tc>
          <w:tcPr>
            <w:tcW w:type="dxa" w:w="13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BIBS modules and screens</w:t>
            </w:r>
          </w:p>
        </w:tc>
        <w:tc>
          <w:tcPr>
            <w:tcW w:type="dxa" w:w="900"/>
            <w:shd w:val="clear" w:color="auto" w:fill="004EA8"/>
            <w:tcMar>
              <w:top w:w="50" w:type="dxa"/>
              <w:bottom w:w="50" w:type="dxa"/>
              <w:left w:w="90" w:type="dxa"/>
              <w:right w:w="90" w:type="dxa"/>
            </w:tcMar>
            <w:vAlign w:val="center"/>
          </w:tcPr>
          <w:p>
            <w:pPr>
              <w:pStyle w:val="BDOITableHeader"/>
            </w:pPr>
            <w:r>
              <w:rPr>
                <w:b/>
                <w:color w:val="FFFFFF"/>
                <w:sz w:val="15"/>
              </w:rPr>
              <w:t>Status</w:t>
            </w:r>
          </w:p>
        </w:tc>
        <w:tc>
          <w:tcPr>
            <w:tcW w:type="dxa" w:w="2908"/>
            <w:shd w:val="clear" w:color="auto" w:fill="004EA8"/>
            <w:tcMar>
              <w:top w:w="50" w:type="dxa"/>
              <w:bottom w:w="50" w:type="dxa"/>
              <w:left w:w="90" w:type="dxa"/>
              <w:right w:w="90" w:type="dxa"/>
            </w:tcMar>
            <w:vAlign w:val="center"/>
          </w:tcPr>
          <w:p>
            <w:pPr>
              <w:pStyle w:val="BDOITableHeader"/>
            </w:pPr>
            <w:r>
              <w:rPr>
                <w:b/>
                <w:color w:val="FFFFFF"/>
                <w:sz w:val="15"/>
              </w:rPr>
              <w:t>Gap or mismatch</w:t>
            </w:r>
          </w:p>
        </w:tc>
        <w:tc>
          <w:tcPr>
            <w:tcW w:type="dxa" w:w="1039"/>
            <w:shd w:val="clear" w:color="auto" w:fill="004EA8"/>
            <w:tcMar>
              <w:top w:w="50" w:type="dxa"/>
              <w:bottom w:w="50" w:type="dxa"/>
              <w:left w:w="90" w:type="dxa"/>
              <w:right w:w="90" w:type="dxa"/>
            </w:tcMar>
            <w:vAlign w:val="center"/>
          </w:tcPr>
          <w:p>
            <w:pPr>
              <w:pStyle w:val="BDOITableHeader"/>
            </w:pPr>
            <w:r>
              <w:rPr>
                <w:b/>
                <w:color w:val="FFFFFF"/>
                <w:sz w:val="15"/>
              </w:rPr>
              <w:t>Refs</w:t>
            </w:r>
          </w:p>
        </w:tc>
      </w:tr>
      <w:tr>
        <w:trPr>
          <w:cantSplit w:val="true"/>
        </w:trPr>
        <w:tc>
          <w:tcPr>
            <w:tcW w:type="dxa" w:w="623"/>
            <w:tcMar>
              <w:top w:w="50" w:type="dxa"/>
              <w:bottom w:w="50" w:type="dxa"/>
              <w:left w:w="90" w:type="dxa"/>
              <w:right w:w="90" w:type="dxa"/>
            </w:tcMar>
          </w:tcPr>
          <w:p>
            <w:pPr>
              <w:pStyle w:val="BDOITable"/>
            </w:pPr>
            <w:r>
              <w:rPr>
                <w:b/>
                <w:sz w:val="15"/>
              </w:rPr>
              <w:t>1.D1</w:t>
            </w:r>
          </w:p>
        </w:tc>
        <w:tc>
          <w:tcPr>
            <w:tcW w:type="dxa" w:w="1523"/>
            <w:tcMar>
              <w:top w:w="50" w:type="dxa"/>
              <w:bottom w:w="50" w:type="dxa"/>
              <w:left w:w="90" w:type="dxa"/>
              <w:right w:w="90" w:type="dxa"/>
            </w:tcMar>
          </w:tcPr>
          <w:p>
            <w:pPr>
              <w:pStyle w:val="BDOITable"/>
            </w:pPr>
            <w:r>
              <w:rPr>
                <w:sz w:val="15"/>
              </w:rPr>
              <w:t>Disbursement</w:t>
            </w:r>
          </w:p>
        </w:tc>
        <w:tc>
          <w:tcPr>
            <w:tcW w:type="dxa" w:w="1523"/>
            <w:tcMar>
              <w:top w:w="50" w:type="dxa"/>
              <w:bottom w:w="50" w:type="dxa"/>
              <w:left w:w="90" w:type="dxa"/>
              <w:right w:w="90" w:type="dxa"/>
            </w:tcMar>
          </w:tcPr>
          <w:p>
            <w:pPr>
              <w:pStyle w:val="BDOITable"/>
            </w:pPr>
            <w:r>
              <w:rPr>
                <w:sz w:val="15"/>
              </w:rPr>
              <w:t>Accounting, Disbursement &amp; ACSL BRD</w:t>
            </w:r>
          </w:p>
        </w:tc>
        <w:tc>
          <w:tcPr>
            <w:tcW w:type="dxa" w:w="1523"/>
            <w:tcMar>
              <w:top w:w="50" w:type="dxa"/>
              <w:bottom w:w="50" w:type="dxa"/>
              <w:left w:w="90" w:type="dxa"/>
              <w:right w:w="90" w:type="dxa"/>
            </w:tcMar>
          </w:tcPr>
          <w:p>
            <w:pPr>
              <w:pStyle w:val="BDOITable"/>
            </w:pPr>
            <w:r>
              <w:rPr>
                <w:sz w:val="15"/>
              </w:rPr>
              <w:t>BRD-5 ACCT (Vol. 2)</w:t>
            </w:r>
          </w:p>
        </w:tc>
        <w:tc>
          <w:tcPr>
            <w:tcW w:type="dxa" w:w="1316"/>
            <w:tcMar>
              <w:top w:w="50" w:type="dxa"/>
              <w:bottom w:w="50" w:type="dxa"/>
              <w:left w:w="90" w:type="dxa"/>
              <w:right w:w="90" w:type="dxa"/>
            </w:tcMar>
          </w:tcPr>
          <w:p>
            <w:pPr>
              <w:pStyle w:val="BDOITable"/>
            </w:pPr>
            <w:r>
              <w:rPr>
                <w:sz w:val="15"/>
              </w:rPr>
              <w:t>FR-DS, FR-PQ</w:t>
            </w:r>
          </w:p>
        </w:tc>
        <w:tc>
          <w:tcPr>
            <w:tcW w:type="dxa" w:w="2216"/>
            <w:tcMar>
              <w:top w:w="50" w:type="dxa"/>
              <w:bottom w:w="50" w:type="dxa"/>
              <w:left w:w="90" w:type="dxa"/>
              <w:right w:w="90" w:type="dxa"/>
            </w:tcMar>
          </w:tcPr>
          <w:p>
            <w:pPr>
              <w:pStyle w:val="BDOITable"/>
            </w:pPr>
            <w:r>
              <w:rPr>
                <w:sz w:val="15"/>
              </w:rPr>
              <w:t>disbursement, payrequest; Finance &gt; Disbursement Workbench</w:t>
            </w:r>
          </w:p>
        </w:tc>
        <w:tc>
          <w:tcPr>
            <w:tcW w:type="dxa" w:w="900"/>
            <w:tcMar>
              <w:top w:w="50" w:type="dxa"/>
              <w:bottom w:w="50" w:type="dxa"/>
              <w:left w:w="90" w:type="dxa"/>
              <w:right w:w="90" w:type="dxa"/>
            </w:tcMar>
            <w:shd w:val="clear" w:color="auto" w:fill="E8F5E9"/>
          </w:tcPr>
          <w:p>
            <w:pPr>
              <w:pStyle w:val="BDOITable"/>
            </w:pPr>
            <w:r>
              <w:rPr>
                <w:b/>
                <w:color w:val="2E7D32"/>
                <w:sz w:val="15"/>
              </w:rPr>
              <w:t>Built</w:t>
            </w:r>
          </w:p>
        </w:tc>
        <w:tc>
          <w:tcPr>
            <w:tcW w:type="dxa" w:w="2908"/>
            <w:tcMar>
              <w:top w:w="50" w:type="dxa"/>
              <w:bottom w:w="50" w:type="dxa"/>
              <w:left w:w="90" w:type="dxa"/>
              <w:right w:w="90" w:type="dxa"/>
            </w:tcMar>
          </w:tcPr>
          <w:p>
            <w:pPr>
              <w:pStyle w:val="BDOITable"/>
            </w:pPr>
            <w:r>
              <w:rPr>
                <w:sz w:val="15"/>
              </w:rPr>
              <w:t>Outward bank channel is CMS / New BOB (a file or host-to-host interface); today BOB approvals are uploaded (DISB_BOB_APPROVED).</w:t>
            </w:r>
          </w:p>
        </w:tc>
        <w:tc>
          <w:tcPr>
            <w:tcW w:type="dxa" w:w="1039"/>
            <w:tcMar>
              <w:top w:w="50" w:type="dxa"/>
              <w:bottom w:w="50" w:type="dxa"/>
              <w:left w:w="90" w:type="dxa"/>
              <w:right w:w="90" w:type="dxa"/>
            </w:tcMar>
          </w:tcPr>
          <w:p>
            <w:pPr>
              <w:pStyle w:val="BDOITable"/>
            </w:pPr>
            <w:r>
              <w:rPr>
                <w:sz w:val="15"/>
              </w:rPr>
              <w:t>IQ10</w:t>
            </w:r>
          </w:p>
        </w:tc>
      </w:tr>
      <w:tr>
        <w:trPr>
          <w:cantSplit w:val="true"/>
        </w:trPr>
        <w:tc>
          <w:tcPr>
            <w:tcW w:type="dxa" w:w="623"/>
            <w:tcMar>
              <w:top w:w="50" w:type="dxa"/>
              <w:bottom w:w="50" w:type="dxa"/>
              <w:left w:w="90" w:type="dxa"/>
              <w:right w:w="90" w:type="dxa"/>
            </w:tcMar>
            <w:shd w:val="clear" w:color="auto" w:fill="E5F5FF"/>
          </w:tcPr>
          <w:p>
            <w:pPr>
              <w:pStyle w:val="BDOITable"/>
            </w:pPr>
            <w:r>
              <w:rPr>
                <w:b/>
                <w:sz w:val="15"/>
              </w:rPr>
              <w:t>1.D2</w:t>
            </w:r>
          </w:p>
        </w:tc>
        <w:tc>
          <w:tcPr>
            <w:tcW w:type="dxa" w:w="1523"/>
            <w:tcMar>
              <w:top w:w="50" w:type="dxa"/>
              <w:bottom w:w="50" w:type="dxa"/>
              <w:left w:w="90" w:type="dxa"/>
              <w:right w:w="90" w:type="dxa"/>
            </w:tcMar>
            <w:shd w:val="clear" w:color="auto" w:fill="E5F5FF"/>
          </w:tcPr>
          <w:p>
            <w:pPr>
              <w:pStyle w:val="BDOITable"/>
            </w:pPr>
            <w:r>
              <w:rPr>
                <w:sz w:val="15"/>
              </w:rPr>
              <w:t>Cashiering (Payments Acceptance and Application)</w:t>
            </w:r>
          </w:p>
        </w:tc>
        <w:tc>
          <w:tcPr>
            <w:tcW w:type="dxa" w:w="1523"/>
            <w:tcMar>
              <w:top w:w="50" w:type="dxa"/>
              <w:bottom w:w="50" w:type="dxa"/>
              <w:left w:w="90" w:type="dxa"/>
              <w:right w:w="90" w:type="dxa"/>
            </w:tcMar>
            <w:shd w:val="clear" w:color="auto" w:fill="E5F5FF"/>
          </w:tcPr>
          <w:p>
            <w:pPr>
              <w:pStyle w:val="BDOITable"/>
            </w:pPr>
            <w:r>
              <w:rPr>
                <w:sz w:val="15"/>
              </w:rPr>
              <w:t>Operations BRD (Cashiering Addendum), Data Migration BRD</w:t>
            </w:r>
          </w:p>
        </w:tc>
        <w:tc>
          <w:tcPr>
            <w:tcW w:type="dxa" w:w="1523"/>
            <w:tcMar>
              <w:top w:w="50" w:type="dxa"/>
              <w:bottom w:w="50" w:type="dxa"/>
              <w:left w:w="90" w:type="dxa"/>
              <w:right w:w="90" w:type="dxa"/>
            </w:tcMar>
            <w:shd w:val="clear" w:color="auto" w:fill="E5F5FF"/>
          </w:tcPr>
          <w:p>
            <w:pPr>
              <w:pStyle w:val="BDOITable"/>
            </w:pPr>
            <w:r>
              <w:rPr>
                <w:sz w:val="15"/>
              </w:rPr>
              <w:t>BRD-2 OPS; BRD-13 (legacy UPP, F02)</w:t>
            </w:r>
          </w:p>
        </w:tc>
        <w:tc>
          <w:tcPr>
            <w:tcW w:type="dxa" w:w="1316"/>
            <w:tcMar>
              <w:top w:w="50" w:type="dxa"/>
              <w:bottom w:w="50" w:type="dxa"/>
              <w:left w:w="90" w:type="dxa"/>
              <w:right w:w="90" w:type="dxa"/>
            </w:tcMar>
            <w:shd w:val="clear" w:color="auto" w:fill="E5F5FF"/>
          </w:tcPr>
          <w:p>
            <w:pPr>
              <w:pStyle w:val="BDOITable"/>
            </w:pPr>
            <w:r>
              <w:rPr>
                <w:sz w:val="15"/>
              </w:rPr>
              <w:t>FR-OP (Cashiering); FR-DM</w:t>
            </w:r>
          </w:p>
        </w:tc>
        <w:tc>
          <w:tcPr>
            <w:tcW w:type="dxa" w:w="2216"/>
            <w:tcMar>
              <w:top w:w="50" w:type="dxa"/>
              <w:bottom w:w="50" w:type="dxa"/>
              <w:left w:w="90" w:type="dxa"/>
              <w:right w:w="90" w:type="dxa"/>
            </w:tcMar>
            <w:shd w:val="clear" w:color="auto" w:fill="E5F5FF"/>
          </w:tcPr>
          <w:p>
            <w:pPr>
              <w:pStyle w:val="BDOITable"/>
            </w:pPr>
            <w:r>
              <w:rPr>
                <w:sz w:val="15"/>
              </w:rPr>
              <w:t>cashiering (payment files PAY_BILLS, PAY_TRADE, PAY_CLPC, PAY_PDC, PAY_DIRECT_CREDIT; automatch; AR / OR)</w:t>
            </w:r>
          </w:p>
        </w:tc>
        <w:tc>
          <w:tcPr>
            <w:tcW w:type="dxa" w:w="900"/>
            <w:tcMar>
              <w:top w:w="50" w:type="dxa"/>
              <w:bottom w:w="50" w:type="dxa"/>
              <w:left w:w="90" w:type="dxa"/>
              <w:right w:w="90" w:type="dxa"/>
            </w:tcMar>
            <w:shd w:val="clear" w:color="auto" w:fill="E8F5E9"/>
          </w:tcPr>
          <w:p>
            <w:pPr>
              <w:pStyle w:val="BDOITable"/>
            </w:pPr>
            <w:r>
              <w:rPr>
                <w:b/>
                <w:color w:val="2E7D32"/>
                <w:sz w:val="15"/>
              </w:rPr>
              <w:t>Built</w:t>
            </w:r>
          </w:p>
        </w:tc>
        <w:tc>
          <w:tcPr>
            <w:tcW w:type="dxa" w:w="2908"/>
            <w:tcMar>
              <w:top w:w="50" w:type="dxa"/>
              <w:bottom w:w="50" w:type="dxa"/>
              <w:left w:w="90" w:type="dxa"/>
              <w:right w:w="90" w:type="dxa"/>
            </w:tcMar>
            <w:shd w:val="clear" w:color="auto" w:fill="E5F5FF"/>
          </w:tcPr>
          <w:p>
            <w:pPr>
              <w:pStyle w:val="BDOITable"/>
            </w:pPr>
            <w:r>
              <w:rPr>
                <w:sz w:val="15"/>
              </w:rPr>
              <w:t>The "Cashiering Addendum" is not in the BIBS pack. Channels OBPCS, Old BOB, PMS and TFS feed this module.</w:t>
            </w:r>
          </w:p>
        </w:tc>
        <w:tc>
          <w:tcPr>
            <w:tcW w:type="dxa" w:w="1039"/>
            <w:tcMar>
              <w:top w:w="50" w:type="dxa"/>
              <w:bottom w:w="50" w:type="dxa"/>
              <w:left w:w="90" w:type="dxa"/>
              <w:right w:w="90" w:type="dxa"/>
            </w:tcMar>
            <w:shd w:val="clear" w:color="auto" w:fill="E5F5FF"/>
          </w:tcPr>
          <w:p>
            <w:pPr>
              <w:pStyle w:val="BDOITable"/>
            </w:pPr>
            <w:r>
              <w:rPr>
                <w:sz w:val="15"/>
              </w:rPr>
              <w:t>IQ09, IQ10, IQ14, IQ20; DCR-215</w:t>
            </w:r>
          </w:p>
        </w:tc>
      </w:tr>
      <w:tr>
        <w:trPr>
          <w:cantSplit w:val="true"/>
        </w:trPr>
        <w:tc>
          <w:tcPr>
            <w:tcW w:type="dxa" w:w="623"/>
            <w:tcMar>
              <w:top w:w="50" w:type="dxa"/>
              <w:bottom w:w="50" w:type="dxa"/>
              <w:left w:w="90" w:type="dxa"/>
              <w:right w:w="90" w:type="dxa"/>
            </w:tcMar>
          </w:tcPr>
          <w:p>
            <w:pPr>
              <w:pStyle w:val="BDOITable"/>
            </w:pPr>
            <w:r>
              <w:rPr>
                <w:b/>
                <w:sz w:val="15"/>
              </w:rPr>
              <w:t>1.D3</w:t>
            </w:r>
          </w:p>
        </w:tc>
        <w:tc>
          <w:tcPr>
            <w:tcW w:type="dxa" w:w="1523"/>
            <w:tcMar>
              <w:top w:w="50" w:type="dxa"/>
              <w:bottom w:w="50" w:type="dxa"/>
              <w:left w:w="90" w:type="dxa"/>
              <w:right w:w="90" w:type="dxa"/>
            </w:tcMar>
          </w:tcPr>
          <w:p>
            <w:pPr>
              <w:pStyle w:val="BDOITable"/>
            </w:pPr>
            <w:r>
              <w:rPr>
                <w:sz w:val="15"/>
              </w:rPr>
              <w:t>Remittance</w:t>
            </w:r>
          </w:p>
        </w:tc>
        <w:tc>
          <w:tcPr>
            <w:tcW w:type="dxa" w:w="1523"/>
            <w:tcMar>
              <w:top w:w="50" w:type="dxa"/>
              <w:bottom w:w="50" w:type="dxa"/>
              <w:left w:w="90" w:type="dxa"/>
              <w:right w:w="90" w:type="dxa"/>
            </w:tcMar>
          </w:tcPr>
          <w:p>
            <w:pPr>
              <w:pStyle w:val="BDOITable"/>
            </w:pPr>
            <w:r>
              <w:rPr>
                <w:sz w:val="15"/>
              </w:rPr>
              <w:t>Operations BRD (Remittance Addendum), Reinsurance BRD</w:t>
            </w:r>
          </w:p>
        </w:tc>
        <w:tc>
          <w:tcPr>
            <w:tcW w:type="dxa" w:w="1523"/>
            <w:tcMar>
              <w:top w:w="50" w:type="dxa"/>
              <w:bottom w:w="50" w:type="dxa"/>
              <w:left w:w="90" w:type="dxa"/>
              <w:right w:w="90" w:type="dxa"/>
            </w:tcMar>
          </w:tcPr>
          <w:p>
            <w:pPr>
              <w:pStyle w:val="BDOITable"/>
            </w:pPr>
            <w:r>
              <w:rPr>
                <w:sz w:val="15"/>
              </w:rPr>
              <w:t>BRD-2 OPS; ReInsurance BRD (phase 2)</w:t>
            </w:r>
          </w:p>
        </w:tc>
        <w:tc>
          <w:tcPr>
            <w:tcW w:type="dxa" w:w="1316"/>
            <w:tcMar>
              <w:top w:w="50" w:type="dxa"/>
              <w:bottom w:w="50" w:type="dxa"/>
              <w:left w:w="90" w:type="dxa"/>
              <w:right w:w="90" w:type="dxa"/>
            </w:tcMar>
          </w:tcPr>
          <w:p>
            <w:pPr>
              <w:pStyle w:val="BDOITable"/>
            </w:pPr>
            <w:r>
              <w:rPr>
                <w:sz w:val="15"/>
              </w:rPr>
              <w:t>FR-OP (Remittance)</w:t>
            </w:r>
          </w:p>
        </w:tc>
        <w:tc>
          <w:tcPr>
            <w:tcW w:type="dxa" w:w="2216"/>
            <w:tcMar>
              <w:top w:w="50" w:type="dxa"/>
              <w:bottom w:w="50" w:type="dxa"/>
              <w:left w:w="90" w:type="dxa"/>
              <w:right w:w="90" w:type="dxa"/>
            </w:tcMar>
          </w:tcPr>
          <w:p>
            <w:pPr>
              <w:pStyle w:val="BDOITable"/>
            </w:pPr>
            <w:r>
              <w:rPr>
                <w:sz w:val="15"/>
              </w:rPr>
              <w:t>remittance (extraction, batches, holds, special remittances)</w:t>
            </w:r>
          </w:p>
        </w:tc>
        <w:tc>
          <w:tcPr>
            <w:tcW w:type="dxa" w:w="900"/>
            <w:tcMar>
              <w:top w:w="50" w:type="dxa"/>
              <w:bottom w:w="50" w:type="dxa"/>
              <w:left w:w="90" w:type="dxa"/>
              <w:right w:w="90" w:type="dxa"/>
            </w:tcMar>
            <w:shd w:val="clear" w:color="auto" w:fill="E8F5E9"/>
          </w:tcPr>
          <w:p>
            <w:pPr>
              <w:pStyle w:val="BDOITable"/>
            </w:pPr>
            <w:r>
              <w:rPr>
                <w:b/>
                <w:color w:val="2E7D32"/>
                <w:sz w:val="15"/>
              </w:rPr>
              <w:t>Built</w:t>
            </w:r>
          </w:p>
        </w:tc>
        <w:tc>
          <w:tcPr>
            <w:tcW w:type="dxa" w:w="2908"/>
            <w:tcMar>
              <w:top w:w="50" w:type="dxa"/>
              <w:bottom w:w="50" w:type="dxa"/>
              <w:left w:w="90" w:type="dxa"/>
              <w:right w:w="90" w:type="dxa"/>
            </w:tcMar>
          </w:tcPr>
          <w:p>
            <w:pPr>
              <w:pStyle w:val="BDOITable"/>
            </w:pPr>
            <w:r>
              <w:rPr>
                <w:sz w:val="15"/>
              </w:rPr>
              <w:t>Answer A3: Remittance handles the reinsurance transactions in Drop 1; the reinsurance module is phase 2. Which RI transactions, and the "Remittance Addendum", are not defined.</w:t>
            </w:r>
          </w:p>
        </w:tc>
        <w:tc>
          <w:tcPr>
            <w:tcW w:type="dxa" w:w="1039"/>
            <w:tcMar>
              <w:top w:w="50" w:type="dxa"/>
              <w:bottom w:w="50" w:type="dxa"/>
              <w:left w:w="90" w:type="dxa"/>
              <w:right w:w="90" w:type="dxa"/>
            </w:tcMar>
          </w:tcPr>
          <w:p>
            <w:pPr>
              <w:pStyle w:val="BDOITable"/>
            </w:pPr>
            <w:r>
              <w:rPr>
                <w:sz w:val="15"/>
              </w:rPr>
              <w:t>IQ20; DCR-210, DCR-215</w:t>
            </w:r>
          </w:p>
        </w:tc>
      </w:tr>
      <w:tr>
        <w:trPr>
          <w:cantSplit w:val="true"/>
        </w:trPr>
        <w:tc>
          <w:tcPr>
            <w:tcW w:type="dxa" w:w="623"/>
            <w:tcMar>
              <w:top w:w="50" w:type="dxa"/>
              <w:bottom w:w="50" w:type="dxa"/>
              <w:left w:w="90" w:type="dxa"/>
              <w:right w:w="90" w:type="dxa"/>
            </w:tcMar>
            <w:shd w:val="clear" w:color="auto" w:fill="E5F5FF"/>
          </w:tcPr>
          <w:p>
            <w:pPr>
              <w:pStyle w:val="BDOITable"/>
            </w:pPr>
            <w:r>
              <w:rPr>
                <w:b/>
                <w:sz w:val="15"/>
              </w:rPr>
              <w:t>1.D4</w:t>
            </w:r>
          </w:p>
        </w:tc>
        <w:tc>
          <w:tcPr>
            <w:tcW w:type="dxa" w:w="1523"/>
            <w:tcMar>
              <w:top w:w="50" w:type="dxa"/>
              <w:bottom w:w="50" w:type="dxa"/>
              <w:left w:w="90" w:type="dxa"/>
              <w:right w:w="90" w:type="dxa"/>
            </w:tcMar>
            <w:shd w:val="clear" w:color="auto" w:fill="E5F5FF"/>
          </w:tcPr>
          <w:p>
            <w:pPr>
              <w:pStyle w:val="BDOITable"/>
            </w:pPr>
            <w:r>
              <w:rPr>
                <w:sz w:val="15"/>
              </w:rPr>
              <w:t>Adjustment / Cancellation</w:t>
            </w:r>
          </w:p>
        </w:tc>
        <w:tc>
          <w:tcPr>
            <w:tcW w:type="dxa" w:w="1523"/>
            <w:tcMar>
              <w:top w:w="50" w:type="dxa"/>
              <w:bottom w:w="50" w:type="dxa"/>
              <w:left w:w="90" w:type="dxa"/>
              <w:right w:w="90" w:type="dxa"/>
            </w:tcMar>
            <w:shd w:val="clear" w:color="auto" w:fill="E5F5FF"/>
          </w:tcPr>
          <w:p>
            <w:pPr>
              <w:pStyle w:val="BDOITable"/>
            </w:pPr>
            <w:r>
              <w:rPr>
                <w:sz w:val="15"/>
              </w:rPr>
              <w:t>Operations BRD, Accounting BRD</w:t>
            </w:r>
          </w:p>
        </w:tc>
        <w:tc>
          <w:tcPr>
            <w:tcW w:type="dxa" w:w="1523"/>
            <w:tcMar>
              <w:top w:w="50" w:type="dxa"/>
              <w:bottom w:w="50" w:type="dxa"/>
              <w:left w:w="90" w:type="dxa"/>
              <w:right w:w="90" w:type="dxa"/>
            </w:tcMar>
            <w:shd w:val="clear" w:color="auto" w:fill="E5F5FF"/>
          </w:tcPr>
          <w:p>
            <w:pPr>
              <w:pStyle w:val="BDOITable"/>
            </w:pPr>
            <w:r>
              <w:rPr>
                <w:sz w:val="15"/>
              </w:rPr>
              <w:t>BRD-2 OPS; BRD-5</w:t>
            </w:r>
          </w:p>
        </w:tc>
        <w:tc>
          <w:tcPr>
            <w:tcW w:type="dxa" w:w="1316"/>
            <w:tcMar>
              <w:top w:w="50" w:type="dxa"/>
              <w:bottom w:w="50" w:type="dxa"/>
              <w:left w:w="90" w:type="dxa"/>
              <w:right w:w="90" w:type="dxa"/>
            </w:tcMar>
            <w:shd w:val="clear" w:color="auto" w:fill="E5F5FF"/>
          </w:tcPr>
          <w:p>
            <w:pPr>
              <w:pStyle w:val="BDOITable"/>
            </w:pPr>
            <w:r>
              <w:rPr>
                <w:sz w:val="15"/>
              </w:rPr>
              <w:t>FR-OP (Adjustment)</w:t>
            </w:r>
          </w:p>
        </w:tc>
        <w:tc>
          <w:tcPr>
            <w:tcW w:type="dxa" w:w="2216"/>
            <w:tcMar>
              <w:top w:w="50" w:type="dxa"/>
              <w:bottom w:w="50" w:type="dxa"/>
              <w:left w:w="90" w:type="dxa"/>
              <w:right w:w="90" w:type="dxa"/>
            </w:tcMar>
            <w:shd w:val="clear" w:color="auto" w:fill="E5F5FF"/>
          </w:tcPr>
          <w:p>
            <w:pPr>
              <w:pStyle w:val="BDOITable"/>
            </w:pPr>
            <w:r>
              <w:rPr>
                <w:sz w:val="15"/>
              </w:rPr>
              <w:t>adjustment (Adjustment Workbench)</w:t>
            </w:r>
          </w:p>
        </w:tc>
        <w:tc>
          <w:tcPr>
            <w:tcW w:type="dxa" w:w="900"/>
            <w:tcMar>
              <w:top w:w="50" w:type="dxa"/>
              <w:bottom w:w="50" w:type="dxa"/>
              <w:left w:w="90" w:type="dxa"/>
              <w:right w:w="90" w:type="dxa"/>
            </w:tcMar>
            <w:shd w:val="clear" w:color="auto" w:fill="E8F5E9"/>
          </w:tcPr>
          <w:p>
            <w:pPr>
              <w:pStyle w:val="BDOITable"/>
            </w:pPr>
            <w:r>
              <w:rPr>
                <w:b/>
                <w:color w:val="2E7D32"/>
                <w:sz w:val="15"/>
              </w:rPr>
              <w:t>Built</w:t>
            </w:r>
          </w:p>
        </w:tc>
        <w:tc>
          <w:tcPr>
            <w:tcW w:type="dxa" w:w="2908"/>
            <w:tcMar>
              <w:top w:w="50" w:type="dxa"/>
              <w:bottom w:w="50" w:type="dxa"/>
              <w:left w:w="90" w:type="dxa"/>
              <w:right w:w="90" w:type="dxa"/>
            </w:tcMar>
            <w:shd w:val="clear" w:color="auto" w:fill="E5F5FF"/>
          </w:tcPr>
          <w:p>
            <w:pPr>
              <w:pStyle w:val="BDOITable"/>
            </w:pPr>
            <w:r>
              <w:rPr>
                <w:sz w:val="15"/>
              </w:rPr>
              <w:t>None.</w:t>
            </w:r>
          </w:p>
        </w:tc>
        <w:tc>
          <w:tcPr>
            <w:tcW w:type="dxa" w:w="1039"/>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623"/>
            <w:tcMar>
              <w:top w:w="50" w:type="dxa"/>
              <w:bottom w:w="50" w:type="dxa"/>
              <w:left w:w="90" w:type="dxa"/>
              <w:right w:w="90" w:type="dxa"/>
            </w:tcMar>
          </w:tcPr>
          <w:p>
            <w:pPr>
              <w:pStyle w:val="BDOITable"/>
            </w:pPr>
            <w:r>
              <w:rPr>
                <w:b/>
                <w:sz w:val="15"/>
              </w:rPr>
              <w:t>1.D5</w:t>
            </w:r>
          </w:p>
        </w:tc>
        <w:tc>
          <w:tcPr>
            <w:tcW w:type="dxa" w:w="1523"/>
            <w:tcMar>
              <w:top w:w="50" w:type="dxa"/>
              <w:bottom w:w="50" w:type="dxa"/>
              <w:left w:w="90" w:type="dxa"/>
              <w:right w:w="90" w:type="dxa"/>
            </w:tcMar>
          </w:tcPr>
          <w:p>
            <w:pPr>
              <w:pStyle w:val="BDOITable"/>
            </w:pPr>
            <w:r>
              <w:rPr>
                <w:sz w:val="15"/>
              </w:rPr>
              <w:t>Accounting / GL</w:t>
            </w:r>
          </w:p>
        </w:tc>
        <w:tc>
          <w:tcPr>
            <w:tcW w:type="dxa" w:w="1523"/>
            <w:tcMar>
              <w:top w:w="50" w:type="dxa"/>
              <w:bottom w:w="50" w:type="dxa"/>
              <w:left w:w="90" w:type="dxa"/>
              <w:right w:w="90" w:type="dxa"/>
            </w:tcMar>
          </w:tcPr>
          <w:p>
            <w:pPr>
              <w:pStyle w:val="BDOITable"/>
            </w:pPr>
            <w:r>
              <w:rPr>
                <w:sz w:val="15"/>
              </w:rPr>
              <w:t>Accounting, Disbursement &amp; ACSL BRD</w:t>
            </w:r>
          </w:p>
        </w:tc>
        <w:tc>
          <w:tcPr>
            <w:tcW w:type="dxa" w:w="1523"/>
            <w:tcMar>
              <w:top w:w="50" w:type="dxa"/>
              <w:bottom w:w="50" w:type="dxa"/>
              <w:left w:w="90" w:type="dxa"/>
              <w:right w:w="90" w:type="dxa"/>
            </w:tcMar>
          </w:tcPr>
          <w:p>
            <w:pPr>
              <w:pStyle w:val="BDOITable"/>
            </w:pPr>
            <w:r>
              <w:rPr>
                <w:sz w:val="15"/>
              </w:rPr>
              <w:t>BRD-5 ACCT (Vol. 1, 2)</w:t>
            </w:r>
          </w:p>
        </w:tc>
        <w:tc>
          <w:tcPr>
            <w:tcW w:type="dxa" w:w="1316"/>
            <w:tcMar>
              <w:top w:w="50" w:type="dxa"/>
              <w:bottom w:w="50" w:type="dxa"/>
              <w:left w:w="90" w:type="dxa"/>
              <w:right w:w="90" w:type="dxa"/>
            </w:tcMar>
          </w:tcPr>
          <w:p>
            <w:pPr>
              <w:pStyle w:val="BDOITable"/>
            </w:pPr>
            <w:r>
              <w:rPr>
                <w:sz w:val="15"/>
              </w:rPr>
              <w:t>FR-AC; FR-DS (ACSL)</w:t>
            </w:r>
          </w:p>
        </w:tc>
        <w:tc>
          <w:tcPr>
            <w:tcW w:type="dxa" w:w="2216"/>
            <w:tcMar>
              <w:top w:w="50" w:type="dxa"/>
              <w:bottom w:w="50" w:type="dxa"/>
              <w:left w:w="90" w:type="dxa"/>
              <w:right w:w="90" w:type="dxa"/>
            </w:tcMar>
          </w:tcPr>
          <w:p>
            <w:pPr>
              <w:pStyle w:val="BDOITable"/>
            </w:pPr>
            <w:r>
              <w:rPr>
                <w:sz w:val="15"/>
              </w:rPr>
              <w:t>coa, journal, ledger, period, closing, frbs, acsl</w:t>
            </w:r>
          </w:p>
        </w:tc>
        <w:tc>
          <w:tcPr>
            <w:tcW w:type="dxa" w:w="900"/>
            <w:tcMar>
              <w:top w:w="50" w:type="dxa"/>
              <w:bottom w:w="50" w:type="dxa"/>
              <w:left w:w="90" w:type="dxa"/>
              <w:right w:w="90" w:type="dxa"/>
            </w:tcMar>
            <w:shd w:val="clear" w:color="auto" w:fill="E8F5E9"/>
          </w:tcPr>
          <w:p>
            <w:pPr>
              <w:pStyle w:val="BDOITable"/>
            </w:pPr>
            <w:r>
              <w:rPr>
                <w:b/>
                <w:color w:val="2E7D32"/>
                <w:sz w:val="15"/>
              </w:rPr>
              <w:t>Built</w:t>
            </w:r>
          </w:p>
        </w:tc>
        <w:tc>
          <w:tcPr>
            <w:tcW w:type="dxa" w:w="2908"/>
            <w:tcMar>
              <w:top w:w="50" w:type="dxa"/>
              <w:bottom w:w="50" w:type="dxa"/>
              <w:left w:w="90" w:type="dxa"/>
              <w:right w:w="90" w:type="dxa"/>
            </w:tcMar>
          </w:tcPr>
          <w:p>
            <w:pPr>
              <w:pStyle w:val="BDOITable"/>
            </w:pPr>
            <w:r>
              <w:rPr>
                <w:sz w:val="15"/>
              </w:rPr>
              <w:t>EGL (Drop 2 integration) takes GL data out of BIBS; not built.</w:t>
            </w:r>
          </w:p>
        </w:tc>
        <w:tc>
          <w:tcPr>
            <w:tcW w:type="dxa" w:w="1039"/>
            <w:tcMar>
              <w:top w:w="50" w:type="dxa"/>
              <w:bottom w:w="50" w:type="dxa"/>
              <w:left w:w="90" w:type="dxa"/>
              <w:right w:w="90" w:type="dxa"/>
            </w:tcMar>
          </w:tcPr>
          <w:p>
            <w:pPr>
              <w:pStyle w:val="BDOITable"/>
            </w:pPr>
            <w:r>
              <w:rPr>
                <w:sz w:val="15"/>
              </w:rPr>
              <w:t>IQ16</w:t>
            </w:r>
          </w:p>
        </w:tc>
      </w:tr>
      <w:tr>
        <w:trPr>
          <w:cantSplit w:val="true"/>
        </w:trPr>
        <w:tc>
          <w:tcPr>
            <w:tcW w:type="dxa" w:w="623"/>
            <w:tcMar>
              <w:top w:w="50" w:type="dxa"/>
              <w:bottom w:w="50" w:type="dxa"/>
              <w:left w:w="90" w:type="dxa"/>
              <w:right w:w="90" w:type="dxa"/>
            </w:tcMar>
            <w:shd w:val="clear" w:color="auto" w:fill="E5F5FF"/>
          </w:tcPr>
          <w:p>
            <w:pPr>
              <w:pStyle w:val="BDOITable"/>
            </w:pPr>
            <w:r>
              <w:rPr>
                <w:b/>
                <w:sz w:val="15"/>
              </w:rPr>
              <w:t>1.D6</w:t>
            </w:r>
          </w:p>
        </w:tc>
        <w:tc>
          <w:tcPr>
            <w:tcW w:type="dxa" w:w="1523"/>
            <w:tcMar>
              <w:top w:w="50" w:type="dxa"/>
              <w:bottom w:w="50" w:type="dxa"/>
              <w:left w:w="90" w:type="dxa"/>
              <w:right w:w="90" w:type="dxa"/>
            </w:tcMar>
            <w:shd w:val="clear" w:color="auto" w:fill="E5F5FF"/>
          </w:tcPr>
          <w:p>
            <w:pPr>
              <w:pStyle w:val="BDOITable"/>
            </w:pPr>
            <w:r>
              <w:rPr>
                <w:sz w:val="15"/>
              </w:rPr>
              <w:t>Reports (BIR / Regulatory)</w:t>
            </w:r>
          </w:p>
        </w:tc>
        <w:tc>
          <w:tcPr>
            <w:tcW w:type="dxa" w:w="1523"/>
            <w:tcMar>
              <w:top w:w="50" w:type="dxa"/>
              <w:bottom w:w="50" w:type="dxa"/>
              <w:left w:w="90" w:type="dxa"/>
              <w:right w:w="90" w:type="dxa"/>
            </w:tcMar>
            <w:shd w:val="clear" w:color="auto" w:fill="E5F5FF"/>
          </w:tcPr>
          <w:p>
            <w:pPr>
              <w:pStyle w:val="BDOITable"/>
            </w:pPr>
            <w:r>
              <w:rPr>
                <w:sz w:val="15"/>
              </w:rPr>
              <w:t>Accounting BRD, Data Migration BRD</w:t>
            </w:r>
          </w:p>
        </w:tc>
        <w:tc>
          <w:tcPr>
            <w:tcW w:type="dxa" w:w="1523"/>
            <w:tcMar>
              <w:top w:w="50" w:type="dxa"/>
              <w:bottom w:w="50" w:type="dxa"/>
              <w:left w:w="90" w:type="dxa"/>
              <w:right w:w="90" w:type="dxa"/>
            </w:tcMar>
            <w:shd w:val="clear" w:color="auto" w:fill="E5F5FF"/>
          </w:tcPr>
          <w:p>
            <w:pPr>
              <w:pStyle w:val="BDOITable"/>
            </w:pPr>
            <w:r>
              <w:rPr>
                <w:sz w:val="15"/>
              </w:rPr>
              <w:t>BRD-5 ACCT; BRD-13</w:t>
            </w:r>
          </w:p>
        </w:tc>
        <w:tc>
          <w:tcPr>
            <w:tcW w:type="dxa" w:w="1316"/>
            <w:tcMar>
              <w:top w:w="50" w:type="dxa"/>
              <w:bottom w:w="50" w:type="dxa"/>
              <w:left w:w="90" w:type="dxa"/>
              <w:right w:w="90" w:type="dxa"/>
            </w:tcMar>
            <w:shd w:val="clear" w:color="auto" w:fill="E5F5FF"/>
          </w:tcPr>
          <w:p>
            <w:pPr>
              <w:pStyle w:val="BDOITable"/>
            </w:pPr>
            <w:r>
              <w:rPr>
                <w:sz w:val="15"/>
              </w:rPr>
              <w:t>FR-AC (BIR, IC)</w:t>
            </w:r>
          </w:p>
        </w:tc>
        <w:tc>
          <w:tcPr>
            <w:tcW w:type="dxa" w:w="2216"/>
            <w:tcMar>
              <w:top w:w="50" w:type="dxa"/>
              <w:bottom w:w="50" w:type="dxa"/>
              <w:left w:w="90" w:type="dxa"/>
              <w:right w:w="90" w:type="dxa"/>
            </w:tcMar>
            <w:shd w:val="clear" w:color="auto" w:fill="E5F5FF"/>
          </w:tcPr>
          <w:p>
            <w:pPr>
              <w:pStyle w:val="BDOITable"/>
            </w:pPr>
            <w:r>
              <w:rPr>
                <w:sz w:val="15"/>
              </w:rPr>
              <w:t>tax (BIR forms, 2307, alphalists), finreport, frbs report pack</w:t>
            </w:r>
          </w:p>
        </w:tc>
        <w:tc>
          <w:tcPr>
            <w:tcW w:type="dxa" w:w="900"/>
            <w:tcMar>
              <w:top w:w="50" w:type="dxa"/>
              <w:bottom w:w="50" w:type="dxa"/>
              <w:left w:w="90" w:type="dxa"/>
              <w:right w:w="90" w:type="dxa"/>
            </w:tcMar>
            <w:shd w:val="clear" w:color="auto" w:fill="E8F5E9"/>
          </w:tcPr>
          <w:p>
            <w:pPr>
              <w:pStyle w:val="BDOITable"/>
            </w:pPr>
            <w:r>
              <w:rPr>
                <w:b/>
                <w:color w:val="2E7D32"/>
                <w:sz w:val="15"/>
              </w:rPr>
              <w:t>Built</w:t>
            </w:r>
          </w:p>
        </w:tc>
        <w:tc>
          <w:tcPr>
            <w:tcW w:type="dxa" w:w="2908"/>
            <w:tcMar>
              <w:top w:w="50" w:type="dxa"/>
              <w:bottom w:w="50" w:type="dxa"/>
              <w:left w:w="90" w:type="dxa"/>
              <w:right w:w="90" w:type="dxa"/>
            </w:tcMar>
            <w:shd w:val="clear" w:color="auto" w:fill="E5F5FF"/>
          </w:tcPr>
          <w:p>
            <w:pPr>
              <w:pStyle w:val="BDOITable"/>
            </w:pPr>
            <w:r>
              <w:rPr>
                <w:sz w:val="15"/>
              </w:rPr>
              <w:t>Legacy-period figures in BIR reports depend on the migration of open items and the GL opening (DMQ18).</w:t>
            </w:r>
          </w:p>
        </w:tc>
        <w:tc>
          <w:tcPr>
            <w:tcW w:type="dxa" w:w="1039"/>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623"/>
            <w:tcMar>
              <w:top w:w="50" w:type="dxa"/>
              <w:bottom w:w="50" w:type="dxa"/>
              <w:left w:w="90" w:type="dxa"/>
              <w:right w:w="90" w:type="dxa"/>
            </w:tcMar>
          </w:tcPr>
          <w:p>
            <w:pPr>
              <w:pStyle w:val="BDOITable"/>
            </w:pPr>
            <w:r>
              <w:rPr>
                <w:b/>
                <w:sz w:val="15"/>
              </w:rPr>
              <w:t>1.D7</w:t>
            </w:r>
          </w:p>
        </w:tc>
        <w:tc>
          <w:tcPr>
            <w:tcW w:type="dxa" w:w="1523"/>
            <w:tcMar>
              <w:top w:w="50" w:type="dxa"/>
              <w:bottom w:w="50" w:type="dxa"/>
              <w:left w:w="90" w:type="dxa"/>
              <w:right w:w="90" w:type="dxa"/>
            </w:tcMar>
          </w:tcPr>
          <w:p>
            <w:pPr>
              <w:pStyle w:val="BDOITable"/>
            </w:pPr>
            <w:r>
              <w:rPr>
                <w:sz w:val="15"/>
              </w:rPr>
              <w:t>Collection of Commission Receivables (Direct Payment)</w:t>
            </w:r>
          </w:p>
        </w:tc>
        <w:tc>
          <w:tcPr>
            <w:tcW w:type="dxa" w:w="1523"/>
            <w:tcMar>
              <w:top w:w="50" w:type="dxa"/>
              <w:bottom w:w="50" w:type="dxa"/>
              <w:left w:w="90" w:type="dxa"/>
              <w:right w:w="90" w:type="dxa"/>
            </w:tcMar>
          </w:tcPr>
          <w:p>
            <w:pPr>
              <w:pStyle w:val="BDOITable"/>
            </w:pPr>
            <w:r>
              <w:rPr>
                <w:sz w:val="15"/>
              </w:rPr>
              <w:t>Collections BRD Addendum, Operations BRD</w:t>
            </w:r>
          </w:p>
        </w:tc>
        <w:tc>
          <w:tcPr>
            <w:tcW w:type="dxa" w:w="1523"/>
            <w:tcMar>
              <w:top w:w="50" w:type="dxa"/>
              <w:bottom w:w="50" w:type="dxa"/>
              <w:left w:w="90" w:type="dxa"/>
              <w:right w:w="90" w:type="dxa"/>
            </w:tcMar>
          </w:tcPr>
          <w:p>
            <w:pPr>
              <w:pStyle w:val="BDOITable"/>
            </w:pPr>
            <w:r>
              <w:rPr>
                <w:sz w:val="15"/>
              </w:rPr>
              <w:t>BRD-2 OPS (CMRID); BRD-4 BRCLXN.059-064</w:t>
            </w:r>
          </w:p>
        </w:tc>
        <w:tc>
          <w:tcPr>
            <w:tcW w:type="dxa" w:w="1316"/>
            <w:tcMar>
              <w:top w:w="50" w:type="dxa"/>
              <w:bottom w:w="50" w:type="dxa"/>
              <w:left w:w="90" w:type="dxa"/>
              <w:right w:w="90" w:type="dxa"/>
            </w:tcMar>
          </w:tcPr>
          <w:p>
            <w:pPr>
              <w:pStyle w:val="BDOITable"/>
            </w:pPr>
            <w:r>
              <w:rPr>
                <w:sz w:val="15"/>
              </w:rPr>
              <w:t>FR-OP (Commission / DP); FR-CL</w:t>
            </w:r>
          </w:p>
        </w:tc>
        <w:tc>
          <w:tcPr>
            <w:tcW w:type="dxa" w:w="2216"/>
            <w:tcMar>
              <w:top w:w="50" w:type="dxa"/>
              <w:bottom w:w="50" w:type="dxa"/>
              <w:left w:w="90" w:type="dxa"/>
              <w:right w:w="90" w:type="dxa"/>
            </w:tcMar>
          </w:tcPr>
          <w:p>
            <w:pPr>
              <w:pStyle w:val="BDOITable"/>
            </w:pPr>
            <w:r>
              <w:rPr>
                <w:sz w:val="15"/>
              </w:rPr>
              <w:t>commission (DP billing), collections (DP PR lists)</w:t>
            </w:r>
          </w:p>
        </w:tc>
        <w:tc>
          <w:tcPr>
            <w:tcW w:type="dxa" w:w="900"/>
            <w:tcMar>
              <w:top w:w="50" w:type="dxa"/>
              <w:bottom w:w="50" w:type="dxa"/>
              <w:left w:w="90" w:type="dxa"/>
              <w:right w:w="90" w:type="dxa"/>
            </w:tcMar>
            <w:shd w:val="clear" w:color="auto" w:fill="E8F5E9"/>
          </w:tcPr>
          <w:p>
            <w:pPr>
              <w:pStyle w:val="BDOITable"/>
            </w:pPr>
            <w:r>
              <w:rPr>
                <w:b/>
                <w:color w:val="2E7D32"/>
                <w:sz w:val="15"/>
              </w:rPr>
              <w:t>Built</w:t>
            </w:r>
          </w:p>
        </w:tc>
        <w:tc>
          <w:tcPr>
            <w:tcW w:type="dxa" w:w="2908"/>
            <w:tcMar>
              <w:top w:w="50" w:type="dxa"/>
              <w:bottom w:w="50" w:type="dxa"/>
              <w:left w:w="90" w:type="dxa"/>
              <w:right w:w="90" w:type="dxa"/>
            </w:tcMar>
          </w:tcPr>
          <w:p>
            <w:pPr>
              <w:pStyle w:val="BDOITable"/>
            </w:pPr>
            <w:r>
              <w:rPr>
                <w:sz w:val="15"/>
              </w:rPr>
              <w:t>BRCLXN.061-064 are in the unsigned draft addendum only (CQ01).</w:t>
            </w:r>
          </w:p>
        </w:tc>
        <w:tc>
          <w:tcPr>
            <w:tcW w:type="dxa" w:w="1039"/>
            <w:tcMar>
              <w:top w:w="50" w:type="dxa"/>
              <w:bottom w:w="50" w:type="dxa"/>
              <w:left w:w="90" w:type="dxa"/>
              <w:right w:w="90" w:type="dxa"/>
            </w:tcMar>
          </w:tcPr>
          <w:p>
            <w:pPr>
              <w:pStyle w:val="BDOITable"/>
            </w:pPr>
            <w:r>
              <w:rPr>
                <w:sz w:val="15"/>
              </w:rPr>
              <w:t>-</w:t>
            </w:r>
          </w:p>
        </w:tc>
      </w:tr>
    </w:tbl>
    <w:p>
      <w:pPr>
        <w:pStyle w:val="BDOISpacer"/>
      </w:pPr>
    </w:p>
    <w:p>
      <w:pPr>
        <w:pStyle w:val="Caption"/>
        <w:keepNext/>
        <w:spacing w:after="60"/>
      </w:pPr>
      <w:r>
        <w:rPr>
          <w:b/>
          <w:i w:val="0"/>
        </w:rPr>
        <w:t xml:space="preserve">Table 6: </w:t>
      </w:r>
      <w:r>
        <w:rPr/>
        <w:t>Drop 2 - Independent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23"/>
        <w:gridCol w:w="1523"/>
        <w:gridCol w:w="1523"/>
        <w:gridCol w:w="1523"/>
        <w:gridCol w:w="1315"/>
        <w:gridCol w:w="2216"/>
        <w:gridCol w:w="900"/>
        <w:gridCol w:w="2908"/>
        <w:gridCol w:w="1038"/>
      </w:tblGrid>
      <w:tr>
        <w:trPr>
          <w:tblHeader w:val="true"/>
          <w:cantSplit w:val="true"/>
        </w:trPr>
        <w:tc>
          <w:tcPr>
            <w:tcW w:type="dxa" w:w="623"/>
            <w:shd w:val="clear" w:color="auto" w:fill="004EA8"/>
            <w:tcMar>
              <w:top w:w="50" w:type="dxa"/>
              <w:bottom w:w="50" w:type="dxa"/>
              <w:left w:w="90" w:type="dxa"/>
              <w:right w:w="90" w:type="dxa"/>
            </w:tcMar>
            <w:vAlign w:val="center"/>
          </w:tcPr>
          <w:p>
            <w:pPr>
              <w:pStyle w:val="BDOITableHeader"/>
            </w:pPr>
            <w:r>
              <w:rPr>
                <w:b/>
                <w:color w:val="FFFFFF"/>
                <w:sz w:val="15"/>
              </w:rPr>
              <w:t>#</w:t>
            </w:r>
          </w:p>
        </w:tc>
        <w:tc>
          <w:tcPr>
            <w:tcW w:type="dxa" w:w="1523"/>
            <w:shd w:val="clear" w:color="auto" w:fill="004EA8"/>
            <w:tcMar>
              <w:top w:w="50" w:type="dxa"/>
              <w:bottom w:w="50" w:type="dxa"/>
              <w:left w:w="90" w:type="dxa"/>
              <w:right w:w="90" w:type="dxa"/>
            </w:tcMar>
            <w:vAlign w:val="center"/>
          </w:tcPr>
          <w:p>
            <w:pPr>
              <w:pStyle w:val="BDOITableHeader"/>
            </w:pPr>
            <w:r>
              <w:rPr>
                <w:b/>
                <w:color w:val="FFFFFF"/>
                <w:sz w:val="15"/>
              </w:rPr>
              <w:t>Drop item</w:t>
            </w:r>
          </w:p>
        </w:tc>
        <w:tc>
          <w:tcPr>
            <w:tcW w:type="dxa" w:w="1523"/>
            <w:shd w:val="clear" w:color="auto" w:fill="004EA8"/>
            <w:tcMar>
              <w:top w:w="50" w:type="dxa"/>
              <w:bottom w:w="50" w:type="dxa"/>
              <w:left w:w="90" w:type="dxa"/>
              <w:right w:w="90" w:type="dxa"/>
            </w:tcMar>
            <w:vAlign w:val="center"/>
          </w:tcPr>
          <w:p>
            <w:pPr>
              <w:pStyle w:val="BDOITableHeader"/>
            </w:pPr>
            <w:r>
              <w:rPr>
                <w:b/>
                <w:color w:val="FFFFFF"/>
                <w:sz w:val="15"/>
              </w:rPr>
              <w:t>BRD named by BDOI</w:t>
            </w:r>
          </w:p>
        </w:tc>
        <w:tc>
          <w:tcPr>
            <w:tcW w:type="dxa" w:w="1523"/>
            <w:shd w:val="clear" w:color="auto" w:fill="004EA8"/>
            <w:tcMar>
              <w:top w:w="50" w:type="dxa"/>
              <w:bottom w:w="50" w:type="dxa"/>
              <w:left w:w="90" w:type="dxa"/>
              <w:right w:w="90" w:type="dxa"/>
            </w:tcMar>
            <w:vAlign w:val="center"/>
          </w:tcPr>
          <w:p>
            <w:pPr>
              <w:pStyle w:val="BDOITableHeader"/>
            </w:pPr>
            <w:r>
              <w:rPr>
                <w:b/>
                <w:color w:val="FFFFFF"/>
                <w:sz w:val="15"/>
              </w:rPr>
              <w:t>BIBS BRD</w:t>
            </w:r>
          </w:p>
        </w:tc>
        <w:tc>
          <w:tcPr>
            <w:tcW w:type="dxa" w:w="13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BIBS modules and screens</w:t>
            </w:r>
          </w:p>
        </w:tc>
        <w:tc>
          <w:tcPr>
            <w:tcW w:type="dxa" w:w="900"/>
            <w:shd w:val="clear" w:color="auto" w:fill="004EA8"/>
            <w:tcMar>
              <w:top w:w="50" w:type="dxa"/>
              <w:bottom w:w="50" w:type="dxa"/>
              <w:left w:w="90" w:type="dxa"/>
              <w:right w:w="90" w:type="dxa"/>
            </w:tcMar>
            <w:vAlign w:val="center"/>
          </w:tcPr>
          <w:p>
            <w:pPr>
              <w:pStyle w:val="BDOITableHeader"/>
            </w:pPr>
            <w:r>
              <w:rPr>
                <w:b/>
                <w:color w:val="FFFFFF"/>
                <w:sz w:val="15"/>
              </w:rPr>
              <w:t>Status</w:t>
            </w:r>
          </w:p>
        </w:tc>
        <w:tc>
          <w:tcPr>
            <w:tcW w:type="dxa" w:w="2908"/>
            <w:shd w:val="clear" w:color="auto" w:fill="004EA8"/>
            <w:tcMar>
              <w:top w:w="50" w:type="dxa"/>
              <w:bottom w:w="50" w:type="dxa"/>
              <w:left w:w="90" w:type="dxa"/>
              <w:right w:w="90" w:type="dxa"/>
            </w:tcMar>
            <w:vAlign w:val="center"/>
          </w:tcPr>
          <w:p>
            <w:pPr>
              <w:pStyle w:val="BDOITableHeader"/>
            </w:pPr>
            <w:r>
              <w:rPr>
                <w:b/>
                <w:color w:val="FFFFFF"/>
                <w:sz w:val="15"/>
              </w:rPr>
              <w:t>Gap or mismatch</w:t>
            </w:r>
          </w:p>
        </w:tc>
        <w:tc>
          <w:tcPr>
            <w:tcW w:type="dxa" w:w="1039"/>
            <w:shd w:val="clear" w:color="auto" w:fill="004EA8"/>
            <w:tcMar>
              <w:top w:w="50" w:type="dxa"/>
              <w:bottom w:w="50" w:type="dxa"/>
              <w:left w:w="90" w:type="dxa"/>
              <w:right w:w="90" w:type="dxa"/>
            </w:tcMar>
            <w:vAlign w:val="center"/>
          </w:tcPr>
          <w:p>
            <w:pPr>
              <w:pStyle w:val="BDOITableHeader"/>
            </w:pPr>
            <w:r>
              <w:rPr>
                <w:b/>
                <w:color w:val="FFFFFF"/>
                <w:sz w:val="15"/>
              </w:rPr>
              <w:t>Refs</w:t>
            </w:r>
          </w:p>
        </w:tc>
      </w:tr>
      <w:tr>
        <w:trPr>
          <w:cantSplit w:val="true"/>
        </w:trPr>
        <w:tc>
          <w:tcPr>
            <w:tcW w:type="dxa" w:w="623"/>
            <w:tcMar>
              <w:top w:w="50" w:type="dxa"/>
              <w:bottom w:w="50" w:type="dxa"/>
              <w:left w:w="90" w:type="dxa"/>
              <w:right w:w="90" w:type="dxa"/>
            </w:tcMar>
          </w:tcPr>
          <w:p>
            <w:pPr>
              <w:pStyle w:val="BDOITable"/>
            </w:pPr>
            <w:r>
              <w:rPr>
                <w:b/>
                <w:sz w:val="15"/>
              </w:rPr>
              <w:t>2.1</w:t>
            </w:r>
          </w:p>
        </w:tc>
        <w:tc>
          <w:tcPr>
            <w:tcW w:type="dxa" w:w="1523"/>
            <w:tcMar>
              <w:top w:w="50" w:type="dxa"/>
              <w:bottom w:w="50" w:type="dxa"/>
              <w:left w:w="90" w:type="dxa"/>
              <w:right w:w="90" w:type="dxa"/>
            </w:tcMar>
          </w:tcPr>
          <w:p>
            <w:pPr>
              <w:pStyle w:val="BDOITable"/>
            </w:pPr>
            <w:r>
              <w:rPr>
                <w:sz w:val="15"/>
              </w:rPr>
              <w:t>Marketing Collection (extraction)</w:t>
            </w:r>
          </w:p>
        </w:tc>
        <w:tc>
          <w:tcPr>
            <w:tcW w:type="dxa" w:w="1523"/>
            <w:tcMar>
              <w:top w:w="50" w:type="dxa"/>
              <w:bottom w:w="50" w:type="dxa"/>
              <w:left w:w="90" w:type="dxa"/>
              <w:right w:w="90" w:type="dxa"/>
            </w:tcMar>
          </w:tcPr>
          <w:p>
            <w:pPr>
              <w:pStyle w:val="BDOITable"/>
            </w:pPr>
            <w:r>
              <w:rPr>
                <w:sz w:val="15"/>
              </w:rPr>
              <w:t>-</w:t>
            </w:r>
          </w:p>
        </w:tc>
        <w:tc>
          <w:tcPr>
            <w:tcW w:type="dxa" w:w="1523"/>
            <w:tcMar>
              <w:top w:w="50" w:type="dxa"/>
              <w:bottom w:w="50" w:type="dxa"/>
              <w:left w:w="90" w:type="dxa"/>
              <w:right w:w="90" w:type="dxa"/>
            </w:tcMar>
          </w:tcPr>
          <w:p>
            <w:pPr>
              <w:pStyle w:val="BDOITable"/>
            </w:pPr>
            <w:r>
              <w:rPr>
                <w:sz w:val="15"/>
              </w:rPr>
              <w:t>BRD-4 CLXN; BRD-2 (MKTID)</w:t>
            </w:r>
          </w:p>
        </w:tc>
        <w:tc>
          <w:tcPr>
            <w:tcW w:type="dxa" w:w="1316"/>
            <w:tcMar>
              <w:top w:w="50" w:type="dxa"/>
              <w:bottom w:w="50" w:type="dxa"/>
              <w:left w:w="90" w:type="dxa"/>
              <w:right w:w="90" w:type="dxa"/>
            </w:tcMar>
          </w:tcPr>
          <w:p>
            <w:pPr>
              <w:pStyle w:val="BDOITable"/>
            </w:pPr>
            <w:r>
              <w:rPr>
                <w:sz w:val="15"/>
              </w:rPr>
              <w:t>FR-CL; FR-OP (Marketing Collection items)</w:t>
            </w:r>
          </w:p>
        </w:tc>
        <w:tc>
          <w:tcPr>
            <w:tcW w:type="dxa" w:w="2216"/>
            <w:tcMar>
              <w:top w:w="50" w:type="dxa"/>
              <w:bottom w:w="50" w:type="dxa"/>
              <w:left w:w="90" w:type="dxa"/>
              <w:right w:w="90" w:type="dxa"/>
            </w:tcMar>
          </w:tcPr>
          <w:p>
            <w:pPr>
              <w:pStyle w:val="BDOITable"/>
            </w:pPr>
            <w:r>
              <w:rPr>
                <w:sz w:val="15"/>
              </w:rPr>
              <w:t>collections (worklists, dispositions, daily files), opsledger CollectionFeed</w:t>
            </w:r>
          </w:p>
        </w:tc>
        <w:tc>
          <w:tcPr>
            <w:tcW w:type="dxa" w:w="900"/>
            <w:tcMar>
              <w:top w:w="50" w:type="dxa"/>
              <w:bottom w:w="50" w:type="dxa"/>
              <w:left w:w="90" w:type="dxa"/>
              <w:right w:w="90" w:type="dxa"/>
            </w:tcMar>
            <w:shd w:val="clear" w:color="auto" w:fill="E8F5E9"/>
          </w:tcPr>
          <w:p>
            <w:pPr>
              <w:pStyle w:val="BDOITable"/>
            </w:pPr>
            <w:r>
              <w:rPr>
                <w:b/>
                <w:color w:val="2E7D32"/>
                <w:sz w:val="15"/>
              </w:rPr>
              <w:t>Built</w:t>
            </w:r>
          </w:p>
        </w:tc>
        <w:tc>
          <w:tcPr>
            <w:tcW w:type="dxa" w:w="2908"/>
            <w:tcMar>
              <w:top w:w="50" w:type="dxa"/>
              <w:bottom w:w="50" w:type="dxa"/>
              <w:left w:w="90" w:type="dxa"/>
              <w:right w:w="90" w:type="dxa"/>
            </w:tcMar>
          </w:tcPr>
          <w:p>
            <w:pPr>
              <w:pStyle w:val="BDOITable"/>
            </w:pPr>
            <w:r>
              <w:rPr>
                <w:sz w:val="15"/>
              </w:rPr>
              <w:t>BRD-4 is a BIBS module fed by the Operations ledger; "extraction" is undefined (a feed to a separate CMS application, or the daily files?).</w:t>
            </w:r>
          </w:p>
        </w:tc>
        <w:tc>
          <w:tcPr>
            <w:tcW w:type="dxa" w:w="1039"/>
            <w:tcMar>
              <w:top w:w="50" w:type="dxa"/>
              <w:bottom w:w="50" w:type="dxa"/>
              <w:left w:w="90" w:type="dxa"/>
              <w:right w:w="90" w:type="dxa"/>
            </w:tcMar>
          </w:tcPr>
          <w:p>
            <w:pPr>
              <w:pStyle w:val="BDOITable"/>
            </w:pPr>
            <w:r>
              <w:rPr>
                <w:sz w:val="15"/>
              </w:rPr>
              <w:t>IQ21; DCR-212, DCR-221</w:t>
            </w:r>
          </w:p>
        </w:tc>
      </w:tr>
      <w:tr>
        <w:trPr>
          <w:cantSplit w:val="true"/>
        </w:trPr>
        <w:tc>
          <w:tcPr>
            <w:tcW w:type="dxa" w:w="623"/>
            <w:tcMar>
              <w:top w:w="50" w:type="dxa"/>
              <w:bottom w:w="50" w:type="dxa"/>
              <w:left w:w="90" w:type="dxa"/>
              <w:right w:w="90" w:type="dxa"/>
            </w:tcMar>
            <w:shd w:val="clear" w:color="auto" w:fill="E5F5FF"/>
          </w:tcPr>
          <w:p>
            <w:pPr>
              <w:pStyle w:val="BDOITable"/>
            </w:pPr>
            <w:r>
              <w:rPr>
                <w:b/>
                <w:sz w:val="15"/>
              </w:rPr>
              <w:t>2.2</w:t>
            </w:r>
          </w:p>
        </w:tc>
        <w:tc>
          <w:tcPr>
            <w:tcW w:type="dxa" w:w="1523"/>
            <w:tcMar>
              <w:top w:w="50" w:type="dxa"/>
              <w:bottom w:w="50" w:type="dxa"/>
              <w:left w:w="90" w:type="dxa"/>
              <w:right w:w="90" w:type="dxa"/>
            </w:tcMar>
            <w:shd w:val="clear" w:color="auto" w:fill="E5F5FF"/>
          </w:tcPr>
          <w:p>
            <w:pPr>
              <w:pStyle w:val="BDOITable"/>
            </w:pPr>
            <w:r>
              <w:rPr>
                <w:sz w:val="15"/>
              </w:rPr>
              <w:t>Claims</w:t>
            </w:r>
          </w:p>
        </w:tc>
        <w:tc>
          <w:tcPr>
            <w:tcW w:type="dxa" w:w="1523"/>
            <w:tcMar>
              <w:top w:w="50" w:type="dxa"/>
              <w:bottom w:w="50" w:type="dxa"/>
              <w:left w:w="90" w:type="dxa"/>
              <w:right w:w="90" w:type="dxa"/>
            </w:tcMar>
            <w:shd w:val="clear" w:color="auto" w:fill="E5F5FF"/>
          </w:tcPr>
          <w:p>
            <w:pPr>
              <w:pStyle w:val="BDOITable"/>
            </w:pPr>
            <w:r>
              <w:rPr>
                <w:sz w:val="15"/>
              </w:rPr>
              <w:t>-</w:t>
            </w:r>
          </w:p>
        </w:tc>
        <w:tc>
          <w:tcPr>
            <w:tcW w:type="dxa" w:w="1523"/>
            <w:tcMar>
              <w:top w:w="50" w:type="dxa"/>
              <w:bottom w:w="50" w:type="dxa"/>
              <w:left w:w="90" w:type="dxa"/>
              <w:right w:w="90" w:type="dxa"/>
            </w:tcMar>
            <w:shd w:val="clear" w:color="auto" w:fill="E5F5FF"/>
          </w:tcPr>
          <w:p>
            <w:pPr>
              <w:pStyle w:val="BDOITable"/>
            </w:pPr>
            <w:r>
              <w:rPr>
                <w:sz w:val="15"/>
              </w:rPr>
              <w:t>BRD-7 CLM</w:t>
            </w:r>
          </w:p>
        </w:tc>
        <w:tc>
          <w:tcPr>
            <w:tcW w:type="dxa" w:w="1316"/>
            <w:tcMar>
              <w:top w:w="50" w:type="dxa"/>
              <w:bottom w:w="50" w:type="dxa"/>
              <w:left w:w="90" w:type="dxa"/>
              <w:right w:w="90" w:type="dxa"/>
            </w:tcMar>
            <w:shd w:val="clear" w:color="auto" w:fill="E5F5FF"/>
          </w:tcPr>
          <w:p>
            <w:pPr>
              <w:pStyle w:val="BDOITable"/>
            </w:pPr>
            <w:r>
              <w:rPr>
                <w:sz w:val="15"/>
              </w:rPr>
              <w:t>FR-CM</w:t>
            </w:r>
          </w:p>
        </w:tc>
        <w:tc>
          <w:tcPr>
            <w:tcW w:type="dxa" w:w="2216"/>
            <w:tcMar>
              <w:top w:w="50" w:type="dxa"/>
              <w:bottom w:w="50" w:type="dxa"/>
              <w:left w:w="90" w:type="dxa"/>
              <w:right w:w="90" w:type="dxa"/>
            </w:tcMar>
            <w:shd w:val="clear" w:color="auto" w:fill="E5F5FF"/>
          </w:tcPr>
          <w:p>
            <w:pPr>
              <w:pStyle w:val="BDOITable"/>
            </w:pPr>
            <w:r>
              <w:rPr>
                <w:sz w:val="15"/>
              </w:rPr>
              <w:t>brokerclaims (Claims Home)</w:t>
            </w:r>
          </w:p>
        </w:tc>
        <w:tc>
          <w:tcPr>
            <w:tcW w:type="dxa" w:w="900"/>
            <w:tcMar>
              <w:top w:w="50" w:type="dxa"/>
              <w:bottom w:w="50" w:type="dxa"/>
              <w:left w:w="90" w:type="dxa"/>
              <w:right w:w="90" w:type="dxa"/>
            </w:tcMar>
            <w:shd w:val="clear" w:color="auto" w:fill="E5F5FF"/>
          </w:tcPr>
          <w:p>
            <w:pPr>
              <w:pStyle w:val="BDOITable"/>
            </w:pPr>
            <w:r>
              <w:rPr>
                <w:sz w:val="15"/>
              </w:rPr>
              <w:t>Being built</w:t>
            </w:r>
          </w:p>
        </w:tc>
        <w:tc>
          <w:tcPr>
            <w:tcW w:type="dxa" w:w="2908"/>
            <w:tcMar>
              <w:top w:w="50" w:type="dxa"/>
              <w:bottom w:w="50" w:type="dxa"/>
              <w:left w:w="90" w:type="dxa"/>
              <w:right w:w="90" w:type="dxa"/>
            </w:tcMar>
            <w:shd w:val="clear" w:color="auto" w:fill="E5F5FF"/>
          </w:tcPr>
          <w:p>
            <w:pPr>
              <w:pStyle w:val="BDOITable"/>
            </w:pPr>
            <w:r>
              <w:rPr>
                <w:sz w:val="15"/>
              </w:rPr>
              <w:t>Built ahead of the drop; open-claims migration (F07) is conditional (CLQ14).</w:t>
            </w:r>
          </w:p>
        </w:tc>
        <w:tc>
          <w:tcPr>
            <w:tcW w:type="dxa" w:w="1039"/>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623"/>
            <w:tcMar>
              <w:top w:w="50" w:type="dxa"/>
              <w:bottom w:w="50" w:type="dxa"/>
              <w:left w:w="90" w:type="dxa"/>
              <w:right w:w="90" w:type="dxa"/>
            </w:tcMar>
          </w:tcPr>
          <w:p>
            <w:pPr>
              <w:pStyle w:val="BDOITable"/>
            </w:pPr>
            <w:r>
              <w:rPr>
                <w:b/>
                <w:sz w:val="15"/>
              </w:rPr>
              <w:t>2.3</w:t>
            </w:r>
          </w:p>
        </w:tc>
        <w:tc>
          <w:tcPr>
            <w:tcW w:type="dxa" w:w="1523"/>
            <w:tcMar>
              <w:top w:w="50" w:type="dxa"/>
              <w:bottom w:w="50" w:type="dxa"/>
              <w:left w:w="90" w:type="dxa"/>
              <w:right w:w="90" w:type="dxa"/>
            </w:tcMar>
          </w:tcPr>
          <w:p>
            <w:pPr>
              <w:pStyle w:val="BDOITable"/>
            </w:pPr>
            <w:r>
              <w:rPr>
                <w:sz w:val="15"/>
              </w:rPr>
              <w:t>Production Reconciliation</w:t>
            </w:r>
          </w:p>
        </w:tc>
        <w:tc>
          <w:tcPr>
            <w:tcW w:type="dxa" w:w="1523"/>
            <w:tcMar>
              <w:top w:w="50" w:type="dxa"/>
              <w:bottom w:w="50" w:type="dxa"/>
              <w:left w:w="90" w:type="dxa"/>
              <w:right w:w="90" w:type="dxa"/>
            </w:tcMar>
          </w:tcPr>
          <w:p>
            <w:pPr>
              <w:pStyle w:val="BDOITable"/>
            </w:pPr>
            <w:r>
              <w:rPr>
                <w:sz w:val="15"/>
              </w:rPr>
              <w:t>-</w:t>
            </w:r>
          </w:p>
        </w:tc>
        <w:tc>
          <w:tcPr>
            <w:tcW w:type="dxa" w:w="1523"/>
            <w:tcMar>
              <w:top w:w="50" w:type="dxa"/>
              <w:bottom w:w="50" w:type="dxa"/>
              <w:left w:w="90" w:type="dxa"/>
              <w:right w:w="90" w:type="dxa"/>
            </w:tcMar>
          </w:tcPr>
          <w:p>
            <w:pPr>
              <w:pStyle w:val="BDOITable"/>
            </w:pPr>
            <w:r>
              <w:rPr>
                <w:sz w:val="15"/>
              </w:rPr>
              <w:t>BRD-2 OPS (PRCID)</w:t>
            </w:r>
          </w:p>
        </w:tc>
        <w:tc>
          <w:tcPr>
            <w:tcW w:type="dxa" w:w="1316"/>
            <w:tcMar>
              <w:top w:w="50" w:type="dxa"/>
              <w:bottom w:w="50" w:type="dxa"/>
              <w:left w:w="90" w:type="dxa"/>
              <w:right w:w="90" w:type="dxa"/>
            </w:tcMar>
          </w:tcPr>
          <w:p>
            <w:pPr>
              <w:pStyle w:val="BDOITable"/>
            </w:pPr>
            <w:r>
              <w:rPr>
                <w:sz w:val="15"/>
              </w:rPr>
              <w:t>FR-OP (Production Reconciliation)</w:t>
            </w:r>
          </w:p>
        </w:tc>
        <w:tc>
          <w:tcPr>
            <w:tcW w:type="dxa" w:w="2216"/>
            <w:tcMar>
              <w:top w:w="50" w:type="dxa"/>
              <w:bottom w:w="50" w:type="dxa"/>
              <w:left w:w="90" w:type="dxa"/>
              <w:right w:w="90" w:type="dxa"/>
            </w:tcMar>
          </w:tcPr>
          <w:p>
            <w:pPr>
              <w:pStyle w:val="BDOITable"/>
            </w:pPr>
            <w:r>
              <w:rPr>
                <w:sz w:val="15"/>
              </w:rPr>
              <w:t>prodrecon (Reconciliation Workbench)</w:t>
            </w:r>
          </w:p>
        </w:tc>
        <w:tc>
          <w:tcPr>
            <w:tcW w:type="dxa" w:w="900"/>
            <w:tcMar>
              <w:top w:w="50" w:type="dxa"/>
              <w:bottom w:w="50" w:type="dxa"/>
              <w:left w:w="90" w:type="dxa"/>
              <w:right w:w="90" w:type="dxa"/>
            </w:tcMar>
            <w:shd w:val="clear" w:color="auto" w:fill="E8F5E9"/>
          </w:tcPr>
          <w:p>
            <w:pPr>
              <w:pStyle w:val="BDOITable"/>
            </w:pPr>
            <w:r>
              <w:rPr>
                <w:b/>
                <w:color w:val="2E7D32"/>
                <w:sz w:val="15"/>
              </w:rPr>
              <w:t>Built</w:t>
            </w:r>
          </w:p>
        </w:tc>
        <w:tc>
          <w:tcPr>
            <w:tcW w:type="dxa" w:w="2908"/>
            <w:tcMar>
              <w:top w:w="50" w:type="dxa"/>
              <w:bottom w:w="50" w:type="dxa"/>
              <w:left w:w="90" w:type="dxa"/>
              <w:right w:w="90" w:type="dxa"/>
            </w:tcMar>
          </w:tcPr>
          <w:p>
            <w:pPr>
              <w:pStyle w:val="BDOITable"/>
            </w:pPr>
            <w:r>
              <w:rPr>
                <w:sz w:val="15"/>
              </w:rPr>
              <w:t>Built with Operations; tested in SIT Drop 2 as BDOI plans. Insurer feedback files are an Insurer System integration.</w:t>
            </w:r>
          </w:p>
        </w:tc>
        <w:tc>
          <w:tcPr>
            <w:tcW w:type="dxa" w:w="1039"/>
            <w:tcMar>
              <w:top w:w="50" w:type="dxa"/>
              <w:bottom w:w="50" w:type="dxa"/>
              <w:left w:w="90" w:type="dxa"/>
              <w:right w:w="90" w:type="dxa"/>
            </w:tcMar>
          </w:tcPr>
          <w:p>
            <w:pPr>
              <w:pStyle w:val="BDOITable"/>
            </w:pPr>
            <w:r>
              <w:rPr>
                <w:sz w:val="15"/>
              </w:rPr>
              <w:t>IQ18</w:t>
            </w:r>
          </w:p>
        </w:tc>
      </w:tr>
      <w:tr>
        <w:trPr>
          <w:cantSplit w:val="true"/>
        </w:trPr>
        <w:tc>
          <w:tcPr>
            <w:tcW w:type="dxa" w:w="623"/>
            <w:tcMar>
              <w:top w:w="50" w:type="dxa"/>
              <w:bottom w:w="50" w:type="dxa"/>
              <w:left w:w="90" w:type="dxa"/>
              <w:right w:w="90" w:type="dxa"/>
            </w:tcMar>
            <w:shd w:val="clear" w:color="auto" w:fill="E5F5FF"/>
          </w:tcPr>
          <w:p>
            <w:pPr>
              <w:pStyle w:val="BDOITable"/>
            </w:pPr>
            <w:r>
              <w:rPr>
                <w:b/>
                <w:sz w:val="15"/>
              </w:rPr>
              <w:t>2.4</w:t>
            </w:r>
          </w:p>
        </w:tc>
        <w:tc>
          <w:tcPr>
            <w:tcW w:type="dxa" w:w="1523"/>
            <w:tcMar>
              <w:top w:w="50" w:type="dxa"/>
              <w:bottom w:w="50" w:type="dxa"/>
              <w:left w:w="90" w:type="dxa"/>
              <w:right w:w="90" w:type="dxa"/>
            </w:tcMar>
            <w:shd w:val="clear" w:color="auto" w:fill="E5F5FF"/>
          </w:tcPr>
          <w:p>
            <w:pPr>
              <w:pStyle w:val="BDOITable"/>
            </w:pPr>
            <w:r>
              <w:rPr>
                <w:sz w:val="15"/>
              </w:rPr>
              <w:t>Employee Benefits (no portal feature)</w:t>
            </w:r>
          </w:p>
        </w:tc>
        <w:tc>
          <w:tcPr>
            <w:tcW w:type="dxa" w:w="1523"/>
            <w:tcMar>
              <w:top w:w="50" w:type="dxa"/>
              <w:bottom w:w="50" w:type="dxa"/>
              <w:left w:w="90" w:type="dxa"/>
              <w:right w:w="90" w:type="dxa"/>
            </w:tcMar>
            <w:shd w:val="clear" w:color="auto" w:fill="E5F5FF"/>
          </w:tcPr>
          <w:p>
            <w:pPr>
              <w:pStyle w:val="BDOITable"/>
            </w:pPr>
            <w:r>
              <w:rPr>
                <w:sz w:val="15"/>
              </w:rPr>
              <w:t>-</w:t>
            </w:r>
          </w:p>
        </w:tc>
        <w:tc>
          <w:tcPr>
            <w:tcW w:type="dxa" w:w="1523"/>
            <w:tcMar>
              <w:top w:w="50" w:type="dxa"/>
              <w:bottom w:w="50" w:type="dxa"/>
              <w:left w:w="90" w:type="dxa"/>
              <w:right w:w="90" w:type="dxa"/>
            </w:tcMar>
            <w:shd w:val="clear" w:color="auto" w:fill="E5F5FF"/>
          </w:tcPr>
          <w:p>
            <w:pPr>
              <w:pStyle w:val="BDOITable"/>
            </w:pPr>
            <w:r>
              <w:rPr>
                <w:sz w:val="15"/>
              </w:rPr>
              <w:t>BRD-8 EB</w:t>
            </w:r>
          </w:p>
        </w:tc>
        <w:tc>
          <w:tcPr>
            <w:tcW w:type="dxa" w:w="1316"/>
            <w:tcMar>
              <w:top w:w="50" w:type="dxa"/>
              <w:bottom w:w="50" w:type="dxa"/>
              <w:left w:w="90" w:type="dxa"/>
              <w:right w:w="90" w:type="dxa"/>
            </w:tcMar>
            <w:shd w:val="clear" w:color="auto" w:fill="E5F5FF"/>
          </w:tcPr>
          <w:p>
            <w:pPr>
              <w:pStyle w:val="BDOITable"/>
            </w:pPr>
            <w:r>
              <w:rPr>
                <w:sz w:val="15"/>
              </w:rPr>
              <w:t>FR-EB</w:t>
            </w:r>
          </w:p>
        </w:tc>
        <w:tc>
          <w:tcPr>
            <w:tcW w:type="dxa" w:w="2216"/>
            <w:tcMar>
              <w:top w:w="50" w:type="dxa"/>
              <w:bottom w:w="50" w:type="dxa"/>
              <w:left w:w="90" w:type="dxa"/>
              <w:right w:w="90" w:type="dxa"/>
            </w:tcMar>
            <w:shd w:val="clear" w:color="auto" w:fill="E5F5FF"/>
          </w:tcPr>
          <w:p>
            <w:pPr>
              <w:pStyle w:val="BDOITable"/>
            </w:pPr>
            <w:r>
              <w:rPr>
                <w:sz w:val="15"/>
              </w:rPr>
              <w:t>eb (designed); portal module (designed) to be dropped</w:t>
            </w:r>
          </w:p>
        </w:tc>
        <w:tc>
          <w:tcPr>
            <w:tcW w:type="dxa" w:w="900"/>
            <w:tcMar>
              <w:top w:w="50" w:type="dxa"/>
              <w:bottom w:w="50" w:type="dxa"/>
              <w:left w:w="90" w:type="dxa"/>
              <w:right w:w="90" w:type="dxa"/>
            </w:tcMar>
            <w:shd w:val="clear" w:color="auto" w:fill="E5F5FF"/>
          </w:tcPr>
          <w:p>
            <w:pPr>
              <w:pStyle w:val="BDOITable"/>
            </w:pPr>
            <w:r>
              <w:rPr>
                <w:sz w:val="15"/>
              </w:rPr>
              <w:t>Designed</w:t>
            </w:r>
          </w:p>
        </w:tc>
        <w:tc>
          <w:tcPr>
            <w:tcW w:type="dxa" w:w="2908"/>
            <w:tcMar>
              <w:top w:w="50" w:type="dxa"/>
              <w:bottom w:w="50" w:type="dxa"/>
              <w:left w:w="90" w:type="dxa"/>
              <w:right w:w="90" w:type="dxa"/>
            </w:tcMar>
            <w:shd w:val="clear" w:color="auto" w:fill="E5F5FF"/>
          </w:tcPr>
          <w:p>
            <w:pPr>
              <w:pStyle w:val="BDOITable"/>
            </w:pPr>
            <w:r>
              <w:rPr>
                <w:sz w:val="15"/>
              </w:rPr>
              <w:t>BRD-8 BRID-005, 005.01, 014 and the EB design use an insurer / client-HR portal; the IER diagram shows an "EB Insurer Portal" tenant.</w:t>
            </w:r>
          </w:p>
        </w:tc>
        <w:tc>
          <w:tcPr>
            <w:tcW w:type="dxa" w:w="1039"/>
            <w:tcMar>
              <w:top w:w="50" w:type="dxa"/>
              <w:bottom w:w="50" w:type="dxa"/>
              <w:left w:w="90" w:type="dxa"/>
              <w:right w:w="90" w:type="dxa"/>
            </w:tcMar>
            <w:shd w:val="clear" w:color="auto" w:fill="E5F5FF"/>
          </w:tcPr>
          <w:p>
            <w:pPr>
              <w:pStyle w:val="BDOITable"/>
            </w:pPr>
            <w:r>
              <w:rPr>
                <w:sz w:val="15"/>
              </w:rPr>
              <w:t>IQ22; DCR-211</w:t>
            </w:r>
          </w:p>
        </w:tc>
      </w:tr>
      <w:tr>
        <w:trPr>
          <w:cantSplit w:val="true"/>
        </w:trPr>
        <w:tc>
          <w:tcPr>
            <w:tcW w:type="dxa" w:w="623"/>
            <w:tcMar>
              <w:top w:w="50" w:type="dxa"/>
              <w:bottom w:w="50" w:type="dxa"/>
              <w:left w:w="90" w:type="dxa"/>
              <w:right w:w="90" w:type="dxa"/>
            </w:tcMar>
          </w:tcPr>
          <w:p>
            <w:pPr>
              <w:pStyle w:val="BDOITable"/>
            </w:pPr>
            <w:r>
              <w:rPr>
                <w:b/>
                <w:sz w:val="15"/>
              </w:rPr>
              <w:t>2.5</w:t>
            </w:r>
          </w:p>
        </w:tc>
        <w:tc>
          <w:tcPr>
            <w:tcW w:type="dxa" w:w="1523"/>
            <w:tcMar>
              <w:top w:w="50" w:type="dxa"/>
              <w:bottom w:w="50" w:type="dxa"/>
              <w:left w:w="90" w:type="dxa"/>
              <w:right w:w="90" w:type="dxa"/>
            </w:tcMar>
          </w:tcPr>
          <w:p>
            <w:pPr>
              <w:pStyle w:val="BDOITable"/>
            </w:pPr>
            <w:r>
              <w:rPr>
                <w:sz w:val="15"/>
              </w:rPr>
              <w:t>Other Reports</w:t>
            </w:r>
          </w:p>
        </w:tc>
        <w:tc>
          <w:tcPr>
            <w:tcW w:type="dxa" w:w="1523"/>
            <w:tcMar>
              <w:top w:w="50" w:type="dxa"/>
              <w:bottom w:w="50" w:type="dxa"/>
              <w:left w:w="90" w:type="dxa"/>
              <w:right w:w="90" w:type="dxa"/>
            </w:tcMar>
          </w:tcPr>
          <w:p>
            <w:pPr>
              <w:pStyle w:val="BDOITable"/>
            </w:pPr>
            <w:r>
              <w:rPr>
                <w:sz w:val="15"/>
              </w:rPr>
              <w:t>-</w:t>
            </w:r>
          </w:p>
        </w:tc>
        <w:tc>
          <w:tcPr>
            <w:tcW w:type="dxa" w:w="1523"/>
            <w:tcMar>
              <w:top w:w="50" w:type="dxa"/>
              <w:bottom w:w="50" w:type="dxa"/>
              <w:left w:w="90" w:type="dxa"/>
              <w:right w:w="90" w:type="dxa"/>
            </w:tcMar>
          </w:tcPr>
          <w:p>
            <w:pPr>
              <w:pStyle w:val="BDOITable"/>
            </w:pPr>
            <w:r>
              <w:rPr>
                <w:sz w:val="15"/>
              </w:rPr>
              <w:t>Report List; BRD-00 CORE-21</w:t>
            </w:r>
          </w:p>
        </w:tc>
        <w:tc>
          <w:tcPr>
            <w:tcW w:type="dxa" w:w="1316"/>
            <w:tcMar>
              <w:top w:w="50" w:type="dxa"/>
              <w:bottom w:w="50" w:type="dxa"/>
              <w:left w:w="90" w:type="dxa"/>
              <w:right w:w="90" w:type="dxa"/>
            </w:tcMar>
          </w:tcPr>
          <w:p>
            <w:pPr>
              <w:pStyle w:val="BDOITable"/>
            </w:pPr>
            <w:r>
              <w:rPr>
                <w:sz w:val="15"/>
              </w:rPr>
              <w:t>FR-CR (reports)</w:t>
            </w:r>
          </w:p>
        </w:tc>
        <w:tc>
          <w:tcPr>
            <w:tcW w:type="dxa" w:w="2216"/>
            <w:tcMar>
              <w:top w:w="50" w:type="dxa"/>
              <w:bottom w:w="50" w:type="dxa"/>
              <w:left w:w="90" w:type="dxa"/>
              <w:right w:w="90" w:type="dxa"/>
            </w:tcMar>
          </w:tcPr>
          <w:p>
            <w:pPr>
              <w:pStyle w:val="BDOITable"/>
            </w:pPr>
            <w:r>
              <w:rPr>
                <w:sz w:val="15"/>
              </w:rPr>
              <w:t>report (Report Centre, 174 definitions)</w:t>
            </w:r>
          </w:p>
        </w:tc>
        <w:tc>
          <w:tcPr>
            <w:tcW w:type="dxa" w:w="900"/>
            <w:tcMar>
              <w:top w:w="50" w:type="dxa"/>
              <w:bottom w:w="50" w:type="dxa"/>
              <w:left w:w="90" w:type="dxa"/>
              <w:right w:w="90" w:type="dxa"/>
            </w:tcMar>
          </w:tcPr>
          <w:p>
            <w:pPr>
              <w:pStyle w:val="BDOITable"/>
            </w:pPr>
            <w:r>
              <w:rPr>
                <w:sz w:val="15"/>
              </w:rPr>
              <w:t>Mixed</w:t>
            </w:r>
          </w:p>
        </w:tc>
        <w:tc>
          <w:tcPr>
            <w:tcW w:type="dxa" w:w="2908"/>
            <w:tcMar>
              <w:top w:w="50" w:type="dxa"/>
              <w:bottom w:w="50" w:type="dxa"/>
              <w:left w:w="90" w:type="dxa"/>
              <w:right w:w="90" w:type="dxa"/>
            </w:tcMar>
          </w:tcPr>
          <w:p>
            <w:pPr>
              <w:pStyle w:val="BDOITable"/>
            </w:pPr>
            <w:r>
              <w:rPr>
                <w:sz w:val="15"/>
              </w:rPr>
              <w:t>"Other" is not defined; propose: every Report List item not owned by a Drop 1 module.</w:t>
            </w:r>
          </w:p>
        </w:tc>
        <w:tc>
          <w:tcPr>
            <w:tcW w:type="dxa" w:w="1039"/>
            <w:tcMar>
              <w:top w:w="50" w:type="dxa"/>
              <w:bottom w:w="50" w:type="dxa"/>
              <w:left w:w="90" w:type="dxa"/>
              <w:right w:w="90" w:type="dxa"/>
            </w:tcMar>
          </w:tcPr>
          <w:p>
            <w:pPr>
              <w:pStyle w:val="BDOITable"/>
            </w:pPr>
            <w:r>
              <w:rPr>
                <w:sz w:val="15"/>
              </w:rPr>
              <w:t>DCR-235</w:t>
            </w:r>
          </w:p>
        </w:tc>
      </w:tr>
    </w:tbl>
    <w:p>
      <w:pPr>
        <w:pStyle w:val="BDOISpacer"/>
      </w:pPr>
    </w:p>
    <w:p>
      <w:pPr>
        <w:sectPr>
          <w:headerReference w:type="default" r:id="rId16"/>
          <w:footerReference w:type="default" r:id="rId17"/>
          <w:headerReference w:type="first" r:id="rId18"/>
          <w:footerReference w:type="first" r:id="rId19"/>
          <w:pgSz w:w="15840" w:h="12240" w:orient="landscape"/>
          <w:pgMar w:top="1417" w:right="1134" w:bottom="1247" w:left="1134" w:header="567" w:footer="510" w:gutter="0"/>
          <w:cols w:space="720"/>
          <w:docGrid w:linePitch="360"/>
        </w:sectPr>
      </w:pPr>
    </w:p>
    <w:p>
      <w:pPr>
        <w:pStyle w:val="Heading2"/>
      </w:pPr>
      <w:bookmarkStart w:id="109" w:name="_Toc000109"/>
      <w:r>
        <w:rPr/>
        <w:t>2.3 Gaps and mismatches in the drop plan</w:t>
      </w:r>
      <w:bookmarkEnd w:id="109"/>
    </w:p>
    <w:p>
      <w:pPr>
        <w:pStyle w:val="Caption"/>
        <w:keepNext/>
        <w:spacing w:after="60"/>
      </w:pPr>
      <w:r>
        <w:rPr>
          <w:b/>
          <w:i w:val="0"/>
        </w:rPr>
        <w:t xml:space="preserve">Table 7: </w:t>
      </w:r>
      <w:r>
        <w:rPr/>
        <w:t>Gaps and mismatches in the drop plan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04"/>
        <w:gridCol w:w="4671"/>
        <w:gridCol w:w="3534"/>
        <w:gridCol w:w="1262"/>
      </w:tblGrid>
      <w:tr>
        <w:trPr>
          <w:tblHeader w:val="true"/>
          <w:cantSplit w:val="true"/>
        </w:trPr>
        <w:tc>
          <w:tcPr>
            <w:tcW w:type="dxa" w:w="505"/>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4670"/>
            <w:shd w:val="clear" w:color="auto" w:fill="004EA8"/>
            <w:tcMar>
              <w:top w:w="50" w:type="dxa"/>
              <w:bottom w:w="50" w:type="dxa"/>
              <w:left w:w="90" w:type="dxa"/>
              <w:right w:w="90" w:type="dxa"/>
            </w:tcMar>
            <w:vAlign w:val="center"/>
          </w:tcPr>
          <w:p>
            <w:pPr>
              <w:pStyle w:val="BDOITableHeader"/>
            </w:pPr>
            <w:r>
              <w:rPr>
                <w:b/>
                <w:color w:val="FFFFFF"/>
                <w:sz w:val="17"/>
              </w:rPr>
              <w:t>Finding</w:t>
            </w:r>
          </w:p>
        </w:tc>
        <w:tc>
          <w:tcPr>
            <w:tcW w:type="dxa" w:w="3534"/>
            <w:shd w:val="clear" w:color="auto" w:fill="004EA8"/>
            <w:tcMar>
              <w:top w:w="50" w:type="dxa"/>
              <w:bottom w:w="50" w:type="dxa"/>
              <w:left w:w="90" w:type="dxa"/>
              <w:right w:w="90" w:type="dxa"/>
            </w:tcMar>
            <w:vAlign w:val="center"/>
          </w:tcPr>
          <w:p>
            <w:pPr>
              <w:pStyle w:val="BDOITableHeader"/>
            </w:pPr>
            <w:r>
              <w:rPr>
                <w:b/>
                <w:color w:val="FFFFFF"/>
                <w:sz w:val="17"/>
              </w:rPr>
              <w:t>Proposal</w:t>
            </w:r>
          </w:p>
        </w:tc>
        <w:tc>
          <w:tcPr>
            <w:tcW w:type="dxa" w:w="1262"/>
            <w:shd w:val="clear" w:color="auto" w:fill="004EA8"/>
            <w:tcMar>
              <w:top w:w="50" w:type="dxa"/>
              <w:bottom w:w="50" w:type="dxa"/>
              <w:left w:w="90" w:type="dxa"/>
              <w:right w:w="90" w:type="dxa"/>
            </w:tcMar>
            <w:vAlign w:val="center"/>
          </w:tcPr>
          <w:p>
            <w:pPr>
              <w:pStyle w:val="BDOITableHeader"/>
            </w:pPr>
            <w:r>
              <w:rPr>
                <w:b/>
                <w:color w:val="FFFFFF"/>
                <w:sz w:val="17"/>
              </w:rPr>
              <w:t>Refs</w:t>
            </w:r>
          </w:p>
        </w:tc>
      </w:tr>
      <w:tr>
        <w:trPr>
          <w:cantSplit w:val="true"/>
        </w:trPr>
        <w:tc>
          <w:tcPr>
            <w:tcW w:type="dxa" w:w="505"/>
            <w:tcMar>
              <w:top w:w="50" w:type="dxa"/>
              <w:bottom w:w="50" w:type="dxa"/>
              <w:left w:w="90" w:type="dxa"/>
              <w:right w:w="90" w:type="dxa"/>
            </w:tcMar>
          </w:tcPr>
          <w:p>
            <w:pPr>
              <w:pStyle w:val="BDOITable"/>
            </w:pPr>
            <w:r>
              <w:rPr>
                <w:b/>
                <w:sz w:val="17"/>
              </w:rPr>
              <w:t>M1</w:t>
            </w:r>
          </w:p>
        </w:tc>
        <w:tc>
          <w:tcPr>
            <w:tcW w:type="dxa" w:w="4670"/>
            <w:tcMar>
              <w:top w:w="50" w:type="dxa"/>
              <w:bottom w:w="50" w:type="dxa"/>
              <w:left w:w="90" w:type="dxa"/>
              <w:right w:w="90" w:type="dxa"/>
            </w:tcMar>
          </w:tcPr>
          <w:p>
            <w:pPr>
              <w:pStyle w:val="BDOITable"/>
            </w:pPr>
            <w:r>
              <w:rPr>
                <w:b/>
                <w:sz w:val="17"/>
              </w:rPr>
              <w:t>Reinsurance under Remittance (1.D3).</w:t>
            </w:r>
            <w:r>
              <w:rPr>
                <w:sz w:val="17"/>
              </w:rPr>
              <w:t xml:space="preserve"> The slide names the Reinsurance BRD for Remittance; the ReInsurance BRD is phase 2. BDOI answered that Remittance handles the reinsurance transactions (A3), but which transactions and with which accounting is not written anywhere</w:t>
            </w:r>
          </w:p>
        </w:tc>
        <w:tc>
          <w:tcPr>
            <w:tcW w:type="dxa" w:w="3534"/>
            <w:tcMar>
              <w:top w:w="50" w:type="dxa"/>
              <w:bottom w:w="50" w:type="dxa"/>
              <w:left w:w="90" w:type="dxa"/>
              <w:right w:w="90" w:type="dxa"/>
            </w:tcMar>
          </w:tcPr>
          <w:p>
            <w:pPr>
              <w:pStyle w:val="BDOITable"/>
            </w:pPr>
            <w:r>
              <w:rPr>
                <w:sz w:val="17"/>
              </w:rPr>
              <w:t xml:space="preserve">BDOI names the transactions and supplies the "Remittance Addendum"; BIBS handles them in </w:t>
            </w:r>
            <w:r>
              <w:rPr>
                <w:rFonts w:ascii="Courier New" w:hAnsi="Courier New" w:cs="Courier New" w:eastAsia="Courier New"/>
                <w:color w:val="2E2E2E"/>
                <w:sz w:val="15"/>
              </w:rPr>
              <w:t>remittance</w:t>
            </w:r>
            <w:r>
              <w:rPr>
                <w:sz w:val="17"/>
              </w:rPr>
              <w:t xml:space="preserve"> as insurer-like counterparties; the treaty and facultative module stays phase 2</w:t>
            </w:r>
          </w:p>
        </w:tc>
        <w:tc>
          <w:tcPr>
            <w:tcW w:type="dxa" w:w="1262"/>
            <w:tcMar>
              <w:top w:w="50" w:type="dxa"/>
              <w:bottom w:w="50" w:type="dxa"/>
              <w:left w:w="90" w:type="dxa"/>
              <w:right w:w="90" w:type="dxa"/>
            </w:tcMar>
          </w:tcPr>
          <w:p>
            <w:pPr>
              <w:pStyle w:val="BDOITable"/>
            </w:pPr>
            <w:r>
              <w:rPr>
                <w:sz w:val="17"/>
              </w:rPr>
              <w:t>IQ20, DCR-210</w:t>
            </w:r>
          </w:p>
        </w:tc>
      </w:tr>
      <w:tr>
        <w:trPr>
          <w:cantSplit w:val="true"/>
        </w:trPr>
        <w:tc>
          <w:tcPr>
            <w:tcW w:type="dxa" w:w="505"/>
            <w:tcMar>
              <w:top w:w="50" w:type="dxa"/>
              <w:bottom w:w="50" w:type="dxa"/>
              <w:left w:w="90" w:type="dxa"/>
              <w:right w:w="90" w:type="dxa"/>
            </w:tcMar>
            <w:shd w:val="clear" w:color="auto" w:fill="E5F5FF"/>
          </w:tcPr>
          <w:p>
            <w:pPr>
              <w:pStyle w:val="BDOITable"/>
            </w:pPr>
            <w:r>
              <w:rPr>
                <w:b/>
                <w:sz w:val="17"/>
              </w:rPr>
              <w:t>M2</w:t>
            </w:r>
          </w:p>
        </w:tc>
        <w:tc>
          <w:tcPr>
            <w:tcW w:type="dxa" w:w="4670"/>
            <w:tcMar>
              <w:top w:w="50" w:type="dxa"/>
              <w:bottom w:w="50" w:type="dxa"/>
              <w:left w:w="90" w:type="dxa"/>
              <w:right w:w="90" w:type="dxa"/>
            </w:tcMar>
            <w:shd w:val="clear" w:color="auto" w:fill="E5F5FF"/>
          </w:tcPr>
          <w:p>
            <w:pPr>
              <w:pStyle w:val="BDOITable"/>
            </w:pPr>
            <w:r>
              <w:rPr>
                <w:b/>
                <w:sz w:val="17"/>
              </w:rPr>
              <w:t>Employee Benefits "no portal feature" (2.4).</w:t>
            </w:r>
            <w:r>
              <w:rPr>
                <w:sz w:val="17"/>
              </w:rPr>
              <w:t xml:space="preserve"> BRD-8 (BRID-005, 005.01, 014) and the EB design use an insurer and client-HR portal; the IER diagram shows an "EB Insurer Portal" tenant</w:t>
            </w:r>
          </w:p>
        </w:tc>
        <w:tc>
          <w:tcPr>
            <w:tcW w:type="dxa" w:w="3534"/>
            <w:tcMar>
              <w:top w:w="50" w:type="dxa"/>
              <w:bottom w:w="50" w:type="dxa"/>
              <w:left w:w="90" w:type="dxa"/>
              <w:right w:w="90" w:type="dxa"/>
            </w:tcMar>
            <w:shd w:val="clear" w:color="auto" w:fill="E5F5FF"/>
          </w:tcPr>
          <w:p>
            <w:pPr>
              <w:pStyle w:val="BDOITable"/>
            </w:pPr>
            <w:r>
              <w:rPr>
                <w:sz w:val="17"/>
              </w:rPr>
              <w:t xml:space="preserve">Drop the </w:t>
            </w:r>
            <w:r>
              <w:rPr>
                <w:rFonts w:ascii="Courier New" w:hAnsi="Courier New" w:cs="Courier New" w:eastAsia="Courier New"/>
                <w:color w:val="2E2E2E"/>
                <w:sz w:val="15"/>
              </w:rPr>
              <w:t>portal</w:t>
            </w:r>
            <w:r>
              <w:rPr>
                <w:sz w:val="17"/>
              </w:rPr>
              <w:t xml:space="preserve"> module from the EB build; insurers and client HR send documents by e-mail and EB users upload them; FRS BRD-8 re-issued</w:t>
            </w:r>
          </w:p>
        </w:tc>
        <w:tc>
          <w:tcPr>
            <w:tcW w:type="dxa" w:w="1262"/>
            <w:tcMar>
              <w:top w:w="50" w:type="dxa"/>
              <w:bottom w:w="50" w:type="dxa"/>
              <w:left w:w="90" w:type="dxa"/>
              <w:right w:w="90" w:type="dxa"/>
            </w:tcMar>
            <w:shd w:val="clear" w:color="auto" w:fill="E5F5FF"/>
          </w:tcPr>
          <w:p>
            <w:pPr>
              <w:pStyle w:val="BDOITable"/>
            </w:pPr>
            <w:r>
              <w:rPr>
                <w:sz w:val="17"/>
              </w:rPr>
              <w:t>IQ22, DCR-211</w:t>
            </w:r>
          </w:p>
        </w:tc>
      </w:tr>
      <w:tr>
        <w:trPr>
          <w:cantSplit w:val="true"/>
        </w:trPr>
        <w:tc>
          <w:tcPr>
            <w:tcW w:type="dxa" w:w="505"/>
            <w:tcMar>
              <w:top w:w="50" w:type="dxa"/>
              <w:bottom w:w="50" w:type="dxa"/>
              <w:left w:w="90" w:type="dxa"/>
              <w:right w:w="90" w:type="dxa"/>
            </w:tcMar>
          </w:tcPr>
          <w:p>
            <w:pPr>
              <w:pStyle w:val="BDOITable"/>
            </w:pPr>
            <w:r>
              <w:rPr>
                <w:b/>
                <w:sz w:val="17"/>
              </w:rPr>
              <w:t>M3</w:t>
            </w:r>
          </w:p>
        </w:tc>
        <w:tc>
          <w:tcPr>
            <w:tcW w:type="dxa" w:w="4670"/>
            <w:tcMar>
              <w:top w:w="50" w:type="dxa"/>
              <w:bottom w:w="50" w:type="dxa"/>
              <w:left w:w="90" w:type="dxa"/>
              <w:right w:w="90" w:type="dxa"/>
            </w:tcMar>
          </w:tcPr>
          <w:p>
            <w:pPr>
              <w:pStyle w:val="BDOITable"/>
            </w:pPr>
            <w:r>
              <w:rPr>
                <w:b/>
                <w:sz w:val="17"/>
              </w:rPr>
              <w:t>"Marketing Collection (extraction)" in Drop 2.</w:t>
            </w:r>
            <w:r>
              <w:rPr>
                <w:sz w:val="17"/>
              </w:rPr>
              <w:t xml:space="preserve"> BRD-4 Collections is a BIBS module fed by the Operations ledger; no extraction is needed inside BIBS. The item may assume the legacy Collection Management System stays</w:t>
            </w:r>
          </w:p>
        </w:tc>
        <w:tc>
          <w:tcPr>
            <w:tcW w:type="dxa" w:w="3534"/>
            <w:tcMar>
              <w:top w:w="50" w:type="dxa"/>
              <w:bottom w:w="50" w:type="dxa"/>
              <w:left w:w="90" w:type="dxa"/>
              <w:right w:w="90" w:type="dxa"/>
            </w:tcMar>
          </w:tcPr>
          <w:p>
            <w:pPr>
              <w:pStyle w:val="BDOITable"/>
            </w:pPr>
            <w:r>
              <w:rPr>
                <w:sz w:val="17"/>
              </w:rPr>
              <w:t>BDOI confirms that BRD-4 in BIBS replaces the Collection Management System; the item then means the Collections daily files</w:t>
            </w:r>
          </w:p>
        </w:tc>
        <w:tc>
          <w:tcPr>
            <w:tcW w:type="dxa" w:w="1262"/>
            <w:tcMar>
              <w:top w:w="50" w:type="dxa"/>
              <w:bottom w:w="50" w:type="dxa"/>
              <w:left w:w="90" w:type="dxa"/>
              <w:right w:w="90" w:type="dxa"/>
            </w:tcMar>
          </w:tcPr>
          <w:p>
            <w:pPr>
              <w:pStyle w:val="BDOITable"/>
            </w:pPr>
            <w:r>
              <w:rPr>
                <w:sz w:val="17"/>
              </w:rPr>
              <w:t>IQ21, DCR-212</w:t>
            </w:r>
          </w:p>
        </w:tc>
      </w:tr>
      <w:tr>
        <w:trPr>
          <w:cantSplit w:val="true"/>
        </w:trPr>
        <w:tc>
          <w:tcPr>
            <w:tcW w:type="dxa" w:w="505"/>
            <w:tcMar>
              <w:top w:w="50" w:type="dxa"/>
              <w:bottom w:w="50" w:type="dxa"/>
              <w:left w:w="90" w:type="dxa"/>
              <w:right w:w="90" w:type="dxa"/>
            </w:tcMar>
            <w:shd w:val="clear" w:color="auto" w:fill="E5F5FF"/>
          </w:tcPr>
          <w:p>
            <w:pPr>
              <w:pStyle w:val="BDOITable"/>
            </w:pPr>
            <w:r>
              <w:rPr>
                <w:b/>
                <w:sz w:val="17"/>
              </w:rPr>
              <w:t>M4</w:t>
            </w:r>
          </w:p>
        </w:tc>
        <w:tc>
          <w:tcPr>
            <w:tcW w:type="dxa" w:w="4670"/>
            <w:tcMar>
              <w:top w:w="50" w:type="dxa"/>
              <w:bottom w:w="50" w:type="dxa"/>
              <w:left w:w="90" w:type="dxa"/>
              <w:right w:w="90" w:type="dxa"/>
            </w:tcMar>
            <w:shd w:val="clear" w:color="auto" w:fill="E5F5FF"/>
          </w:tcPr>
          <w:p>
            <w:pPr>
              <w:pStyle w:val="BDOITable"/>
            </w:pPr>
            <w:r>
              <w:rPr>
                <w:b/>
                <w:sz w:val="17"/>
              </w:rPr>
              <w:t>Claims and Production Reconciliation in Drop 2.</w:t>
            </w:r>
            <w:r>
              <w:rPr>
                <w:sz w:val="17"/>
              </w:rPr>
              <w:t xml:space="preserve"> Both are built (Claims is being completed). No conflict: they are tested in SIT Drop 2 (Jul - Sep 2027); Production Reconciliation is a chapter of the BRD-2 FRS, which is otherwise in Drop 1</w:t>
            </w:r>
          </w:p>
        </w:tc>
        <w:tc>
          <w:tcPr>
            <w:tcW w:type="dxa" w:w="3534"/>
            <w:tcMar>
              <w:top w:w="50" w:type="dxa"/>
              <w:bottom w:w="50" w:type="dxa"/>
              <w:left w:w="90" w:type="dxa"/>
              <w:right w:w="90" w:type="dxa"/>
            </w:tcMar>
            <w:shd w:val="clear" w:color="auto" w:fill="E5F5FF"/>
          </w:tcPr>
          <w:p>
            <w:pPr>
              <w:pStyle w:val="BDOITable"/>
            </w:pPr>
            <w:r>
              <w:rPr>
                <w:sz w:val="17"/>
              </w:rPr>
              <w:t>Split the BRD-2 test plan by chapter</w:t>
            </w:r>
          </w:p>
        </w:tc>
        <w:tc>
          <w:tcPr>
            <w:tcW w:type="dxa" w:w="1262"/>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505"/>
            <w:tcMar>
              <w:top w:w="50" w:type="dxa"/>
              <w:bottom w:w="50" w:type="dxa"/>
              <w:left w:w="90" w:type="dxa"/>
              <w:right w:w="90" w:type="dxa"/>
            </w:tcMar>
          </w:tcPr>
          <w:p>
            <w:pPr>
              <w:pStyle w:val="BDOITable"/>
            </w:pPr>
            <w:r>
              <w:rPr>
                <w:b/>
                <w:sz w:val="17"/>
              </w:rPr>
              <w:t>M5</w:t>
            </w:r>
          </w:p>
        </w:tc>
        <w:tc>
          <w:tcPr>
            <w:tcW w:type="dxa" w:w="4670"/>
            <w:tcMar>
              <w:top w:w="50" w:type="dxa"/>
              <w:bottom w:w="50" w:type="dxa"/>
              <w:left w:w="90" w:type="dxa"/>
              <w:right w:w="90" w:type="dxa"/>
            </w:tcMar>
          </w:tcPr>
          <w:p>
            <w:pPr>
              <w:pStyle w:val="BDOITable"/>
            </w:pPr>
            <w:r>
              <w:rPr>
                <w:b/>
                <w:sz w:val="17"/>
              </w:rPr>
              <w:t>Data Management, Workflow, Accessibility &amp; Login (Drop 0) have no BRD.</w:t>
            </w:r>
            <w:r>
              <w:rPr>
                <w:sz w:val="17"/>
              </w:rPr>
              <w:t xml:space="preserve"> Data Management is umbrella capability CORE-17 (MIS fields NEW, insurer management CHANGE); Workflow is platform; "Accessibility" can mean sign-in or WCAG accessibility</w:t>
            </w:r>
          </w:p>
        </w:tc>
        <w:tc>
          <w:tcPr>
            <w:tcW w:type="dxa" w:w="3534"/>
            <w:tcMar>
              <w:top w:w="50" w:type="dxa"/>
              <w:bottom w:w="50" w:type="dxa"/>
              <w:left w:w="90" w:type="dxa"/>
              <w:right w:w="90" w:type="dxa"/>
            </w:tcMar>
          </w:tcPr>
          <w:p>
            <w:pPr>
              <w:pStyle w:val="BDOITable"/>
            </w:pPr>
            <w:r>
              <w:rPr>
                <w:sz w:val="17"/>
              </w:rPr>
              <w:t>Use CORE-17, BRD-11 plus EIAM, and each BRD's workflows as the acceptance basis; the accessibility statement (deliverable 40) covers WCAG</w:t>
            </w:r>
          </w:p>
        </w:tc>
        <w:tc>
          <w:tcPr>
            <w:tcW w:type="dxa" w:w="1262"/>
            <w:tcMar>
              <w:top w:w="50" w:type="dxa"/>
              <w:bottom w:w="50" w:type="dxa"/>
              <w:left w:w="90" w:type="dxa"/>
              <w:right w:w="90" w:type="dxa"/>
            </w:tcMar>
          </w:tcPr>
          <w:p>
            <w:pPr>
              <w:pStyle w:val="BDOITable"/>
            </w:pPr>
            <w:r>
              <w:rPr>
                <w:sz w:val="17"/>
              </w:rPr>
              <w:t>IQ24, DCR-214</w:t>
            </w:r>
          </w:p>
        </w:tc>
      </w:tr>
      <w:tr>
        <w:trPr>
          <w:cantSplit w:val="true"/>
        </w:trPr>
        <w:tc>
          <w:tcPr>
            <w:tcW w:type="dxa" w:w="505"/>
            <w:tcMar>
              <w:top w:w="50" w:type="dxa"/>
              <w:bottom w:w="50" w:type="dxa"/>
              <w:left w:w="90" w:type="dxa"/>
              <w:right w:w="90" w:type="dxa"/>
            </w:tcMar>
            <w:shd w:val="clear" w:color="auto" w:fill="E5F5FF"/>
          </w:tcPr>
          <w:p>
            <w:pPr>
              <w:pStyle w:val="BDOITable"/>
            </w:pPr>
            <w:r>
              <w:rPr>
                <w:b/>
                <w:sz w:val="17"/>
              </w:rPr>
              <w:t>M6</w:t>
            </w:r>
          </w:p>
        </w:tc>
        <w:tc>
          <w:tcPr>
            <w:tcW w:type="dxa" w:w="4670"/>
            <w:tcMar>
              <w:top w:w="50" w:type="dxa"/>
              <w:bottom w:w="50" w:type="dxa"/>
              <w:left w:w="90" w:type="dxa"/>
              <w:right w:w="90" w:type="dxa"/>
            </w:tcMar>
            <w:shd w:val="clear" w:color="auto" w:fill="E5F5FF"/>
          </w:tcPr>
          <w:p>
            <w:pPr>
              <w:pStyle w:val="BDOITable"/>
            </w:pPr>
            <w:r>
              <w:rPr>
                <w:b/>
                <w:sz w:val="17"/>
              </w:rPr>
              <w:t>BRDs not on the slide.</w:t>
            </w:r>
            <w:r>
              <w:rPr>
                <w:sz w:val="17"/>
              </w:rPr>
              <w:t xml:space="preserve"> BRD-10 Sanction Screening (built) and the CSF service-request functions (designed) are in no drop</w:t>
            </w:r>
          </w:p>
        </w:tc>
        <w:tc>
          <w:tcPr>
            <w:tcW w:type="dxa" w:w="3534"/>
            <w:tcMar>
              <w:top w:w="50" w:type="dxa"/>
              <w:bottom w:w="50" w:type="dxa"/>
              <w:left w:w="90" w:type="dxa"/>
              <w:right w:w="90" w:type="dxa"/>
            </w:tcMar>
            <w:shd w:val="clear" w:color="auto" w:fill="E5F5FF"/>
          </w:tcPr>
          <w:p>
            <w:pPr>
              <w:pStyle w:val="BDOITable"/>
            </w:pPr>
            <w:r>
              <w:rPr>
                <w:sz w:val="17"/>
              </w:rPr>
              <w:t>BRD-10 in Drop 1 with Client Onboarding; CSF service requests in Drop 2</w:t>
            </w:r>
          </w:p>
        </w:tc>
        <w:tc>
          <w:tcPr>
            <w:tcW w:type="dxa" w:w="1262"/>
            <w:tcMar>
              <w:top w:w="50" w:type="dxa"/>
              <w:bottom w:w="50" w:type="dxa"/>
              <w:left w:w="90" w:type="dxa"/>
              <w:right w:w="90" w:type="dxa"/>
            </w:tcMar>
            <w:shd w:val="clear" w:color="auto" w:fill="E5F5FF"/>
          </w:tcPr>
          <w:p>
            <w:pPr>
              <w:pStyle w:val="BDOITable"/>
            </w:pPr>
            <w:r>
              <w:rPr>
                <w:sz w:val="17"/>
              </w:rPr>
              <w:t>IQ23, DCR-213</w:t>
            </w:r>
          </w:p>
        </w:tc>
      </w:tr>
      <w:tr>
        <w:trPr>
          <w:cantSplit w:val="true"/>
        </w:trPr>
        <w:tc>
          <w:tcPr>
            <w:tcW w:type="dxa" w:w="505"/>
            <w:tcMar>
              <w:top w:w="50" w:type="dxa"/>
              <w:bottom w:w="50" w:type="dxa"/>
              <w:left w:w="90" w:type="dxa"/>
              <w:right w:w="90" w:type="dxa"/>
            </w:tcMar>
          </w:tcPr>
          <w:p>
            <w:pPr>
              <w:pStyle w:val="BDOITable"/>
            </w:pPr>
            <w:r>
              <w:rPr>
                <w:b/>
                <w:sz w:val="17"/>
              </w:rPr>
              <w:t>M7</w:t>
            </w:r>
          </w:p>
        </w:tc>
        <w:tc>
          <w:tcPr>
            <w:tcW w:type="dxa" w:w="4670"/>
            <w:tcMar>
              <w:top w:w="50" w:type="dxa"/>
              <w:bottom w:w="50" w:type="dxa"/>
              <w:left w:w="90" w:type="dxa"/>
              <w:right w:w="90" w:type="dxa"/>
            </w:tcMar>
          </w:tcPr>
          <w:p>
            <w:pPr>
              <w:pStyle w:val="BDOITable"/>
            </w:pPr>
            <w:r>
              <w:rPr>
                <w:b/>
                <w:sz w:val="17"/>
              </w:rPr>
              <w:t>Documents we do not have.</w:t>
            </w:r>
            <w:r>
              <w:rPr>
                <w:sz w:val="17"/>
              </w:rPr>
              <w:t xml:space="preserve"> "Operations BRD (Cashiering Addendum)" and "(Remittance Addendum)" are named on the slide; the BIBS pack has only Operations Addendum 1 (RMTID.002, ADJID.014)</w:t>
            </w:r>
          </w:p>
        </w:tc>
        <w:tc>
          <w:tcPr>
            <w:tcW w:type="dxa" w:w="3534"/>
            <w:tcMar>
              <w:top w:w="50" w:type="dxa"/>
              <w:bottom w:w="50" w:type="dxa"/>
              <w:left w:w="90" w:type="dxa"/>
              <w:right w:w="90" w:type="dxa"/>
            </w:tcMar>
          </w:tcPr>
          <w:p>
            <w:pPr>
              <w:pStyle w:val="BDOITable"/>
            </w:pPr>
            <w:r>
              <w:rPr>
                <w:sz w:val="17"/>
              </w:rPr>
              <w:t>BDOI supplies them</w:t>
            </w:r>
          </w:p>
        </w:tc>
        <w:tc>
          <w:tcPr>
            <w:tcW w:type="dxa" w:w="1262"/>
            <w:tcMar>
              <w:top w:w="50" w:type="dxa"/>
              <w:bottom w:w="50" w:type="dxa"/>
              <w:left w:w="90" w:type="dxa"/>
              <w:right w:w="90" w:type="dxa"/>
            </w:tcMar>
          </w:tcPr>
          <w:p>
            <w:pPr>
              <w:pStyle w:val="BDOITable"/>
            </w:pPr>
            <w:r>
              <w:rPr>
                <w:sz w:val="17"/>
              </w:rPr>
              <w:t>IQ20, DCR-215</w:t>
            </w:r>
          </w:p>
        </w:tc>
      </w:tr>
      <w:tr>
        <w:trPr>
          <w:cantSplit w:val="true"/>
        </w:trPr>
        <w:tc>
          <w:tcPr>
            <w:tcW w:type="dxa" w:w="505"/>
            <w:tcMar>
              <w:top w:w="50" w:type="dxa"/>
              <w:bottom w:w="50" w:type="dxa"/>
              <w:left w:w="90" w:type="dxa"/>
              <w:right w:w="90" w:type="dxa"/>
            </w:tcMar>
            <w:shd w:val="clear" w:color="auto" w:fill="E5F5FF"/>
          </w:tcPr>
          <w:p>
            <w:pPr>
              <w:pStyle w:val="BDOITable"/>
            </w:pPr>
            <w:r>
              <w:rPr>
                <w:b/>
                <w:sz w:val="17"/>
              </w:rPr>
              <w:t>M8</w:t>
            </w:r>
          </w:p>
        </w:tc>
        <w:tc>
          <w:tcPr>
            <w:tcW w:type="dxa" w:w="4670"/>
            <w:tcMar>
              <w:top w:w="50" w:type="dxa"/>
              <w:bottom w:w="50" w:type="dxa"/>
              <w:left w:w="90" w:type="dxa"/>
              <w:right w:w="90" w:type="dxa"/>
            </w:tcMar>
            <w:shd w:val="clear" w:color="auto" w:fill="E5F5FF"/>
          </w:tcPr>
          <w:p>
            <w:pPr>
              <w:pStyle w:val="BDOITable"/>
            </w:pPr>
            <w:r>
              <w:rPr>
                <w:b/>
                <w:sz w:val="17"/>
              </w:rPr>
              <w:t>EB in Drop 1.</w:t>
            </w:r>
            <w:r>
              <w:rPr>
                <w:sz w:val="17"/>
              </w:rPr>
              <w:t xml:space="preserve"> Placement &amp; ePolicy and Reports (upstream) name Employee Benefits, while the EB module is Drop 2</w:t>
            </w:r>
          </w:p>
        </w:tc>
        <w:tc>
          <w:tcPr>
            <w:tcW w:type="dxa" w:w="3534"/>
            <w:tcMar>
              <w:top w:w="50" w:type="dxa"/>
              <w:bottom w:w="50" w:type="dxa"/>
              <w:left w:w="90" w:type="dxa"/>
              <w:right w:w="90" w:type="dxa"/>
            </w:tcMar>
            <w:shd w:val="clear" w:color="auto" w:fill="E5F5FF"/>
          </w:tcPr>
          <w:p>
            <w:pPr>
              <w:pStyle w:val="BDOITable"/>
            </w:pPr>
            <w:r>
              <w:rPr>
                <w:sz w:val="17"/>
              </w:rPr>
              <w:t>EB programmes are placed through the NB placement screens in Drop 1; EB servicing in Drop 2</w:t>
            </w:r>
          </w:p>
        </w:tc>
        <w:tc>
          <w:tcPr>
            <w:tcW w:type="dxa" w:w="1262"/>
            <w:tcMar>
              <w:top w:w="50" w:type="dxa"/>
              <w:bottom w:w="50" w:type="dxa"/>
              <w:left w:w="90" w:type="dxa"/>
              <w:right w:w="90" w:type="dxa"/>
            </w:tcMar>
            <w:shd w:val="clear" w:color="auto" w:fill="E5F5FF"/>
          </w:tcPr>
          <w:p>
            <w:pPr>
              <w:pStyle w:val="BDOITable"/>
            </w:pPr>
            <w:r>
              <w:rPr>
                <w:sz w:val="17"/>
              </w:rPr>
              <w:t>IQ22, DCR-235</w:t>
            </w:r>
          </w:p>
        </w:tc>
      </w:tr>
      <w:tr>
        <w:trPr>
          <w:cantSplit w:val="true"/>
        </w:trPr>
        <w:tc>
          <w:tcPr>
            <w:tcW w:type="dxa" w:w="505"/>
            <w:tcMar>
              <w:top w:w="50" w:type="dxa"/>
              <w:bottom w:w="50" w:type="dxa"/>
              <w:left w:w="90" w:type="dxa"/>
              <w:right w:w="90" w:type="dxa"/>
            </w:tcMar>
          </w:tcPr>
          <w:p>
            <w:pPr>
              <w:pStyle w:val="BDOITable"/>
            </w:pPr>
            <w:r>
              <w:rPr>
                <w:b/>
                <w:sz w:val="17"/>
              </w:rPr>
              <w:t>M9</w:t>
            </w:r>
          </w:p>
        </w:tc>
        <w:tc>
          <w:tcPr>
            <w:tcW w:type="dxa" w:w="4670"/>
            <w:tcMar>
              <w:top w:w="50" w:type="dxa"/>
              <w:bottom w:w="50" w:type="dxa"/>
              <w:left w:w="90" w:type="dxa"/>
              <w:right w:w="90" w:type="dxa"/>
            </w:tcMar>
          </w:tcPr>
          <w:p>
            <w:pPr>
              <w:pStyle w:val="BDOITable"/>
            </w:pPr>
            <w:r>
              <w:rPr>
                <w:b/>
                <w:sz w:val="17"/>
              </w:rPr>
              <w:t>One system in two drops.</w:t>
            </w:r>
            <w:r>
              <w:rPr>
                <w:sz w:val="17"/>
              </w:rPr>
              <w:t xml:space="preserve"> HLS (Drop 0) and LOAS (Drop 2) are HL-LOAS</w:t>
            </w:r>
          </w:p>
        </w:tc>
        <w:tc>
          <w:tcPr>
            <w:tcW w:type="dxa" w:w="3534"/>
            <w:tcMar>
              <w:top w:w="50" w:type="dxa"/>
              <w:bottom w:w="50" w:type="dxa"/>
              <w:left w:w="90" w:type="dxa"/>
              <w:right w:w="90" w:type="dxa"/>
            </w:tcMar>
          </w:tcPr>
          <w:p>
            <w:pPr>
              <w:pStyle w:val="BDOITable"/>
            </w:pPr>
            <w:r>
              <w:rPr>
                <w:sz w:val="17"/>
              </w:rPr>
              <w:t>One interface specification, delivered in Drop 0</w:t>
            </w:r>
          </w:p>
        </w:tc>
        <w:tc>
          <w:tcPr>
            <w:tcW w:type="dxa" w:w="1262"/>
            <w:tcMar>
              <w:top w:w="50" w:type="dxa"/>
              <w:bottom w:w="50" w:type="dxa"/>
              <w:left w:w="90" w:type="dxa"/>
              <w:right w:w="90" w:type="dxa"/>
            </w:tcMar>
          </w:tcPr>
          <w:p>
            <w:pPr>
              <w:pStyle w:val="BDOITable"/>
            </w:pPr>
            <w:r>
              <w:rPr>
                <w:sz w:val="17"/>
              </w:rPr>
              <w:t>IQ07, DCR-216</w:t>
            </w:r>
          </w:p>
        </w:tc>
      </w:tr>
      <w:tr>
        <w:trPr>
          <w:cantSplit w:val="true"/>
        </w:trPr>
        <w:tc>
          <w:tcPr>
            <w:tcW w:type="dxa" w:w="505"/>
            <w:tcMar>
              <w:top w:w="50" w:type="dxa"/>
              <w:bottom w:w="50" w:type="dxa"/>
              <w:left w:w="90" w:type="dxa"/>
              <w:right w:w="90" w:type="dxa"/>
            </w:tcMar>
            <w:shd w:val="clear" w:color="auto" w:fill="E5F5FF"/>
          </w:tcPr>
          <w:p>
            <w:pPr>
              <w:pStyle w:val="BDOITable"/>
            </w:pPr>
            <w:r>
              <w:rPr>
                <w:b/>
                <w:sz w:val="17"/>
              </w:rPr>
              <w:t>M10</w:t>
            </w:r>
          </w:p>
        </w:tc>
        <w:tc>
          <w:tcPr>
            <w:tcW w:type="dxa" w:w="4670"/>
            <w:tcMar>
              <w:top w:w="50" w:type="dxa"/>
              <w:bottom w:w="50" w:type="dxa"/>
              <w:left w:w="90" w:type="dxa"/>
              <w:right w:w="90" w:type="dxa"/>
            </w:tcMar>
            <w:shd w:val="clear" w:color="auto" w:fill="E5F5FF"/>
          </w:tcPr>
          <w:p>
            <w:pPr>
              <w:pStyle w:val="BDOITable"/>
            </w:pPr>
            <w:r>
              <w:rPr>
                <w:b/>
                <w:sz w:val="17"/>
              </w:rPr>
              <w:t>CMS means two things.</w:t>
            </w:r>
            <w:r>
              <w:rPr>
                <w:sz w:val="17"/>
              </w:rPr>
              <w:t xml:space="preserve"> In the BIBS documents CMS is the Collection Management System (BRD-4); on the slide it is the Cash Management System (outward payments)</w:t>
            </w:r>
          </w:p>
        </w:tc>
        <w:tc>
          <w:tcPr>
            <w:tcW w:type="dxa" w:w="3534"/>
            <w:tcMar>
              <w:top w:w="50" w:type="dxa"/>
              <w:bottom w:w="50" w:type="dxa"/>
              <w:left w:w="90" w:type="dxa"/>
              <w:right w:w="90" w:type="dxa"/>
            </w:tcMar>
            <w:shd w:val="clear" w:color="auto" w:fill="E5F5FF"/>
          </w:tcPr>
          <w:p>
            <w:pPr>
              <w:pStyle w:val="BDOITable"/>
            </w:pPr>
            <w:r>
              <w:rPr>
                <w:sz w:val="17"/>
              </w:rPr>
              <w:t>Use "CMS / New BOB" for the bank channel and "Collection Management System" in full</w:t>
            </w:r>
          </w:p>
        </w:tc>
        <w:tc>
          <w:tcPr>
            <w:tcW w:type="dxa" w:w="1262"/>
            <w:tcMar>
              <w:top w:w="50" w:type="dxa"/>
              <w:bottom w:w="50" w:type="dxa"/>
              <w:left w:w="90" w:type="dxa"/>
              <w:right w:w="90" w:type="dxa"/>
            </w:tcMar>
            <w:shd w:val="clear" w:color="auto" w:fill="E5F5FF"/>
          </w:tcPr>
          <w:p>
            <w:pPr>
              <w:pStyle w:val="BDOITable"/>
            </w:pPr>
            <w:r>
              <w:rPr>
                <w:sz w:val="17"/>
              </w:rPr>
              <w:t>DCR-221</w:t>
            </w:r>
          </w:p>
        </w:tc>
      </w:tr>
    </w:tbl>
    <w:p>
      <w:pPr>
        <w:pStyle w:val="BDOISpacer"/>
      </w:pPr>
    </w:p>
    <w:p>
      <w:pPr>
        <w:pStyle w:val="Heading2"/>
      </w:pPr>
      <w:bookmarkStart w:id="110" w:name="_Toc000110"/>
      <w:r>
        <w:rPr/>
        <w:t>2.4 Drop-to-document map</w:t>
      </w:r>
      <w:bookmarkEnd w:id="110"/>
    </w:p>
    <w:p>
      <w:r>
        <w:rPr/>
        <w:t>BDOI groups the BRDs, FRS, test plans and collaterals under the drops (A5). The folder restructure follows the column "Drop (folder)"; documents used by more than one drop stay in one folder and are cross-referenced. Programme documents sit in a Programme folder.</w:t>
      </w:r>
    </w:p>
    <w:p>
      <w:pPr>
        <w:pStyle w:val="Caption"/>
        <w:keepNext/>
        <w:spacing w:after="60"/>
      </w:pPr>
      <w:r>
        <w:rPr>
          <w:b/>
          <w:i w:val="0"/>
        </w:rPr>
        <w:t xml:space="preserve">Table 8: </w:t>
      </w:r>
      <w:r>
        <w:rPr/>
        <w:t>Drop-to-document map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79"/>
        <w:gridCol w:w="2039"/>
        <w:gridCol w:w="1246"/>
        <w:gridCol w:w="2266"/>
        <w:gridCol w:w="2039"/>
      </w:tblGrid>
      <w:tr>
        <w:trPr>
          <w:tblHeader w:val="true"/>
          <w:cantSplit w:val="true"/>
        </w:trPr>
        <w:tc>
          <w:tcPr>
            <w:tcW w:type="dxa" w:w="2380"/>
            <w:shd w:val="clear" w:color="auto" w:fill="004EA8"/>
            <w:tcMar>
              <w:top w:w="50" w:type="dxa"/>
              <w:bottom w:w="50" w:type="dxa"/>
              <w:left w:w="90" w:type="dxa"/>
              <w:right w:w="90" w:type="dxa"/>
            </w:tcMar>
            <w:vAlign w:val="center"/>
          </w:tcPr>
          <w:p>
            <w:pPr>
              <w:pStyle w:val="BDOITableHeader"/>
            </w:pPr>
            <w:r>
              <w:rPr>
                <w:b/>
                <w:color w:val="FFFFFF"/>
                <w:sz w:val="16"/>
              </w:rPr>
              <w:t>Document</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6"/>
              </w:rPr>
              <w:t>Kind</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6"/>
              </w:rPr>
              <w:t>Drop (folder)</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6"/>
              </w:rPr>
              <w:t>Shared with</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6"/>
              </w:rPr>
              <w:t>Note</w:t>
            </w:r>
          </w:p>
        </w:tc>
      </w:tr>
      <w:tr>
        <w:trPr>
          <w:cantSplit w:val="true"/>
        </w:trPr>
        <w:tc>
          <w:tcPr>
            <w:tcW w:type="dxa" w:w="2380"/>
            <w:tcMar>
              <w:top w:w="50" w:type="dxa"/>
              <w:bottom w:w="50" w:type="dxa"/>
              <w:left w:w="90" w:type="dxa"/>
              <w:right w:w="90" w:type="dxa"/>
            </w:tcMar>
          </w:tcPr>
          <w:p>
            <w:pPr>
              <w:pStyle w:val="BDOITable"/>
            </w:pPr>
            <w:r>
              <w:rPr>
                <w:b/>
                <w:sz w:val="16"/>
              </w:rPr>
              <w:t>BRD-00 Core Replacement (umbrella)</w:t>
            </w:r>
          </w:p>
        </w:tc>
        <w:tc>
          <w:tcPr>
            <w:tcW w:type="dxa" w:w="2040"/>
            <w:tcMar>
              <w:top w:w="50" w:type="dxa"/>
              <w:bottom w:w="50" w:type="dxa"/>
              <w:left w:w="90" w:type="dxa"/>
              <w:right w:w="90" w:type="dxa"/>
            </w:tcMar>
          </w:tcPr>
          <w:p>
            <w:pPr>
              <w:pStyle w:val="BDOITable"/>
            </w:pPr>
            <w:r>
              <w:rPr>
                <w:sz w:val="16"/>
              </w:rPr>
              <w:t>FRS, spec</w:t>
            </w:r>
          </w:p>
        </w:tc>
        <w:tc>
          <w:tcPr>
            <w:tcW w:type="dxa" w:w="1246"/>
            <w:tcMar>
              <w:top w:w="50" w:type="dxa"/>
              <w:bottom w:w="50" w:type="dxa"/>
              <w:left w:w="90" w:type="dxa"/>
              <w:right w:w="90" w:type="dxa"/>
            </w:tcMar>
          </w:tcPr>
          <w:p>
            <w:pPr>
              <w:pStyle w:val="BDOITable"/>
            </w:pPr>
            <w:r>
              <w:rPr>
                <w:sz w:val="16"/>
              </w:rPr>
              <w:t>Programme</w:t>
            </w:r>
          </w:p>
        </w:tc>
        <w:tc>
          <w:tcPr>
            <w:tcW w:type="dxa" w:w="2266"/>
            <w:tcMar>
              <w:top w:w="50" w:type="dxa"/>
              <w:bottom w:w="50" w:type="dxa"/>
              <w:left w:w="90" w:type="dxa"/>
              <w:right w:w="90" w:type="dxa"/>
            </w:tcMar>
          </w:tcPr>
          <w:p>
            <w:pPr>
              <w:pStyle w:val="BDOITable"/>
            </w:pPr>
            <w:r>
              <w:rPr>
                <w:sz w:val="16"/>
              </w:rPr>
              <w:t>All drops (cross-cutting FR-CR, NFRs)</w:t>
            </w:r>
          </w:p>
        </w:tc>
        <w:tc>
          <w:tcPr>
            <w:tcW w:type="dxa" w:w="2040"/>
            <w:tcMar>
              <w:top w:w="50" w:type="dxa"/>
              <w:bottom w:w="50" w:type="dxa"/>
              <w:left w:w="90" w:type="dxa"/>
              <w:right w:w="90" w:type="dxa"/>
            </w:tcMar>
          </w:tcPr>
          <w:p>
            <w:pPr>
              <w:pStyle w:val="BDOITable"/>
            </w:pPr>
            <w:r>
              <w:rPr>
                <w:sz w:val="16"/>
              </w:rPr>
              <w:t>Stays at programme level</w:t>
            </w:r>
          </w:p>
        </w:tc>
      </w:tr>
      <w:tr>
        <w:trPr>
          <w:cantSplit w:val="true"/>
        </w:trPr>
        <w:tc>
          <w:tcPr>
            <w:tcW w:type="dxa" w:w="2380"/>
            <w:tcMar>
              <w:top w:w="50" w:type="dxa"/>
              <w:bottom w:w="50" w:type="dxa"/>
              <w:left w:w="90" w:type="dxa"/>
              <w:right w:w="90" w:type="dxa"/>
            </w:tcMar>
            <w:shd w:val="clear" w:color="auto" w:fill="E5F5FF"/>
          </w:tcPr>
          <w:p>
            <w:pPr>
              <w:pStyle w:val="BDOITable"/>
            </w:pPr>
            <w:r>
              <w:rPr>
                <w:b/>
                <w:sz w:val="16"/>
              </w:rPr>
              <w:t>BRD-11 User Access Maintenance</w:t>
            </w:r>
          </w:p>
        </w:tc>
        <w:tc>
          <w:tcPr>
            <w:tcW w:type="dxa" w:w="2040"/>
            <w:tcMar>
              <w:top w:w="50" w:type="dxa"/>
              <w:bottom w:w="50" w:type="dxa"/>
              <w:left w:w="90" w:type="dxa"/>
              <w:right w:w="90" w:type="dxa"/>
            </w:tcMar>
            <w:shd w:val="clear" w:color="auto" w:fill="E5F5FF"/>
          </w:tcPr>
          <w:p>
            <w:pPr>
              <w:pStyle w:val="BDOITable"/>
            </w:pPr>
            <w:r>
              <w:rPr>
                <w:sz w:val="16"/>
              </w:rPr>
              <w:t>FRS, test plan</w:t>
            </w:r>
          </w:p>
        </w:tc>
        <w:tc>
          <w:tcPr>
            <w:tcW w:type="dxa" w:w="1246"/>
            <w:tcMar>
              <w:top w:w="50" w:type="dxa"/>
              <w:bottom w:w="50" w:type="dxa"/>
              <w:left w:w="90" w:type="dxa"/>
              <w:right w:w="90" w:type="dxa"/>
            </w:tcMar>
            <w:shd w:val="clear" w:color="auto" w:fill="E5F5FF"/>
          </w:tcPr>
          <w:p>
            <w:pPr>
              <w:pStyle w:val="BDOITable"/>
            </w:pPr>
            <w:r>
              <w:rPr>
                <w:sz w:val="16"/>
              </w:rPr>
              <w:t>Drop 0</w:t>
            </w:r>
          </w:p>
        </w:tc>
        <w:tc>
          <w:tcPr>
            <w:tcW w:type="dxa" w:w="2266"/>
            <w:tcMar>
              <w:top w:w="50" w:type="dxa"/>
              <w:bottom w:w="50" w:type="dxa"/>
              <w:left w:w="90" w:type="dxa"/>
              <w:right w:w="90" w:type="dxa"/>
            </w:tcMar>
            <w:shd w:val="clear" w:color="auto" w:fill="E5F5FF"/>
          </w:tcPr>
          <w:p>
            <w:pPr>
              <w:pStyle w:val="BDOITable"/>
            </w:pPr>
            <w:r>
              <w:rPr>
                <w:sz w:val="16"/>
              </w:rPr>
              <w:t>-</w:t>
            </w:r>
          </w:p>
        </w:tc>
        <w:tc>
          <w:tcPr>
            <w:tcW w:type="dxa" w:w="2040"/>
            <w:tcMar>
              <w:top w:w="50" w:type="dxa"/>
              <w:bottom w:w="50" w:type="dxa"/>
              <w:left w:w="90" w:type="dxa"/>
              <w:right w:w="90" w:type="dxa"/>
            </w:tcMar>
            <w:shd w:val="clear" w:color="auto" w:fill="E5F5FF"/>
          </w:tcPr>
          <w:p>
            <w:pPr>
              <w:pStyle w:val="BDOITable"/>
            </w:pPr>
            <w:r>
              <w:rPr>
                <w:sz w:val="16"/>
              </w:rPr>
              <w:t>Items 0.1-0.3; EIAM and UIDM-ISC change it</w:t>
            </w:r>
          </w:p>
        </w:tc>
      </w:tr>
      <w:tr>
        <w:trPr>
          <w:cantSplit w:val="true"/>
        </w:trPr>
        <w:tc>
          <w:tcPr>
            <w:tcW w:type="dxa" w:w="2380"/>
            <w:tcMar>
              <w:top w:w="50" w:type="dxa"/>
              <w:bottom w:w="50" w:type="dxa"/>
              <w:left w:w="90" w:type="dxa"/>
              <w:right w:w="90" w:type="dxa"/>
            </w:tcMar>
          </w:tcPr>
          <w:p>
            <w:pPr>
              <w:pStyle w:val="BDOITable"/>
            </w:pPr>
            <w:r>
              <w:rPr>
                <w:b/>
                <w:sz w:val="16"/>
              </w:rPr>
              <w:t>BRD-3 Product Maintenance</w:t>
            </w:r>
          </w:p>
        </w:tc>
        <w:tc>
          <w:tcPr>
            <w:tcW w:type="dxa" w:w="2040"/>
            <w:tcMar>
              <w:top w:w="50" w:type="dxa"/>
              <w:bottom w:w="50" w:type="dxa"/>
              <w:left w:w="90" w:type="dxa"/>
              <w:right w:w="90" w:type="dxa"/>
            </w:tcMar>
          </w:tcPr>
          <w:p>
            <w:pPr>
              <w:pStyle w:val="BDOITable"/>
            </w:pPr>
            <w:r>
              <w:rPr>
                <w:sz w:val="16"/>
              </w:rPr>
              <w:t>FRS, test plan</w:t>
            </w:r>
          </w:p>
        </w:tc>
        <w:tc>
          <w:tcPr>
            <w:tcW w:type="dxa" w:w="1246"/>
            <w:tcMar>
              <w:top w:w="50" w:type="dxa"/>
              <w:bottom w:w="50" w:type="dxa"/>
              <w:left w:w="90" w:type="dxa"/>
              <w:right w:w="90" w:type="dxa"/>
            </w:tcMar>
          </w:tcPr>
          <w:p>
            <w:pPr>
              <w:pStyle w:val="BDOITable"/>
            </w:pPr>
            <w:r>
              <w:rPr>
                <w:sz w:val="16"/>
              </w:rPr>
              <w:t>Drop 0</w:t>
            </w:r>
          </w:p>
        </w:tc>
        <w:tc>
          <w:tcPr>
            <w:tcW w:type="dxa" w:w="2266"/>
            <w:tcMar>
              <w:top w:w="50" w:type="dxa"/>
              <w:bottom w:w="50" w:type="dxa"/>
              <w:left w:w="90" w:type="dxa"/>
              <w:right w:w="90" w:type="dxa"/>
            </w:tcMar>
          </w:tcPr>
          <w:p>
            <w:pPr>
              <w:pStyle w:val="BDOITable"/>
            </w:pPr>
            <w:r>
              <w:rPr>
                <w:sz w:val="16"/>
              </w:rPr>
              <w:t>Drop 1 (quotation, 1.U2)</w:t>
            </w:r>
          </w:p>
        </w:tc>
        <w:tc>
          <w:tcPr>
            <w:tcW w:type="dxa" w:w="2040"/>
            <w:tcMar>
              <w:top w:w="50" w:type="dxa"/>
              <w:bottom w:w="50" w:type="dxa"/>
              <w:left w:w="90" w:type="dxa"/>
              <w:right w:w="90" w:type="dxa"/>
            </w:tcMar>
          </w:tcPr>
          <w:p>
            <w:pPr>
              <w:pStyle w:val="BDOITable"/>
            </w:pPr>
            <w:r>
              <w:rPr>
                <w:sz w:val="16"/>
              </w:rPr>
              <w:t>Item 0.6</w:t>
            </w:r>
          </w:p>
        </w:tc>
      </w:tr>
      <w:tr>
        <w:trPr>
          <w:cantSplit w:val="true"/>
        </w:trPr>
        <w:tc>
          <w:tcPr>
            <w:tcW w:type="dxa" w:w="2380"/>
            <w:tcMar>
              <w:top w:w="50" w:type="dxa"/>
              <w:bottom w:w="50" w:type="dxa"/>
              <w:left w:w="90" w:type="dxa"/>
              <w:right w:w="90" w:type="dxa"/>
            </w:tcMar>
            <w:shd w:val="clear" w:color="auto" w:fill="E5F5FF"/>
          </w:tcPr>
          <w:p>
            <w:pPr>
              <w:pStyle w:val="BDOITable"/>
            </w:pPr>
            <w:r>
              <w:rPr>
                <w:b/>
                <w:sz w:val="16"/>
              </w:rPr>
              <w:t>BRD-13 Data Migration</w:t>
            </w:r>
          </w:p>
        </w:tc>
        <w:tc>
          <w:tcPr>
            <w:tcW w:type="dxa" w:w="2040"/>
            <w:tcMar>
              <w:top w:w="50" w:type="dxa"/>
              <w:bottom w:w="50" w:type="dxa"/>
              <w:left w:w="90" w:type="dxa"/>
              <w:right w:w="90" w:type="dxa"/>
            </w:tcMar>
            <w:shd w:val="clear" w:color="auto" w:fill="E5F5FF"/>
          </w:tcPr>
          <w:p>
            <w:pPr>
              <w:pStyle w:val="BDOITable"/>
            </w:pPr>
            <w:r>
              <w:rPr>
                <w:sz w:val="16"/>
              </w:rPr>
              <w:t>FRS, test plan, migration pack (strategy, workbook, runbook, reconciliation, templates)</w:t>
            </w:r>
          </w:p>
        </w:tc>
        <w:tc>
          <w:tcPr>
            <w:tcW w:type="dxa" w:w="1246"/>
            <w:tcMar>
              <w:top w:w="50" w:type="dxa"/>
              <w:bottom w:w="50" w:type="dxa"/>
              <w:left w:w="90" w:type="dxa"/>
              <w:right w:w="90" w:type="dxa"/>
            </w:tcMar>
            <w:shd w:val="clear" w:color="auto" w:fill="E5F5FF"/>
          </w:tcPr>
          <w:p>
            <w:pPr>
              <w:pStyle w:val="BDOITable"/>
            </w:pPr>
            <w:r>
              <w:rPr>
                <w:sz w:val="16"/>
              </w:rPr>
              <w:t>Drop 0</w:t>
            </w:r>
          </w:p>
        </w:tc>
        <w:tc>
          <w:tcPr>
            <w:tcW w:type="dxa" w:w="2266"/>
            <w:tcMar>
              <w:top w:w="50" w:type="dxa"/>
              <w:bottom w:w="50" w:type="dxa"/>
              <w:left w:w="90" w:type="dxa"/>
              <w:right w:w="90" w:type="dxa"/>
            </w:tcMar>
            <w:shd w:val="clear" w:color="auto" w:fill="E5F5FF"/>
          </w:tcPr>
          <w:p>
            <w:pPr>
              <w:pStyle w:val="BDOITable"/>
            </w:pPr>
            <w:r>
              <w:rPr>
                <w:sz w:val="16"/>
              </w:rPr>
              <w:t>Drop 1 (client onboarding, cashiering, BIR reports) and the migration stream</w:t>
            </w:r>
          </w:p>
        </w:tc>
        <w:tc>
          <w:tcPr>
            <w:tcW w:type="dxa" w:w="2040"/>
            <w:tcMar>
              <w:top w:w="50" w:type="dxa"/>
              <w:bottom w:w="50" w:type="dxa"/>
              <w:left w:w="90" w:type="dxa"/>
              <w:right w:w="90" w:type="dxa"/>
            </w:tcMar>
            <w:shd w:val="clear" w:color="auto" w:fill="E5F5FF"/>
          </w:tcPr>
          <w:p>
            <w:pPr>
              <w:pStyle w:val="BDOITable"/>
            </w:pPr>
            <w:r>
              <w:rPr>
                <w:sz w:val="16"/>
              </w:rPr>
              <w:t>Migration has its own timeline row</w:t>
            </w:r>
          </w:p>
        </w:tc>
      </w:tr>
      <w:tr>
        <w:trPr>
          <w:cantSplit w:val="true"/>
        </w:trPr>
        <w:tc>
          <w:tcPr>
            <w:tcW w:type="dxa" w:w="2380"/>
            <w:tcMar>
              <w:top w:w="50" w:type="dxa"/>
              <w:bottom w:w="50" w:type="dxa"/>
              <w:left w:w="90" w:type="dxa"/>
              <w:right w:w="90" w:type="dxa"/>
            </w:tcMar>
          </w:tcPr>
          <w:p>
            <w:pPr>
              <w:pStyle w:val="BDOITable"/>
            </w:pPr>
            <w:r>
              <w:rPr>
                <w:b/>
                <w:sz w:val="16"/>
              </w:rPr>
              <w:t>BRD-1 New Business</w:t>
            </w:r>
          </w:p>
        </w:tc>
        <w:tc>
          <w:tcPr>
            <w:tcW w:type="dxa" w:w="2040"/>
            <w:tcMar>
              <w:top w:w="50" w:type="dxa"/>
              <w:bottom w:w="50" w:type="dxa"/>
              <w:left w:w="90" w:type="dxa"/>
              <w:right w:w="90" w:type="dxa"/>
            </w:tcMar>
          </w:tcPr>
          <w:p>
            <w:pPr>
              <w:pStyle w:val="BDOITable"/>
            </w:pPr>
            <w:r>
              <w:rPr>
                <w:sz w:val="16"/>
              </w:rPr>
              <w:t>FRS, test plan</w:t>
            </w:r>
          </w:p>
        </w:tc>
        <w:tc>
          <w:tcPr>
            <w:tcW w:type="dxa" w:w="1246"/>
            <w:tcMar>
              <w:top w:w="50" w:type="dxa"/>
              <w:bottom w:w="50" w:type="dxa"/>
              <w:left w:w="90" w:type="dxa"/>
              <w:right w:w="90" w:type="dxa"/>
            </w:tcMar>
          </w:tcPr>
          <w:p>
            <w:pPr>
              <w:pStyle w:val="BDOITable"/>
            </w:pPr>
            <w:r>
              <w:rPr>
                <w:sz w:val="16"/>
              </w:rPr>
              <w:t>Drop 1</w:t>
            </w:r>
          </w:p>
        </w:tc>
        <w:tc>
          <w:tcPr>
            <w:tcW w:type="dxa" w:w="2266"/>
            <w:tcMar>
              <w:top w:w="50" w:type="dxa"/>
              <w:bottom w:w="50" w:type="dxa"/>
              <w:left w:w="90" w:type="dxa"/>
              <w:right w:w="90" w:type="dxa"/>
            </w:tcMar>
          </w:tcPr>
          <w:p>
            <w:pPr>
              <w:pStyle w:val="BDOITable"/>
            </w:pPr>
            <w:r>
              <w:rPr>
                <w:sz w:val="16"/>
              </w:rPr>
              <w:t>-</w:t>
            </w:r>
          </w:p>
        </w:tc>
        <w:tc>
          <w:tcPr>
            <w:tcW w:type="dxa" w:w="2040"/>
            <w:tcMar>
              <w:top w:w="50" w:type="dxa"/>
              <w:bottom w:w="50" w:type="dxa"/>
              <w:left w:w="90" w:type="dxa"/>
              <w:right w:w="90" w:type="dxa"/>
            </w:tcMar>
          </w:tcPr>
          <w:p>
            <w:pPr>
              <w:pStyle w:val="BDOITable"/>
            </w:pPr>
            <w:r>
              <w:rPr>
                <w:sz w:val="16"/>
              </w:rPr>
              <w:t>Upstream items 1.U1-1.U3, 1.U6, 1.U7, 1.U9</w:t>
            </w:r>
          </w:p>
        </w:tc>
      </w:tr>
      <w:tr>
        <w:trPr>
          <w:cantSplit w:val="true"/>
        </w:trPr>
        <w:tc>
          <w:tcPr>
            <w:tcW w:type="dxa" w:w="2380"/>
            <w:tcMar>
              <w:top w:w="50" w:type="dxa"/>
              <w:bottom w:w="50" w:type="dxa"/>
              <w:left w:w="90" w:type="dxa"/>
              <w:right w:w="90" w:type="dxa"/>
            </w:tcMar>
            <w:shd w:val="clear" w:color="auto" w:fill="E5F5FF"/>
          </w:tcPr>
          <w:p>
            <w:pPr>
              <w:pStyle w:val="BDOITable"/>
            </w:pPr>
            <w:r>
              <w:rPr>
                <w:b/>
                <w:sz w:val="16"/>
              </w:rPr>
              <w:t>BRD-6 Renewal</w:t>
            </w:r>
          </w:p>
        </w:tc>
        <w:tc>
          <w:tcPr>
            <w:tcW w:type="dxa" w:w="2040"/>
            <w:tcMar>
              <w:top w:w="50" w:type="dxa"/>
              <w:bottom w:w="50" w:type="dxa"/>
              <w:left w:w="90" w:type="dxa"/>
              <w:right w:w="90" w:type="dxa"/>
            </w:tcMar>
            <w:shd w:val="clear" w:color="auto" w:fill="E5F5FF"/>
          </w:tcPr>
          <w:p>
            <w:pPr>
              <w:pStyle w:val="BDOITable"/>
            </w:pPr>
            <w:r>
              <w:rPr>
                <w:sz w:val="16"/>
              </w:rPr>
              <w:t>FRS, test plan</w:t>
            </w:r>
          </w:p>
        </w:tc>
        <w:tc>
          <w:tcPr>
            <w:tcW w:type="dxa" w:w="1246"/>
            <w:tcMar>
              <w:top w:w="50" w:type="dxa"/>
              <w:bottom w:w="50" w:type="dxa"/>
              <w:left w:w="90" w:type="dxa"/>
              <w:right w:w="90" w:type="dxa"/>
            </w:tcMar>
            <w:shd w:val="clear" w:color="auto" w:fill="E5F5FF"/>
          </w:tcPr>
          <w:p>
            <w:pPr>
              <w:pStyle w:val="BDOITable"/>
            </w:pPr>
            <w:r>
              <w:rPr>
                <w:sz w:val="16"/>
              </w:rPr>
              <w:t>Drop 1</w:t>
            </w:r>
          </w:p>
        </w:tc>
        <w:tc>
          <w:tcPr>
            <w:tcW w:type="dxa" w:w="2266"/>
            <w:tcMar>
              <w:top w:w="50" w:type="dxa"/>
              <w:bottom w:w="50" w:type="dxa"/>
              <w:left w:w="90" w:type="dxa"/>
              <w:right w:w="90" w:type="dxa"/>
            </w:tcMar>
            <w:shd w:val="clear" w:color="auto" w:fill="E5F5FF"/>
          </w:tcPr>
          <w:p>
            <w:pPr>
              <w:pStyle w:val="BDOITable"/>
            </w:pPr>
            <w:r>
              <w:rPr>
                <w:sz w:val="16"/>
              </w:rPr>
              <w:t>-</w:t>
            </w:r>
          </w:p>
        </w:tc>
        <w:tc>
          <w:tcPr>
            <w:tcW w:type="dxa" w:w="2040"/>
            <w:tcMar>
              <w:top w:w="50" w:type="dxa"/>
              <w:bottom w:w="50" w:type="dxa"/>
              <w:left w:w="90" w:type="dxa"/>
              <w:right w:w="90" w:type="dxa"/>
            </w:tcMar>
            <w:shd w:val="clear" w:color="auto" w:fill="E5F5FF"/>
          </w:tcPr>
          <w:p>
            <w:pPr>
              <w:pStyle w:val="BDOITable"/>
            </w:pPr>
            <w:r>
              <w:rPr>
                <w:sz w:val="16"/>
              </w:rPr>
              <w:t>Upstream 1.U5</w:t>
            </w:r>
          </w:p>
        </w:tc>
      </w:tr>
      <w:tr>
        <w:trPr>
          <w:cantSplit w:val="true"/>
        </w:trPr>
        <w:tc>
          <w:tcPr>
            <w:tcW w:type="dxa" w:w="2380"/>
            <w:tcMar>
              <w:top w:w="50" w:type="dxa"/>
              <w:bottom w:w="50" w:type="dxa"/>
              <w:left w:w="90" w:type="dxa"/>
              <w:right w:w="90" w:type="dxa"/>
            </w:tcMar>
          </w:tcPr>
          <w:p>
            <w:pPr>
              <w:pStyle w:val="BDOITable"/>
            </w:pPr>
            <w:r>
              <w:rPr>
                <w:b/>
                <w:sz w:val="16"/>
              </w:rPr>
              <w:t>BRD-12 Submitted Policies</w:t>
            </w:r>
          </w:p>
        </w:tc>
        <w:tc>
          <w:tcPr>
            <w:tcW w:type="dxa" w:w="2040"/>
            <w:tcMar>
              <w:top w:w="50" w:type="dxa"/>
              <w:bottom w:w="50" w:type="dxa"/>
              <w:left w:w="90" w:type="dxa"/>
              <w:right w:w="90" w:type="dxa"/>
            </w:tcMar>
          </w:tcPr>
          <w:p>
            <w:pPr>
              <w:pStyle w:val="BDOITable"/>
            </w:pPr>
            <w:r>
              <w:rPr>
                <w:sz w:val="16"/>
              </w:rPr>
              <w:t>FRS, test plan</w:t>
            </w:r>
          </w:p>
        </w:tc>
        <w:tc>
          <w:tcPr>
            <w:tcW w:type="dxa" w:w="1246"/>
            <w:tcMar>
              <w:top w:w="50" w:type="dxa"/>
              <w:bottom w:w="50" w:type="dxa"/>
              <w:left w:w="90" w:type="dxa"/>
              <w:right w:w="90" w:type="dxa"/>
            </w:tcMar>
          </w:tcPr>
          <w:p>
            <w:pPr>
              <w:pStyle w:val="BDOITable"/>
            </w:pPr>
            <w:r>
              <w:rPr>
                <w:sz w:val="16"/>
              </w:rPr>
              <w:t>Drop 1</w:t>
            </w:r>
          </w:p>
        </w:tc>
        <w:tc>
          <w:tcPr>
            <w:tcW w:type="dxa" w:w="2266"/>
            <w:tcMar>
              <w:top w:w="50" w:type="dxa"/>
              <w:bottom w:w="50" w:type="dxa"/>
              <w:left w:w="90" w:type="dxa"/>
              <w:right w:w="90" w:type="dxa"/>
            </w:tcMar>
          </w:tcPr>
          <w:p>
            <w:pPr>
              <w:pStyle w:val="BDOITable"/>
            </w:pPr>
            <w:r>
              <w:rPr>
                <w:sz w:val="16"/>
              </w:rPr>
              <w:t>-</w:t>
            </w:r>
          </w:p>
        </w:tc>
        <w:tc>
          <w:tcPr>
            <w:tcW w:type="dxa" w:w="2040"/>
            <w:tcMar>
              <w:top w:w="50" w:type="dxa"/>
              <w:bottom w:w="50" w:type="dxa"/>
              <w:left w:w="90" w:type="dxa"/>
              <w:right w:w="90" w:type="dxa"/>
            </w:tcMar>
          </w:tcPr>
          <w:p>
            <w:pPr>
              <w:pStyle w:val="BDOITable"/>
            </w:pPr>
            <w:r>
              <w:rPr>
                <w:sz w:val="16"/>
              </w:rPr>
              <w:t>Upstream 1.U4</w:t>
            </w:r>
          </w:p>
        </w:tc>
      </w:tr>
      <w:tr>
        <w:trPr>
          <w:cantSplit w:val="true"/>
        </w:trPr>
        <w:tc>
          <w:tcPr>
            <w:tcW w:type="dxa" w:w="2380"/>
            <w:tcMar>
              <w:top w:w="50" w:type="dxa"/>
              <w:bottom w:w="50" w:type="dxa"/>
              <w:left w:w="90" w:type="dxa"/>
              <w:right w:w="90" w:type="dxa"/>
            </w:tcMar>
            <w:shd w:val="clear" w:color="auto" w:fill="E5F5FF"/>
          </w:tcPr>
          <w:p>
            <w:pPr>
              <w:pStyle w:val="BDOITable"/>
            </w:pPr>
            <w:r>
              <w:rPr>
                <w:b/>
                <w:sz w:val="16"/>
              </w:rPr>
              <w:t>BRD-10 Sanction Screening and Risk Profiling</w:t>
            </w:r>
          </w:p>
        </w:tc>
        <w:tc>
          <w:tcPr>
            <w:tcW w:type="dxa" w:w="2040"/>
            <w:tcMar>
              <w:top w:w="50" w:type="dxa"/>
              <w:bottom w:w="50" w:type="dxa"/>
              <w:left w:w="90" w:type="dxa"/>
              <w:right w:w="90" w:type="dxa"/>
            </w:tcMar>
            <w:shd w:val="clear" w:color="auto" w:fill="E5F5FF"/>
          </w:tcPr>
          <w:p>
            <w:pPr>
              <w:pStyle w:val="BDOITable"/>
            </w:pPr>
            <w:r>
              <w:rPr>
                <w:sz w:val="16"/>
              </w:rPr>
              <w:t>FRS, test plan</w:t>
            </w:r>
          </w:p>
        </w:tc>
        <w:tc>
          <w:tcPr>
            <w:tcW w:type="dxa" w:w="1246"/>
            <w:tcMar>
              <w:top w:w="50" w:type="dxa"/>
              <w:bottom w:w="50" w:type="dxa"/>
              <w:left w:w="90" w:type="dxa"/>
              <w:right w:w="90" w:type="dxa"/>
            </w:tcMar>
            <w:shd w:val="clear" w:color="auto" w:fill="E5F5FF"/>
          </w:tcPr>
          <w:p>
            <w:pPr>
              <w:pStyle w:val="BDOITable"/>
            </w:pPr>
            <w:r>
              <w:rPr>
                <w:sz w:val="16"/>
              </w:rPr>
              <w:t>Drop 1 (proposed)</w:t>
            </w:r>
          </w:p>
        </w:tc>
        <w:tc>
          <w:tcPr>
            <w:tcW w:type="dxa" w:w="2266"/>
            <w:tcMar>
              <w:top w:w="50" w:type="dxa"/>
              <w:bottom w:w="50" w:type="dxa"/>
              <w:left w:w="90" w:type="dxa"/>
              <w:right w:w="90" w:type="dxa"/>
            </w:tcMar>
            <w:shd w:val="clear" w:color="auto" w:fill="E5F5FF"/>
          </w:tcPr>
          <w:p>
            <w:pPr>
              <w:pStyle w:val="BDOITable"/>
            </w:pPr>
            <w:r>
              <w:rPr>
                <w:sz w:val="16"/>
              </w:rPr>
              <w:t>Drop 2 (Bridger Insight XG)</w:t>
            </w:r>
          </w:p>
        </w:tc>
        <w:tc>
          <w:tcPr>
            <w:tcW w:type="dxa" w:w="2040"/>
            <w:tcMar>
              <w:top w:w="50" w:type="dxa"/>
              <w:bottom w:w="50" w:type="dxa"/>
              <w:left w:w="90" w:type="dxa"/>
              <w:right w:w="90" w:type="dxa"/>
            </w:tcMar>
            <w:shd w:val="clear" w:color="auto" w:fill="E5F5FF"/>
          </w:tcPr>
          <w:p>
            <w:pPr>
              <w:pStyle w:val="BDOITable"/>
            </w:pPr>
            <w:r>
              <w:rPr>
                <w:sz w:val="16"/>
              </w:rPr>
              <w:t>Not on the slide; proposed with Client Onboarding (IQ23)</w:t>
            </w:r>
          </w:p>
        </w:tc>
      </w:tr>
      <w:tr>
        <w:trPr>
          <w:cantSplit w:val="true"/>
        </w:trPr>
        <w:tc>
          <w:tcPr>
            <w:tcW w:type="dxa" w:w="2380"/>
            <w:tcMar>
              <w:top w:w="50" w:type="dxa"/>
              <w:bottom w:w="50" w:type="dxa"/>
              <w:left w:w="90" w:type="dxa"/>
              <w:right w:w="90" w:type="dxa"/>
            </w:tcMar>
          </w:tcPr>
          <w:p>
            <w:pPr>
              <w:pStyle w:val="BDOITable"/>
            </w:pPr>
            <w:r>
              <w:rPr>
                <w:b/>
                <w:sz w:val="16"/>
              </w:rPr>
              <w:t>BRD-9 Customer Servicing Facility</w:t>
            </w:r>
          </w:p>
        </w:tc>
        <w:tc>
          <w:tcPr>
            <w:tcW w:type="dxa" w:w="2040"/>
            <w:tcMar>
              <w:top w:w="50" w:type="dxa"/>
              <w:bottom w:w="50" w:type="dxa"/>
              <w:left w:w="90" w:type="dxa"/>
              <w:right w:w="90" w:type="dxa"/>
            </w:tcMar>
          </w:tcPr>
          <w:p>
            <w:pPr>
              <w:pStyle w:val="BDOITable"/>
            </w:pPr>
            <w:r>
              <w:rPr>
                <w:sz w:val="16"/>
              </w:rPr>
              <w:t>FRS, test plan</w:t>
            </w:r>
          </w:p>
        </w:tc>
        <w:tc>
          <w:tcPr>
            <w:tcW w:type="dxa" w:w="1246"/>
            <w:tcMar>
              <w:top w:w="50" w:type="dxa"/>
              <w:bottom w:w="50" w:type="dxa"/>
              <w:left w:w="90" w:type="dxa"/>
              <w:right w:w="90" w:type="dxa"/>
            </w:tcMar>
          </w:tcPr>
          <w:p>
            <w:pPr>
              <w:pStyle w:val="BDOITable"/>
            </w:pPr>
            <w:r>
              <w:rPr>
                <w:sz w:val="16"/>
              </w:rPr>
              <w:t>Drop 1</w:t>
            </w:r>
          </w:p>
        </w:tc>
        <w:tc>
          <w:tcPr>
            <w:tcW w:type="dxa" w:w="2266"/>
            <w:tcMar>
              <w:top w:w="50" w:type="dxa"/>
              <w:bottom w:w="50" w:type="dxa"/>
              <w:left w:w="90" w:type="dxa"/>
              <w:right w:w="90" w:type="dxa"/>
            </w:tcMar>
          </w:tcPr>
          <w:p>
            <w:pPr>
              <w:pStyle w:val="BDOITable"/>
            </w:pPr>
            <w:r>
              <w:rPr>
                <w:sz w:val="16"/>
              </w:rPr>
              <w:t>Drop 2 (proposed for the service-request functions)</w:t>
            </w:r>
          </w:p>
        </w:tc>
        <w:tc>
          <w:tcPr>
            <w:tcW w:type="dxa" w:w="2040"/>
            <w:tcMar>
              <w:top w:w="50" w:type="dxa"/>
              <w:bottom w:w="50" w:type="dxa"/>
              <w:left w:w="90" w:type="dxa"/>
              <w:right w:w="90" w:type="dxa"/>
            </w:tcMar>
          </w:tcPr>
          <w:p>
            <w:pPr>
              <w:pStyle w:val="BDOITable"/>
            </w:pPr>
            <w:r>
              <w:rPr>
                <w:sz w:val="16"/>
              </w:rPr>
              <w:t>Only account maintenance is on the slide (IQ23)</w:t>
            </w:r>
          </w:p>
        </w:tc>
      </w:tr>
      <w:tr>
        <w:trPr>
          <w:cantSplit w:val="true"/>
        </w:trPr>
        <w:tc>
          <w:tcPr>
            <w:tcW w:type="dxa" w:w="2380"/>
            <w:tcMar>
              <w:top w:w="50" w:type="dxa"/>
              <w:bottom w:w="50" w:type="dxa"/>
              <w:left w:w="90" w:type="dxa"/>
              <w:right w:w="90" w:type="dxa"/>
            </w:tcMar>
            <w:shd w:val="clear" w:color="auto" w:fill="E5F5FF"/>
          </w:tcPr>
          <w:p>
            <w:pPr>
              <w:pStyle w:val="BDOITable"/>
            </w:pPr>
            <w:r>
              <w:rPr>
                <w:b/>
                <w:sz w:val="16"/>
              </w:rPr>
              <w:t>BRD-5 Accounting, Disbursement and ACSL</w:t>
            </w:r>
          </w:p>
        </w:tc>
        <w:tc>
          <w:tcPr>
            <w:tcW w:type="dxa" w:w="2040"/>
            <w:tcMar>
              <w:top w:w="50" w:type="dxa"/>
              <w:bottom w:w="50" w:type="dxa"/>
              <w:left w:w="90" w:type="dxa"/>
              <w:right w:w="90" w:type="dxa"/>
            </w:tcMar>
            <w:shd w:val="clear" w:color="auto" w:fill="E5F5FF"/>
          </w:tcPr>
          <w:p>
            <w:pPr>
              <w:pStyle w:val="BDOITable"/>
            </w:pPr>
            <w:r>
              <w:rPr>
                <w:sz w:val="16"/>
              </w:rPr>
              <w:t>FRS (cover note, Vol. 1, Vol. 2), test plans</w:t>
            </w:r>
          </w:p>
        </w:tc>
        <w:tc>
          <w:tcPr>
            <w:tcW w:type="dxa" w:w="1246"/>
            <w:tcMar>
              <w:top w:w="50" w:type="dxa"/>
              <w:bottom w:w="50" w:type="dxa"/>
              <w:left w:w="90" w:type="dxa"/>
              <w:right w:w="90" w:type="dxa"/>
            </w:tcMar>
            <w:shd w:val="clear" w:color="auto" w:fill="E5F5FF"/>
          </w:tcPr>
          <w:p>
            <w:pPr>
              <w:pStyle w:val="BDOITable"/>
            </w:pPr>
            <w:r>
              <w:rPr>
                <w:sz w:val="16"/>
              </w:rPr>
              <w:t>Drop 1</w:t>
            </w:r>
          </w:p>
        </w:tc>
        <w:tc>
          <w:tcPr>
            <w:tcW w:type="dxa" w:w="2266"/>
            <w:tcMar>
              <w:top w:w="50" w:type="dxa"/>
              <w:bottom w:w="50" w:type="dxa"/>
              <w:left w:w="90" w:type="dxa"/>
              <w:right w:w="90" w:type="dxa"/>
            </w:tcMar>
            <w:shd w:val="clear" w:color="auto" w:fill="E5F5FF"/>
          </w:tcPr>
          <w:p>
            <w:pPr>
              <w:pStyle w:val="BDOITable"/>
            </w:pPr>
            <w:r>
              <w:rPr>
                <w:sz w:val="16"/>
              </w:rPr>
              <w:t>Drop 0 (GL accounts, item 0.4)</w:t>
            </w:r>
          </w:p>
        </w:tc>
        <w:tc>
          <w:tcPr>
            <w:tcW w:type="dxa" w:w="2040"/>
            <w:tcMar>
              <w:top w:w="50" w:type="dxa"/>
              <w:bottom w:w="50" w:type="dxa"/>
              <w:left w:w="90" w:type="dxa"/>
              <w:right w:w="90" w:type="dxa"/>
            </w:tcMar>
            <w:shd w:val="clear" w:color="auto" w:fill="E5F5FF"/>
          </w:tcPr>
          <w:p>
            <w:pPr>
              <w:pStyle w:val="BDOITable"/>
            </w:pPr>
            <w:r>
              <w:rPr>
                <w:sz w:val="16"/>
              </w:rPr>
              <w:t>Upstream 1.U8, downstream 1.D1, 1.D5, 1.D6</w:t>
            </w:r>
          </w:p>
        </w:tc>
      </w:tr>
      <w:tr>
        <w:trPr>
          <w:cantSplit w:val="true"/>
        </w:trPr>
        <w:tc>
          <w:tcPr>
            <w:tcW w:type="dxa" w:w="2380"/>
            <w:tcMar>
              <w:top w:w="50" w:type="dxa"/>
              <w:bottom w:w="50" w:type="dxa"/>
              <w:left w:w="90" w:type="dxa"/>
              <w:right w:w="90" w:type="dxa"/>
            </w:tcMar>
          </w:tcPr>
          <w:p>
            <w:pPr>
              <w:pStyle w:val="BDOITable"/>
            </w:pPr>
            <w:r>
              <w:rPr>
                <w:b/>
                <w:sz w:val="16"/>
              </w:rPr>
              <w:t>BRD-2 Operations</w:t>
            </w:r>
          </w:p>
        </w:tc>
        <w:tc>
          <w:tcPr>
            <w:tcW w:type="dxa" w:w="2040"/>
            <w:tcMar>
              <w:top w:w="50" w:type="dxa"/>
              <w:bottom w:w="50" w:type="dxa"/>
              <w:left w:w="90" w:type="dxa"/>
              <w:right w:w="90" w:type="dxa"/>
            </w:tcMar>
          </w:tcPr>
          <w:p>
            <w:pPr>
              <w:pStyle w:val="BDOITable"/>
            </w:pPr>
            <w:r>
              <w:rPr>
                <w:sz w:val="16"/>
              </w:rPr>
              <w:t>FRS, test plan</w:t>
            </w:r>
          </w:p>
        </w:tc>
        <w:tc>
          <w:tcPr>
            <w:tcW w:type="dxa" w:w="1246"/>
            <w:tcMar>
              <w:top w:w="50" w:type="dxa"/>
              <w:bottom w:w="50" w:type="dxa"/>
              <w:left w:w="90" w:type="dxa"/>
              <w:right w:w="90" w:type="dxa"/>
            </w:tcMar>
          </w:tcPr>
          <w:p>
            <w:pPr>
              <w:pStyle w:val="BDOITable"/>
            </w:pPr>
            <w:r>
              <w:rPr>
                <w:sz w:val="16"/>
              </w:rPr>
              <w:t>Drop 1</w:t>
            </w:r>
          </w:p>
        </w:tc>
        <w:tc>
          <w:tcPr>
            <w:tcW w:type="dxa" w:w="2266"/>
            <w:tcMar>
              <w:top w:w="50" w:type="dxa"/>
              <w:bottom w:w="50" w:type="dxa"/>
              <w:left w:w="90" w:type="dxa"/>
              <w:right w:w="90" w:type="dxa"/>
            </w:tcMar>
          </w:tcPr>
          <w:p>
            <w:pPr>
              <w:pStyle w:val="BDOITable"/>
            </w:pPr>
            <w:r>
              <w:rPr>
                <w:sz w:val="16"/>
              </w:rPr>
              <w:t>Drop 2 (Production Reconciliation chapter, 2.3)</w:t>
            </w:r>
          </w:p>
        </w:tc>
        <w:tc>
          <w:tcPr>
            <w:tcW w:type="dxa" w:w="2040"/>
            <w:tcMar>
              <w:top w:w="50" w:type="dxa"/>
              <w:bottom w:w="50" w:type="dxa"/>
              <w:left w:w="90" w:type="dxa"/>
              <w:right w:w="90" w:type="dxa"/>
            </w:tcMar>
          </w:tcPr>
          <w:p>
            <w:pPr>
              <w:pStyle w:val="BDOITable"/>
            </w:pPr>
            <w:r>
              <w:rPr>
                <w:sz w:val="16"/>
              </w:rPr>
              <w:t>Test plan sheets split by chapter</w:t>
            </w:r>
          </w:p>
        </w:tc>
      </w:tr>
      <w:tr>
        <w:trPr>
          <w:cantSplit w:val="true"/>
        </w:trPr>
        <w:tc>
          <w:tcPr>
            <w:tcW w:type="dxa" w:w="2380"/>
            <w:tcMar>
              <w:top w:w="50" w:type="dxa"/>
              <w:bottom w:w="50" w:type="dxa"/>
              <w:left w:w="90" w:type="dxa"/>
              <w:right w:w="90" w:type="dxa"/>
            </w:tcMar>
            <w:shd w:val="clear" w:color="auto" w:fill="E5F5FF"/>
          </w:tcPr>
          <w:p>
            <w:pPr>
              <w:pStyle w:val="BDOITable"/>
            </w:pPr>
            <w:r>
              <w:rPr>
                <w:b/>
                <w:sz w:val="16"/>
              </w:rPr>
              <w:t>BRD-4 Collections</w:t>
            </w:r>
          </w:p>
        </w:tc>
        <w:tc>
          <w:tcPr>
            <w:tcW w:type="dxa" w:w="2040"/>
            <w:tcMar>
              <w:top w:w="50" w:type="dxa"/>
              <w:bottom w:w="50" w:type="dxa"/>
              <w:left w:w="90" w:type="dxa"/>
              <w:right w:w="90" w:type="dxa"/>
            </w:tcMar>
            <w:shd w:val="clear" w:color="auto" w:fill="E5F5FF"/>
          </w:tcPr>
          <w:p>
            <w:pPr>
              <w:pStyle w:val="BDOITable"/>
            </w:pPr>
            <w:r>
              <w:rPr>
                <w:sz w:val="16"/>
              </w:rPr>
              <w:t>FRS, test plan</w:t>
            </w:r>
          </w:p>
        </w:tc>
        <w:tc>
          <w:tcPr>
            <w:tcW w:type="dxa" w:w="1246"/>
            <w:tcMar>
              <w:top w:w="50" w:type="dxa"/>
              <w:bottom w:w="50" w:type="dxa"/>
              <w:left w:w="90" w:type="dxa"/>
              <w:right w:w="90" w:type="dxa"/>
            </w:tcMar>
            <w:shd w:val="clear" w:color="auto" w:fill="E5F5FF"/>
          </w:tcPr>
          <w:p>
            <w:pPr>
              <w:pStyle w:val="BDOITable"/>
            </w:pPr>
            <w:r>
              <w:rPr>
                <w:sz w:val="16"/>
              </w:rPr>
              <w:t>Drop 1</w:t>
            </w:r>
          </w:p>
        </w:tc>
        <w:tc>
          <w:tcPr>
            <w:tcW w:type="dxa" w:w="2266"/>
            <w:tcMar>
              <w:top w:w="50" w:type="dxa"/>
              <w:bottom w:w="50" w:type="dxa"/>
              <w:left w:w="90" w:type="dxa"/>
              <w:right w:w="90" w:type="dxa"/>
            </w:tcMar>
            <w:shd w:val="clear" w:color="auto" w:fill="E5F5FF"/>
          </w:tcPr>
          <w:p>
            <w:pPr>
              <w:pStyle w:val="BDOITable"/>
            </w:pPr>
            <w:r>
              <w:rPr>
                <w:sz w:val="16"/>
              </w:rPr>
              <w:t>Drop 2 (Marketing Collection extraction, 2.1)</w:t>
            </w:r>
          </w:p>
        </w:tc>
        <w:tc>
          <w:tcPr>
            <w:tcW w:type="dxa" w:w="2040"/>
            <w:tcMar>
              <w:top w:w="50" w:type="dxa"/>
              <w:bottom w:w="50" w:type="dxa"/>
              <w:left w:w="90" w:type="dxa"/>
              <w:right w:w="90" w:type="dxa"/>
            </w:tcMar>
            <w:shd w:val="clear" w:color="auto" w:fill="E5F5FF"/>
          </w:tcPr>
          <w:p>
            <w:pPr>
              <w:pStyle w:val="BDOITable"/>
            </w:pPr>
            <w:r>
              <w:rPr>
                <w:sz w:val="16"/>
              </w:rPr>
              <w:t>DP rows BRCLXN.059-064 in Drop 1 (1.D7); rest per IQ21</w:t>
            </w:r>
          </w:p>
        </w:tc>
      </w:tr>
      <w:tr>
        <w:trPr>
          <w:cantSplit w:val="true"/>
        </w:trPr>
        <w:tc>
          <w:tcPr>
            <w:tcW w:type="dxa" w:w="2380"/>
            <w:tcMar>
              <w:top w:w="50" w:type="dxa"/>
              <w:bottom w:w="50" w:type="dxa"/>
              <w:left w:w="90" w:type="dxa"/>
              <w:right w:w="90" w:type="dxa"/>
            </w:tcMar>
          </w:tcPr>
          <w:p>
            <w:pPr>
              <w:pStyle w:val="BDOITable"/>
            </w:pPr>
            <w:r>
              <w:rPr>
                <w:b/>
                <w:sz w:val="16"/>
              </w:rPr>
              <w:t>BRD-7 Claims</w:t>
            </w:r>
          </w:p>
        </w:tc>
        <w:tc>
          <w:tcPr>
            <w:tcW w:type="dxa" w:w="2040"/>
            <w:tcMar>
              <w:top w:w="50" w:type="dxa"/>
              <w:bottom w:w="50" w:type="dxa"/>
              <w:left w:w="90" w:type="dxa"/>
              <w:right w:w="90" w:type="dxa"/>
            </w:tcMar>
          </w:tcPr>
          <w:p>
            <w:pPr>
              <w:pStyle w:val="BDOITable"/>
            </w:pPr>
            <w:r>
              <w:rPr>
                <w:sz w:val="16"/>
              </w:rPr>
              <w:t>FRS, test plan</w:t>
            </w:r>
          </w:p>
        </w:tc>
        <w:tc>
          <w:tcPr>
            <w:tcW w:type="dxa" w:w="1246"/>
            <w:tcMar>
              <w:top w:w="50" w:type="dxa"/>
              <w:bottom w:w="50" w:type="dxa"/>
              <w:left w:w="90" w:type="dxa"/>
              <w:right w:w="90" w:type="dxa"/>
            </w:tcMar>
          </w:tcPr>
          <w:p>
            <w:pPr>
              <w:pStyle w:val="BDOITable"/>
            </w:pPr>
            <w:r>
              <w:rPr>
                <w:sz w:val="16"/>
              </w:rPr>
              <w:t>Drop 2</w:t>
            </w:r>
          </w:p>
        </w:tc>
        <w:tc>
          <w:tcPr>
            <w:tcW w:type="dxa" w:w="2266"/>
            <w:tcMar>
              <w:top w:w="50" w:type="dxa"/>
              <w:bottom w:w="50" w:type="dxa"/>
              <w:left w:w="90" w:type="dxa"/>
              <w:right w:w="90" w:type="dxa"/>
            </w:tcMar>
          </w:tcPr>
          <w:p>
            <w:pPr>
              <w:pStyle w:val="BDOITable"/>
            </w:pPr>
            <w:r>
              <w:rPr>
                <w:sz w:val="16"/>
              </w:rPr>
              <w:t>-</w:t>
            </w:r>
          </w:p>
        </w:tc>
        <w:tc>
          <w:tcPr>
            <w:tcW w:type="dxa" w:w="2040"/>
            <w:tcMar>
              <w:top w:w="50" w:type="dxa"/>
              <w:bottom w:w="50" w:type="dxa"/>
              <w:left w:w="90" w:type="dxa"/>
              <w:right w:w="90" w:type="dxa"/>
            </w:tcMar>
          </w:tcPr>
          <w:p>
            <w:pPr>
              <w:pStyle w:val="BDOITable"/>
            </w:pPr>
            <w:r>
              <w:rPr>
                <w:sz w:val="16"/>
              </w:rPr>
              <w:t>2.2</w:t>
            </w:r>
          </w:p>
        </w:tc>
      </w:tr>
      <w:tr>
        <w:trPr>
          <w:cantSplit w:val="true"/>
        </w:trPr>
        <w:tc>
          <w:tcPr>
            <w:tcW w:type="dxa" w:w="2380"/>
            <w:tcMar>
              <w:top w:w="50" w:type="dxa"/>
              <w:bottom w:w="50" w:type="dxa"/>
              <w:left w:w="90" w:type="dxa"/>
              <w:right w:w="90" w:type="dxa"/>
            </w:tcMar>
            <w:shd w:val="clear" w:color="auto" w:fill="E5F5FF"/>
          </w:tcPr>
          <w:p>
            <w:pPr>
              <w:pStyle w:val="BDOITable"/>
            </w:pPr>
            <w:r>
              <w:rPr>
                <w:b/>
                <w:sz w:val="16"/>
              </w:rPr>
              <w:t>BRD-8 Employee Benefits</w:t>
            </w:r>
          </w:p>
        </w:tc>
        <w:tc>
          <w:tcPr>
            <w:tcW w:type="dxa" w:w="2040"/>
            <w:tcMar>
              <w:top w:w="50" w:type="dxa"/>
              <w:bottom w:w="50" w:type="dxa"/>
              <w:left w:w="90" w:type="dxa"/>
              <w:right w:w="90" w:type="dxa"/>
            </w:tcMar>
            <w:shd w:val="clear" w:color="auto" w:fill="E5F5FF"/>
          </w:tcPr>
          <w:p>
            <w:pPr>
              <w:pStyle w:val="BDOITable"/>
            </w:pPr>
            <w:r>
              <w:rPr>
                <w:sz w:val="16"/>
              </w:rPr>
              <w:t>FRS, test plan</w:t>
            </w:r>
          </w:p>
        </w:tc>
        <w:tc>
          <w:tcPr>
            <w:tcW w:type="dxa" w:w="1246"/>
            <w:tcMar>
              <w:top w:w="50" w:type="dxa"/>
              <w:bottom w:w="50" w:type="dxa"/>
              <w:left w:w="90" w:type="dxa"/>
              <w:right w:w="90" w:type="dxa"/>
            </w:tcMar>
            <w:shd w:val="clear" w:color="auto" w:fill="E5F5FF"/>
          </w:tcPr>
          <w:p>
            <w:pPr>
              <w:pStyle w:val="BDOITable"/>
            </w:pPr>
            <w:r>
              <w:rPr>
                <w:sz w:val="16"/>
              </w:rPr>
              <w:t>Drop 2</w:t>
            </w:r>
          </w:p>
        </w:tc>
        <w:tc>
          <w:tcPr>
            <w:tcW w:type="dxa" w:w="2266"/>
            <w:tcMar>
              <w:top w:w="50" w:type="dxa"/>
              <w:bottom w:w="50" w:type="dxa"/>
              <w:left w:w="90" w:type="dxa"/>
              <w:right w:w="90" w:type="dxa"/>
            </w:tcMar>
            <w:shd w:val="clear" w:color="auto" w:fill="E5F5FF"/>
          </w:tcPr>
          <w:p>
            <w:pPr>
              <w:pStyle w:val="BDOITable"/>
            </w:pPr>
            <w:r>
              <w:rPr>
                <w:sz w:val="16"/>
              </w:rPr>
              <w:t>Drop 1 (EB placement and reports, 1.U6, 1.U9)</w:t>
            </w:r>
          </w:p>
        </w:tc>
        <w:tc>
          <w:tcPr>
            <w:tcW w:type="dxa" w:w="2040"/>
            <w:tcMar>
              <w:top w:w="50" w:type="dxa"/>
              <w:bottom w:w="50" w:type="dxa"/>
              <w:left w:w="90" w:type="dxa"/>
              <w:right w:w="90" w:type="dxa"/>
            </w:tcMar>
            <w:shd w:val="clear" w:color="auto" w:fill="E5F5FF"/>
          </w:tcPr>
          <w:p>
            <w:pPr>
              <w:pStyle w:val="BDOITable"/>
            </w:pPr>
            <w:r>
              <w:rPr>
                <w:sz w:val="16"/>
              </w:rPr>
              <w:t>Portal requirements out (answer, IQ22)</w:t>
            </w:r>
          </w:p>
        </w:tc>
      </w:tr>
      <w:tr>
        <w:trPr>
          <w:cantSplit w:val="true"/>
        </w:trPr>
        <w:tc>
          <w:tcPr>
            <w:tcW w:type="dxa" w:w="2380"/>
            <w:tcMar>
              <w:top w:w="50" w:type="dxa"/>
              <w:bottom w:w="50" w:type="dxa"/>
              <w:left w:w="90" w:type="dxa"/>
              <w:right w:w="90" w:type="dxa"/>
            </w:tcMar>
          </w:tcPr>
          <w:p>
            <w:pPr>
              <w:pStyle w:val="BDOITable"/>
            </w:pPr>
            <w:r>
              <w:rPr>
                <w:b/>
                <w:sz w:val="16"/>
              </w:rPr>
              <w:t>Report List as of 27-Apr-2026</w:t>
            </w:r>
          </w:p>
        </w:tc>
        <w:tc>
          <w:tcPr>
            <w:tcW w:type="dxa" w:w="2040"/>
            <w:tcMar>
              <w:top w:w="50" w:type="dxa"/>
              <w:bottom w:w="50" w:type="dxa"/>
              <w:left w:w="90" w:type="dxa"/>
              <w:right w:w="90" w:type="dxa"/>
            </w:tcMar>
          </w:tcPr>
          <w:p>
            <w:pPr>
              <w:pStyle w:val="BDOITable"/>
            </w:pPr>
            <w:r>
              <w:rPr>
                <w:sz w:val="16"/>
              </w:rPr>
              <w:t>Report catalogue</w:t>
            </w:r>
          </w:p>
        </w:tc>
        <w:tc>
          <w:tcPr>
            <w:tcW w:type="dxa" w:w="1246"/>
            <w:tcMar>
              <w:top w:w="50" w:type="dxa"/>
              <w:bottom w:w="50" w:type="dxa"/>
              <w:left w:w="90" w:type="dxa"/>
              <w:right w:w="90" w:type="dxa"/>
            </w:tcMar>
          </w:tcPr>
          <w:p>
            <w:pPr>
              <w:pStyle w:val="BDOITable"/>
            </w:pPr>
            <w:r>
              <w:rPr>
                <w:sz w:val="16"/>
              </w:rPr>
              <w:t>Programme</w:t>
            </w:r>
          </w:p>
        </w:tc>
        <w:tc>
          <w:tcPr>
            <w:tcW w:type="dxa" w:w="2266"/>
            <w:tcMar>
              <w:top w:w="50" w:type="dxa"/>
              <w:bottom w:w="50" w:type="dxa"/>
              <w:left w:w="90" w:type="dxa"/>
              <w:right w:w="90" w:type="dxa"/>
            </w:tcMar>
          </w:tcPr>
          <w:p>
            <w:pPr>
              <w:pStyle w:val="BDOITable"/>
            </w:pPr>
            <w:r>
              <w:rPr>
                <w:sz w:val="16"/>
              </w:rPr>
              <w:t>Each report goes with the drop of its owning module</w:t>
            </w:r>
          </w:p>
        </w:tc>
        <w:tc>
          <w:tcPr>
            <w:tcW w:type="dxa" w:w="2040"/>
            <w:tcMar>
              <w:top w:w="50" w:type="dxa"/>
              <w:bottom w:w="50" w:type="dxa"/>
              <w:left w:w="90" w:type="dxa"/>
              <w:right w:w="90" w:type="dxa"/>
            </w:tcMar>
          </w:tcPr>
          <w:p>
            <w:pPr>
              <w:pStyle w:val="BDOITable"/>
            </w:pPr>
            <w:r>
              <w:rPr>
                <w:sz w:val="16"/>
              </w:rPr>
              <w:t>Split rule: 1.U9, 1.D6, 2.5</w:t>
            </w:r>
          </w:p>
        </w:tc>
      </w:tr>
      <w:tr>
        <w:trPr>
          <w:cantSplit w:val="true"/>
        </w:trPr>
        <w:tc>
          <w:tcPr>
            <w:tcW w:type="dxa" w:w="2380"/>
            <w:tcMar>
              <w:top w:w="50" w:type="dxa"/>
              <w:bottom w:w="50" w:type="dxa"/>
              <w:left w:w="90" w:type="dxa"/>
              <w:right w:w="90" w:type="dxa"/>
            </w:tcMar>
            <w:shd w:val="clear" w:color="auto" w:fill="E5F5FF"/>
          </w:tcPr>
          <w:p>
            <w:pPr>
              <w:pStyle w:val="BDOITable"/>
            </w:pPr>
            <w:r>
              <w:rPr>
                <w:b/>
                <w:sz w:val="16"/>
              </w:rPr>
              <w:t>Discrepancy and clarification register</w:t>
            </w:r>
          </w:p>
        </w:tc>
        <w:tc>
          <w:tcPr>
            <w:tcW w:type="dxa" w:w="2040"/>
            <w:tcMar>
              <w:top w:w="50" w:type="dxa"/>
              <w:bottom w:w="50" w:type="dxa"/>
              <w:left w:w="90" w:type="dxa"/>
              <w:right w:w="90" w:type="dxa"/>
            </w:tcMar>
            <w:shd w:val="clear" w:color="auto" w:fill="E5F5FF"/>
          </w:tcPr>
          <w:p>
            <w:pPr>
              <w:pStyle w:val="BDOITable"/>
            </w:pPr>
            <w:r>
              <w:rPr>
                <w:sz w:val="16"/>
              </w:rPr>
              <w:t>Register (Excel)</w:t>
            </w:r>
          </w:p>
        </w:tc>
        <w:tc>
          <w:tcPr>
            <w:tcW w:type="dxa" w:w="1246"/>
            <w:tcMar>
              <w:top w:w="50" w:type="dxa"/>
              <w:bottom w:w="50" w:type="dxa"/>
              <w:left w:w="90" w:type="dxa"/>
              <w:right w:w="90" w:type="dxa"/>
            </w:tcMar>
            <w:shd w:val="clear" w:color="auto" w:fill="E5F5FF"/>
          </w:tcPr>
          <w:p>
            <w:pPr>
              <w:pStyle w:val="BDOITable"/>
            </w:pPr>
            <w:r>
              <w:rPr>
                <w:sz w:val="16"/>
              </w:rPr>
              <w:t>Programme</w:t>
            </w:r>
          </w:p>
        </w:tc>
        <w:tc>
          <w:tcPr>
            <w:tcW w:type="dxa" w:w="2266"/>
            <w:tcMar>
              <w:top w:w="50" w:type="dxa"/>
              <w:bottom w:w="50" w:type="dxa"/>
              <w:left w:w="90" w:type="dxa"/>
              <w:right w:w="90" w:type="dxa"/>
            </w:tcMar>
            <w:shd w:val="clear" w:color="auto" w:fill="E5F5FF"/>
          </w:tcPr>
          <w:p>
            <w:pPr>
              <w:pStyle w:val="BDOITable"/>
            </w:pPr>
            <w:r>
              <w:rPr>
                <w:sz w:val="16"/>
              </w:rPr>
              <w:t>Filter column Drop to be added</w:t>
            </w:r>
          </w:p>
        </w:tc>
        <w:tc>
          <w:tcPr>
            <w:tcW w:type="dxa" w:w="2040"/>
            <w:tcMar>
              <w:top w:w="50" w:type="dxa"/>
              <w:bottom w:w="50" w:type="dxa"/>
              <w:left w:w="90" w:type="dxa"/>
              <w:right w:w="90" w:type="dxa"/>
            </w:tcMar>
            <w:shd w:val="clear" w:color="auto" w:fill="E5F5FF"/>
          </w:tcPr>
          <w:p>
            <w:pPr>
              <w:pStyle w:val="BDOITable"/>
            </w:pPr>
            <w:r>
              <w:rPr>
                <w:sz w:val="16"/>
              </w:rPr>
              <w:t>DCR-210 to DCR-235 from this document</w:t>
            </w:r>
          </w:p>
        </w:tc>
      </w:tr>
      <w:tr>
        <w:trPr>
          <w:cantSplit w:val="true"/>
        </w:trPr>
        <w:tc>
          <w:tcPr>
            <w:tcW w:type="dxa" w:w="2380"/>
            <w:tcMar>
              <w:top w:w="50" w:type="dxa"/>
              <w:bottom w:w="50" w:type="dxa"/>
              <w:left w:w="90" w:type="dxa"/>
              <w:right w:w="90" w:type="dxa"/>
            </w:tcMar>
          </w:tcPr>
          <w:p>
            <w:pPr>
              <w:pStyle w:val="BDOITable"/>
            </w:pPr>
            <w:r>
              <w:rPr>
                <w:b/>
                <w:sz w:val="16"/>
              </w:rPr>
              <w:t>Business process deck</w:t>
            </w:r>
          </w:p>
        </w:tc>
        <w:tc>
          <w:tcPr>
            <w:tcW w:type="dxa" w:w="2040"/>
            <w:tcMar>
              <w:top w:w="50" w:type="dxa"/>
              <w:bottom w:w="50" w:type="dxa"/>
              <w:left w:w="90" w:type="dxa"/>
              <w:right w:w="90" w:type="dxa"/>
            </w:tcMar>
          </w:tcPr>
          <w:p>
            <w:pPr>
              <w:pStyle w:val="BDOITable"/>
            </w:pPr>
            <w:r>
              <w:rPr>
                <w:sz w:val="16"/>
              </w:rPr>
              <w:t>PowerPoint</w:t>
            </w:r>
          </w:p>
        </w:tc>
        <w:tc>
          <w:tcPr>
            <w:tcW w:type="dxa" w:w="1246"/>
            <w:tcMar>
              <w:top w:w="50" w:type="dxa"/>
              <w:bottom w:w="50" w:type="dxa"/>
              <w:left w:w="90" w:type="dxa"/>
              <w:right w:w="90" w:type="dxa"/>
            </w:tcMar>
          </w:tcPr>
          <w:p>
            <w:pPr>
              <w:pStyle w:val="BDOITable"/>
            </w:pPr>
            <w:r>
              <w:rPr>
                <w:sz w:val="16"/>
              </w:rPr>
              <w:t>Programme</w:t>
            </w:r>
          </w:p>
        </w:tc>
        <w:tc>
          <w:tcPr>
            <w:tcW w:type="dxa" w:w="2266"/>
            <w:tcMar>
              <w:top w:w="50" w:type="dxa"/>
              <w:bottom w:w="50" w:type="dxa"/>
              <w:left w:w="90" w:type="dxa"/>
              <w:right w:w="90" w:type="dxa"/>
            </w:tcMar>
          </w:tcPr>
          <w:p>
            <w:pPr>
              <w:pStyle w:val="BDOITable"/>
            </w:pPr>
            <w:r>
              <w:rPr>
                <w:sz w:val="16"/>
              </w:rPr>
              <w:t>All drops</w:t>
            </w:r>
          </w:p>
        </w:tc>
        <w:tc>
          <w:tcPr>
            <w:tcW w:type="dxa" w:w="2040"/>
            <w:tcMar>
              <w:top w:w="50" w:type="dxa"/>
              <w:bottom w:w="50" w:type="dxa"/>
              <w:left w:w="90" w:type="dxa"/>
              <w:right w:w="90" w:type="dxa"/>
            </w:tcMar>
          </w:tcPr>
          <w:p>
            <w:pPr>
              <w:pStyle w:val="BDOITable"/>
            </w:pPr>
            <w:r>
              <w:rPr>
                <w:sz w:val="16"/>
              </w:rPr>
              <w:t>-</w:t>
            </w:r>
          </w:p>
        </w:tc>
      </w:tr>
      <w:tr>
        <w:trPr>
          <w:cantSplit w:val="true"/>
        </w:trPr>
        <w:tc>
          <w:tcPr>
            <w:tcW w:type="dxa" w:w="2380"/>
            <w:tcMar>
              <w:top w:w="50" w:type="dxa"/>
              <w:bottom w:w="50" w:type="dxa"/>
              <w:left w:w="90" w:type="dxa"/>
              <w:right w:w="90" w:type="dxa"/>
            </w:tcMar>
            <w:shd w:val="clear" w:color="auto" w:fill="E5F5FF"/>
          </w:tcPr>
          <w:p>
            <w:pPr>
              <w:pStyle w:val="BDOITable"/>
            </w:pPr>
            <w:r>
              <w:rPr>
                <w:b/>
                <w:sz w:val="16"/>
              </w:rPr>
              <w:t>Programme alignment and integration inventory (this document)</w:t>
            </w:r>
          </w:p>
        </w:tc>
        <w:tc>
          <w:tcPr>
            <w:tcW w:type="dxa" w:w="2040"/>
            <w:tcMar>
              <w:top w:w="50" w:type="dxa"/>
              <w:bottom w:w="50" w:type="dxa"/>
              <w:left w:w="90" w:type="dxa"/>
              <w:right w:w="90" w:type="dxa"/>
            </w:tcMar>
            <w:shd w:val="clear" w:color="auto" w:fill="E5F5FF"/>
          </w:tcPr>
          <w:p>
            <w:pPr>
              <w:pStyle w:val="BDOITable"/>
            </w:pPr>
            <w:r>
              <w:rPr>
                <w:sz w:val="16"/>
              </w:rPr>
              <w:t>Word, Excel</w:t>
            </w:r>
          </w:p>
        </w:tc>
        <w:tc>
          <w:tcPr>
            <w:tcW w:type="dxa" w:w="1246"/>
            <w:tcMar>
              <w:top w:w="50" w:type="dxa"/>
              <w:bottom w:w="50" w:type="dxa"/>
              <w:left w:w="90" w:type="dxa"/>
              <w:right w:w="90" w:type="dxa"/>
            </w:tcMar>
            <w:shd w:val="clear" w:color="auto" w:fill="E5F5FF"/>
          </w:tcPr>
          <w:p>
            <w:pPr>
              <w:pStyle w:val="BDOITable"/>
            </w:pPr>
            <w:r>
              <w:rPr>
                <w:sz w:val="16"/>
              </w:rPr>
              <w:t>Programme</w:t>
            </w:r>
          </w:p>
        </w:tc>
        <w:tc>
          <w:tcPr>
            <w:tcW w:type="dxa" w:w="2266"/>
            <w:tcMar>
              <w:top w:w="50" w:type="dxa"/>
              <w:bottom w:w="50" w:type="dxa"/>
              <w:left w:w="90" w:type="dxa"/>
              <w:right w:w="90" w:type="dxa"/>
            </w:tcMar>
            <w:shd w:val="clear" w:color="auto" w:fill="E5F5FF"/>
          </w:tcPr>
          <w:p>
            <w:pPr>
              <w:pStyle w:val="BDOITable"/>
            </w:pPr>
            <w:r>
              <w:rPr>
                <w:sz w:val="16"/>
              </w:rPr>
              <w:t>All drops</w:t>
            </w:r>
          </w:p>
        </w:tc>
        <w:tc>
          <w:tcPr>
            <w:tcW w:type="dxa" w:w="2040"/>
            <w:tcMar>
              <w:top w:w="50" w:type="dxa"/>
              <w:bottom w:w="50" w:type="dxa"/>
              <w:left w:w="90" w:type="dxa"/>
              <w:right w:w="90" w:type="dxa"/>
            </w:tcMar>
            <w:shd w:val="clear" w:color="auto" w:fill="E5F5FF"/>
          </w:tcPr>
          <w:p>
            <w:pPr>
              <w:pStyle w:val="BDOITable"/>
            </w:pPr>
            <w:r>
              <w:rPr>
                <w:sz w:val="16"/>
              </w:rPr>
              <w:t>Integration rows carry their drop</w:t>
            </w:r>
          </w:p>
        </w:tc>
      </w:tr>
      <w:tr>
        <w:trPr>
          <w:cantSplit w:val="true"/>
        </w:trPr>
        <w:tc>
          <w:tcPr>
            <w:tcW w:type="dxa" w:w="2380"/>
            <w:tcMar>
              <w:top w:w="50" w:type="dxa"/>
              <w:bottom w:w="50" w:type="dxa"/>
              <w:left w:w="90" w:type="dxa"/>
              <w:right w:w="90" w:type="dxa"/>
            </w:tcMar>
          </w:tcPr>
          <w:p>
            <w:pPr>
              <w:pStyle w:val="BDOITable"/>
            </w:pPr>
            <w:r>
              <w:rPr>
                <w:b/>
                <w:sz w:val="16"/>
              </w:rPr>
              <w:t>Bill of materials, technical and deployment architecture (items 4, 12)</w:t>
            </w:r>
          </w:p>
        </w:tc>
        <w:tc>
          <w:tcPr>
            <w:tcW w:type="dxa" w:w="2040"/>
            <w:tcMar>
              <w:top w:w="50" w:type="dxa"/>
              <w:bottom w:w="50" w:type="dxa"/>
              <w:left w:w="90" w:type="dxa"/>
              <w:right w:w="90" w:type="dxa"/>
            </w:tcMar>
          </w:tcPr>
          <w:p>
            <w:pPr>
              <w:pStyle w:val="BDOITable"/>
            </w:pPr>
            <w:r>
              <w:rPr>
                <w:sz w:val="16"/>
              </w:rPr>
              <w:t>Word, Excel (to write)</w:t>
            </w:r>
          </w:p>
        </w:tc>
        <w:tc>
          <w:tcPr>
            <w:tcW w:type="dxa" w:w="1246"/>
            <w:tcMar>
              <w:top w:w="50" w:type="dxa"/>
              <w:bottom w:w="50" w:type="dxa"/>
              <w:left w:w="90" w:type="dxa"/>
              <w:right w:w="90" w:type="dxa"/>
            </w:tcMar>
          </w:tcPr>
          <w:p>
            <w:pPr>
              <w:pStyle w:val="BDOITable"/>
            </w:pPr>
            <w:r>
              <w:rPr>
                <w:sz w:val="16"/>
              </w:rPr>
              <w:t>Drop 0</w:t>
            </w:r>
          </w:p>
        </w:tc>
        <w:tc>
          <w:tcPr>
            <w:tcW w:type="dxa" w:w="2266"/>
            <w:tcMar>
              <w:top w:w="50" w:type="dxa"/>
              <w:bottom w:w="50" w:type="dxa"/>
              <w:left w:w="90" w:type="dxa"/>
              <w:right w:w="90" w:type="dxa"/>
            </w:tcMar>
          </w:tcPr>
          <w:p>
            <w:pPr>
              <w:pStyle w:val="BDOITable"/>
            </w:pPr>
            <w:r>
              <w:rPr>
                <w:sz w:val="16"/>
              </w:rPr>
              <w:t>-</w:t>
            </w:r>
          </w:p>
        </w:tc>
        <w:tc>
          <w:tcPr>
            <w:tcW w:type="dxa" w:w="2040"/>
            <w:tcMar>
              <w:top w:w="50" w:type="dxa"/>
              <w:bottom w:w="50" w:type="dxa"/>
              <w:left w:w="90" w:type="dxa"/>
              <w:right w:w="90" w:type="dxa"/>
            </w:tcMar>
          </w:tcPr>
          <w:p>
            <w:pPr>
              <w:pStyle w:val="BDOITable"/>
            </w:pPr>
            <w:r>
              <w:rPr>
                <w:sz w:val="16"/>
              </w:rPr>
              <w:t>Built from section 6 and the IER</w:t>
            </w:r>
          </w:p>
        </w:tc>
      </w:tr>
      <w:tr>
        <w:trPr>
          <w:cantSplit w:val="true"/>
        </w:trPr>
        <w:tc>
          <w:tcPr>
            <w:tcW w:type="dxa" w:w="2380"/>
            <w:tcMar>
              <w:top w:w="50" w:type="dxa"/>
              <w:bottom w:w="50" w:type="dxa"/>
              <w:left w:w="90" w:type="dxa"/>
              <w:right w:w="90" w:type="dxa"/>
            </w:tcMar>
            <w:shd w:val="clear" w:color="auto" w:fill="E5F5FF"/>
          </w:tcPr>
          <w:p>
            <w:pPr>
              <w:pStyle w:val="BDOITable"/>
            </w:pPr>
            <w:r>
              <w:rPr>
                <w:b/>
                <w:sz w:val="16"/>
              </w:rPr>
              <w:t>Security and data-protection mapping (item 26)</w:t>
            </w:r>
          </w:p>
        </w:tc>
        <w:tc>
          <w:tcPr>
            <w:tcW w:type="dxa" w:w="2040"/>
            <w:tcMar>
              <w:top w:w="50" w:type="dxa"/>
              <w:bottom w:w="50" w:type="dxa"/>
              <w:left w:w="90" w:type="dxa"/>
              <w:right w:w="90" w:type="dxa"/>
            </w:tcMar>
            <w:shd w:val="clear" w:color="auto" w:fill="E5F5FF"/>
          </w:tcPr>
          <w:p>
            <w:pPr>
              <w:pStyle w:val="BDOITable"/>
            </w:pPr>
            <w:r>
              <w:rPr>
                <w:sz w:val="16"/>
              </w:rPr>
              <w:t>Word, Excel (to write)</w:t>
            </w:r>
          </w:p>
        </w:tc>
        <w:tc>
          <w:tcPr>
            <w:tcW w:type="dxa" w:w="1246"/>
            <w:tcMar>
              <w:top w:w="50" w:type="dxa"/>
              <w:bottom w:w="50" w:type="dxa"/>
              <w:left w:w="90" w:type="dxa"/>
              <w:right w:w="90" w:type="dxa"/>
            </w:tcMar>
            <w:shd w:val="clear" w:color="auto" w:fill="E5F5FF"/>
          </w:tcPr>
          <w:p>
            <w:pPr>
              <w:pStyle w:val="BDOITable"/>
            </w:pPr>
            <w:r>
              <w:rPr>
                <w:sz w:val="16"/>
              </w:rPr>
              <w:t>Drop 0</w:t>
            </w:r>
          </w:p>
        </w:tc>
        <w:tc>
          <w:tcPr>
            <w:tcW w:type="dxa" w:w="2266"/>
            <w:tcMar>
              <w:top w:w="50" w:type="dxa"/>
              <w:bottom w:w="50" w:type="dxa"/>
              <w:left w:w="90" w:type="dxa"/>
              <w:right w:w="90" w:type="dxa"/>
            </w:tcMar>
            <w:shd w:val="clear" w:color="auto" w:fill="E5F5FF"/>
          </w:tcPr>
          <w:p>
            <w:pPr>
              <w:pStyle w:val="BDOITable"/>
            </w:pPr>
            <w:r>
              <w:rPr>
                <w:sz w:val="16"/>
              </w:rPr>
              <w:t>-</w:t>
            </w:r>
          </w:p>
        </w:tc>
        <w:tc>
          <w:tcPr>
            <w:tcW w:type="dxa" w:w="2040"/>
            <w:tcMar>
              <w:top w:w="50" w:type="dxa"/>
              <w:bottom w:w="50" w:type="dxa"/>
              <w:left w:w="90" w:type="dxa"/>
              <w:right w:w="90" w:type="dxa"/>
            </w:tcMar>
            <w:shd w:val="clear" w:color="auto" w:fill="E5F5FF"/>
          </w:tcPr>
          <w:p>
            <w:pPr>
              <w:pStyle w:val="BDOITable"/>
            </w:pPr>
            <w:r>
              <w:rPr>
                <w:sz w:val="16"/>
              </w:rPr>
              <w:t>EIAM, UIDM-ISC, S3 encryption, masking</w:t>
            </w:r>
          </w:p>
        </w:tc>
      </w:tr>
      <w:tr>
        <w:trPr>
          <w:cantSplit w:val="true"/>
        </w:trPr>
        <w:tc>
          <w:tcPr>
            <w:tcW w:type="dxa" w:w="2380"/>
            <w:tcMar>
              <w:top w:w="50" w:type="dxa"/>
              <w:bottom w:w="50" w:type="dxa"/>
              <w:left w:w="90" w:type="dxa"/>
              <w:right w:w="90" w:type="dxa"/>
            </w:tcMar>
          </w:tcPr>
          <w:p>
            <w:pPr>
              <w:pStyle w:val="BDOITable"/>
            </w:pPr>
            <w:r>
              <w:rPr>
                <w:b/>
                <w:sz w:val="16"/>
              </w:rPr>
              <w:t>Interface specifications (one per integration)</w:t>
            </w:r>
          </w:p>
        </w:tc>
        <w:tc>
          <w:tcPr>
            <w:tcW w:type="dxa" w:w="2040"/>
            <w:tcMar>
              <w:top w:w="50" w:type="dxa"/>
              <w:bottom w:w="50" w:type="dxa"/>
              <w:left w:w="90" w:type="dxa"/>
              <w:right w:w="90" w:type="dxa"/>
            </w:tcMar>
          </w:tcPr>
          <w:p>
            <w:pPr>
              <w:pStyle w:val="BDOITable"/>
            </w:pPr>
            <w:r>
              <w:rPr>
                <w:sz w:val="16"/>
              </w:rPr>
              <w:t>Word (to write)</w:t>
            </w:r>
          </w:p>
        </w:tc>
        <w:tc>
          <w:tcPr>
            <w:tcW w:type="dxa" w:w="1246"/>
            <w:tcMar>
              <w:top w:w="50" w:type="dxa"/>
              <w:bottom w:w="50" w:type="dxa"/>
              <w:left w:w="90" w:type="dxa"/>
              <w:right w:w="90" w:type="dxa"/>
            </w:tcMar>
          </w:tcPr>
          <w:p>
            <w:pPr>
              <w:pStyle w:val="BDOITable"/>
            </w:pPr>
            <w:r>
              <w:rPr>
                <w:sz w:val="16"/>
              </w:rPr>
              <w:t>Drop of the integration</w:t>
            </w:r>
          </w:p>
        </w:tc>
        <w:tc>
          <w:tcPr>
            <w:tcW w:type="dxa" w:w="2266"/>
            <w:tcMar>
              <w:top w:w="50" w:type="dxa"/>
              <w:bottom w:w="50" w:type="dxa"/>
              <w:left w:w="90" w:type="dxa"/>
              <w:right w:w="90" w:type="dxa"/>
            </w:tcMar>
          </w:tcPr>
          <w:p>
            <w:pPr>
              <w:pStyle w:val="BDOITable"/>
            </w:pPr>
            <w:r>
              <w:rPr>
                <w:sz w:val="16"/>
              </w:rPr>
              <w:t>-</w:t>
            </w:r>
          </w:p>
        </w:tc>
        <w:tc>
          <w:tcPr>
            <w:tcW w:type="dxa" w:w="2040"/>
            <w:tcMar>
              <w:top w:w="50" w:type="dxa"/>
              <w:bottom w:w="50" w:type="dxa"/>
              <w:left w:w="90" w:type="dxa"/>
              <w:right w:w="90" w:type="dxa"/>
            </w:tcMar>
          </w:tcPr>
          <w:p>
            <w:pPr>
              <w:pStyle w:val="BDOITable"/>
            </w:pPr>
            <w:r>
              <w:rPr>
                <w:sz w:val="16"/>
              </w:rPr>
              <w:t>After BDOI IT answers the IQ questions</w:t>
            </w:r>
          </w:p>
        </w:tc>
      </w:tr>
      <w:tr>
        <w:trPr>
          <w:cantSplit w:val="true"/>
        </w:trPr>
        <w:tc>
          <w:tcPr>
            <w:tcW w:type="dxa" w:w="2380"/>
            <w:tcMar>
              <w:top w:w="50" w:type="dxa"/>
              <w:bottom w:w="50" w:type="dxa"/>
              <w:left w:w="90" w:type="dxa"/>
              <w:right w:w="90" w:type="dxa"/>
            </w:tcMar>
            <w:shd w:val="clear" w:color="auto" w:fill="E5F5FF"/>
          </w:tcPr>
          <w:p>
            <w:pPr>
              <w:pStyle w:val="BDOITable"/>
            </w:pPr>
            <w:r>
              <w:rPr>
                <w:b/>
                <w:sz w:val="16"/>
              </w:rPr>
              <w:t>UAT plans and sign-off forms (item 30)</w:t>
            </w:r>
          </w:p>
        </w:tc>
        <w:tc>
          <w:tcPr>
            <w:tcW w:type="dxa" w:w="2040"/>
            <w:tcMar>
              <w:top w:w="50" w:type="dxa"/>
              <w:bottom w:w="50" w:type="dxa"/>
              <w:left w:w="90" w:type="dxa"/>
              <w:right w:w="90" w:type="dxa"/>
            </w:tcMar>
            <w:shd w:val="clear" w:color="auto" w:fill="E5F5FF"/>
          </w:tcPr>
          <w:p>
            <w:pPr>
              <w:pStyle w:val="BDOITable"/>
            </w:pPr>
            <w:r>
              <w:rPr>
                <w:sz w:val="16"/>
              </w:rPr>
              <w:t>Word (to write)</w:t>
            </w:r>
          </w:p>
        </w:tc>
        <w:tc>
          <w:tcPr>
            <w:tcW w:type="dxa" w:w="1246"/>
            <w:tcMar>
              <w:top w:w="50" w:type="dxa"/>
              <w:bottom w:w="50" w:type="dxa"/>
              <w:left w:w="90" w:type="dxa"/>
              <w:right w:w="90" w:type="dxa"/>
            </w:tcMar>
            <w:shd w:val="clear" w:color="auto" w:fill="E5F5FF"/>
          </w:tcPr>
          <w:p>
            <w:pPr>
              <w:pStyle w:val="BDOITable"/>
            </w:pPr>
            <w:r>
              <w:rPr>
                <w:sz w:val="16"/>
              </w:rPr>
              <w:t>Per drop</w:t>
            </w:r>
          </w:p>
        </w:tc>
        <w:tc>
          <w:tcPr>
            <w:tcW w:type="dxa" w:w="2266"/>
            <w:tcMar>
              <w:top w:w="50" w:type="dxa"/>
              <w:bottom w:w="50" w:type="dxa"/>
              <w:left w:w="90" w:type="dxa"/>
              <w:right w:w="90" w:type="dxa"/>
            </w:tcMar>
            <w:shd w:val="clear" w:color="auto" w:fill="E5F5FF"/>
          </w:tcPr>
          <w:p>
            <w:pPr>
              <w:pStyle w:val="BDOITable"/>
            </w:pPr>
            <w:r>
              <w:rPr>
                <w:sz w:val="16"/>
              </w:rPr>
              <w:t>End-to-end UAT script is programme level</w:t>
            </w:r>
          </w:p>
        </w:tc>
        <w:tc>
          <w:tcPr>
            <w:tcW w:type="dxa" w:w="2040"/>
            <w:tcMar>
              <w:top w:w="50" w:type="dxa"/>
              <w:bottom w:w="50" w:type="dxa"/>
              <w:left w:w="90" w:type="dxa"/>
              <w:right w:w="90" w:type="dxa"/>
            </w:tcMar>
            <w:shd w:val="clear" w:color="auto" w:fill="E5F5FF"/>
          </w:tcPr>
          <w:p>
            <w:pPr>
              <w:pStyle w:val="BDOITable"/>
            </w:pPr>
            <w:r>
              <w:rPr>
                <w:sz w:val="16"/>
              </w:rPr>
              <w:t>UAT runs end to end (answer A1)</w:t>
            </w:r>
          </w:p>
        </w:tc>
      </w:tr>
      <w:tr>
        <w:trPr>
          <w:cantSplit w:val="true"/>
        </w:trPr>
        <w:tc>
          <w:tcPr>
            <w:tcW w:type="dxa" w:w="2380"/>
            <w:tcMar>
              <w:top w:w="50" w:type="dxa"/>
              <w:bottom w:w="50" w:type="dxa"/>
              <w:left w:w="90" w:type="dxa"/>
              <w:right w:w="90" w:type="dxa"/>
            </w:tcMar>
          </w:tcPr>
          <w:p>
            <w:pPr>
              <w:pStyle w:val="BDOITable"/>
            </w:pPr>
            <w:r>
              <w:rPr>
                <w:b/>
                <w:sz w:val="16"/>
              </w:rPr>
              <w:t>Performance, penetration test, ORR / PRR evidence (items 28, 37)</w:t>
            </w:r>
          </w:p>
        </w:tc>
        <w:tc>
          <w:tcPr>
            <w:tcW w:type="dxa" w:w="2040"/>
            <w:tcMar>
              <w:top w:w="50" w:type="dxa"/>
              <w:bottom w:w="50" w:type="dxa"/>
              <w:left w:w="90" w:type="dxa"/>
              <w:right w:w="90" w:type="dxa"/>
            </w:tcMar>
          </w:tcPr>
          <w:p>
            <w:pPr>
              <w:pStyle w:val="BDOITable"/>
            </w:pPr>
            <w:r>
              <w:rPr>
                <w:sz w:val="16"/>
              </w:rPr>
              <w:t>Word, Excel (to write)</w:t>
            </w:r>
          </w:p>
        </w:tc>
        <w:tc>
          <w:tcPr>
            <w:tcW w:type="dxa" w:w="1246"/>
            <w:tcMar>
              <w:top w:w="50" w:type="dxa"/>
              <w:bottom w:w="50" w:type="dxa"/>
              <w:left w:w="90" w:type="dxa"/>
              <w:right w:w="90" w:type="dxa"/>
            </w:tcMar>
          </w:tcPr>
          <w:p>
            <w:pPr>
              <w:pStyle w:val="BDOITable"/>
            </w:pPr>
            <w:r>
              <w:rPr>
                <w:sz w:val="16"/>
              </w:rPr>
              <w:t>Programme</w:t>
            </w:r>
          </w:p>
        </w:tc>
        <w:tc>
          <w:tcPr>
            <w:tcW w:type="dxa" w:w="2266"/>
            <w:tcMar>
              <w:top w:w="50" w:type="dxa"/>
              <w:bottom w:w="50" w:type="dxa"/>
              <w:left w:w="90" w:type="dxa"/>
              <w:right w:w="90" w:type="dxa"/>
            </w:tcMar>
          </w:tcPr>
          <w:p>
            <w:pPr>
              <w:pStyle w:val="BDOITable"/>
            </w:pPr>
            <w:r>
              <w:rPr>
                <w:sz w:val="16"/>
              </w:rPr>
              <w:t>-</w:t>
            </w:r>
          </w:p>
        </w:tc>
        <w:tc>
          <w:tcPr>
            <w:tcW w:type="dxa" w:w="2040"/>
            <w:tcMar>
              <w:top w:w="50" w:type="dxa"/>
              <w:bottom w:w="50" w:type="dxa"/>
              <w:left w:w="90" w:type="dxa"/>
              <w:right w:w="90" w:type="dxa"/>
            </w:tcMar>
          </w:tcPr>
          <w:p>
            <w:pPr>
              <w:pStyle w:val="BDOITable"/>
            </w:pPr>
            <w:r>
              <w:rPr>
                <w:sz w:val="16"/>
              </w:rPr>
              <w:t>Nov 2027 - Jan 2028</w:t>
            </w:r>
          </w:p>
        </w:tc>
      </w:tr>
    </w:tbl>
    <w:p>
      <w:pPr>
        <w:pStyle w:val="BDOISpacer"/>
      </w:pPr>
    </w:p>
    <w:p>
      <w:pPr>
        <w:pStyle w:val="Heading1"/>
        <w:pageBreakBefore/>
        <w:pBdr>
          <w:bottom w:val="single" w:sz="4" w:space="4" w:color="99C1E7"/>
        </w:pBdr>
      </w:pPr>
      <w:bookmarkStart w:id="111" w:name="_Toc000111"/>
      <w:r>
        <w:rPr/>
        <w:t>3 Early renewal concept paper</w:t>
      </w:r>
      <w:bookmarkEnd w:id="111"/>
    </w:p>
    <w:p>
      <w:pPr>
        <w:pStyle w:val="Heading2"/>
      </w:pPr>
      <w:bookmarkStart w:id="112" w:name="_Toc000112"/>
      <w:r>
        <w:rPr/>
        <w:t>3.1 What the paper proposed</w:t>
      </w:r>
      <w:bookmarkEnd w:id="112"/>
    </w:p>
    <w:p>
      <w:r>
        <w:rPr/>
        <w:t>The concept paper (S4), prepared by the Project Manager and reviewed by the BU Project Lead (signature dates 06/09/2026), proposed a pre-cut-over release of renewal processing by 15 August 2027, for policies expiring from January to May 2028. The date matches the renewal lead time: 140 days before 1 January 2028 is 14 August 2027. It included the renewal core (RMEL ingestion, sanitation, disposition, proposal, insurer approval, renewal advice, NAL and NRL), TSU Product / Package Maintenance and quotation, Submitted Policy and Free First Year renewal, and the early migration of the client master and renewal reference data. Placement, booking and the back-office functions were to wait for the January 2028 cut-over.</w:t>
      </w:r>
    </w:p>
    <w:p>
      <w:pPr>
        <w:pStyle w:val="Heading2"/>
      </w:pPr>
      <w:bookmarkStart w:id="113" w:name="_Toc000113"/>
      <w:r>
        <w:rPr/>
        <w:t>3.2 Status: superseded</w:t>
      </w:r>
      <w:bookmarkEnd w:id="113"/>
    </w:p>
    <w:p>
      <w:r>
        <w:rPr/>
        <w:t>BDOI answered that every module goes live together in January 2028 and that there is no early go-live (A1). The paper is therefore recorded as superseded as an operating model. Nothing is built for a separate early release: no pre-cut-over production environment, no early client migration, and no legacy-to-BIBS client synchronisation for August to December 2027.</w:t>
      </w:r>
    </w:p>
    <w:p>
      <w:r>
        <w:rPr/>
        <w:t>The capabilities the paper lists remain in scope for January 2028. The table below maps them to the BIBS designs.</w:t>
      </w:r>
    </w:p>
    <w:p>
      <w:pPr>
        <w:pStyle w:val="Caption"/>
        <w:keepNext/>
        <w:spacing w:after="60"/>
      </w:pPr>
      <w:r>
        <w:rPr>
          <w:b/>
          <w:i w:val="0"/>
        </w:rPr>
        <w:t xml:space="preserve">Table 9: </w:t>
      </w:r>
      <w:r>
        <w:rPr/>
        <w:t>Concept paper capabilities against the BIBS designs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93"/>
        <w:gridCol w:w="3739"/>
        <w:gridCol w:w="1359"/>
        <w:gridCol w:w="2379"/>
      </w:tblGrid>
      <w:tr>
        <w:trPr>
          <w:tblHeader w:val="true"/>
          <w:cantSplit w:val="true"/>
        </w:trPr>
        <w:tc>
          <w:tcPr>
            <w:tcW w:type="dxa" w:w="2493"/>
            <w:shd w:val="clear" w:color="auto" w:fill="004EA8"/>
            <w:tcMar>
              <w:top w:w="50" w:type="dxa"/>
              <w:bottom w:w="50" w:type="dxa"/>
              <w:left w:w="90" w:type="dxa"/>
              <w:right w:w="90" w:type="dxa"/>
            </w:tcMar>
            <w:vAlign w:val="center"/>
          </w:tcPr>
          <w:p>
            <w:pPr>
              <w:pStyle w:val="BDOITableHeader"/>
            </w:pPr>
            <w:r>
              <w:rPr>
                <w:b/>
                <w:color w:val="FFFFFF"/>
                <w:sz w:val="16"/>
              </w:rPr>
              <w:t>Concept paper capability</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6"/>
              </w:rPr>
              <w:t>BIBS design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6"/>
              </w:rPr>
              <w:t>Status</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6"/>
              </w:rPr>
              <w:t>Note</w:t>
            </w:r>
          </w:p>
        </w:tc>
      </w:tr>
      <w:tr>
        <w:trPr>
          <w:cantSplit w:val="true"/>
        </w:trPr>
        <w:tc>
          <w:tcPr>
            <w:tcW w:type="dxa" w:w="2493"/>
            <w:tcMar>
              <w:top w:w="50" w:type="dxa"/>
              <w:bottom w:w="50" w:type="dxa"/>
              <w:left w:w="90" w:type="dxa"/>
              <w:right w:w="90" w:type="dxa"/>
            </w:tcMar>
          </w:tcPr>
          <w:p>
            <w:pPr>
              <w:pStyle w:val="BDOITable"/>
            </w:pPr>
            <w:r>
              <w:rPr>
                <w:b/>
                <w:sz w:val="16"/>
              </w:rPr>
              <w:t>Renewal intake and pipeline tracking</w:t>
            </w:r>
          </w:p>
        </w:tc>
        <w:tc>
          <w:tcPr>
            <w:tcW w:type="dxa" w:w="3739"/>
            <w:tcMar>
              <w:top w:w="50" w:type="dxa"/>
              <w:bottom w:w="50" w:type="dxa"/>
              <w:left w:w="90" w:type="dxa"/>
              <w:right w:w="90" w:type="dxa"/>
            </w:tcMar>
          </w:tcPr>
          <w:p>
            <w:pPr>
              <w:pStyle w:val="BDOITable"/>
            </w:pPr>
            <w:r>
              <w:rPr>
                <w:sz w:val="16"/>
              </w:rPr>
              <w:t>BRD-6 Renewal Home, Expiry List (RENEWAL_DESIGN section 12)</w:t>
            </w:r>
          </w:p>
        </w:tc>
        <w:tc>
          <w:tcPr>
            <w:tcW w:type="dxa" w:w="1360"/>
            <w:tcMar>
              <w:top w:w="50" w:type="dxa"/>
              <w:bottom w:w="50" w:type="dxa"/>
              <w:left w:w="90" w:type="dxa"/>
              <w:right w:w="90" w:type="dxa"/>
            </w:tcMar>
          </w:tcPr>
          <w:p>
            <w:pPr>
              <w:pStyle w:val="BDOITable"/>
            </w:pPr>
            <w:r>
              <w:rPr>
                <w:sz w:val="16"/>
              </w:rPr>
              <w:t>Designed</w:t>
            </w:r>
          </w:p>
        </w:tc>
        <w:tc>
          <w:tcPr>
            <w:tcW w:type="dxa" w:w="2380"/>
            <w:tcMar>
              <w:top w:w="50" w:type="dxa"/>
              <w:bottom w:w="50" w:type="dxa"/>
              <w:left w:w="90" w:type="dxa"/>
              <w:right w:w="90" w:type="dxa"/>
            </w:tcMar>
          </w:tcPr>
          <w:p>
            <w:pPr>
              <w:pStyle w:val="BDOITable"/>
            </w:pPr>
            <w:r>
              <w:rPr>
                <w:sz w:val="16"/>
              </w:rPr>
              <w:t>Build waves R0-R2</w:t>
            </w:r>
          </w:p>
        </w:tc>
      </w:tr>
      <w:tr>
        <w:trPr>
          <w:cantSplit w:val="true"/>
        </w:trPr>
        <w:tc>
          <w:tcPr>
            <w:tcW w:type="dxa" w:w="2493"/>
            <w:tcMar>
              <w:top w:w="50" w:type="dxa"/>
              <w:bottom w:w="50" w:type="dxa"/>
              <w:left w:w="90" w:type="dxa"/>
              <w:right w:w="90" w:type="dxa"/>
            </w:tcMar>
            <w:shd w:val="clear" w:color="auto" w:fill="E5F5FF"/>
          </w:tcPr>
          <w:p>
            <w:pPr>
              <w:pStyle w:val="BDOITable"/>
            </w:pPr>
            <w:r>
              <w:rPr>
                <w:b/>
                <w:sz w:val="16"/>
              </w:rPr>
              <w:t>RMEL extract ingestion and validation</w:t>
            </w:r>
          </w:p>
        </w:tc>
        <w:tc>
          <w:tcPr>
            <w:tcW w:type="dxa" w:w="3739"/>
            <w:tcMar>
              <w:top w:w="50" w:type="dxa"/>
              <w:bottom w:w="50" w:type="dxa"/>
              <w:left w:w="90" w:type="dxa"/>
              <w:right w:w="90" w:type="dxa"/>
            </w:tcMar>
            <w:shd w:val="clear" w:color="auto" w:fill="E5F5FF"/>
          </w:tcPr>
          <w:p>
            <w:pPr>
              <w:pStyle w:val="BDOITable"/>
            </w:pPr>
            <w:r>
              <w:rPr>
                <w:sz w:val="16"/>
              </w:rPr>
              <w:t>RNW_EXTRACTION from the ledger; legacy cohorts through LegacyPolicySource (P03) and RNW_LEGACY_POLICIES</w:t>
            </w:r>
          </w:p>
        </w:tc>
        <w:tc>
          <w:tcPr>
            <w:tcW w:type="dxa" w:w="1360"/>
            <w:tcMar>
              <w:top w:w="50" w:type="dxa"/>
              <w:bottom w:w="50" w:type="dxa"/>
              <w:left w:w="90" w:type="dxa"/>
              <w:right w:w="90" w:type="dxa"/>
            </w:tcMar>
            <w:shd w:val="clear" w:color="auto" w:fill="E5F5FF"/>
          </w:tcPr>
          <w:p>
            <w:pPr>
              <w:pStyle w:val="BDOITable"/>
            </w:pPr>
            <w:r>
              <w:rPr>
                <w:sz w:val="16"/>
              </w:rPr>
              <w:t>Designed</w:t>
            </w:r>
          </w:p>
        </w:tc>
        <w:tc>
          <w:tcPr>
            <w:tcW w:type="dxa" w:w="2380"/>
            <w:tcMar>
              <w:top w:w="50" w:type="dxa"/>
              <w:bottom w:w="50" w:type="dxa"/>
              <w:left w:w="90" w:type="dxa"/>
              <w:right w:w="90" w:type="dxa"/>
            </w:tcMar>
            <w:shd w:val="clear" w:color="auto" w:fill="E5F5FF"/>
          </w:tcPr>
          <w:p>
            <w:pPr>
              <w:pStyle w:val="BDOITable"/>
            </w:pPr>
            <w:r>
              <w:rPr>
                <w:sz w:val="16"/>
              </w:rPr>
              <w:t>P03 layout in the migration workbook</w:t>
            </w:r>
          </w:p>
        </w:tc>
      </w:tr>
      <w:tr>
        <w:trPr>
          <w:cantSplit w:val="true"/>
        </w:trPr>
        <w:tc>
          <w:tcPr>
            <w:tcW w:type="dxa" w:w="2493"/>
            <w:tcMar>
              <w:top w:w="50" w:type="dxa"/>
              <w:bottom w:w="50" w:type="dxa"/>
              <w:left w:w="90" w:type="dxa"/>
              <w:right w:w="90" w:type="dxa"/>
            </w:tcMar>
          </w:tcPr>
          <w:p>
            <w:pPr>
              <w:pStyle w:val="BDOITable"/>
            </w:pPr>
            <w:r>
              <w:rPr>
                <w:b/>
                <w:sz w:val="16"/>
              </w:rPr>
              <w:t>Data sanitation and enrichment</w:t>
            </w:r>
          </w:p>
        </w:tc>
        <w:tc>
          <w:tcPr>
            <w:tcW w:type="dxa" w:w="3739"/>
            <w:tcMar>
              <w:top w:w="50" w:type="dxa"/>
              <w:bottom w:w="50" w:type="dxa"/>
              <w:left w:w="90" w:type="dxa"/>
              <w:right w:w="90" w:type="dxa"/>
            </w:tcMar>
          </w:tcPr>
          <w:p>
            <w:pPr>
              <w:pStyle w:val="BDOITable"/>
            </w:pPr>
            <w:r>
              <w:rPr>
                <w:sz w:val="16"/>
              </w:rPr>
              <w:t>Check engine, buckets Clean / Review / Exception (BRRN.020-023)</w:t>
            </w:r>
          </w:p>
        </w:tc>
        <w:tc>
          <w:tcPr>
            <w:tcW w:type="dxa" w:w="1360"/>
            <w:tcMar>
              <w:top w:w="50" w:type="dxa"/>
              <w:bottom w:w="50" w:type="dxa"/>
              <w:left w:w="90" w:type="dxa"/>
              <w:right w:w="90" w:type="dxa"/>
            </w:tcMar>
          </w:tcPr>
          <w:p>
            <w:pPr>
              <w:pStyle w:val="BDOITable"/>
            </w:pPr>
            <w:r>
              <w:rPr>
                <w:sz w:val="16"/>
              </w:rPr>
              <w:t>Designed</w:t>
            </w:r>
          </w:p>
        </w:tc>
        <w:tc>
          <w:tcPr>
            <w:tcW w:type="dxa" w:w="2380"/>
            <w:tcMar>
              <w:top w:w="50" w:type="dxa"/>
              <w:bottom w:w="50" w:type="dxa"/>
              <w:left w:w="90" w:type="dxa"/>
              <w:right w:w="90" w:type="dxa"/>
            </w:tcMar>
          </w:tcPr>
          <w:p>
            <w:pPr>
              <w:pStyle w:val="BDOITable"/>
            </w:pPr>
            <w:r>
              <w:rPr>
                <w:sz w:val="16"/>
              </w:rPr>
              <w:t>Check content still open (RQ01)</w:t>
            </w:r>
          </w:p>
        </w:tc>
      </w:tr>
      <w:tr>
        <w:trPr>
          <w:cantSplit w:val="true"/>
        </w:trPr>
        <w:tc>
          <w:tcPr>
            <w:tcW w:type="dxa" w:w="2493"/>
            <w:tcMar>
              <w:top w:w="50" w:type="dxa"/>
              <w:bottom w:w="50" w:type="dxa"/>
              <w:left w:w="90" w:type="dxa"/>
              <w:right w:w="90" w:type="dxa"/>
            </w:tcMar>
            <w:shd w:val="clear" w:color="auto" w:fill="E5F5FF"/>
          </w:tcPr>
          <w:p>
            <w:pPr>
              <w:pStyle w:val="BDOITable"/>
            </w:pPr>
            <w:r>
              <w:rPr>
                <w:b/>
                <w:sz w:val="16"/>
              </w:rPr>
              <w:t>Disposition management</w:t>
            </w:r>
          </w:p>
        </w:tc>
        <w:tc>
          <w:tcPr>
            <w:tcW w:type="dxa" w:w="3739"/>
            <w:tcMar>
              <w:top w:w="50" w:type="dxa"/>
              <w:bottom w:w="50" w:type="dxa"/>
              <w:left w:w="90" w:type="dxa"/>
              <w:right w:w="90" w:type="dxa"/>
            </w:tcMar>
            <w:shd w:val="clear" w:color="auto" w:fill="E5F5FF"/>
          </w:tcPr>
          <w:p>
            <w:pPr>
              <w:pStyle w:val="BDOITable"/>
            </w:pPr>
            <w:r>
              <w:rPr>
                <w:sz w:val="16"/>
              </w:rPr>
              <w:t>Assignment, disposition, TL review (R1-B)</w:t>
            </w:r>
          </w:p>
        </w:tc>
        <w:tc>
          <w:tcPr>
            <w:tcW w:type="dxa" w:w="1360"/>
            <w:tcMar>
              <w:top w:w="50" w:type="dxa"/>
              <w:bottom w:w="50" w:type="dxa"/>
              <w:left w:w="90" w:type="dxa"/>
              <w:right w:w="90" w:type="dxa"/>
            </w:tcMar>
            <w:shd w:val="clear" w:color="auto" w:fill="E5F5FF"/>
          </w:tcPr>
          <w:p>
            <w:pPr>
              <w:pStyle w:val="BDOITable"/>
            </w:pPr>
            <w:r>
              <w:rPr>
                <w:sz w:val="16"/>
              </w:rPr>
              <w:t>Designed</w:t>
            </w:r>
          </w:p>
        </w:tc>
        <w:tc>
          <w:tcPr>
            <w:tcW w:type="dxa" w:w="2380"/>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2493"/>
            <w:tcMar>
              <w:top w:w="50" w:type="dxa"/>
              <w:bottom w:w="50" w:type="dxa"/>
              <w:left w:w="90" w:type="dxa"/>
              <w:right w:w="90" w:type="dxa"/>
            </w:tcMar>
          </w:tcPr>
          <w:p>
            <w:pPr>
              <w:pStyle w:val="BDOITable"/>
            </w:pPr>
            <w:r>
              <w:rPr>
                <w:b/>
                <w:sz w:val="16"/>
              </w:rPr>
              <w:t>Proposal / quotation generation</w:t>
            </w:r>
          </w:p>
        </w:tc>
        <w:tc>
          <w:tcPr>
            <w:tcW w:type="dxa" w:w="3739"/>
            <w:tcMar>
              <w:top w:w="50" w:type="dxa"/>
              <w:bottom w:w="50" w:type="dxa"/>
              <w:left w:w="90" w:type="dxa"/>
              <w:right w:w="90" w:type="dxa"/>
            </w:tcMar>
          </w:tcPr>
          <w:p>
            <w:pPr>
              <w:pStyle w:val="BDOITable"/>
            </w:pPr>
            <w:r>
              <w:rPr>
                <w:sz w:val="16"/>
              </w:rPr>
              <w:t>quotation and nonpackage with renewalRef (R0 contract change)</w:t>
            </w:r>
          </w:p>
        </w:tc>
        <w:tc>
          <w:tcPr>
            <w:tcW w:type="dxa" w:w="1360"/>
            <w:tcMar>
              <w:top w:w="50" w:type="dxa"/>
              <w:bottom w:w="50" w:type="dxa"/>
              <w:left w:w="90" w:type="dxa"/>
              <w:right w:w="90" w:type="dxa"/>
            </w:tcMar>
          </w:tcPr>
          <w:p>
            <w:pPr>
              <w:pStyle w:val="BDOITable"/>
            </w:pPr>
            <w:r>
              <w:rPr>
                <w:sz w:val="16"/>
              </w:rPr>
              <w:t>Built (NB) + Designed (link)</w:t>
            </w:r>
          </w:p>
        </w:tc>
        <w:tc>
          <w:tcPr>
            <w:tcW w:type="dxa" w:w="2380"/>
            <w:tcMar>
              <w:top w:w="50" w:type="dxa"/>
              <w:bottom w:w="50" w:type="dxa"/>
              <w:left w:w="90" w:type="dxa"/>
              <w:right w:w="90" w:type="dxa"/>
            </w:tcMar>
          </w:tcPr>
          <w:p>
            <w:pPr>
              <w:pStyle w:val="BDOITable"/>
            </w:pPr>
            <w:r>
              <w:rPr>
                <w:sz w:val="16"/>
              </w:rPr>
              <w:t>-</w:t>
            </w:r>
          </w:p>
        </w:tc>
      </w:tr>
      <w:tr>
        <w:trPr>
          <w:cantSplit w:val="true"/>
        </w:trPr>
        <w:tc>
          <w:tcPr>
            <w:tcW w:type="dxa" w:w="2493"/>
            <w:tcMar>
              <w:top w:w="50" w:type="dxa"/>
              <w:bottom w:w="50" w:type="dxa"/>
              <w:left w:w="90" w:type="dxa"/>
              <w:right w:w="90" w:type="dxa"/>
            </w:tcMar>
            <w:shd w:val="clear" w:color="auto" w:fill="E5F5FF"/>
          </w:tcPr>
          <w:p>
            <w:pPr>
              <w:pStyle w:val="BDOITable"/>
            </w:pPr>
            <w:r>
              <w:rPr>
                <w:b/>
                <w:sz w:val="16"/>
              </w:rPr>
              <w:t>Insurer engagement and approval tracking</w:t>
            </w:r>
          </w:p>
        </w:tc>
        <w:tc>
          <w:tcPr>
            <w:tcW w:type="dxa" w:w="3739"/>
            <w:tcMar>
              <w:top w:w="50" w:type="dxa"/>
              <w:bottom w:w="50" w:type="dxa"/>
              <w:left w:w="90" w:type="dxa"/>
              <w:right w:w="90" w:type="dxa"/>
            </w:tcMar>
            <w:shd w:val="clear" w:color="auto" w:fill="E5F5FF"/>
          </w:tcPr>
          <w:p>
            <w:pPr>
              <w:pStyle w:val="BDOITable"/>
            </w:pPr>
            <w:r>
              <w:rPr>
                <w:sz w:val="16"/>
              </w:rPr>
              <w:t>Insurer batches and responses (R1-C)</w:t>
            </w:r>
          </w:p>
        </w:tc>
        <w:tc>
          <w:tcPr>
            <w:tcW w:type="dxa" w:w="1360"/>
            <w:tcMar>
              <w:top w:w="50" w:type="dxa"/>
              <w:bottom w:w="50" w:type="dxa"/>
              <w:left w:w="90" w:type="dxa"/>
              <w:right w:w="90" w:type="dxa"/>
            </w:tcMar>
            <w:shd w:val="clear" w:color="auto" w:fill="E5F5FF"/>
          </w:tcPr>
          <w:p>
            <w:pPr>
              <w:pStyle w:val="BDOITable"/>
            </w:pPr>
            <w:r>
              <w:rPr>
                <w:sz w:val="16"/>
              </w:rPr>
              <w:t>Designed</w:t>
            </w:r>
          </w:p>
        </w:tc>
        <w:tc>
          <w:tcPr>
            <w:tcW w:type="dxa" w:w="2380"/>
            <w:tcMar>
              <w:top w:w="50" w:type="dxa"/>
              <w:bottom w:w="50" w:type="dxa"/>
              <w:left w:w="90" w:type="dxa"/>
              <w:right w:w="90" w:type="dxa"/>
            </w:tcMar>
            <w:shd w:val="clear" w:color="auto" w:fill="E5F5FF"/>
          </w:tcPr>
          <w:p>
            <w:pPr>
              <w:pStyle w:val="BDOITable"/>
            </w:pPr>
            <w:r>
              <w:rPr>
                <w:sz w:val="16"/>
              </w:rPr>
              <w:t>Insurer channel is INT-19</w:t>
            </w:r>
          </w:p>
        </w:tc>
      </w:tr>
      <w:tr>
        <w:trPr>
          <w:cantSplit w:val="true"/>
        </w:trPr>
        <w:tc>
          <w:tcPr>
            <w:tcW w:type="dxa" w:w="2493"/>
            <w:tcMar>
              <w:top w:w="50" w:type="dxa"/>
              <w:bottom w:w="50" w:type="dxa"/>
              <w:left w:w="90" w:type="dxa"/>
              <w:right w:w="90" w:type="dxa"/>
            </w:tcMar>
          </w:tcPr>
          <w:p>
            <w:pPr>
              <w:pStyle w:val="BDOITable"/>
            </w:pPr>
            <w:r>
              <w:rPr>
                <w:b/>
                <w:sz w:val="16"/>
              </w:rPr>
              <w:t>Renewal advice, NAL, NRL</w:t>
            </w:r>
          </w:p>
        </w:tc>
        <w:tc>
          <w:tcPr>
            <w:tcW w:type="dxa" w:w="3739"/>
            <w:tcMar>
              <w:top w:w="50" w:type="dxa"/>
              <w:bottom w:w="50" w:type="dxa"/>
              <w:left w:w="90" w:type="dxa"/>
              <w:right w:w="90" w:type="dxa"/>
            </w:tcMar>
          </w:tcPr>
          <w:p>
            <w:pPr>
              <w:pStyle w:val="BDOITable"/>
            </w:pPr>
            <w:r>
              <w:rPr>
                <w:sz w:val="16"/>
              </w:rPr>
              <w:t>Letter engine (R1-D), protected e-mail via CCM</w:t>
            </w:r>
          </w:p>
        </w:tc>
        <w:tc>
          <w:tcPr>
            <w:tcW w:type="dxa" w:w="1360"/>
            <w:tcMar>
              <w:top w:w="50" w:type="dxa"/>
              <w:bottom w:w="50" w:type="dxa"/>
              <w:left w:w="90" w:type="dxa"/>
              <w:right w:w="90" w:type="dxa"/>
            </w:tcMar>
          </w:tcPr>
          <w:p>
            <w:pPr>
              <w:pStyle w:val="BDOITable"/>
            </w:pPr>
            <w:r>
              <w:rPr>
                <w:sz w:val="16"/>
              </w:rPr>
              <w:t>Designed</w:t>
            </w:r>
          </w:p>
        </w:tc>
        <w:tc>
          <w:tcPr>
            <w:tcW w:type="dxa" w:w="2380"/>
            <w:tcMar>
              <w:top w:w="50" w:type="dxa"/>
              <w:bottom w:w="50" w:type="dxa"/>
              <w:left w:w="90" w:type="dxa"/>
              <w:right w:w="90" w:type="dxa"/>
            </w:tcMar>
          </w:tcPr>
          <w:p>
            <w:pPr>
              <w:pStyle w:val="BDOITable"/>
            </w:pPr>
            <w:r>
              <w:rPr>
                <w:sz w:val="16"/>
              </w:rPr>
              <w:t>-</w:t>
            </w:r>
          </w:p>
        </w:tc>
      </w:tr>
      <w:tr>
        <w:trPr>
          <w:cantSplit w:val="true"/>
        </w:trPr>
        <w:tc>
          <w:tcPr>
            <w:tcW w:type="dxa" w:w="2493"/>
            <w:tcMar>
              <w:top w:w="50" w:type="dxa"/>
              <w:bottom w:w="50" w:type="dxa"/>
              <w:left w:w="90" w:type="dxa"/>
              <w:right w:w="90" w:type="dxa"/>
            </w:tcMar>
            <w:shd w:val="clear" w:color="auto" w:fill="E5F5FF"/>
          </w:tcPr>
          <w:p>
            <w:pPr>
              <w:pStyle w:val="BDOITable"/>
            </w:pPr>
            <w:r>
              <w:rPr>
                <w:b/>
                <w:sz w:val="16"/>
              </w:rPr>
              <w:t>Pre-placement adjustments</w:t>
            </w:r>
          </w:p>
        </w:tc>
        <w:tc>
          <w:tcPr>
            <w:tcW w:type="dxa" w:w="3739"/>
            <w:tcMar>
              <w:top w:w="50" w:type="dxa"/>
              <w:bottom w:w="50" w:type="dxa"/>
              <w:left w:w="90" w:type="dxa"/>
              <w:right w:w="90" w:type="dxa"/>
            </w:tcMar>
            <w:shd w:val="clear" w:color="auto" w:fill="E5F5FF"/>
          </w:tcPr>
          <w:p>
            <w:pPr>
              <w:pStyle w:val="BDOITable"/>
            </w:pPr>
            <w:r>
              <w:rPr>
                <w:sz w:val="16"/>
              </w:rPr>
              <w:t>Account amendment before placement (BRD-1)</w:t>
            </w:r>
          </w:p>
        </w:tc>
        <w:tc>
          <w:tcPr>
            <w:tcW w:type="dxa" w:w="1360"/>
            <w:tcMar>
              <w:top w:w="50" w:type="dxa"/>
              <w:bottom w:w="50" w:type="dxa"/>
              <w:left w:w="90" w:type="dxa"/>
              <w:right w:w="90" w:type="dxa"/>
            </w:tcMar>
            <w:shd w:val="clear" w:color="auto" w:fill="E5F5FF"/>
          </w:tcPr>
          <w:p>
            <w:pPr>
              <w:pStyle w:val="BDOITable"/>
            </w:pPr>
            <w:r>
              <w:rPr>
                <w:sz w:val="16"/>
              </w:rPr>
              <w:t>Built</w:t>
            </w:r>
          </w:p>
        </w:tc>
        <w:tc>
          <w:tcPr>
            <w:tcW w:type="dxa" w:w="2380"/>
            <w:tcMar>
              <w:top w:w="50" w:type="dxa"/>
              <w:bottom w:w="50" w:type="dxa"/>
              <w:left w:w="90" w:type="dxa"/>
              <w:right w:w="90" w:type="dxa"/>
            </w:tcMar>
            <w:shd w:val="clear" w:color="auto" w:fill="E5F5FF"/>
          </w:tcPr>
          <w:p>
            <w:pPr>
              <w:pStyle w:val="BDOITable"/>
            </w:pPr>
            <w:r>
              <w:rPr>
                <w:sz w:val="16"/>
              </w:rPr>
              <w:t>Meaning to confirm</w:t>
            </w:r>
          </w:p>
        </w:tc>
      </w:tr>
      <w:tr>
        <w:trPr>
          <w:cantSplit w:val="true"/>
        </w:trPr>
        <w:tc>
          <w:tcPr>
            <w:tcW w:type="dxa" w:w="2493"/>
            <w:tcMar>
              <w:top w:w="50" w:type="dxa"/>
              <w:bottom w:w="50" w:type="dxa"/>
              <w:left w:w="90" w:type="dxa"/>
              <w:right w:w="90" w:type="dxa"/>
            </w:tcMar>
          </w:tcPr>
          <w:p>
            <w:pPr>
              <w:pStyle w:val="BDOITable"/>
            </w:pPr>
            <w:r>
              <w:rPr>
                <w:b/>
                <w:sz w:val="16"/>
              </w:rPr>
              <w:t>Product / Package Maintenance (TSU)</w:t>
            </w:r>
          </w:p>
        </w:tc>
        <w:tc>
          <w:tcPr>
            <w:tcW w:type="dxa" w:w="3739"/>
            <w:tcMar>
              <w:top w:w="50" w:type="dxa"/>
              <w:bottom w:w="50" w:type="dxa"/>
              <w:left w:w="90" w:type="dxa"/>
              <w:right w:w="90" w:type="dxa"/>
            </w:tcMar>
          </w:tcPr>
          <w:p>
            <w:pPr>
              <w:pStyle w:val="BDOITable"/>
            </w:pPr>
            <w:r>
              <w:rPr>
                <w:sz w:val="16"/>
              </w:rPr>
              <w:t>BRD-3 catalog and productmaint</w:t>
            </w:r>
          </w:p>
        </w:tc>
        <w:tc>
          <w:tcPr>
            <w:tcW w:type="dxa" w:w="1360"/>
            <w:tcMar>
              <w:top w:w="50" w:type="dxa"/>
              <w:bottom w:w="50" w:type="dxa"/>
              <w:left w:w="90" w:type="dxa"/>
              <w:right w:w="90" w:type="dxa"/>
            </w:tcMar>
          </w:tcPr>
          <w:p>
            <w:pPr>
              <w:pStyle w:val="BDOITable"/>
            </w:pPr>
            <w:r>
              <w:rPr>
                <w:sz w:val="16"/>
              </w:rPr>
              <w:t>Built</w:t>
            </w:r>
          </w:p>
        </w:tc>
        <w:tc>
          <w:tcPr>
            <w:tcW w:type="dxa" w:w="2380"/>
            <w:tcMar>
              <w:top w:w="50" w:type="dxa"/>
              <w:bottom w:w="50" w:type="dxa"/>
              <w:left w:w="90" w:type="dxa"/>
              <w:right w:w="90" w:type="dxa"/>
            </w:tcMar>
          </w:tcPr>
          <w:p>
            <w:pPr>
              <w:pStyle w:val="BDOITable"/>
            </w:pPr>
            <w:r>
              <w:rPr>
                <w:sz w:val="16"/>
              </w:rPr>
              <w:t>-</w:t>
            </w:r>
          </w:p>
        </w:tc>
      </w:tr>
      <w:tr>
        <w:trPr>
          <w:cantSplit w:val="true"/>
        </w:trPr>
        <w:tc>
          <w:tcPr>
            <w:tcW w:type="dxa" w:w="2493"/>
            <w:tcMar>
              <w:top w:w="50" w:type="dxa"/>
              <w:bottom w:w="50" w:type="dxa"/>
              <w:left w:w="90" w:type="dxa"/>
              <w:right w:w="90" w:type="dxa"/>
            </w:tcMar>
            <w:shd w:val="clear" w:color="auto" w:fill="E5F5FF"/>
          </w:tcPr>
          <w:p>
            <w:pPr>
              <w:pStyle w:val="BDOITable"/>
            </w:pPr>
            <w:r>
              <w:rPr>
                <w:b/>
                <w:sz w:val="16"/>
              </w:rPr>
              <w:t>Quotation capability for renewals</w:t>
            </w:r>
          </w:p>
        </w:tc>
        <w:tc>
          <w:tcPr>
            <w:tcW w:type="dxa" w:w="3739"/>
            <w:tcMar>
              <w:top w:w="50" w:type="dxa"/>
              <w:bottom w:w="50" w:type="dxa"/>
              <w:left w:w="90" w:type="dxa"/>
              <w:right w:w="90" w:type="dxa"/>
            </w:tcMar>
            <w:shd w:val="clear" w:color="auto" w:fill="E5F5FF"/>
          </w:tcPr>
          <w:p>
            <w:pPr>
              <w:pStyle w:val="BDOITable"/>
            </w:pPr>
            <w:r>
              <w:rPr>
                <w:sz w:val="16"/>
              </w:rPr>
              <w:t>RatingQuery.Purpose.RENEWAL (BT0 / R0)</w:t>
            </w:r>
          </w:p>
        </w:tc>
        <w:tc>
          <w:tcPr>
            <w:tcW w:type="dxa" w:w="1360"/>
            <w:tcMar>
              <w:top w:w="50" w:type="dxa"/>
              <w:bottom w:w="50" w:type="dxa"/>
              <w:left w:w="90" w:type="dxa"/>
              <w:right w:w="90" w:type="dxa"/>
            </w:tcMar>
            <w:shd w:val="clear" w:color="auto" w:fill="E5F5FF"/>
          </w:tcPr>
          <w:p>
            <w:pPr>
              <w:pStyle w:val="BDOITable"/>
            </w:pPr>
            <w:r>
              <w:rPr>
                <w:sz w:val="16"/>
              </w:rPr>
              <w:t>Designed change</w:t>
            </w:r>
          </w:p>
        </w:tc>
        <w:tc>
          <w:tcPr>
            <w:tcW w:type="dxa" w:w="2380"/>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2493"/>
            <w:tcMar>
              <w:top w:w="50" w:type="dxa"/>
              <w:bottom w:w="50" w:type="dxa"/>
              <w:left w:w="90" w:type="dxa"/>
              <w:right w:w="90" w:type="dxa"/>
            </w:tcMar>
          </w:tcPr>
          <w:p>
            <w:pPr>
              <w:pStyle w:val="BDOITable"/>
            </w:pPr>
            <w:r>
              <w:rPr>
                <w:b/>
                <w:sz w:val="16"/>
              </w:rPr>
              <w:t>Submitted Policy renewal</w:t>
            </w:r>
          </w:p>
        </w:tc>
        <w:tc>
          <w:tcPr>
            <w:tcW w:type="dxa" w:w="3739"/>
            <w:tcMar>
              <w:top w:w="50" w:type="dxa"/>
              <w:bottom w:w="50" w:type="dxa"/>
              <w:left w:w="90" w:type="dxa"/>
              <w:right w:w="90" w:type="dxa"/>
            </w:tcMar>
          </w:tcPr>
          <w:p>
            <w:pPr>
              <w:pStyle w:val="BDOITable"/>
            </w:pPr>
            <w:r>
              <w:rPr>
                <w:sz w:val="16"/>
              </w:rPr>
              <w:t>RenewalHandOff implemented by Renewal (R3)</w:t>
            </w:r>
          </w:p>
        </w:tc>
        <w:tc>
          <w:tcPr>
            <w:tcW w:type="dxa" w:w="1360"/>
            <w:tcMar>
              <w:top w:w="50" w:type="dxa"/>
              <w:bottom w:w="50" w:type="dxa"/>
              <w:left w:w="90" w:type="dxa"/>
              <w:right w:w="90" w:type="dxa"/>
            </w:tcMar>
          </w:tcPr>
          <w:p>
            <w:pPr>
              <w:pStyle w:val="BDOITable"/>
            </w:pPr>
            <w:r>
              <w:rPr>
                <w:sz w:val="16"/>
              </w:rPr>
              <w:t>Designed</w:t>
            </w:r>
          </w:p>
        </w:tc>
        <w:tc>
          <w:tcPr>
            <w:tcW w:type="dxa" w:w="2380"/>
            <w:tcMar>
              <w:top w:w="50" w:type="dxa"/>
              <w:bottom w:w="50" w:type="dxa"/>
              <w:left w:w="90" w:type="dxa"/>
              <w:right w:w="90" w:type="dxa"/>
            </w:tcMar>
          </w:tcPr>
          <w:p>
            <w:pPr>
              <w:pStyle w:val="BDOITable"/>
            </w:pPr>
            <w:r>
              <w:rPr>
                <w:sz w:val="16"/>
              </w:rPr>
              <w:t>After SP build</w:t>
            </w:r>
          </w:p>
        </w:tc>
      </w:tr>
      <w:tr>
        <w:trPr>
          <w:cantSplit w:val="true"/>
        </w:trPr>
        <w:tc>
          <w:tcPr>
            <w:tcW w:type="dxa" w:w="2493"/>
            <w:tcMar>
              <w:top w:w="50" w:type="dxa"/>
              <w:bottom w:w="50" w:type="dxa"/>
              <w:left w:w="90" w:type="dxa"/>
              <w:right w:w="90" w:type="dxa"/>
            </w:tcMar>
            <w:shd w:val="clear" w:color="auto" w:fill="E5F5FF"/>
          </w:tcPr>
          <w:p>
            <w:pPr>
              <w:pStyle w:val="BDOITable"/>
            </w:pPr>
            <w:r>
              <w:rPr>
                <w:b/>
                <w:sz w:val="16"/>
              </w:rPr>
              <w:t>Free First Year renewal</w:t>
            </w:r>
          </w:p>
        </w:tc>
        <w:tc>
          <w:tcPr>
            <w:tcW w:type="dxa" w:w="3739"/>
            <w:tcMar>
              <w:top w:w="50" w:type="dxa"/>
              <w:bottom w:w="50" w:type="dxa"/>
              <w:left w:w="90" w:type="dxa"/>
              <w:right w:w="90" w:type="dxa"/>
            </w:tcMar>
            <w:shd w:val="clear" w:color="auto" w:fill="E5F5FF"/>
          </w:tcPr>
          <w:p>
            <w:pPr>
              <w:pStyle w:val="BDOITable"/>
            </w:pPr>
            <w:r>
              <w:rPr>
                <w:sz w:val="16"/>
              </w:rPr>
              <w:t>RNW_RA_FFY template; SP FFY buckets</w:t>
            </w:r>
          </w:p>
        </w:tc>
        <w:tc>
          <w:tcPr>
            <w:tcW w:type="dxa" w:w="1360"/>
            <w:tcMar>
              <w:top w:w="50" w:type="dxa"/>
              <w:bottom w:w="50" w:type="dxa"/>
              <w:left w:w="90" w:type="dxa"/>
              <w:right w:w="90" w:type="dxa"/>
            </w:tcMar>
            <w:shd w:val="clear" w:color="auto" w:fill="E5F5FF"/>
          </w:tcPr>
          <w:p>
            <w:pPr>
              <w:pStyle w:val="BDOITable"/>
            </w:pPr>
            <w:r>
              <w:rPr>
                <w:sz w:val="16"/>
              </w:rPr>
              <w:t>Designed</w:t>
            </w:r>
          </w:p>
        </w:tc>
        <w:tc>
          <w:tcPr>
            <w:tcW w:type="dxa" w:w="2380"/>
            <w:tcMar>
              <w:top w:w="50" w:type="dxa"/>
              <w:bottom w:w="50" w:type="dxa"/>
              <w:left w:w="90" w:type="dxa"/>
              <w:right w:w="90" w:type="dxa"/>
            </w:tcMar>
            <w:shd w:val="clear" w:color="auto" w:fill="E5F5FF"/>
          </w:tcPr>
          <w:p>
            <w:pPr>
              <w:pStyle w:val="BDOITable"/>
            </w:pPr>
            <w:r>
              <w:rPr>
                <w:sz w:val="16"/>
              </w:rPr>
              <w:t>Q36 payer open</w:t>
            </w:r>
          </w:p>
        </w:tc>
      </w:tr>
      <w:tr>
        <w:trPr>
          <w:cantSplit w:val="true"/>
        </w:trPr>
        <w:tc>
          <w:tcPr>
            <w:tcW w:type="dxa" w:w="2493"/>
            <w:tcMar>
              <w:top w:w="50" w:type="dxa"/>
              <w:bottom w:w="50" w:type="dxa"/>
              <w:left w:w="90" w:type="dxa"/>
              <w:right w:w="90" w:type="dxa"/>
            </w:tcMar>
          </w:tcPr>
          <w:p>
            <w:pPr>
              <w:pStyle w:val="BDOITable"/>
            </w:pPr>
            <w:r>
              <w:rPr>
                <w:b/>
                <w:sz w:val="16"/>
              </w:rPr>
              <w:t>Early migration of client master and reference data</w:t>
            </w:r>
          </w:p>
        </w:tc>
        <w:tc>
          <w:tcPr>
            <w:tcW w:type="dxa" w:w="3739"/>
            <w:tcMar>
              <w:top w:w="50" w:type="dxa"/>
              <w:bottom w:w="50" w:type="dxa"/>
              <w:left w:w="90" w:type="dxa"/>
              <w:right w:w="90" w:type="dxa"/>
            </w:tcMar>
          </w:tcPr>
          <w:p>
            <w:pPr>
              <w:pStyle w:val="BDOITable"/>
            </w:pPr>
            <w:r>
              <w:rPr>
                <w:sz w:val="16"/>
              </w:rPr>
              <w:t>Migration R01-R09, C01-C03 at T-2 weeks</w:t>
            </w:r>
          </w:p>
        </w:tc>
        <w:tc>
          <w:tcPr>
            <w:tcW w:type="dxa" w:w="1360"/>
            <w:tcMar>
              <w:top w:w="50" w:type="dxa"/>
              <w:bottom w:w="50" w:type="dxa"/>
              <w:left w:w="90" w:type="dxa"/>
              <w:right w:w="90" w:type="dxa"/>
            </w:tcMar>
          </w:tcPr>
          <w:p>
            <w:pPr>
              <w:pStyle w:val="BDOITable"/>
            </w:pPr>
            <w:r>
              <w:rPr>
                <w:sz w:val="16"/>
              </w:rPr>
              <w:t>Designed</w:t>
            </w:r>
          </w:p>
        </w:tc>
        <w:tc>
          <w:tcPr>
            <w:tcW w:type="dxa" w:w="2380"/>
            <w:tcMar>
              <w:top w:w="50" w:type="dxa"/>
              <w:bottom w:w="50" w:type="dxa"/>
              <w:left w:w="90" w:type="dxa"/>
              <w:right w:w="90" w:type="dxa"/>
            </w:tcMar>
          </w:tcPr>
          <w:p>
            <w:pPr>
              <w:pStyle w:val="BDOITable"/>
            </w:pPr>
            <w:r>
              <w:rPr>
                <w:sz w:val="16"/>
              </w:rPr>
              <w:t>No longer early (answer A1)</w:t>
            </w:r>
          </w:p>
        </w:tc>
      </w:tr>
    </w:tbl>
    <w:p>
      <w:pPr>
        <w:pStyle w:val="BDOISpacer"/>
      </w:pPr>
    </w:p>
    <w:p>
      <w:pPr>
        <w:pStyle w:val="Heading2"/>
      </w:pPr>
      <w:bookmarkStart w:id="114" w:name="_Toc000114"/>
      <w:r>
        <w:rPr/>
        <w:t>3.3 What remains from the paper</w:t>
      </w:r>
      <w:bookmarkEnd w:id="114"/>
    </w:p>
    <w:p>
      <w:r>
        <w:rPr>
          <w:b/>
        </w:rPr>
        <w:t>Renewals around the cut-over (IQ02).</w:t>
      </w:r>
      <w:r>
        <w:rPr/>
        <w:t xml:space="preserve"> Legacy keeps extracting, disposing, placing and booking renewals until the freeze. At go-live (T), the RMEL cohorts expiring from T to T + 140 days are already in disposition in legacy; they are carried forward into BIBS Renewal with their disposition, handler and status (migration object P03, served through </w:t>
      </w:r>
      <w:r>
        <w:rPr>
          <w:rFonts w:ascii="Courier New" w:hAnsi="Courier New" w:cs="Courier New" w:eastAsia="Courier New"/>
          <w:color w:val="2E2E2E"/>
          <w:sz w:val="19"/>
        </w:rPr>
        <w:t>LegacyPolicySource</w:t>
      </w:r>
      <w:r>
        <w:rPr/>
        <w:t>), and renew on the new-business path pre-filled from the migrated header. Later cohorts are extracted by BIBS. Renewals expiring between the freeze and T must be placed in legacy before the freeze or held by hold covers.</w:t>
      </w:r>
    </w:p>
    <w:p>
      <w:r>
        <w:rPr>
          <w:b/>
        </w:rPr>
        <w:t>Package remapping (IQ03).</w:t>
      </w:r>
      <w:r>
        <w:rPr/>
        <w:t xml:space="preserve"> The paper's first risk remains: legacy package names must map to the BIBS packages, for the migrated headers (P01), the carried-forward cohorts (P03) and the package versions (R06). Options:</w:t>
      </w:r>
    </w:p>
    <w:p>
      <w:pPr>
        <w:pStyle w:val="Caption"/>
        <w:keepNext/>
        <w:spacing w:after="60"/>
      </w:pPr>
      <w:r>
        <w:rPr>
          <w:b/>
          <w:i w:val="0"/>
        </w:rPr>
        <w:t xml:space="preserve">Table 10: </w:t>
      </w:r>
      <w:r>
        <w:rPr/>
        <w:t>Package remapping options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23"/>
        <w:gridCol w:w="3462"/>
        <w:gridCol w:w="2493"/>
        <w:gridCol w:w="2493"/>
      </w:tblGrid>
      <w:tr>
        <w:trPr>
          <w:tblHeader w:val="true"/>
          <w:cantSplit w:val="true"/>
        </w:trPr>
        <w:tc>
          <w:tcPr>
            <w:tcW w:type="dxa" w:w="1523"/>
            <w:shd w:val="clear" w:color="auto" w:fill="004EA8"/>
            <w:tcMar>
              <w:top w:w="50" w:type="dxa"/>
              <w:bottom w:w="50" w:type="dxa"/>
              <w:left w:w="90" w:type="dxa"/>
              <w:right w:w="90" w:type="dxa"/>
            </w:tcMar>
            <w:vAlign w:val="center"/>
          </w:tcPr>
          <w:p>
            <w:pPr>
              <w:pStyle w:val="BDOITableHeader"/>
            </w:pPr>
            <w:r>
              <w:rPr>
                <w:b/>
                <w:color w:val="FFFFFF"/>
                <w:sz w:val="17"/>
              </w:rPr>
              <w:t>Option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7"/>
              </w:rPr>
              <w:t>How</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7"/>
              </w:rPr>
              <w:t>For</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7"/>
              </w:rPr>
              <w:t>Against</w:t>
            </w:r>
          </w:p>
        </w:tc>
      </w:tr>
      <w:tr>
        <w:trPr>
          <w:cantSplit w:val="true"/>
        </w:trPr>
        <w:tc>
          <w:tcPr>
            <w:tcW w:type="dxa" w:w="1523"/>
            <w:tcMar>
              <w:top w:w="50" w:type="dxa"/>
              <w:bottom w:w="50" w:type="dxa"/>
              <w:left w:w="90" w:type="dxa"/>
              <w:right w:w="90" w:type="dxa"/>
            </w:tcMar>
          </w:tcPr>
          <w:p>
            <w:pPr>
              <w:pStyle w:val="BDOITable"/>
            </w:pPr>
            <w:r>
              <w:rPr>
                <w:b/>
                <w:sz w:val="17"/>
              </w:rPr>
              <w:t>1. At upload</w:t>
            </w:r>
          </w:p>
        </w:tc>
        <w:tc>
          <w:tcPr>
            <w:tcW w:type="dxa" w:w="3462"/>
            <w:tcMar>
              <w:top w:w="50" w:type="dxa"/>
              <w:bottom w:w="50" w:type="dxa"/>
              <w:left w:w="90" w:type="dxa"/>
              <w:right w:w="90" w:type="dxa"/>
            </w:tcMar>
          </w:tcPr>
          <w:p>
            <w:pPr>
              <w:pStyle w:val="BDOITable"/>
            </w:pPr>
            <w:r>
              <w:rPr>
                <w:sz w:val="17"/>
              </w:rPr>
              <w:t>A versioned PACKAGE code map applied at migration intake; unmapped codes stop the batch</w:t>
            </w:r>
          </w:p>
        </w:tc>
        <w:tc>
          <w:tcPr>
            <w:tcW w:type="dxa" w:w="2493"/>
            <w:tcMar>
              <w:top w:w="50" w:type="dxa"/>
              <w:bottom w:w="50" w:type="dxa"/>
              <w:left w:w="90" w:type="dxa"/>
              <w:right w:w="90" w:type="dxa"/>
            </w:tcMar>
          </w:tcPr>
          <w:p>
            <w:pPr>
              <w:pStyle w:val="BDOITable"/>
            </w:pPr>
            <w:r>
              <w:rPr>
                <w:sz w:val="17"/>
              </w:rPr>
              <w:t>One decision per legacy package, signed at gate G2, reconciled</w:t>
            </w:r>
          </w:p>
        </w:tc>
        <w:tc>
          <w:tcPr>
            <w:tcW w:type="dxa" w:w="2493"/>
            <w:tcMar>
              <w:top w:w="50" w:type="dxa"/>
              <w:bottom w:w="50" w:type="dxa"/>
              <w:left w:w="90" w:type="dxa"/>
              <w:right w:w="90" w:type="dxa"/>
            </w:tcMar>
          </w:tcPr>
          <w:p>
            <w:pPr>
              <w:pStyle w:val="BDOITable"/>
            </w:pPr>
            <w:r>
              <w:rPr>
                <w:sz w:val="17"/>
              </w:rPr>
              <w:t>A package that needs a per-policy decision (split packages) cannot be mapped one to one</w:t>
            </w:r>
          </w:p>
        </w:tc>
      </w:tr>
      <w:tr>
        <w:trPr>
          <w:cantSplit w:val="true"/>
        </w:trPr>
        <w:tc>
          <w:tcPr>
            <w:tcW w:type="dxa" w:w="1523"/>
            <w:tcMar>
              <w:top w:w="50" w:type="dxa"/>
              <w:bottom w:w="50" w:type="dxa"/>
              <w:left w:w="90" w:type="dxa"/>
              <w:right w:w="90" w:type="dxa"/>
            </w:tcMar>
            <w:shd w:val="clear" w:color="auto" w:fill="E5F5FF"/>
          </w:tcPr>
          <w:p>
            <w:pPr>
              <w:pStyle w:val="BDOITable"/>
            </w:pPr>
            <w:r>
              <w:rPr>
                <w:b/>
                <w:sz w:val="17"/>
              </w:rPr>
              <w:t>2. In sanitation</w:t>
            </w:r>
          </w:p>
        </w:tc>
        <w:tc>
          <w:tcPr>
            <w:tcW w:type="dxa" w:w="3462"/>
            <w:tcMar>
              <w:top w:w="50" w:type="dxa"/>
              <w:bottom w:w="50" w:type="dxa"/>
              <w:left w:w="90" w:type="dxa"/>
              <w:right w:w="90" w:type="dxa"/>
            </w:tcMar>
            <w:shd w:val="clear" w:color="auto" w:fill="E5F5FF"/>
          </w:tcPr>
          <w:p>
            <w:pPr>
              <w:pStyle w:val="BDOITable"/>
            </w:pPr>
            <w:r>
              <w:rPr>
                <w:sz w:val="17"/>
              </w:rPr>
              <w:t>A renewal check proposes the package per candidate; TSU confirms</w:t>
            </w:r>
          </w:p>
        </w:tc>
        <w:tc>
          <w:tcPr>
            <w:tcW w:type="dxa" w:w="2493"/>
            <w:tcMar>
              <w:top w:w="50" w:type="dxa"/>
              <w:bottom w:w="50" w:type="dxa"/>
              <w:left w:w="90" w:type="dxa"/>
              <w:right w:w="90" w:type="dxa"/>
            </w:tcMar>
            <w:shd w:val="clear" w:color="auto" w:fill="E5F5FF"/>
          </w:tcPr>
          <w:p>
            <w:pPr>
              <w:pStyle w:val="BDOITable"/>
            </w:pPr>
            <w:r>
              <w:rPr>
                <w:sz w:val="17"/>
              </w:rPr>
              <w:t>Handles per-policy cases</w:t>
            </w:r>
          </w:p>
        </w:tc>
        <w:tc>
          <w:tcPr>
            <w:tcW w:type="dxa" w:w="2493"/>
            <w:tcMar>
              <w:top w:w="50" w:type="dxa"/>
              <w:bottom w:w="50" w:type="dxa"/>
              <w:left w:w="90" w:type="dxa"/>
              <w:right w:w="90" w:type="dxa"/>
            </w:tcMar>
            <w:shd w:val="clear" w:color="auto" w:fill="E5F5FF"/>
          </w:tcPr>
          <w:p>
            <w:pPr>
              <w:pStyle w:val="BDOITable"/>
            </w:pPr>
            <w:r>
              <w:rPr>
                <w:sz w:val="17"/>
              </w:rPr>
              <w:t>Thousands of manual decisions; inconsistent results</w:t>
            </w:r>
          </w:p>
        </w:tc>
      </w:tr>
      <w:tr>
        <w:trPr>
          <w:cantSplit w:val="true"/>
        </w:trPr>
        <w:tc>
          <w:tcPr>
            <w:tcW w:type="dxa" w:w="1523"/>
            <w:tcMar>
              <w:top w:w="50" w:type="dxa"/>
              <w:bottom w:w="50" w:type="dxa"/>
              <w:left w:w="90" w:type="dxa"/>
              <w:right w:w="90" w:type="dxa"/>
            </w:tcMar>
          </w:tcPr>
          <w:p>
            <w:pPr>
              <w:pStyle w:val="BDOITable"/>
            </w:pPr>
            <w:r>
              <w:rPr>
                <w:b/>
                <w:sz w:val="17"/>
              </w:rPr>
              <w:t>3. Both (recommended)</w:t>
            </w:r>
          </w:p>
        </w:tc>
        <w:tc>
          <w:tcPr>
            <w:tcW w:type="dxa" w:w="3462"/>
            <w:tcMar>
              <w:top w:w="50" w:type="dxa"/>
              <w:bottom w:w="50" w:type="dxa"/>
              <w:left w:w="90" w:type="dxa"/>
              <w:right w:w="90" w:type="dxa"/>
            </w:tcMar>
          </w:tcPr>
          <w:p>
            <w:pPr>
              <w:pStyle w:val="BDOITable"/>
            </w:pPr>
            <w:r>
              <w:rPr>
                <w:sz w:val="17"/>
              </w:rPr>
              <w:t>Code map at intake for every one-to-one mapping; a renewal sanitation check sends candidates with an unmapped, retired or split package to the Review bucket for TSU; each TSU decision can add a code map version</w:t>
            </w:r>
          </w:p>
        </w:tc>
        <w:tc>
          <w:tcPr>
            <w:tcW w:type="dxa" w:w="2493"/>
            <w:tcMar>
              <w:top w:w="50" w:type="dxa"/>
              <w:bottom w:w="50" w:type="dxa"/>
              <w:left w:w="90" w:type="dxa"/>
              <w:right w:w="90" w:type="dxa"/>
            </w:tcMar>
          </w:tcPr>
          <w:p>
            <w:pPr>
              <w:pStyle w:val="BDOITable"/>
            </w:pPr>
            <w:r>
              <w:rPr>
                <w:sz w:val="17"/>
              </w:rPr>
              <w:t>Deterministic for the bulk, controlled for exceptions</w:t>
            </w:r>
          </w:p>
        </w:tc>
        <w:tc>
          <w:tcPr>
            <w:tcW w:type="dxa" w:w="2493"/>
            <w:tcMar>
              <w:top w:w="50" w:type="dxa"/>
              <w:bottom w:w="50" w:type="dxa"/>
              <w:left w:w="90" w:type="dxa"/>
              <w:right w:w="90" w:type="dxa"/>
            </w:tcMar>
          </w:tcPr>
          <w:p>
            <w:pPr>
              <w:pStyle w:val="BDOITable"/>
            </w:pPr>
            <w:r>
              <w:rPr>
                <w:sz w:val="17"/>
              </w:rPr>
              <w:t>Two places to explain in training</w:t>
            </w:r>
          </w:p>
        </w:tc>
      </w:tr>
    </w:tbl>
    <w:p>
      <w:pPr>
        <w:pStyle w:val="BDOISpacer"/>
      </w:pPr>
    </w:p>
    <w:p>
      <w:r>
        <w:rPr/>
        <w:t>Recommendation: option 3, owned by TSU (Product Maintenance) with the MBS data steward; the mapping rules are agreed before the first full extract (15 January 2027) and tested with sample RMEL files in Mock 1.</w:t>
      </w:r>
    </w:p>
    <w:p>
      <w:r>
        <w:rPr>
          <w:b/>
        </w:rPr>
        <w:t>The "R0 early renewal" release.</w:t>
      </w:r>
      <w:r>
        <w:rPr/>
        <w:t xml:space="preserve"> Not planned (A1). The renewal build follows the drops: Renewal waves R0 to R3 are built in build waves 1 and 2 (November 2026 to February 2027) and tested in SIT and UAT Drop 1.</w:t>
      </w:r>
    </w:p>
    <w:p>
      <w:pPr>
        <w:pStyle w:val="Heading1"/>
        <w:pageBreakBefore/>
        <w:pBdr>
          <w:bottom w:val="single" w:sz="4" w:space="4" w:color="99C1E7"/>
        </w:pBdr>
      </w:pPr>
      <w:bookmarkStart w:id="115" w:name="_Toc000115"/>
      <w:r>
        <w:rPr/>
        <w:t>4 Timeline alignment</w:t>
      </w:r>
      <w:bookmarkEnd w:id="115"/>
    </w:p>
    <w:p>
      <w:pPr>
        <w:pStyle w:val="Heading2"/>
      </w:pPr>
      <w:bookmarkStart w:id="116" w:name="_Toc000116"/>
      <w:r>
        <w:rPr/>
        <w:t>4.1 BDOI timeline against the BIBS plan</w:t>
      </w:r>
      <w:bookmarkEnd w:id="116"/>
    </w:p>
    <w:p>
      <w:r>
        <w:rPr/>
        <w:t>The slide (S2) runs requirements and build in three waves of about two months: wave 1 setup and upstream, wave 2 downstream, wave 3 independent modules. Read from the bars, the requirements of Drop 1 run from September to November 2026 (the transcription says September to October) and those of Drop 2 from December 2026 to February 2027. Drop 0 has no bar of its own; it is part of wave 1.</w:t>
      </w:r>
    </w:p>
    <w:p>
      <w:r>
        <w:rPr/>
        <w:t>Most BRDs are already built, so the BDOI build windows are used for the designed BRDs, the integrations, the S3 storage change and the changes that come out of the FRS sign-off.</w:t>
      </w:r>
    </w:p>
    <w:p>
      <w:pPr>
        <w:pStyle w:val="Caption"/>
        <w:keepNext/>
        <w:spacing w:after="60"/>
      </w:pPr>
      <w:r>
        <w:rPr>
          <w:b/>
          <w:i w:val="0"/>
        </w:rPr>
        <w:t xml:space="preserve">Table 11: </w:t>
      </w:r>
      <w:r>
        <w:rPr/>
        <w:t>BDOI timeline against the BIBS plan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30"/>
        <w:gridCol w:w="1730"/>
        <w:gridCol w:w="2645"/>
        <w:gridCol w:w="3867"/>
      </w:tblGrid>
      <w:tr>
        <w:trPr>
          <w:tblHeader w:val="true"/>
          <w:cantSplit w:val="true"/>
        </w:trPr>
        <w:tc>
          <w:tcPr>
            <w:tcW w:type="dxa" w:w="1730"/>
            <w:shd w:val="clear" w:color="auto" w:fill="004EA8"/>
            <w:tcMar>
              <w:top w:w="50" w:type="dxa"/>
              <w:bottom w:w="50" w:type="dxa"/>
              <w:left w:w="90" w:type="dxa"/>
              <w:right w:w="90" w:type="dxa"/>
            </w:tcMar>
            <w:vAlign w:val="center"/>
          </w:tcPr>
          <w:p>
            <w:pPr>
              <w:pStyle w:val="BDOITableHeader"/>
            </w:pPr>
            <w:r>
              <w:rPr>
                <w:b/>
                <w:color w:val="FFFFFF"/>
                <w:sz w:val="15"/>
              </w:rPr>
              <w:t>Stream</w:t>
            </w:r>
          </w:p>
        </w:tc>
        <w:tc>
          <w:tcPr>
            <w:tcW w:type="dxa" w:w="1730"/>
            <w:shd w:val="clear" w:color="auto" w:fill="004EA8"/>
            <w:tcMar>
              <w:top w:w="50" w:type="dxa"/>
              <w:bottom w:w="50" w:type="dxa"/>
              <w:left w:w="90" w:type="dxa"/>
              <w:right w:w="90" w:type="dxa"/>
            </w:tcMar>
            <w:vAlign w:val="center"/>
          </w:tcPr>
          <w:p>
            <w:pPr>
              <w:pStyle w:val="BDOITableHeader"/>
            </w:pPr>
            <w:r>
              <w:rPr>
                <w:b/>
                <w:color w:val="FFFFFF"/>
                <w:sz w:val="15"/>
              </w:rPr>
              <w:t>BDOI window</w:t>
            </w:r>
          </w:p>
        </w:tc>
        <w:tc>
          <w:tcPr>
            <w:tcW w:type="dxa" w:w="2646"/>
            <w:shd w:val="clear" w:color="auto" w:fill="004EA8"/>
            <w:tcMar>
              <w:top w:w="50" w:type="dxa"/>
              <w:bottom w:w="50" w:type="dxa"/>
              <w:left w:w="90" w:type="dxa"/>
              <w:right w:w="90" w:type="dxa"/>
            </w:tcMar>
            <w:vAlign w:val="center"/>
          </w:tcPr>
          <w:p>
            <w:pPr>
              <w:pStyle w:val="BDOITableHeader"/>
            </w:pPr>
            <w:r>
              <w:rPr>
                <w:b/>
                <w:color w:val="FFFFFF"/>
                <w:sz w:val="15"/>
              </w:rPr>
              <w:t>Status today</w:t>
            </w:r>
          </w:p>
        </w:tc>
        <w:tc>
          <w:tcPr>
            <w:tcW w:type="dxa" w:w="3867"/>
            <w:shd w:val="clear" w:color="auto" w:fill="004EA8"/>
            <w:tcMar>
              <w:top w:w="50" w:type="dxa"/>
              <w:bottom w:w="50" w:type="dxa"/>
              <w:left w:w="90" w:type="dxa"/>
              <w:right w:w="90" w:type="dxa"/>
            </w:tcMar>
            <w:vAlign w:val="center"/>
          </w:tcPr>
          <w:p>
            <w:pPr>
              <w:pStyle w:val="BDOITableHeader"/>
            </w:pPr>
            <w:r>
              <w:rPr>
                <w:b/>
                <w:color w:val="FFFFFF"/>
                <w:sz w:val="15"/>
              </w:rPr>
              <w:t>What we deliver, by when</w:t>
            </w:r>
          </w:p>
        </w:tc>
      </w:tr>
      <w:tr>
        <w:trPr>
          <w:cantSplit w:val="true"/>
        </w:trPr>
        <w:tc>
          <w:tcPr>
            <w:tcW w:type="dxa" w:w="1730"/>
            <w:tcMar>
              <w:top w:w="50" w:type="dxa"/>
              <w:bottom w:w="50" w:type="dxa"/>
              <w:left w:w="90" w:type="dxa"/>
              <w:right w:w="90" w:type="dxa"/>
            </w:tcMar>
          </w:tcPr>
          <w:p>
            <w:pPr>
              <w:pStyle w:val="BDOITable"/>
            </w:pPr>
            <w:r>
              <w:rPr>
                <w:b/>
                <w:sz w:val="15"/>
              </w:rPr>
              <w:t>Requirements Drop 1 (with Drop 0 setup)</w:t>
            </w:r>
          </w:p>
        </w:tc>
        <w:tc>
          <w:tcPr>
            <w:tcW w:type="dxa" w:w="1730"/>
            <w:tcMar>
              <w:top w:w="50" w:type="dxa"/>
              <w:bottom w:w="50" w:type="dxa"/>
              <w:left w:w="90" w:type="dxa"/>
              <w:right w:w="90" w:type="dxa"/>
            </w:tcMar>
          </w:tcPr>
          <w:p>
            <w:pPr>
              <w:pStyle w:val="BDOITable"/>
            </w:pPr>
            <w:r>
              <w:rPr>
                <w:sz w:val="15"/>
              </w:rPr>
              <w:t>Sep - Nov 2026 (slide bar; the transcription says Sep - Oct)</w:t>
            </w:r>
          </w:p>
        </w:tc>
        <w:tc>
          <w:tcPr>
            <w:tcW w:type="dxa" w:w="2646"/>
            <w:tcMar>
              <w:top w:w="50" w:type="dxa"/>
              <w:bottom w:w="50" w:type="dxa"/>
              <w:left w:w="90" w:type="dxa"/>
              <w:right w:w="90" w:type="dxa"/>
            </w:tcMar>
          </w:tcPr>
          <w:p>
            <w:pPr>
              <w:pStyle w:val="BDOITable"/>
            </w:pPr>
            <w:r>
              <w:rPr>
                <w:sz w:val="15"/>
              </w:rPr>
              <w:t>FRS v1.0 of BRD-00, 1, 2, 3, 5, 6, 9, 10, 11, 12, 13 issued 25-26 Sep 2026; register v1.1</w:t>
            </w:r>
          </w:p>
        </w:tc>
        <w:tc>
          <w:tcPr>
            <w:tcW w:type="dxa" w:w="3867"/>
            <w:tcMar>
              <w:top w:w="50" w:type="dxa"/>
              <w:bottom w:w="50" w:type="dxa"/>
              <w:left w:w="90" w:type="dxa"/>
              <w:right w:w="90" w:type="dxa"/>
            </w:tcMar>
          </w:tcPr>
          <w:p>
            <w:pPr>
              <w:pStyle w:val="BDOITable"/>
            </w:pPr>
            <w:r>
              <w:rPr>
                <w:sz w:val="15"/>
              </w:rPr>
              <w:t>FRS v1.1 with BDOI comments by 13 Nov 2026; sign-off by 30 Nov 2026; answers to the build-shaping IQ / DCR items by 16 Oct 2026</w:t>
            </w:r>
          </w:p>
        </w:tc>
      </w:tr>
      <w:tr>
        <w:trPr>
          <w:cantSplit w:val="true"/>
        </w:trPr>
        <w:tc>
          <w:tcPr>
            <w:tcW w:type="dxa" w:w="1730"/>
            <w:tcMar>
              <w:top w:w="50" w:type="dxa"/>
              <w:bottom w:w="50" w:type="dxa"/>
              <w:left w:w="90" w:type="dxa"/>
              <w:right w:w="90" w:type="dxa"/>
            </w:tcMar>
            <w:shd w:val="clear" w:color="auto" w:fill="E5F5FF"/>
          </w:tcPr>
          <w:p>
            <w:pPr>
              <w:pStyle w:val="BDOITable"/>
            </w:pPr>
            <w:r>
              <w:rPr>
                <w:b/>
                <w:sz w:val="15"/>
              </w:rPr>
              <w:t>Requirements / mapping Migration</w:t>
            </w:r>
          </w:p>
        </w:tc>
        <w:tc>
          <w:tcPr>
            <w:tcW w:type="dxa" w:w="1730"/>
            <w:tcMar>
              <w:top w:w="50" w:type="dxa"/>
              <w:bottom w:w="50" w:type="dxa"/>
              <w:left w:w="90" w:type="dxa"/>
              <w:right w:w="90" w:type="dxa"/>
            </w:tcMar>
            <w:shd w:val="clear" w:color="auto" w:fill="E5F5FF"/>
          </w:tcPr>
          <w:p>
            <w:pPr>
              <w:pStyle w:val="BDOITable"/>
            </w:pPr>
            <w:r>
              <w:rPr>
                <w:sz w:val="15"/>
              </w:rPr>
              <w:t>Sep - Nov 2026</w:t>
            </w:r>
          </w:p>
        </w:tc>
        <w:tc>
          <w:tcPr>
            <w:tcW w:type="dxa" w:w="2646"/>
            <w:tcMar>
              <w:top w:w="50" w:type="dxa"/>
              <w:bottom w:w="50" w:type="dxa"/>
              <w:left w:w="90" w:type="dxa"/>
              <w:right w:w="90" w:type="dxa"/>
            </w:tcMar>
            <w:shd w:val="clear" w:color="auto" w:fill="E5F5FF"/>
          </w:tcPr>
          <w:p>
            <w:pPr>
              <w:pStyle w:val="BDOITable"/>
            </w:pPr>
            <w:r>
              <w:rPr>
                <w:sz w:val="15"/>
              </w:rPr>
              <w:t>Migration pack v1.0 issued 26 Sep 2026 (strategy, workbook, runbook, reconciliation)</w:t>
            </w:r>
          </w:p>
        </w:tc>
        <w:tc>
          <w:tcPr>
            <w:tcW w:type="dxa" w:w="3867"/>
            <w:tcMar>
              <w:top w:w="50" w:type="dxa"/>
              <w:bottom w:w="50" w:type="dxa"/>
              <w:left w:w="90" w:type="dxa"/>
              <w:right w:w="90" w:type="dxa"/>
            </w:tcMar>
            <w:shd w:val="clear" w:color="auto" w:fill="E5F5FF"/>
          </w:tcPr>
          <w:p>
            <w:pPr>
              <w:pStyle w:val="BDOITable"/>
            </w:pPr>
            <w:r>
              <w:rPr>
                <w:sz w:val="15"/>
              </w:rPr>
              <w:t>Object decisions (G1) and layouts frozen by 30 Nov 2026; first full extracts by 15 Jan 2027</w:t>
            </w:r>
          </w:p>
        </w:tc>
      </w:tr>
      <w:tr>
        <w:trPr>
          <w:cantSplit w:val="true"/>
        </w:trPr>
        <w:tc>
          <w:tcPr>
            <w:tcW w:type="dxa" w:w="1730"/>
            <w:tcMar>
              <w:top w:w="50" w:type="dxa"/>
              <w:bottom w:w="50" w:type="dxa"/>
              <w:left w:w="90" w:type="dxa"/>
              <w:right w:w="90" w:type="dxa"/>
            </w:tcMar>
          </w:tcPr>
          <w:p>
            <w:pPr>
              <w:pStyle w:val="BDOITable"/>
            </w:pPr>
            <w:r>
              <w:rPr>
                <w:b/>
                <w:sz w:val="15"/>
              </w:rPr>
              <w:t>Requirements Drop 2</w:t>
            </w:r>
          </w:p>
        </w:tc>
        <w:tc>
          <w:tcPr>
            <w:tcW w:type="dxa" w:w="1730"/>
            <w:tcMar>
              <w:top w:w="50" w:type="dxa"/>
              <w:bottom w:w="50" w:type="dxa"/>
              <w:left w:w="90" w:type="dxa"/>
              <w:right w:w="90" w:type="dxa"/>
            </w:tcMar>
          </w:tcPr>
          <w:p>
            <w:pPr>
              <w:pStyle w:val="BDOITable"/>
            </w:pPr>
            <w:r>
              <w:rPr>
                <w:sz w:val="15"/>
              </w:rPr>
              <w:t>Dec 2026 - Feb 2027</w:t>
            </w:r>
          </w:p>
        </w:tc>
        <w:tc>
          <w:tcPr>
            <w:tcW w:type="dxa" w:w="2646"/>
            <w:tcMar>
              <w:top w:w="50" w:type="dxa"/>
              <w:bottom w:w="50" w:type="dxa"/>
              <w:left w:w="90" w:type="dxa"/>
              <w:right w:w="90" w:type="dxa"/>
            </w:tcMar>
          </w:tcPr>
          <w:p>
            <w:pPr>
              <w:pStyle w:val="BDOITable"/>
            </w:pPr>
            <w:r>
              <w:rPr>
                <w:sz w:val="15"/>
              </w:rPr>
              <w:t>FRS v1.0 of BRD-4, 7, 8 issued; EB FRS to re-issue without the portal</w:t>
            </w:r>
          </w:p>
        </w:tc>
        <w:tc>
          <w:tcPr>
            <w:tcW w:type="dxa" w:w="3867"/>
            <w:tcMar>
              <w:top w:w="50" w:type="dxa"/>
              <w:bottom w:w="50" w:type="dxa"/>
              <w:left w:w="90" w:type="dxa"/>
              <w:right w:w="90" w:type="dxa"/>
            </w:tcMar>
          </w:tcPr>
          <w:p>
            <w:pPr>
              <w:pStyle w:val="BDOITable"/>
            </w:pPr>
            <w:r>
              <w:rPr>
                <w:sz w:val="15"/>
              </w:rPr>
              <w:t>Sign-off by 26 Feb 2027; EGL, EDP, CARMS, insurer specifications from BDOI IT by 31 Jan 2027</w:t>
            </w:r>
          </w:p>
        </w:tc>
      </w:tr>
      <w:tr>
        <w:trPr>
          <w:cantSplit w:val="true"/>
        </w:trPr>
        <w:tc>
          <w:tcPr>
            <w:tcW w:type="dxa" w:w="1730"/>
            <w:tcMar>
              <w:top w:w="50" w:type="dxa"/>
              <w:bottom w:w="50" w:type="dxa"/>
              <w:left w:w="90" w:type="dxa"/>
              <w:right w:w="90" w:type="dxa"/>
            </w:tcMar>
            <w:shd w:val="clear" w:color="auto" w:fill="E5F5FF"/>
          </w:tcPr>
          <w:p>
            <w:pPr>
              <w:pStyle w:val="BDOITable"/>
            </w:pPr>
            <w:r>
              <w:rPr>
                <w:b/>
                <w:sz w:val="15"/>
              </w:rPr>
              <w:t>Build Drop 1 (waves 1 and 2)</w:t>
            </w:r>
          </w:p>
        </w:tc>
        <w:tc>
          <w:tcPr>
            <w:tcW w:type="dxa" w:w="1730"/>
            <w:tcMar>
              <w:top w:w="50" w:type="dxa"/>
              <w:bottom w:w="50" w:type="dxa"/>
              <w:left w:w="90" w:type="dxa"/>
              <w:right w:w="90" w:type="dxa"/>
            </w:tcMar>
            <w:shd w:val="clear" w:color="auto" w:fill="E5F5FF"/>
          </w:tcPr>
          <w:p>
            <w:pPr>
              <w:pStyle w:val="BDOITable"/>
            </w:pPr>
            <w:r>
              <w:rPr>
                <w:sz w:val="15"/>
              </w:rPr>
              <w:t>Nov 2026 - Feb 2027</w:t>
            </w:r>
          </w:p>
        </w:tc>
        <w:tc>
          <w:tcPr>
            <w:tcW w:type="dxa" w:w="2646"/>
            <w:tcMar>
              <w:top w:w="50" w:type="dxa"/>
              <w:bottom w:w="50" w:type="dxa"/>
              <w:left w:w="90" w:type="dxa"/>
              <w:right w:w="90" w:type="dxa"/>
            </w:tcMar>
            <w:shd w:val="clear" w:color="auto" w:fill="E5F5FF"/>
          </w:tcPr>
          <w:p>
            <w:pPr>
              <w:pStyle w:val="BDOITable"/>
            </w:pPr>
            <w:r>
              <w:rPr>
                <w:sz w:val="15"/>
              </w:rPr>
              <w:t>Built: BRD-1, 2, 3, 4, 5, 10, 11. To build: BRD-12 SP, BRD-6 RN, BRD-9 CSF (account maintenance), EIAM, UIDM-ISC, S3 store, bank channel layouts</w:t>
            </w:r>
          </w:p>
        </w:tc>
        <w:tc>
          <w:tcPr>
            <w:tcW w:type="dxa" w:w="3867"/>
            <w:tcMar>
              <w:top w:w="50" w:type="dxa"/>
              <w:bottom w:w="50" w:type="dxa"/>
              <w:left w:w="90" w:type="dxa"/>
              <w:right w:w="90" w:type="dxa"/>
            </w:tcMar>
            <w:shd w:val="clear" w:color="auto" w:fill="E5F5FF"/>
          </w:tcPr>
          <w:p>
            <w:pPr>
              <w:pStyle w:val="BDOITable"/>
            </w:pPr>
            <w:r>
              <w:rPr>
                <w:sz w:val="15"/>
              </w:rPr>
              <w:t>Wave 1 (Nov-Dec): SP, RN foundation, EIAM, S3 store. Wave 2 (Jan-Feb): RN completion, bank channels, changes from signed FRS</w:t>
            </w:r>
          </w:p>
        </w:tc>
      </w:tr>
      <w:tr>
        <w:trPr>
          <w:cantSplit w:val="true"/>
        </w:trPr>
        <w:tc>
          <w:tcPr>
            <w:tcW w:type="dxa" w:w="1730"/>
            <w:tcMar>
              <w:top w:w="50" w:type="dxa"/>
              <w:bottom w:w="50" w:type="dxa"/>
              <w:left w:w="90" w:type="dxa"/>
              <w:right w:w="90" w:type="dxa"/>
            </w:tcMar>
          </w:tcPr>
          <w:p>
            <w:pPr>
              <w:pStyle w:val="BDOITable"/>
            </w:pPr>
            <w:r>
              <w:rPr>
                <w:b/>
                <w:sz w:val="15"/>
              </w:rPr>
              <w:t>Build Migration</w:t>
            </w:r>
          </w:p>
        </w:tc>
        <w:tc>
          <w:tcPr>
            <w:tcW w:type="dxa" w:w="1730"/>
            <w:tcMar>
              <w:top w:w="50" w:type="dxa"/>
              <w:bottom w:w="50" w:type="dxa"/>
              <w:left w:w="90" w:type="dxa"/>
              <w:right w:w="90" w:type="dxa"/>
            </w:tcMar>
          </w:tcPr>
          <w:p>
            <w:pPr>
              <w:pStyle w:val="BDOITable"/>
            </w:pPr>
            <w:r>
              <w:rPr>
                <w:sz w:val="15"/>
              </w:rPr>
              <w:t>Nov 2026 - Mar 2027</w:t>
            </w:r>
          </w:p>
        </w:tc>
        <w:tc>
          <w:tcPr>
            <w:tcW w:type="dxa" w:w="2646"/>
            <w:tcMar>
              <w:top w:w="50" w:type="dxa"/>
              <w:bottom w:w="50" w:type="dxa"/>
              <w:left w:w="90" w:type="dxa"/>
              <w:right w:w="90" w:type="dxa"/>
            </w:tcMar>
          </w:tcPr>
          <w:p>
            <w:pPr>
              <w:pStyle w:val="BDOITable"/>
            </w:pPr>
            <w:r>
              <w:rPr>
                <w:sz w:val="15"/>
              </w:rPr>
              <w:t>Designed (DM0-DM3)</w:t>
            </w:r>
          </w:p>
        </w:tc>
        <w:tc>
          <w:tcPr>
            <w:tcW w:type="dxa" w:w="3867"/>
            <w:tcMar>
              <w:top w:w="50" w:type="dxa"/>
              <w:bottom w:w="50" w:type="dxa"/>
              <w:left w:w="90" w:type="dxa"/>
              <w:right w:w="90" w:type="dxa"/>
            </w:tcMar>
          </w:tcPr>
          <w:p>
            <w:pPr>
              <w:pStyle w:val="BDOITable"/>
            </w:pPr>
            <w:r>
              <w:rPr>
                <w:sz w:val="15"/>
              </w:rPr>
              <w:t>Migration console and loaders by 31 Mar 2027</w:t>
            </w:r>
          </w:p>
        </w:tc>
      </w:tr>
      <w:tr>
        <w:trPr>
          <w:cantSplit w:val="true"/>
        </w:trPr>
        <w:tc>
          <w:tcPr>
            <w:tcW w:type="dxa" w:w="1730"/>
            <w:tcMar>
              <w:top w:w="50" w:type="dxa"/>
              <w:bottom w:w="50" w:type="dxa"/>
              <w:left w:w="90" w:type="dxa"/>
              <w:right w:w="90" w:type="dxa"/>
            </w:tcMar>
            <w:shd w:val="clear" w:color="auto" w:fill="E5F5FF"/>
          </w:tcPr>
          <w:p>
            <w:pPr>
              <w:pStyle w:val="BDOITable"/>
            </w:pPr>
            <w:r>
              <w:rPr>
                <w:b/>
                <w:sz w:val="15"/>
              </w:rPr>
              <w:t>Build Drop 2 (wave 3)</w:t>
            </w:r>
          </w:p>
        </w:tc>
        <w:tc>
          <w:tcPr>
            <w:tcW w:type="dxa" w:w="1730"/>
            <w:tcMar>
              <w:top w:w="50" w:type="dxa"/>
              <w:bottom w:w="50" w:type="dxa"/>
              <w:left w:w="90" w:type="dxa"/>
              <w:right w:w="90" w:type="dxa"/>
            </w:tcMar>
            <w:shd w:val="clear" w:color="auto" w:fill="E5F5FF"/>
          </w:tcPr>
          <w:p>
            <w:pPr>
              <w:pStyle w:val="BDOITable"/>
            </w:pPr>
            <w:r>
              <w:rPr>
                <w:sz w:val="15"/>
              </w:rPr>
              <w:t>Mar - Apr 2027</w:t>
            </w:r>
          </w:p>
        </w:tc>
        <w:tc>
          <w:tcPr>
            <w:tcW w:type="dxa" w:w="2646"/>
            <w:tcMar>
              <w:top w:w="50" w:type="dxa"/>
              <w:bottom w:w="50" w:type="dxa"/>
              <w:left w:w="90" w:type="dxa"/>
              <w:right w:w="90" w:type="dxa"/>
            </w:tcMar>
            <w:shd w:val="clear" w:color="auto" w:fill="E5F5FF"/>
          </w:tcPr>
          <w:p>
            <w:pPr>
              <w:pStyle w:val="BDOITable"/>
            </w:pPr>
            <w:r>
              <w:rPr>
                <w:sz w:val="15"/>
              </w:rPr>
              <w:t>Claims being built; EB, CSF (rest) designed</w:t>
            </w:r>
          </w:p>
        </w:tc>
        <w:tc>
          <w:tcPr>
            <w:tcW w:type="dxa" w:w="3867"/>
            <w:tcMar>
              <w:top w:w="50" w:type="dxa"/>
              <w:bottom w:w="50" w:type="dxa"/>
              <w:left w:w="90" w:type="dxa"/>
              <w:right w:w="90" w:type="dxa"/>
            </w:tcMar>
            <w:shd w:val="clear" w:color="auto" w:fill="E5F5FF"/>
          </w:tcPr>
          <w:p>
            <w:pPr>
              <w:pStyle w:val="BDOITable"/>
            </w:pPr>
            <w:r>
              <w:rPr>
                <w:sz w:val="15"/>
              </w:rPr>
              <w:t>Claims, EB without portal, CSF, EGL / EDP / insurer adapters, other reports by 30 Apr 2027</w:t>
            </w:r>
          </w:p>
        </w:tc>
      </w:tr>
      <w:tr>
        <w:trPr>
          <w:cantSplit w:val="true"/>
        </w:trPr>
        <w:tc>
          <w:tcPr>
            <w:tcW w:type="dxa" w:w="1730"/>
            <w:tcMar>
              <w:top w:w="50" w:type="dxa"/>
              <w:bottom w:w="50" w:type="dxa"/>
              <w:left w:w="90" w:type="dxa"/>
              <w:right w:w="90" w:type="dxa"/>
            </w:tcMar>
          </w:tcPr>
          <w:p>
            <w:pPr>
              <w:pStyle w:val="BDOITable"/>
            </w:pPr>
            <w:r>
              <w:rPr>
                <w:b/>
                <w:sz w:val="15"/>
              </w:rPr>
              <w:t>SIT Drop 1</w:t>
            </w:r>
          </w:p>
        </w:tc>
        <w:tc>
          <w:tcPr>
            <w:tcW w:type="dxa" w:w="1730"/>
            <w:tcMar>
              <w:top w:w="50" w:type="dxa"/>
              <w:bottom w:w="50" w:type="dxa"/>
              <w:left w:w="90" w:type="dxa"/>
              <w:right w:w="90" w:type="dxa"/>
            </w:tcMar>
          </w:tcPr>
          <w:p>
            <w:pPr>
              <w:pStyle w:val="BDOITable"/>
            </w:pPr>
            <w:r>
              <w:rPr>
                <w:sz w:val="15"/>
              </w:rPr>
              <w:t>Jan - Jul 2027</w:t>
            </w:r>
          </w:p>
        </w:tc>
        <w:tc>
          <w:tcPr>
            <w:tcW w:type="dxa" w:w="2646"/>
            <w:tcMar>
              <w:top w:w="50" w:type="dxa"/>
              <w:bottom w:w="50" w:type="dxa"/>
              <w:left w:w="90" w:type="dxa"/>
              <w:right w:w="90" w:type="dxa"/>
            </w:tcMar>
          </w:tcPr>
          <w:p>
            <w:pPr>
              <w:pStyle w:val="BDOITable"/>
            </w:pPr>
            <w:r>
              <w:rPr>
                <w:sz w:val="15"/>
              </w:rPr>
              <w:t>Test plans v1.0 for BRD-1 to BRD-13</w:t>
            </w:r>
          </w:p>
        </w:tc>
        <w:tc>
          <w:tcPr>
            <w:tcW w:type="dxa" w:w="3867"/>
            <w:tcMar>
              <w:top w:w="50" w:type="dxa"/>
              <w:bottom w:w="50" w:type="dxa"/>
              <w:left w:w="90" w:type="dxa"/>
              <w:right w:w="90" w:type="dxa"/>
            </w:tcMar>
          </w:tcPr>
          <w:p>
            <w:pPr>
              <w:pStyle w:val="BDOITable"/>
            </w:pPr>
            <w:r>
              <w:rPr>
                <w:sz w:val="15"/>
              </w:rPr>
              <w:t>Test plans approved by 18 Dec 2026; SIT environment with S3, MSK, ElastiCache by 4 Jan 2027</w:t>
            </w:r>
          </w:p>
        </w:tc>
      </w:tr>
      <w:tr>
        <w:trPr>
          <w:cantSplit w:val="true"/>
        </w:trPr>
        <w:tc>
          <w:tcPr>
            <w:tcW w:type="dxa" w:w="1730"/>
            <w:tcMar>
              <w:top w:w="50" w:type="dxa"/>
              <w:bottom w:w="50" w:type="dxa"/>
              <w:left w:w="90" w:type="dxa"/>
              <w:right w:w="90" w:type="dxa"/>
            </w:tcMar>
            <w:shd w:val="clear" w:color="auto" w:fill="E5F5FF"/>
          </w:tcPr>
          <w:p>
            <w:pPr>
              <w:pStyle w:val="BDOITable"/>
            </w:pPr>
            <w:r>
              <w:rPr>
                <w:b/>
                <w:sz w:val="15"/>
              </w:rPr>
              <w:t>SIT Migration</w:t>
            </w:r>
          </w:p>
        </w:tc>
        <w:tc>
          <w:tcPr>
            <w:tcW w:type="dxa" w:w="1730"/>
            <w:tcMar>
              <w:top w:w="50" w:type="dxa"/>
              <w:bottom w:w="50" w:type="dxa"/>
              <w:left w:w="90" w:type="dxa"/>
              <w:right w:w="90" w:type="dxa"/>
            </w:tcMar>
            <w:shd w:val="clear" w:color="auto" w:fill="E5F5FF"/>
          </w:tcPr>
          <w:p>
            <w:pPr>
              <w:pStyle w:val="BDOITable"/>
            </w:pPr>
            <w:r>
              <w:rPr>
                <w:sz w:val="15"/>
              </w:rPr>
              <w:t>Apr - Jul 2027</w:t>
            </w:r>
          </w:p>
        </w:tc>
        <w:tc>
          <w:tcPr>
            <w:tcW w:type="dxa" w:w="2646"/>
            <w:tcMar>
              <w:top w:w="50" w:type="dxa"/>
              <w:bottom w:w="50" w:type="dxa"/>
              <w:left w:w="90" w:type="dxa"/>
              <w:right w:w="90" w:type="dxa"/>
            </w:tcMar>
            <w:shd w:val="clear" w:color="auto" w:fill="E5F5FF"/>
          </w:tcPr>
          <w:p>
            <w:pPr>
              <w:pStyle w:val="BDOITable"/>
            </w:pPr>
            <w:r>
              <w:rPr>
                <w:sz w:val="15"/>
              </w:rPr>
              <w:t>Mocks defined relative to T in the design</w:t>
            </w:r>
          </w:p>
        </w:tc>
        <w:tc>
          <w:tcPr>
            <w:tcW w:type="dxa" w:w="3867"/>
            <w:tcMar>
              <w:top w:w="50" w:type="dxa"/>
              <w:bottom w:w="50" w:type="dxa"/>
              <w:left w:w="90" w:type="dxa"/>
              <w:right w:w="90" w:type="dxa"/>
            </w:tcMar>
            <w:shd w:val="clear" w:color="auto" w:fill="E5F5FF"/>
          </w:tcPr>
          <w:p>
            <w:pPr>
              <w:pStyle w:val="BDOITable"/>
            </w:pPr>
            <w:r>
              <w:rPr>
                <w:sz w:val="15"/>
              </w:rPr>
              <w:t>Mock 1 Apr-May 2027 (reference, clients, headers); Mock 2 Jun-Jul 2027 (all objects, L1-L5)</w:t>
            </w:r>
          </w:p>
        </w:tc>
      </w:tr>
      <w:tr>
        <w:trPr>
          <w:cantSplit w:val="true"/>
        </w:trPr>
        <w:tc>
          <w:tcPr>
            <w:tcW w:type="dxa" w:w="1730"/>
            <w:tcMar>
              <w:top w:w="50" w:type="dxa"/>
              <w:bottom w:w="50" w:type="dxa"/>
              <w:left w:w="90" w:type="dxa"/>
              <w:right w:w="90" w:type="dxa"/>
            </w:tcMar>
          </w:tcPr>
          <w:p>
            <w:pPr>
              <w:pStyle w:val="BDOITable"/>
            </w:pPr>
            <w:r>
              <w:rPr>
                <w:b/>
                <w:sz w:val="15"/>
              </w:rPr>
              <w:t>SIT Drop 2</w:t>
            </w:r>
          </w:p>
        </w:tc>
        <w:tc>
          <w:tcPr>
            <w:tcW w:type="dxa" w:w="1730"/>
            <w:tcMar>
              <w:top w:w="50" w:type="dxa"/>
              <w:bottom w:w="50" w:type="dxa"/>
              <w:left w:w="90" w:type="dxa"/>
              <w:right w:w="90" w:type="dxa"/>
            </w:tcMar>
          </w:tcPr>
          <w:p>
            <w:pPr>
              <w:pStyle w:val="BDOITable"/>
            </w:pPr>
            <w:r>
              <w:rPr>
                <w:sz w:val="15"/>
              </w:rPr>
              <w:t>Jul - Sep 2027</w:t>
            </w:r>
          </w:p>
        </w:tc>
        <w:tc>
          <w:tcPr>
            <w:tcW w:type="dxa" w:w="2646"/>
            <w:tcMar>
              <w:top w:w="50" w:type="dxa"/>
              <w:bottom w:w="50" w:type="dxa"/>
              <w:left w:w="90" w:type="dxa"/>
              <w:right w:w="90" w:type="dxa"/>
            </w:tcMar>
          </w:tcPr>
          <w:p>
            <w:pPr>
              <w:pStyle w:val="BDOITable"/>
            </w:pPr>
            <w:r>
              <w:rPr>
                <w:sz w:val="15"/>
              </w:rPr>
              <w:t>-</w:t>
            </w:r>
          </w:p>
        </w:tc>
        <w:tc>
          <w:tcPr>
            <w:tcW w:type="dxa" w:w="3867"/>
            <w:tcMar>
              <w:top w:w="50" w:type="dxa"/>
              <w:bottom w:w="50" w:type="dxa"/>
              <w:left w:w="90" w:type="dxa"/>
              <w:right w:w="90" w:type="dxa"/>
            </w:tcMar>
          </w:tcPr>
          <w:p>
            <w:pPr>
              <w:pStyle w:val="BDOITable"/>
            </w:pPr>
            <w:r>
              <w:rPr>
                <w:sz w:val="15"/>
              </w:rPr>
              <w:t>Drop 2 test plans approved by 30 Jun 2027</w:t>
            </w:r>
          </w:p>
        </w:tc>
      </w:tr>
      <w:tr>
        <w:trPr>
          <w:cantSplit w:val="true"/>
        </w:trPr>
        <w:tc>
          <w:tcPr>
            <w:tcW w:type="dxa" w:w="1730"/>
            <w:tcMar>
              <w:top w:w="50" w:type="dxa"/>
              <w:bottom w:w="50" w:type="dxa"/>
              <w:left w:w="90" w:type="dxa"/>
              <w:right w:w="90" w:type="dxa"/>
            </w:tcMar>
            <w:shd w:val="clear" w:color="auto" w:fill="E5F5FF"/>
          </w:tcPr>
          <w:p>
            <w:pPr>
              <w:pStyle w:val="BDOITable"/>
            </w:pPr>
            <w:r>
              <w:rPr>
                <w:b/>
                <w:sz w:val="15"/>
              </w:rPr>
              <w:t>UAT Drop 1 (end to end)</w:t>
            </w:r>
          </w:p>
        </w:tc>
        <w:tc>
          <w:tcPr>
            <w:tcW w:type="dxa" w:w="1730"/>
            <w:tcMar>
              <w:top w:w="50" w:type="dxa"/>
              <w:bottom w:w="50" w:type="dxa"/>
              <w:left w:w="90" w:type="dxa"/>
              <w:right w:w="90" w:type="dxa"/>
            </w:tcMar>
            <w:shd w:val="clear" w:color="auto" w:fill="E5F5FF"/>
          </w:tcPr>
          <w:p>
            <w:pPr>
              <w:pStyle w:val="BDOITable"/>
            </w:pPr>
            <w:r>
              <w:rPr>
                <w:sz w:val="15"/>
              </w:rPr>
              <w:t>Aug - Dec 2027</w:t>
            </w:r>
          </w:p>
        </w:tc>
        <w:tc>
          <w:tcPr>
            <w:tcW w:type="dxa" w:w="2646"/>
            <w:tcMar>
              <w:top w:w="50" w:type="dxa"/>
              <w:bottom w:w="50" w:type="dxa"/>
              <w:left w:w="90" w:type="dxa"/>
              <w:right w:w="90" w:type="dxa"/>
            </w:tcMar>
            <w:shd w:val="clear" w:color="auto" w:fill="E5F5FF"/>
          </w:tcPr>
          <w:p>
            <w:pPr>
              <w:pStyle w:val="BDOITable"/>
            </w:pPr>
            <w:r>
              <w:rPr>
                <w:sz w:val="15"/>
              </w:rPr>
              <w:t>UAT readiness programme (deliverables README)</w:t>
            </w:r>
          </w:p>
        </w:tc>
        <w:tc>
          <w:tcPr>
            <w:tcW w:type="dxa" w:w="3867"/>
            <w:tcMar>
              <w:top w:w="50" w:type="dxa"/>
              <w:bottom w:w="50" w:type="dxa"/>
              <w:left w:w="90" w:type="dxa"/>
              <w:right w:w="90" w:type="dxa"/>
            </w:tcMar>
            <w:shd w:val="clear" w:color="auto" w:fill="E5F5FF"/>
          </w:tcPr>
          <w:p>
            <w:pPr>
              <w:pStyle w:val="BDOITable"/>
            </w:pPr>
            <w:r>
              <w:rPr>
                <w:sz w:val="15"/>
              </w:rPr>
              <w:t>UAT readiness statement by 30 Jul 2027; UAT plans and sign-off forms by 16 Jul 2027; UAT runs on migrated, masked data (Mock 3)</w:t>
            </w:r>
          </w:p>
        </w:tc>
      </w:tr>
      <w:tr>
        <w:trPr>
          <w:cantSplit w:val="true"/>
        </w:trPr>
        <w:tc>
          <w:tcPr>
            <w:tcW w:type="dxa" w:w="1730"/>
            <w:tcMar>
              <w:top w:w="50" w:type="dxa"/>
              <w:bottom w:w="50" w:type="dxa"/>
              <w:left w:w="90" w:type="dxa"/>
              <w:right w:w="90" w:type="dxa"/>
            </w:tcMar>
          </w:tcPr>
          <w:p>
            <w:pPr>
              <w:pStyle w:val="BDOITable"/>
            </w:pPr>
            <w:r>
              <w:rPr>
                <w:b/>
                <w:sz w:val="15"/>
              </w:rPr>
              <w:t>UAT Migration</w:t>
            </w:r>
          </w:p>
        </w:tc>
        <w:tc>
          <w:tcPr>
            <w:tcW w:type="dxa" w:w="1730"/>
            <w:tcMar>
              <w:top w:w="50" w:type="dxa"/>
              <w:bottom w:w="50" w:type="dxa"/>
              <w:left w:w="90" w:type="dxa"/>
              <w:right w:w="90" w:type="dxa"/>
            </w:tcMar>
          </w:tcPr>
          <w:p>
            <w:pPr>
              <w:pStyle w:val="BDOITable"/>
            </w:pPr>
            <w:r>
              <w:rPr>
                <w:sz w:val="15"/>
              </w:rPr>
              <w:t>Aug - Oct 2027</w:t>
            </w:r>
          </w:p>
        </w:tc>
        <w:tc>
          <w:tcPr>
            <w:tcW w:type="dxa" w:w="2646"/>
            <w:tcMar>
              <w:top w:w="50" w:type="dxa"/>
              <w:bottom w:w="50" w:type="dxa"/>
              <w:left w:w="90" w:type="dxa"/>
              <w:right w:w="90" w:type="dxa"/>
            </w:tcMar>
          </w:tcPr>
          <w:p>
            <w:pPr>
              <w:pStyle w:val="BDOITable"/>
            </w:pPr>
            <w:r>
              <w:rPr>
                <w:sz w:val="15"/>
              </w:rPr>
              <w:t>-</w:t>
            </w:r>
          </w:p>
        </w:tc>
        <w:tc>
          <w:tcPr>
            <w:tcW w:type="dxa" w:w="3867"/>
            <w:tcMar>
              <w:top w:w="50" w:type="dxa"/>
              <w:bottom w:w="50" w:type="dxa"/>
              <w:left w:w="90" w:type="dxa"/>
              <w:right w:w="90" w:type="dxa"/>
            </w:tcMar>
          </w:tcPr>
          <w:p>
            <w:pPr>
              <w:pStyle w:val="BDOITable"/>
            </w:pPr>
            <w:r>
              <w:rPr>
                <w:sz w:val="15"/>
              </w:rPr>
              <w:t>Mock 3 = UAT load in Aug 2027; Mock 4 re-load in Oct 2027 after fixes</w:t>
            </w:r>
          </w:p>
        </w:tc>
      </w:tr>
      <w:tr>
        <w:trPr>
          <w:cantSplit w:val="true"/>
        </w:trPr>
        <w:tc>
          <w:tcPr>
            <w:tcW w:type="dxa" w:w="1730"/>
            <w:tcMar>
              <w:top w:w="50" w:type="dxa"/>
              <w:bottom w:w="50" w:type="dxa"/>
              <w:left w:w="90" w:type="dxa"/>
              <w:right w:w="90" w:type="dxa"/>
            </w:tcMar>
            <w:shd w:val="clear" w:color="auto" w:fill="E5F5FF"/>
          </w:tcPr>
          <w:p>
            <w:pPr>
              <w:pStyle w:val="BDOITable"/>
            </w:pPr>
            <w:r>
              <w:rPr>
                <w:b/>
                <w:sz w:val="15"/>
              </w:rPr>
              <w:t>UAT Drop 2</w:t>
            </w:r>
          </w:p>
        </w:tc>
        <w:tc>
          <w:tcPr>
            <w:tcW w:type="dxa" w:w="1730"/>
            <w:tcMar>
              <w:top w:w="50" w:type="dxa"/>
              <w:bottom w:w="50" w:type="dxa"/>
              <w:left w:w="90" w:type="dxa"/>
              <w:right w:w="90" w:type="dxa"/>
            </w:tcMar>
            <w:shd w:val="clear" w:color="auto" w:fill="E5F5FF"/>
          </w:tcPr>
          <w:p>
            <w:pPr>
              <w:pStyle w:val="BDOITable"/>
            </w:pPr>
            <w:r>
              <w:rPr>
                <w:sz w:val="15"/>
              </w:rPr>
              <w:t>Oct - Nov 2027</w:t>
            </w:r>
          </w:p>
        </w:tc>
        <w:tc>
          <w:tcPr>
            <w:tcW w:type="dxa" w:w="2646"/>
            <w:tcMar>
              <w:top w:w="50" w:type="dxa"/>
              <w:bottom w:w="50" w:type="dxa"/>
              <w:left w:w="90" w:type="dxa"/>
              <w:right w:w="90" w:type="dxa"/>
            </w:tcMar>
            <w:shd w:val="clear" w:color="auto" w:fill="E5F5FF"/>
          </w:tcPr>
          <w:p>
            <w:pPr>
              <w:pStyle w:val="BDOITable"/>
            </w:pPr>
            <w:r>
              <w:rPr>
                <w:sz w:val="15"/>
              </w:rPr>
              <w:t>-</w:t>
            </w:r>
          </w:p>
        </w:tc>
        <w:tc>
          <w:tcPr>
            <w:tcW w:type="dxa" w:w="3867"/>
            <w:tcMar>
              <w:top w:w="50" w:type="dxa"/>
              <w:bottom w:w="50" w:type="dxa"/>
              <w:left w:w="90" w:type="dxa"/>
              <w:right w:w="90" w:type="dxa"/>
            </w:tcMar>
            <w:shd w:val="clear" w:color="auto" w:fill="E5F5FF"/>
          </w:tcPr>
          <w:p>
            <w:pPr>
              <w:pStyle w:val="BDOITable"/>
            </w:pPr>
            <w:r>
              <w:rPr>
                <w:sz w:val="15"/>
              </w:rPr>
              <w:t>Readiness statement for Drop 2 by 30 Sep 2027</w:t>
            </w:r>
          </w:p>
        </w:tc>
      </w:tr>
      <w:tr>
        <w:trPr>
          <w:cantSplit w:val="true"/>
        </w:trPr>
        <w:tc>
          <w:tcPr>
            <w:tcW w:type="dxa" w:w="1730"/>
            <w:tcMar>
              <w:top w:w="50" w:type="dxa"/>
              <w:bottom w:w="50" w:type="dxa"/>
              <w:left w:w="90" w:type="dxa"/>
              <w:right w:w="90" w:type="dxa"/>
            </w:tcMar>
          </w:tcPr>
          <w:p>
            <w:pPr>
              <w:pStyle w:val="BDOITable"/>
            </w:pPr>
            <w:r>
              <w:rPr>
                <w:b/>
                <w:sz w:val="15"/>
              </w:rPr>
              <w:t>Performance / penetration test</w:t>
            </w:r>
          </w:p>
        </w:tc>
        <w:tc>
          <w:tcPr>
            <w:tcW w:type="dxa" w:w="1730"/>
            <w:tcMar>
              <w:top w:w="50" w:type="dxa"/>
              <w:bottom w:w="50" w:type="dxa"/>
              <w:left w:w="90" w:type="dxa"/>
              <w:right w:w="90" w:type="dxa"/>
            </w:tcMar>
          </w:tcPr>
          <w:p>
            <w:pPr>
              <w:pStyle w:val="BDOITable"/>
            </w:pPr>
            <w:r>
              <w:rPr>
                <w:sz w:val="15"/>
              </w:rPr>
              <w:t>Nov - Dec 2027</w:t>
            </w:r>
          </w:p>
        </w:tc>
        <w:tc>
          <w:tcPr>
            <w:tcW w:type="dxa" w:w="2646"/>
            <w:tcMar>
              <w:top w:w="50" w:type="dxa"/>
              <w:bottom w:w="50" w:type="dxa"/>
              <w:left w:w="90" w:type="dxa"/>
              <w:right w:w="90" w:type="dxa"/>
            </w:tcMar>
          </w:tcPr>
          <w:p>
            <w:pPr>
              <w:pStyle w:val="BDOITable"/>
            </w:pPr>
            <w:r>
              <w:rPr>
                <w:sz w:val="15"/>
              </w:rPr>
              <w:t>Performance plan (item 28); peak 429 concurrent until DCR-166</w:t>
            </w:r>
          </w:p>
        </w:tc>
        <w:tc>
          <w:tcPr>
            <w:tcW w:type="dxa" w:w="3867"/>
            <w:tcMar>
              <w:top w:w="50" w:type="dxa"/>
              <w:bottom w:w="50" w:type="dxa"/>
              <w:left w:w="90" w:type="dxa"/>
              <w:right w:w="90" w:type="dxa"/>
            </w:tcMar>
          </w:tcPr>
          <w:p>
            <w:pPr>
              <w:pStyle w:val="BDOITable"/>
            </w:pPr>
            <w:r>
              <w:rPr>
                <w:sz w:val="15"/>
              </w:rPr>
              <w:t>Pre-Prod ready by 1 Oct 2027; an early security scan in SIT (Jun 2027) proposed so findings do not arrive in December</w:t>
            </w:r>
          </w:p>
        </w:tc>
      </w:tr>
      <w:tr>
        <w:trPr>
          <w:cantSplit w:val="true"/>
        </w:trPr>
        <w:tc>
          <w:tcPr>
            <w:tcW w:type="dxa" w:w="1730"/>
            <w:tcMar>
              <w:top w:w="50" w:type="dxa"/>
              <w:bottom w:w="50" w:type="dxa"/>
              <w:left w:w="90" w:type="dxa"/>
              <w:right w:w="90" w:type="dxa"/>
            </w:tcMar>
            <w:shd w:val="clear" w:color="auto" w:fill="E5F5FF"/>
          </w:tcPr>
          <w:p>
            <w:pPr>
              <w:pStyle w:val="BDOITable"/>
            </w:pPr>
            <w:r>
              <w:rPr>
                <w:b/>
                <w:sz w:val="15"/>
              </w:rPr>
              <w:t>Full migration and cut-over</w:t>
            </w:r>
          </w:p>
        </w:tc>
        <w:tc>
          <w:tcPr>
            <w:tcW w:type="dxa" w:w="1730"/>
            <w:tcMar>
              <w:top w:w="50" w:type="dxa"/>
              <w:bottom w:w="50" w:type="dxa"/>
              <w:left w:w="90" w:type="dxa"/>
              <w:right w:w="90" w:type="dxa"/>
            </w:tcMar>
            <w:shd w:val="clear" w:color="auto" w:fill="E5F5FF"/>
          </w:tcPr>
          <w:p>
            <w:pPr>
              <w:pStyle w:val="BDOITable"/>
            </w:pPr>
            <w:r>
              <w:rPr>
                <w:sz w:val="15"/>
              </w:rPr>
              <w:t>Nov 2027 - Jan 2028</w:t>
            </w:r>
          </w:p>
        </w:tc>
        <w:tc>
          <w:tcPr>
            <w:tcW w:type="dxa" w:w="2646"/>
            <w:tcMar>
              <w:top w:w="50" w:type="dxa"/>
              <w:bottom w:w="50" w:type="dxa"/>
              <w:left w:w="90" w:type="dxa"/>
              <w:right w:w="90" w:type="dxa"/>
            </w:tcMar>
            <w:shd w:val="clear" w:color="auto" w:fill="E5F5FF"/>
          </w:tcPr>
          <w:p>
            <w:pPr>
              <w:pStyle w:val="BDOITable"/>
            </w:pPr>
            <w:r>
              <w:rPr>
                <w:sz w:val="15"/>
              </w:rPr>
              <w:t>Cutover runbook v1.0 (T-30 to T+30)</w:t>
            </w:r>
          </w:p>
        </w:tc>
        <w:tc>
          <w:tcPr>
            <w:tcW w:type="dxa" w:w="3867"/>
            <w:tcMar>
              <w:top w:w="50" w:type="dxa"/>
              <w:bottom w:w="50" w:type="dxa"/>
              <w:left w:w="90" w:type="dxa"/>
              <w:right w:w="90" w:type="dxa"/>
            </w:tcMar>
            <w:shd w:val="clear" w:color="auto" w:fill="E5F5FF"/>
          </w:tcPr>
          <w:p>
            <w:pPr>
              <w:pStyle w:val="BDOITable"/>
            </w:pPr>
            <w:r>
              <w:rPr>
                <w:sz w:val="15"/>
              </w:rPr>
              <w:t>Dress rehearsal on Pre-Prod in Nov - Dec 2027; go / no-go on T-1</w:t>
            </w:r>
          </w:p>
        </w:tc>
      </w:tr>
      <w:tr>
        <w:trPr>
          <w:cantSplit w:val="true"/>
        </w:trPr>
        <w:tc>
          <w:tcPr>
            <w:tcW w:type="dxa" w:w="1730"/>
            <w:tcMar>
              <w:top w:w="50" w:type="dxa"/>
              <w:bottom w:w="50" w:type="dxa"/>
              <w:left w:w="90" w:type="dxa"/>
              <w:right w:w="90" w:type="dxa"/>
            </w:tcMar>
          </w:tcPr>
          <w:p>
            <w:pPr>
              <w:pStyle w:val="BDOITable"/>
            </w:pPr>
            <w:r>
              <w:rPr>
                <w:b/>
                <w:sz w:val="15"/>
              </w:rPr>
              <w:t>ORR / PRR</w:t>
            </w:r>
          </w:p>
        </w:tc>
        <w:tc>
          <w:tcPr>
            <w:tcW w:type="dxa" w:w="1730"/>
            <w:tcMar>
              <w:top w:w="50" w:type="dxa"/>
              <w:bottom w:w="50" w:type="dxa"/>
              <w:left w:w="90" w:type="dxa"/>
              <w:right w:w="90" w:type="dxa"/>
            </w:tcMar>
          </w:tcPr>
          <w:p>
            <w:pPr>
              <w:pStyle w:val="BDOITable"/>
            </w:pPr>
            <w:r>
              <w:rPr>
                <w:sz w:val="15"/>
              </w:rPr>
              <w:t>Dec 2027 - Jan 2028</w:t>
            </w:r>
          </w:p>
        </w:tc>
        <w:tc>
          <w:tcPr>
            <w:tcW w:type="dxa" w:w="2646"/>
            <w:tcMar>
              <w:top w:w="50" w:type="dxa"/>
              <w:bottom w:w="50" w:type="dxa"/>
              <w:left w:w="90" w:type="dxa"/>
              <w:right w:w="90" w:type="dxa"/>
            </w:tcMar>
          </w:tcPr>
          <w:p>
            <w:pPr>
              <w:pStyle w:val="BDOITable"/>
            </w:pPr>
            <w:r>
              <w:rPr>
                <w:sz w:val="15"/>
              </w:rPr>
              <w:t>Runbook, observability, alerts, error catalogue (items 24, 35, 38)</w:t>
            </w:r>
          </w:p>
        </w:tc>
        <w:tc>
          <w:tcPr>
            <w:tcW w:type="dxa" w:w="3867"/>
            <w:tcMar>
              <w:top w:w="50" w:type="dxa"/>
              <w:bottom w:w="50" w:type="dxa"/>
              <w:left w:w="90" w:type="dxa"/>
              <w:right w:w="90" w:type="dxa"/>
            </w:tcMar>
          </w:tcPr>
          <w:p>
            <w:pPr>
              <w:pStyle w:val="BDOITable"/>
            </w:pPr>
            <w:r>
              <w:rPr>
                <w:sz w:val="15"/>
              </w:rPr>
              <w:t>Evidence pack by 15 Dec 2027</w:t>
            </w:r>
          </w:p>
        </w:tc>
      </w:tr>
      <w:tr>
        <w:trPr>
          <w:cantSplit w:val="true"/>
        </w:trPr>
        <w:tc>
          <w:tcPr>
            <w:tcW w:type="dxa" w:w="1730"/>
            <w:tcMar>
              <w:top w:w="50" w:type="dxa"/>
              <w:bottom w:w="50" w:type="dxa"/>
              <w:left w:w="90" w:type="dxa"/>
              <w:right w:w="90" w:type="dxa"/>
            </w:tcMar>
            <w:shd w:val="clear" w:color="auto" w:fill="E5F5FF"/>
          </w:tcPr>
          <w:p>
            <w:pPr>
              <w:pStyle w:val="BDOITable"/>
            </w:pPr>
            <w:r>
              <w:rPr>
                <w:b/>
                <w:sz w:val="15"/>
              </w:rPr>
              <w:t>Go-live</w:t>
            </w:r>
          </w:p>
        </w:tc>
        <w:tc>
          <w:tcPr>
            <w:tcW w:type="dxa" w:w="1730"/>
            <w:tcMar>
              <w:top w:w="50" w:type="dxa"/>
              <w:bottom w:w="50" w:type="dxa"/>
              <w:left w:w="90" w:type="dxa"/>
              <w:right w:w="90" w:type="dxa"/>
            </w:tcMar>
            <w:shd w:val="clear" w:color="auto" w:fill="E5F5FF"/>
          </w:tcPr>
          <w:p>
            <w:pPr>
              <w:pStyle w:val="BDOITable"/>
            </w:pPr>
            <w:r>
              <w:rPr>
                <w:sz w:val="15"/>
              </w:rPr>
              <w:t>January 2028 (answer A1: all modules together)</w:t>
            </w:r>
          </w:p>
        </w:tc>
        <w:tc>
          <w:tcPr>
            <w:tcW w:type="dxa" w:w="2646"/>
            <w:tcMar>
              <w:top w:w="50" w:type="dxa"/>
              <w:bottom w:w="50" w:type="dxa"/>
              <w:left w:w="90" w:type="dxa"/>
              <w:right w:w="90" w:type="dxa"/>
            </w:tcMar>
            <w:shd w:val="clear" w:color="auto" w:fill="E5F5FF"/>
          </w:tcPr>
          <w:p>
            <w:pPr>
              <w:pStyle w:val="BDOITable"/>
            </w:pPr>
            <w:r>
              <w:rPr>
                <w:sz w:val="15"/>
              </w:rPr>
              <w:t>-</w:t>
            </w:r>
          </w:p>
        </w:tc>
        <w:tc>
          <w:tcPr>
            <w:tcW w:type="dxa" w:w="3867"/>
            <w:tcMar>
              <w:top w:w="50" w:type="dxa"/>
              <w:bottom w:w="50" w:type="dxa"/>
              <w:left w:w="90" w:type="dxa"/>
              <w:right w:w="90" w:type="dxa"/>
            </w:tcMar>
            <w:shd w:val="clear" w:color="auto" w:fill="E5F5FF"/>
          </w:tcPr>
          <w:p>
            <w:pPr>
              <w:pStyle w:val="BDOITable"/>
            </w:pPr>
            <w:r>
              <w:rPr>
                <w:sz w:val="15"/>
              </w:rPr>
              <w:t>T to be fixed (IQ01): proposed Mon 3 Jan 2028, legacy freeze after the EOD of Wed 29 Dec 2027</w:t>
            </w:r>
          </w:p>
        </w:tc>
      </w:tr>
    </w:tbl>
    <w:p>
      <w:pPr>
        <w:pStyle w:val="BDOISpacer"/>
      </w:pPr>
    </w:p>
    <w:p>
      <w:pPr>
        <w:pStyle w:val="Heading2"/>
      </w:pPr>
      <w:bookmarkStart w:id="117" w:name="_Toc000117"/>
      <w:r>
        <w:rPr/>
        <w:t>4.2 Go-live date</w:t>
      </w:r>
      <w:bookmarkEnd w:id="117"/>
    </w:p>
    <w:p>
      <w:r>
        <w:rPr/>
        <w:t xml:space="preserve">BDOI has fixed January 2028 but not the day (IQ01). The migration design takes T as the first business day of a month after a legacy month-end close. For January 2028 this gives </w:t>
      </w:r>
      <w:r>
        <w:rPr>
          <w:b/>
        </w:rPr>
        <w:t>Monday 3 January 2028</w:t>
      </w:r>
      <w:r>
        <w:rPr/>
        <w:t>: legacy freeze after the EOD of Wednesday 29 December 2027 (30 December, 31 December and 1 January are non-working days), final extracts and loads over the long weekend, go / no-go on Sunday 2 January. The legacy December and year-end close must then be complete in legacy before the final GL extract. The slide places the go-live marker at the end of January; a later date in January needs a January stub period in the GL opening (DMQ18).</w:t>
      </w:r>
    </w:p>
    <w:p>
      <w:pPr>
        <w:pStyle w:val="Heading2"/>
      </w:pPr>
      <w:bookmarkStart w:id="118" w:name="_Toc000118"/>
      <w:r>
        <w:rPr/>
        <w:t>4.3 What each drop needs from us, and from BDOI</w:t>
      </w:r>
      <w:bookmarkEnd w:id="118"/>
    </w:p>
    <w:p>
      <w:pPr>
        <w:pStyle w:val="Caption"/>
        <w:keepNext/>
        <w:spacing w:after="60"/>
      </w:pPr>
      <w:r>
        <w:rPr>
          <w:b/>
          <w:i w:val="0"/>
        </w:rPr>
        <w:t xml:space="preserve">Table 12: </w:t>
      </w:r>
      <w:r>
        <w:rPr/>
        <w:t>What each drop needs, and by when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4205"/>
        <w:gridCol w:w="4205"/>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7"/>
              </w:rPr>
              <w:t>When</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7"/>
              </w:rPr>
              <w:t>From iorta TechNXT</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7"/>
              </w:rPr>
              <w:t>From BDOI</w:t>
            </w:r>
          </w:p>
        </w:tc>
      </w:tr>
      <w:tr>
        <w:trPr>
          <w:cantSplit w:val="true"/>
        </w:trPr>
        <w:tc>
          <w:tcPr>
            <w:tcW w:type="dxa" w:w="1562"/>
            <w:tcMar>
              <w:top w:w="50" w:type="dxa"/>
              <w:bottom w:w="50" w:type="dxa"/>
              <w:left w:w="90" w:type="dxa"/>
              <w:right w:w="90" w:type="dxa"/>
            </w:tcMar>
          </w:tcPr>
          <w:p>
            <w:pPr>
              <w:pStyle w:val="BDOITable"/>
            </w:pPr>
            <w:r>
              <w:rPr>
                <w:b/>
                <w:sz w:val="17"/>
              </w:rPr>
              <w:t>By 16 Oct 2026</w:t>
            </w:r>
          </w:p>
        </w:tc>
        <w:tc>
          <w:tcPr>
            <w:tcW w:type="dxa" w:w="4205"/>
            <w:tcMar>
              <w:top w:w="50" w:type="dxa"/>
              <w:bottom w:w="50" w:type="dxa"/>
              <w:left w:w="90" w:type="dxa"/>
              <w:right w:w="90" w:type="dxa"/>
            </w:tcMar>
          </w:tcPr>
          <w:p>
            <w:pPr>
              <w:pStyle w:val="BDOITable"/>
            </w:pPr>
            <w:r>
              <w:rPr>
                <w:sz w:val="17"/>
              </w:rPr>
              <w:t>This document; register rows DCR-210 to DCR-235</w:t>
            </w:r>
          </w:p>
        </w:tc>
        <w:tc>
          <w:tcPr>
            <w:tcW w:type="dxa" w:w="4205"/>
            <w:tcMar>
              <w:top w:w="50" w:type="dxa"/>
              <w:bottom w:w="50" w:type="dxa"/>
              <w:left w:w="90" w:type="dxa"/>
              <w:right w:w="90" w:type="dxa"/>
            </w:tcMar>
          </w:tcPr>
          <w:p>
            <w:pPr>
              <w:pStyle w:val="BDOITable"/>
            </w:pPr>
            <w:r>
              <w:rPr>
                <w:sz w:val="17"/>
              </w:rPr>
              <w:t>Priority 1 answers (IQ01, IQ04, IQ05, IQ10, IQ15, IQ16, IQ20, IQ22, IQ25, IQ26, IQ31)</w:t>
            </w:r>
          </w:p>
        </w:tc>
      </w:tr>
      <w:tr>
        <w:trPr>
          <w:cantSplit w:val="true"/>
        </w:trPr>
        <w:tc>
          <w:tcPr>
            <w:tcW w:type="dxa" w:w="1562"/>
            <w:tcMar>
              <w:top w:w="50" w:type="dxa"/>
              <w:bottom w:w="50" w:type="dxa"/>
              <w:left w:w="90" w:type="dxa"/>
              <w:right w:w="90" w:type="dxa"/>
            </w:tcMar>
            <w:shd w:val="clear" w:color="auto" w:fill="E5F5FF"/>
          </w:tcPr>
          <w:p>
            <w:pPr>
              <w:pStyle w:val="BDOITable"/>
            </w:pPr>
            <w:r>
              <w:rPr>
                <w:b/>
                <w:sz w:val="17"/>
              </w:rPr>
              <w:t>By 30 Nov 2026</w:t>
            </w:r>
          </w:p>
        </w:tc>
        <w:tc>
          <w:tcPr>
            <w:tcW w:type="dxa" w:w="4205"/>
            <w:tcMar>
              <w:top w:w="50" w:type="dxa"/>
              <w:bottom w:w="50" w:type="dxa"/>
              <w:left w:w="90" w:type="dxa"/>
              <w:right w:w="90" w:type="dxa"/>
            </w:tcMar>
            <w:shd w:val="clear" w:color="auto" w:fill="E5F5FF"/>
          </w:tcPr>
          <w:p>
            <w:pPr>
              <w:pStyle w:val="BDOITable"/>
            </w:pPr>
            <w:r>
              <w:rPr>
                <w:sz w:val="17"/>
              </w:rPr>
              <w:t>FRS v1.1 of the Drop 0 and Drop 1 BRDs with BDOI comments answered</w:t>
            </w:r>
          </w:p>
        </w:tc>
        <w:tc>
          <w:tcPr>
            <w:tcW w:type="dxa" w:w="4205"/>
            <w:tcMar>
              <w:top w:w="50" w:type="dxa"/>
              <w:bottom w:w="50" w:type="dxa"/>
              <w:left w:w="90" w:type="dxa"/>
              <w:right w:w="90" w:type="dxa"/>
            </w:tcMar>
            <w:shd w:val="clear" w:color="auto" w:fill="E5F5FF"/>
          </w:tcPr>
          <w:p>
            <w:pPr>
              <w:pStyle w:val="BDOITable"/>
            </w:pPr>
            <w:r>
              <w:rPr>
                <w:sz w:val="17"/>
              </w:rPr>
              <w:t>FRS sign-off, Drop 0 and Drop 1; migration object decisions (G1)</w:t>
            </w:r>
          </w:p>
        </w:tc>
      </w:tr>
      <w:tr>
        <w:trPr>
          <w:cantSplit w:val="true"/>
        </w:trPr>
        <w:tc>
          <w:tcPr>
            <w:tcW w:type="dxa" w:w="1562"/>
            <w:tcMar>
              <w:top w:w="50" w:type="dxa"/>
              <w:bottom w:w="50" w:type="dxa"/>
              <w:left w:w="90" w:type="dxa"/>
              <w:right w:w="90" w:type="dxa"/>
            </w:tcMar>
          </w:tcPr>
          <w:p>
            <w:pPr>
              <w:pStyle w:val="BDOITable"/>
            </w:pPr>
            <w:r>
              <w:rPr>
                <w:b/>
                <w:sz w:val="17"/>
              </w:rPr>
              <w:t>By 18 Dec 2026</w:t>
            </w:r>
          </w:p>
        </w:tc>
        <w:tc>
          <w:tcPr>
            <w:tcW w:type="dxa" w:w="4205"/>
            <w:tcMar>
              <w:top w:w="50" w:type="dxa"/>
              <w:bottom w:w="50" w:type="dxa"/>
              <w:left w:w="90" w:type="dxa"/>
              <w:right w:w="90" w:type="dxa"/>
            </w:tcMar>
          </w:tcPr>
          <w:p>
            <w:pPr>
              <w:pStyle w:val="BDOITable"/>
            </w:pPr>
            <w:r>
              <w:rPr>
                <w:sz w:val="17"/>
              </w:rPr>
              <w:t>Test plans of Drop 0 and Drop 1 re-issued under the drops; SIT entry criteria</w:t>
            </w:r>
          </w:p>
        </w:tc>
        <w:tc>
          <w:tcPr>
            <w:tcW w:type="dxa" w:w="4205"/>
            <w:tcMar>
              <w:top w:w="50" w:type="dxa"/>
              <w:bottom w:w="50" w:type="dxa"/>
              <w:left w:w="90" w:type="dxa"/>
              <w:right w:w="90" w:type="dxa"/>
            </w:tcMar>
          </w:tcPr>
          <w:p>
            <w:pPr>
              <w:pStyle w:val="BDOITable"/>
            </w:pPr>
            <w:r>
              <w:rPr>
                <w:sz w:val="17"/>
              </w:rPr>
              <w:t>Test plan approval; SIT environment (EKS, RDS, ElastiCache, MSK, S3)</w:t>
            </w:r>
          </w:p>
        </w:tc>
      </w:tr>
      <w:tr>
        <w:trPr>
          <w:cantSplit w:val="true"/>
        </w:trPr>
        <w:tc>
          <w:tcPr>
            <w:tcW w:type="dxa" w:w="1562"/>
            <w:tcMar>
              <w:top w:w="50" w:type="dxa"/>
              <w:bottom w:w="50" w:type="dxa"/>
              <w:left w:w="90" w:type="dxa"/>
              <w:right w:w="90" w:type="dxa"/>
            </w:tcMar>
            <w:shd w:val="clear" w:color="auto" w:fill="E5F5FF"/>
          </w:tcPr>
          <w:p>
            <w:pPr>
              <w:pStyle w:val="BDOITable"/>
            </w:pPr>
            <w:r>
              <w:rPr>
                <w:b/>
                <w:sz w:val="17"/>
              </w:rPr>
              <w:t>By 15 Jan 2027</w:t>
            </w:r>
          </w:p>
        </w:tc>
        <w:tc>
          <w:tcPr>
            <w:tcW w:type="dxa" w:w="4205"/>
            <w:tcMar>
              <w:top w:w="50" w:type="dxa"/>
              <w:bottom w:w="50" w:type="dxa"/>
              <w:left w:w="90" w:type="dxa"/>
              <w:right w:w="90" w:type="dxa"/>
            </w:tcMar>
            <w:shd w:val="clear" w:color="auto" w:fill="E5F5FF"/>
          </w:tcPr>
          <w:p>
            <w:pPr>
              <w:pStyle w:val="BDOITable"/>
            </w:pPr>
            <w:r>
              <w:rPr>
                <w:sz w:val="17"/>
              </w:rPr>
              <w:t>Interface specifications drafted from the IQ answers</w:t>
            </w:r>
          </w:p>
        </w:tc>
        <w:tc>
          <w:tcPr>
            <w:tcW w:type="dxa" w:w="4205"/>
            <w:tcMar>
              <w:top w:w="50" w:type="dxa"/>
              <w:bottom w:w="50" w:type="dxa"/>
              <w:left w:w="90" w:type="dxa"/>
              <w:right w:w="90" w:type="dxa"/>
            </w:tcMar>
            <w:shd w:val="clear" w:color="auto" w:fill="E5F5FF"/>
          </w:tcPr>
          <w:p>
            <w:pPr>
              <w:pStyle w:val="BDOITable"/>
            </w:pPr>
            <w:r>
              <w:rPr>
                <w:sz w:val="17"/>
              </w:rPr>
              <w:t>First full migration extracts; interface layouts from BDOI IT</w:t>
            </w:r>
          </w:p>
        </w:tc>
      </w:tr>
      <w:tr>
        <w:trPr>
          <w:cantSplit w:val="true"/>
        </w:trPr>
        <w:tc>
          <w:tcPr>
            <w:tcW w:type="dxa" w:w="1562"/>
            <w:tcMar>
              <w:top w:w="50" w:type="dxa"/>
              <w:bottom w:w="50" w:type="dxa"/>
              <w:left w:w="90" w:type="dxa"/>
              <w:right w:w="90" w:type="dxa"/>
            </w:tcMar>
          </w:tcPr>
          <w:p>
            <w:pPr>
              <w:pStyle w:val="BDOITable"/>
            </w:pPr>
            <w:r>
              <w:rPr>
                <w:b/>
                <w:sz w:val="17"/>
              </w:rPr>
              <w:t>By 26 Feb 2027</w:t>
            </w:r>
          </w:p>
        </w:tc>
        <w:tc>
          <w:tcPr>
            <w:tcW w:type="dxa" w:w="4205"/>
            <w:tcMar>
              <w:top w:w="50" w:type="dxa"/>
              <w:bottom w:w="50" w:type="dxa"/>
              <w:left w:w="90" w:type="dxa"/>
              <w:right w:w="90" w:type="dxa"/>
            </w:tcMar>
          </w:tcPr>
          <w:p>
            <w:pPr>
              <w:pStyle w:val="BDOITable"/>
            </w:pPr>
            <w:r>
              <w:rPr>
                <w:sz w:val="17"/>
              </w:rPr>
              <w:t>Drop 1 build complete (waves 1 and 2); FRS v1.1 of Drop 2</w:t>
            </w:r>
          </w:p>
        </w:tc>
        <w:tc>
          <w:tcPr>
            <w:tcW w:type="dxa" w:w="4205"/>
            <w:tcMar>
              <w:top w:w="50" w:type="dxa"/>
              <w:bottom w:w="50" w:type="dxa"/>
              <w:left w:w="90" w:type="dxa"/>
              <w:right w:w="90" w:type="dxa"/>
            </w:tcMar>
          </w:tcPr>
          <w:p>
            <w:pPr>
              <w:pStyle w:val="BDOITable"/>
            </w:pPr>
            <w:r>
              <w:rPr>
                <w:sz w:val="17"/>
              </w:rPr>
              <w:t>FRS sign-off, Drop 2</w:t>
            </w:r>
          </w:p>
        </w:tc>
      </w:tr>
      <w:tr>
        <w:trPr>
          <w:cantSplit w:val="true"/>
        </w:trPr>
        <w:tc>
          <w:tcPr>
            <w:tcW w:type="dxa" w:w="1562"/>
            <w:tcMar>
              <w:top w:w="50" w:type="dxa"/>
              <w:bottom w:w="50" w:type="dxa"/>
              <w:left w:w="90" w:type="dxa"/>
              <w:right w:w="90" w:type="dxa"/>
            </w:tcMar>
            <w:shd w:val="clear" w:color="auto" w:fill="E5F5FF"/>
          </w:tcPr>
          <w:p>
            <w:pPr>
              <w:pStyle w:val="BDOITable"/>
            </w:pPr>
            <w:r>
              <w:rPr>
                <w:b/>
                <w:sz w:val="17"/>
              </w:rPr>
              <w:t>By 30 Apr 2027</w:t>
            </w:r>
          </w:p>
        </w:tc>
        <w:tc>
          <w:tcPr>
            <w:tcW w:type="dxa" w:w="4205"/>
            <w:tcMar>
              <w:top w:w="50" w:type="dxa"/>
              <w:bottom w:w="50" w:type="dxa"/>
              <w:left w:w="90" w:type="dxa"/>
              <w:right w:w="90" w:type="dxa"/>
            </w:tcMar>
            <w:shd w:val="clear" w:color="auto" w:fill="E5F5FF"/>
          </w:tcPr>
          <w:p>
            <w:pPr>
              <w:pStyle w:val="BDOITable"/>
            </w:pPr>
            <w:r>
              <w:rPr>
                <w:sz w:val="17"/>
              </w:rPr>
              <w:t>Drop 2 build complete; migration tooling complete (31 Mar)</w:t>
            </w:r>
          </w:p>
        </w:tc>
        <w:tc>
          <w:tcPr>
            <w:tcW w:type="dxa" w:w="4205"/>
            <w:tcMar>
              <w:top w:w="50" w:type="dxa"/>
              <w:bottom w:w="50" w:type="dxa"/>
              <w:left w:w="90" w:type="dxa"/>
              <w:right w:w="90" w:type="dxa"/>
            </w:tcMar>
            <w:shd w:val="clear" w:color="auto" w:fill="E5F5FF"/>
          </w:tcPr>
          <w:p>
            <w:pPr>
              <w:pStyle w:val="BDOITable"/>
            </w:pPr>
            <w:r>
              <w:rPr>
                <w:sz w:val="17"/>
              </w:rPr>
              <w:t>Integration test endpoints for EGL, EDP, insurer channels</w:t>
            </w:r>
          </w:p>
        </w:tc>
      </w:tr>
      <w:tr>
        <w:trPr>
          <w:cantSplit w:val="true"/>
        </w:trPr>
        <w:tc>
          <w:tcPr>
            <w:tcW w:type="dxa" w:w="1562"/>
            <w:tcMar>
              <w:top w:w="50" w:type="dxa"/>
              <w:bottom w:w="50" w:type="dxa"/>
              <w:left w:w="90" w:type="dxa"/>
              <w:right w:w="90" w:type="dxa"/>
            </w:tcMar>
          </w:tcPr>
          <w:p>
            <w:pPr>
              <w:pStyle w:val="BDOITable"/>
            </w:pPr>
            <w:r>
              <w:rPr>
                <w:b/>
                <w:sz w:val="17"/>
              </w:rPr>
              <w:t>Apr - Jul 2027</w:t>
            </w:r>
          </w:p>
        </w:tc>
        <w:tc>
          <w:tcPr>
            <w:tcW w:type="dxa" w:w="4205"/>
            <w:tcMar>
              <w:top w:w="50" w:type="dxa"/>
              <w:bottom w:w="50" w:type="dxa"/>
              <w:left w:w="90" w:type="dxa"/>
              <w:right w:w="90" w:type="dxa"/>
            </w:tcMar>
          </w:tcPr>
          <w:p>
            <w:pPr>
              <w:pStyle w:val="BDOITable"/>
            </w:pPr>
            <w:r>
              <w:rPr>
                <w:sz w:val="17"/>
              </w:rPr>
              <w:t>Mock 1 and Mock 2 in SIT</w:t>
            </w:r>
          </w:p>
        </w:tc>
        <w:tc>
          <w:tcPr>
            <w:tcW w:type="dxa" w:w="4205"/>
            <w:tcMar>
              <w:top w:w="50" w:type="dxa"/>
              <w:bottom w:w="50" w:type="dxa"/>
              <w:left w:w="90" w:type="dxa"/>
              <w:right w:w="90" w:type="dxa"/>
            </w:tcMar>
          </w:tcPr>
          <w:p>
            <w:pPr>
              <w:pStyle w:val="BDOITable"/>
            </w:pPr>
            <w:r>
              <w:rPr>
                <w:sz w:val="17"/>
              </w:rPr>
              <w:t>Extracts per mock; data steward reviews</w:t>
            </w:r>
          </w:p>
        </w:tc>
      </w:tr>
      <w:tr>
        <w:trPr>
          <w:cantSplit w:val="true"/>
        </w:trPr>
        <w:tc>
          <w:tcPr>
            <w:tcW w:type="dxa" w:w="1562"/>
            <w:tcMar>
              <w:top w:w="50" w:type="dxa"/>
              <w:bottom w:w="50" w:type="dxa"/>
              <w:left w:w="90" w:type="dxa"/>
              <w:right w:w="90" w:type="dxa"/>
            </w:tcMar>
            <w:shd w:val="clear" w:color="auto" w:fill="E5F5FF"/>
          </w:tcPr>
          <w:p>
            <w:pPr>
              <w:pStyle w:val="BDOITable"/>
            </w:pPr>
            <w:r>
              <w:rPr>
                <w:b/>
                <w:sz w:val="17"/>
              </w:rPr>
              <w:t>By 30 Jul 2027</w:t>
            </w:r>
          </w:p>
        </w:tc>
        <w:tc>
          <w:tcPr>
            <w:tcW w:type="dxa" w:w="4205"/>
            <w:tcMar>
              <w:top w:w="50" w:type="dxa"/>
              <w:bottom w:w="50" w:type="dxa"/>
              <w:left w:w="90" w:type="dxa"/>
              <w:right w:w="90" w:type="dxa"/>
            </w:tcMar>
            <w:shd w:val="clear" w:color="auto" w:fill="E5F5FF"/>
          </w:tcPr>
          <w:p>
            <w:pPr>
              <w:pStyle w:val="BDOITable"/>
            </w:pPr>
            <w:r>
              <w:rPr>
                <w:sz w:val="17"/>
              </w:rPr>
              <w:t>UAT readiness statement, UAT plans and sign-off forms; security scan in SIT</w:t>
            </w:r>
          </w:p>
        </w:tc>
        <w:tc>
          <w:tcPr>
            <w:tcW w:type="dxa" w:w="4205"/>
            <w:tcMar>
              <w:top w:w="50" w:type="dxa"/>
              <w:bottom w:w="50" w:type="dxa"/>
              <w:left w:w="90" w:type="dxa"/>
              <w:right w:w="90" w:type="dxa"/>
            </w:tcMar>
            <w:shd w:val="clear" w:color="auto" w:fill="E5F5FF"/>
          </w:tcPr>
          <w:p>
            <w:pPr>
              <w:pStyle w:val="BDOITable"/>
            </w:pPr>
            <w:r>
              <w:rPr>
                <w:sz w:val="17"/>
              </w:rPr>
              <w:t>UAT users set up through EIAM and UIDM-ISC</w:t>
            </w:r>
          </w:p>
        </w:tc>
      </w:tr>
      <w:tr>
        <w:trPr>
          <w:cantSplit w:val="true"/>
        </w:trPr>
        <w:tc>
          <w:tcPr>
            <w:tcW w:type="dxa" w:w="1562"/>
            <w:tcMar>
              <w:top w:w="50" w:type="dxa"/>
              <w:bottom w:w="50" w:type="dxa"/>
              <w:left w:w="90" w:type="dxa"/>
              <w:right w:w="90" w:type="dxa"/>
            </w:tcMar>
          </w:tcPr>
          <w:p>
            <w:pPr>
              <w:pStyle w:val="BDOITable"/>
            </w:pPr>
            <w:r>
              <w:rPr>
                <w:b/>
                <w:sz w:val="17"/>
              </w:rPr>
              <w:t>Aug - Dec 2027</w:t>
            </w:r>
          </w:p>
        </w:tc>
        <w:tc>
          <w:tcPr>
            <w:tcW w:type="dxa" w:w="4205"/>
            <w:tcMar>
              <w:top w:w="50" w:type="dxa"/>
              <w:bottom w:w="50" w:type="dxa"/>
              <w:left w:w="90" w:type="dxa"/>
              <w:right w:w="90" w:type="dxa"/>
            </w:tcMar>
          </w:tcPr>
          <w:p>
            <w:pPr>
              <w:pStyle w:val="BDOITable"/>
            </w:pPr>
            <w:r>
              <w:rPr>
                <w:sz w:val="17"/>
              </w:rPr>
              <w:t>UAT support on migrated data (Mock 3 in August, re-load in October)</w:t>
            </w:r>
          </w:p>
        </w:tc>
        <w:tc>
          <w:tcPr>
            <w:tcW w:type="dxa" w:w="4205"/>
            <w:tcMar>
              <w:top w:w="50" w:type="dxa"/>
              <w:bottom w:w="50" w:type="dxa"/>
              <w:left w:w="90" w:type="dxa"/>
              <w:right w:w="90" w:type="dxa"/>
            </w:tcMar>
          </w:tcPr>
          <w:p>
            <w:pPr>
              <w:pStyle w:val="BDOITable"/>
            </w:pPr>
            <w:r>
              <w:rPr>
                <w:sz w:val="17"/>
              </w:rPr>
              <w:t>UAT execution and sign-off per drop</w:t>
            </w:r>
          </w:p>
        </w:tc>
      </w:tr>
      <w:tr>
        <w:trPr>
          <w:cantSplit w:val="true"/>
        </w:trPr>
        <w:tc>
          <w:tcPr>
            <w:tcW w:type="dxa" w:w="1562"/>
            <w:tcMar>
              <w:top w:w="50" w:type="dxa"/>
              <w:bottom w:w="50" w:type="dxa"/>
              <w:left w:w="90" w:type="dxa"/>
              <w:right w:w="90" w:type="dxa"/>
            </w:tcMar>
            <w:shd w:val="clear" w:color="auto" w:fill="E5F5FF"/>
          </w:tcPr>
          <w:p>
            <w:pPr>
              <w:pStyle w:val="BDOITable"/>
            </w:pPr>
            <w:r>
              <w:rPr>
                <w:b/>
                <w:sz w:val="17"/>
              </w:rPr>
              <w:t>By 1 Oct 2027</w:t>
            </w:r>
          </w:p>
        </w:tc>
        <w:tc>
          <w:tcPr>
            <w:tcW w:type="dxa" w:w="4205"/>
            <w:tcMar>
              <w:top w:w="50" w:type="dxa"/>
              <w:bottom w:w="50" w:type="dxa"/>
              <w:left w:w="90" w:type="dxa"/>
              <w:right w:w="90" w:type="dxa"/>
            </w:tcMar>
            <w:shd w:val="clear" w:color="auto" w:fill="E5F5FF"/>
          </w:tcPr>
          <w:p>
            <w:pPr>
              <w:pStyle w:val="BDOITable"/>
            </w:pPr>
            <w:r>
              <w:rPr>
                <w:sz w:val="17"/>
              </w:rPr>
              <w:t>Performance test plan and scripts</w:t>
            </w:r>
          </w:p>
        </w:tc>
        <w:tc>
          <w:tcPr>
            <w:tcW w:type="dxa" w:w="4205"/>
            <w:tcMar>
              <w:top w:w="50" w:type="dxa"/>
              <w:bottom w:w="50" w:type="dxa"/>
              <w:left w:w="90" w:type="dxa"/>
              <w:right w:w="90" w:type="dxa"/>
            </w:tcMar>
            <w:shd w:val="clear" w:color="auto" w:fill="E5F5FF"/>
          </w:tcPr>
          <w:p>
            <w:pPr>
              <w:pStyle w:val="BDOITable"/>
            </w:pPr>
            <w:r>
              <w:rPr>
                <w:sz w:val="17"/>
              </w:rPr>
              <w:t>Pre-Prod environment, production-sized</w:t>
            </w:r>
          </w:p>
        </w:tc>
      </w:tr>
      <w:tr>
        <w:trPr>
          <w:cantSplit w:val="true"/>
        </w:trPr>
        <w:tc>
          <w:tcPr>
            <w:tcW w:type="dxa" w:w="1562"/>
            <w:tcMar>
              <w:top w:w="50" w:type="dxa"/>
              <w:bottom w:w="50" w:type="dxa"/>
              <w:left w:w="90" w:type="dxa"/>
              <w:right w:w="90" w:type="dxa"/>
            </w:tcMar>
          </w:tcPr>
          <w:p>
            <w:pPr>
              <w:pStyle w:val="BDOITable"/>
            </w:pPr>
            <w:r>
              <w:rPr>
                <w:b/>
                <w:sz w:val="17"/>
              </w:rPr>
              <w:t>Nov 2027 - Jan 2028</w:t>
            </w:r>
          </w:p>
        </w:tc>
        <w:tc>
          <w:tcPr>
            <w:tcW w:type="dxa" w:w="4205"/>
            <w:tcMar>
              <w:top w:w="50" w:type="dxa"/>
              <w:bottom w:w="50" w:type="dxa"/>
              <w:left w:w="90" w:type="dxa"/>
              <w:right w:w="90" w:type="dxa"/>
            </w:tcMar>
          </w:tcPr>
          <w:p>
            <w:pPr>
              <w:pStyle w:val="BDOITable"/>
            </w:pPr>
            <w:r>
              <w:rPr>
                <w:sz w:val="17"/>
              </w:rPr>
              <w:t>Performance and penetration test fixes; dress rehearsal on Pre-Prod; ORR / PRR evidence by 15 Dec 2027</w:t>
            </w:r>
          </w:p>
        </w:tc>
        <w:tc>
          <w:tcPr>
            <w:tcW w:type="dxa" w:w="4205"/>
            <w:tcMar>
              <w:top w:w="50" w:type="dxa"/>
              <w:bottom w:w="50" w:type="dxa"/>
              <w:left w:w="90" w:type="dxa"/>
              <w:right w:w="90" w:type="dxa"/>
            </w:tcMar>
          </w:tcPr>
          <w:p>
            <w:pPr>
              <w:pStyle w:val="BDOITable"/>
            </w:pPr>
            <w:r>
              <w:rPr>
                <w:sz w:val="17"/>
              </w:rPr>
              <w:t>Penetration test, ORR / PRR, go / no-go</w:t>
            </w:r>
          </w:p>
        </w:tc>
      </w:tr>
    </w:tbl>
    <w:p>
      <w:pPr>
        <w:pStyle w:val="BDOISpacer"/>
      </w:pPr>
    </w:p>
    <w:p>
      <w:pPr>
        <w:pStyle w:val="Heading1"/>
        <w:pageBreakBefore/>
        <w:pBdr>
          <w:bottom w:val="single" w:sz="4" w:space="4" w:color="99C1E7"/>
        </w:pBdr>
      </w:pPr>
      <w:bookmarkStart w:id="119" w:name="_Toc000119"/>
      <w:r>
        <w:rPr/>
        <w:t>5 Integration inventory</w:t>
      </w:r>
      <w:bookmarkEnd w:id="119"/>
    </w:p>
    <w:p>
      <w:pPr>
        <w:pStyle w:val="Heading2"/>
      </w:pPr>
      <w:bookmarkStart w:id="120" w:name="_Toc000120"/>
      <w:r>
        <w:rPr/>
        <w:t>5.1 Context</w:t>
      </w:r>
      <w:bookmarkEnd w:id="120"/>
    </w:p>
    <w:p>
      <w:r>
        <w:rPr/>
        <w:t>Figure 2 shows BIBS and the systems BDOI named. All external touch-points are owned by BDOI IT (A2). The meanings are BDOI's; "our understanding" is the project team's reading and is confirmed through the IQ questions. The Integration Inventory workbook holds the same rows with every column.</w:t>
      </w:r>
    </w:p>
    <w:p>
      <w:pPr>
        <w:keepNext/>
        <w:spacing w:before="80" w:after="0"/>
        <w:jc w:val="center"/>
      </w:pPr>
      <w:r>
        <w:drawing>
          <wp:inline xmlns:a="http://schemas.openxmlformats.org/drawingml/2006/main" xmlns:pic="http://schemas.openxmlformats.org/drawingml/2006/picture">
            <wp:extent cx="5040000" cy="6442597"/>
            <wp:docPr id="4" name="Picture 4"/>
            <wp:cNvGraphicFramePr>
              <a:graphicFrameLocks noChangeAspect="1"/>
            </wp:cNvGraphicFramePr>
            <a:graphic>
              <a:graphicData uri="http://schemas.openxmlformats.org/drawingml/2006/picture">
                <pic:pic>
                  <pic:nvPicPr>
                    <pic:cNvPr id="0" name="al_integration_context.png"/>
                    <pic:cNvPicPr/>
                  </pic:nvPicPr>
                  <pic:blipFill>
                    <a:blip r:embed="rId24"/>
                    <a:stretch>
                      <a:fillRect/>
                    </a:stretch>
                  </pic:blipFill>
                  <pic:spPr>
                    <a:xfrm>
                      <a:off x="0" y="0"/>
                      <a:ext cx="5040000" cy="6442597"/>
                    </a:xfrm>
                    <a:prstGeom prst="rect"/>
                  </pic:spPr>
                </pic:pic>
              </a:graphicData>
            </a:graphic>
          </wp:inline>
        </w:drawing>
      </w:r>
    </w:p>
    <w:p>
      <w:pPr>
        <w:pStyle w:val="Caption"/>
        <w:jc w:val="center"/>
      </w:pPr>
      <w:r>
        <w:rPr>
          <w:b/>
          <w:i w:val="0"/>
        </w:rPr>
        <w:t xml:space="preserve">Figure 2: </w:t>
      </w:r>
      <w:r>
        <w:rPr/>
        <w:t>BIBS integration context (all touch-points owned by BDOI IT)</w:t>
      </w:r>
    </w:p>
    <w:p>
      <w:pPr>
        <w:sectPr>
          <w:headerReference w:type="default" r:id="rId20"/>
          <w:footerReference w:type="default" r:id="rId21"/>
          <w:headerReference w:type="first" r:id="rId22"/>
          <w:footerReference w:type="first" r:id="rId23"/>
          <w:pgSz w:w="12240" w:h="15840"/>
          <w:pgMar w:top="1417" w:right="1134" w:bottom="1247" w:left="1134" w:header="567" w:footer="510" w:gutter="0"/>
          <w:cols w:space="720"/>
          <w:docGrid w:linePitch="360"/>
        </w:sectPr>
      </w:pPr>
    </w:p>
    <w:p>
      <w:pPr>
        <w:pStyle w:val="Heading2"/>
      </w:pPr>
      <w:bookmarkStart w:id="121" w:name="_Toc000121"/>
      <w:r>
        <w:rPr/>
        <w:t>5.2 Inventory</w:t>
      </w:r>
      <w:bookmarkEnd w:id="121"/>
    </w:p>
    <w:p>
      <w:pPr>
        <w:pStyle w:val="Caption"/>
        <w:keepNext/>
        <w:spacing w:after="60"/>
      </w:pPr>
      <w:r>
        <w:rPr>
          <w:b/>
          <w:i w:val="0"/>
        </w:rPr>
        <w:t xml:space="preserve">Table 13: </w:t>
      </w:r>
      <w:r>
        <w:rPr/>
        <w:t>Integration inventory (summary)</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9"/>
        <w:gridCol w:w="1819"/>
        <w:gridCol w:w="1399"/>
        <w:gridCol w:w="2938"/>
        <w:gridCol w:w="1819"/>
        <w:gridCol w:w="2378"/>
        <w:gridCol w:w="1399"/>
        <w:gridCol w:w="979"/>
      </w:tblGrid>
      <w:tr>
        <w:trPr>
          <w:tblHeader w:val="true"/>
          <w:cantSplit w:val="true"/>
        </w:trPr>
        <w:tc>
          <w:tcPr>
            <w:tcW w:type="dxa" w:w="840"/>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1819"/>
            <w:shd w:val="clear" w:color="auto" w:fill="004EA8"/>
            <w:tcMar>
              <w:top w:w="50" w:type="dxa"/>
              <w:bottom w:w="50" w:type="dxa"/>
              <w:left w:w="90" w:type="dxa"/>
              <w:right w:w="90" w:type="dxa"/>
            </w:tcMar>
            <w:vAlign w:val="center"/>
          </w:tcPr>
          <w:p>
            <w:pPr>
              <w:pStyle w:val="BDOITableHeader"/>
            </w:pPr>
            <w:r>
              <w:rPr>
                <w:b/>
                <w:color w:val="FFFFFF"/>
                <w:sz w:val="15"/>
              </w:rPr>
              <w:t>Integration</w:t>
            </w:r>
          </w:p>
        </w:tc>
        <w:tc>
          <w:tcPr>
            <w:tcW w:type="dxa" w:w="1399"/>
            <w:shd w:val="clear" w:color="auto" w:fill="004EA8"/>
            <w:tcMar>
              <w:top w:w="50" w:type="dxa"/>
              <w:bottom w:w="50" w:type="dxa"/>
              <w:left w:w="90" w:type="dxa"/>
              <w:right w:w="90" w:type="dxa"/>
            </w:tcMar>
            <w:vAlign w:val="center"/>
          </w:tcPr>
          <w:p>
            <w:pPr>
              <w:pStyle w:val="BDOITableHeader"/>
            </w:pPr>
            <w:r>
              <w:rPr>
                <w:b/>
                <w:color w:val="FFFFFF"/>
                <w:sz w:val="15"/>
              </w:rPr>
              <w:t>Drop</w:t>
            </w:r>
          </w:p>
        </w:tc>
        <w:tc>
          <w:tcPr>
            <w:tcW w:type="dxa" w:w="2938"/>
            <w:shd w:val="clear" w:color="auto" w:fill="004EA8"/>
            <w:tcMar>
              <w:top w:w="50" w:type="dxa"/>
              <w:bottom w:w="50" w:type="dxa"/>
              <w:left w:w="90" w:type="dxa"/>
              <w:right w:w="90" w:type="dxa"/>
            </w:tcMar>
            <w:vAlign w:val="center"/>
          </w:tcPr>
          <w:p>
            <w:pPr>
              <w:pStyle w:val="BDOITableHeader"/>
            </w:pPr>
            <w:r>
              <w:rPr>
                <w:b/>
                <w:color w:val="FFFFFF"/>
                <w:sz w:val="15"/>
              </w:rPr>
              <w:t>BDOI meaning</w:t>
            </w:r>
          </w:p>
        </w:tc>
        <w:tc>
          <w:tcPr>
            <w:tcW w:type="dxa" w:w="1819"/>
            <w:shd w:val="clear" w:color="auto" w:fill="004EA8"/>
            <w:tcMar>
              <w:top w:w="50" w:type="dxa"/>
              <w:bottom w:w="50" w:type="dxa"/>
              <w:left w:w="90" w:type="dxa"/>
              <w:right w:w="90" w:type="dxa"/>
            </w:tcMar>
            <w:vAlign w:val="center"/>
          </w:tcPr>
          <w:p>
            <w:pPr>
              <w:pStyle w:val="BDOITableHeader"/>
            </w:pPr>
            <w:r>
              <w:rPr>
                <w:b/>
                <w:color w:val="FFFFFF"/>
                <w:sz w:val="15"/>
              </w:rPr>
              <w:t>Direction</w:t>
            </w:r>
          </w:p>
        </w:tc>
        <w:tc>
          <w:tcPr>
            <w:tcW w:type="dxa" w:w="2379"/>
            <w:shd w:val="clear" w:color="auto" w:fill="004EA8"/>
            <w:tcMar>
              <w:top w:w="50" w:type="dxa"/>
              <w:bottom w:w="50" w:type="dxa"/>
              <w:left w:w="90" w:type="dxa"/>
              <w:right w:w="90" w:type="dxa"/>
            </w:tcMar>
            <w:vAlign w:val="center"/>
          </w:tcPr>
          <w:p>
            <w:pPr>
              <w:pStyle w:val="BDOITableHeader"/>
            </w:pPr>
            <w:r>
              <w:rPr>
                <w:b/>
                <w:color w:val="FFFFFF"/>
                <w:sz w:val="15"/>
              </w:rPr>
              <w:t>BIBS module</w:t>
            </w:r>
          </w:p>
        </w:tc>
        <w:tc>
          <w:tcPr>
            <w:tcW w:type="dxa" w:w="1399"/>
            <w:shd w:val="clear" w:color="auto" w:fill="004EA8"/>
            <w:tcMar>
              <w:top w:w="50" w:type="dxa"/>
              <w:bottom w:w="50" w:type="dxa"/>
              <w:left w:w="90" w:type="dxa"/>
              <w:right w:w="90" w:type="dxa"/>
            </w:tcMar>
            <w:vAlign w:val="center"/>
          </w:tcPr>
          <w:p>
            <w:pPr>
              <w:pStyle w:val="BDOITableHeader"/>
            </w:pPr>
            <w:r>
              <w:rPr>
                <w:b/>
                <w:color w:val="FFFFFF"/>
                <w:sz w:val="15"/>
              </w:rPr>
              <w:t>Fit</w:t>
            </w:r>
          </w:p>
        </w:tc>
        <w:tc>
          <w:tcPr>
            <w:tcW w:type="dxa" w:w="979"/>
            <w:shd w:val="clear" w:color="auto" w:fill="004EA8"/>
            <w:tcMar>
              <w:top w:w="50" w:type="dxa"/>
              <w:bottom w:w="50" w:type="dxa"/>
              <w:left w:w="90" w:type="dxa"/>
              <w:right w:w="90" w:type="dxa"/>
            </w:tcMar>
            <w:vAlign w:val="center"/>
          </w:tcPr>
          <w:p>
            <w:pPr>
              <w:pStyle w:val="BDOITableHeader"/>
            </w:pPr>
            <w:r>
              <w:rPr>
                <w:b/>
                <w:color w:val="FFFFFF"/>
                <w:sz w:val="15"/>
              </w:rPr>
              <w:t>Questions</w:t>
            </w:r>
          </w:p>
        </w:tc>
      </w:tr>
      <w:tr>
        <w:trPr>
          <w:cantSplit w:val="true"/>
        </w:trPr>
        <w:tc>
          <w:tcPr>
            <w:tcW w:type="dxa" w:w="840"/>
            <w:tcMar>
              <w:top w:w="50" w:type="dxa"/>
              <w:bottom w:w="50" w:type="dxa"/>
              <w:left w:w="90" w:type="dxa"/>
              <w:right w:w="90" w:type="dxa"/>
            </w:tcMar>
          </w:tcPr>
          <w:p>
            <w:pPr>
              <w:pStyle w:val="BDOITable"/>
            </w:pPr>
            <w:r>
              <w:rPr>
                <w:b/>
                <w:sz w:val="15"/>
              </w:rPr>
              <w:t>INT-01</w:t>
            </w:r>
          </w:p>
        </w:tc>
        <w:tc>
          <w:tcPr>
            <w:tcW w:type="dxa" w:w="1819"/>
            <w:tcMar>
              <w:top w:w="50" w:type="dxa"/>
              <w:bottom w:w="50" w:type="dxa"/>
              <w:left w:w="90" w:type="dxa"/>
              <w:right w:w="90" w:type="dxa"/>
            </w:tcMar>
          </w:tcPr>
          <w:p>
            <w:pPr>
              <w:pStyle w:val="BDOITable"/>
            </w:pPr>
            <w:r>
              <w:rPr>
                <w:sz w:val="15"/>
              </w:rPr>
              <w:t>EIAM (Entra ID)</w:t>
            </w:r>
          </w:p>
        </w:tc>
        <w:tc>
          <w:tcPr>
            <w:tcW w:type="dxa" w:w="1399"/>
            <w:tcMar>
              <w:top w:w="50" w:type="dxa"/>
              <w:bottom w:w="50" w:type="dxa"/>
              <w:left w:w="90" w:type="dxa"/>
              <w:right w:w="90" w:type="dxa"/>
            </w:tcMar>
          </w:tcPr>
          <w:p>
            <w:pPr>
              <w:pStyle w:val="BDOITable"/>
            </w:pPr>
            <w:r>
              <w:rPr>
                <w:sz w:val="15"/>
              </w:rPr>
              <w:t>Drop 0</w:t>
            </w:r>
          </w:p>
        </w:tc>
        <w:tc>
          <w:tcPr>
            <w:tcW w:type="dxa" w:w="2938"/>
            <w:tcMar>
              <w:top w:w="50" w:type="dxa"/>
              <w:bottom w:w="50" w:type="dxa"/>
              <w:left w:w="90" w:type="dxa"/>
              <w:right w:w="90" w:type="dxa"/>
            </w:tcMar>
          </w:tcPr>
          <w:p>
            <w:pPr>
              <w:pStyle w:val="BDOITable"/>
            </w:pPr>
            <w:r>
              <w:rPr>
                <w:sz w:val="15"/>
              </w:rPr>
              <w:t>Enterprise Identity Access Management, on Microsoft Entra ID</w:t>
            </w:r>
          </w:p>
        </w:tc>
        <w:tc>
          <w:tcPr>
            <w:tcW w:type="dxa" w:w="1819"/>
            <w:tcMar>
              <w:top w:w="50" w:type="dxa"/>
              <w:bottom w:w="50" w:type="dxa"/>
              <w:left w:w="90" w:type="dxa"/>
              <w:right w:w="90" w:type="dxa"/>
            </w:tcMar>
          </w:tcPr>
          <w:p>
            <w:pPr>
              <w:pStyle w:val="BDOITable"/>
            </w:pPr>
            <w:r>
              <w:rPr>
                <w:sz w:val="15"/>
              </w:rPr>
              <w:t>Both (browser redirect; tokens to BIBS)</w:t>
            </w:r>
          </w:p>
        </w:tc>
        <w:tc>
          <w:tcPr>
            <w:tcW w:type="dxa" w:w="2379"/>
            <w:tcMar>
              <w:top w:w="50" w:type="dxa"/>
              <w:bottom w:w="50" w:type="dxa"/>
              <w:left w:w="90" w:type="dxa"/>
              <w:right w:w="90" w:type="dxa"/>
            </w:tcMar>
          </w:tcPr>
          <w:p>
            <w:pPr>
              <w:pStyle w:val="BDOITable"/>
            </w:pPr>
            <w:r>
              <w:rPr>
                <w:sz w:val="15"/>
              </w:rPr>
              <w:t>security; Setup &amp; Administration &gt; Users</w:t>
            </w:r>
          </w:p>
        </w:tc>
        <w:tc>
          <w:tcPr>
            <w:tcW w:type="dxa" w:w="1399"/>
            <w:tcMar>
              <w:top w:w="50" w:type="dxa"/>
              <w:bottom w:w="50" w:type="dxa"/>
              <w:left w:w="90" w:type="dxa"/>
              <w:right w:w="90" w:type="dxa"/>
            </w:tcMar>
            <w:shd w:val="clear" w:color="auto" w:fill="FFF4D6"/>
          </w:tcPr>
          <w:p>
            <w:pPr>
              <w:pStyle w:val="BDOITable"/>
            </w:pPr>
            <w:r>
              <w:rPr>
                <w:b/>
                <w:color w:val="8A5A00"/>
                <w:sz w:val="15"/>
              </w:rPr>
              <w:t>CHANGE</w:t>
            </w:r>
          </w:p>
        </w:tc>
        <w:tc>
          <w:tcPr>
            <w:tcW w:type="dxa" w:w="979"/>
            <w:tcMar>
              <w:top w:w="50" w:type="dxa"/>
              <w:bottom w:w="50" w:type="dxa"/>
              <w:left w:w="90" w:type="dxa"/>
              <w:right w:w="90" w:type="dxa"/>
            </w:tcMar>
          </w:tcPr>
          <w:p>
            <w:pPr>
              <w:pStyle w:val="BDOITable"/>
            </w:pPr>
            <w:r>
              <w:rPr>
                <w:sz w:val="15"/>
              </w:rPr>
              <w:t>IQ04</w:t>
            </w:r>
          </w:p>
        </w:tc>
      </w:tr>
      <w:tr>
        <w:trPr>
          <w:cantSplit w:val="true"/>
        </w:trPr>
        <w:tc>
          <w:tcPr>
            <w:tcW w:type="dxa" w:w="840"/>
            <w:tcMar>
              <w:top w:w="50" w:type="dxa"/>
              <w:bottom w:w="50" w:type="dxa"/>
              <w:left w:w="90" w:type="dxa"/>
              <w:right w:w="90" w:type="dxa"/>
            </w:tcMar>
            <w:shd w:val="clear" w:color="auto" w:fill="E5F5FF"/>
          </w:tcPr>
          <w:p>
            <w:pPr>
              <w:pStyle w:val="BDOITable"/>
            </w:pPr>
            <w:r>
              <w:rPr>
                <w:b/>
                <w:sz w:val="15"/>
              </w:rPr>
              <w:t>INT-02</w:t>
            </w:r>
          </w:p>
        </w:tc>
        <w:tc>
          <w:tcPr>
            <w:tcW w:type="dxa" w:w="1819"/>
            <w:tcMar>
              <w:top w:w="50" w:type="dxa"/>
              <w:bottom w:w="50" w:type="dxa"/>
              <w:left w:w="90" w:type="dxa"/>
              <w:right w:w="90" w:type="dxa"/>
            </w:tcMar>
            <w:shd w:val="clear" w:color="auto" w:fill="E5F5FF"/>
          </w:tcPr>
          <w:p>
            <w:pPr>
              <w:pStyle w:val="BDOITable"/>
            </w:pPr>
            <w:r>
              <w:rPr>
                <w:sz w:val="15"/>
              </w:rPr>
              <w:t>UIDM-ISC (IGA)</w:t>
            </w:r>
          </w:p>
        </w:tc>
        <w:tc>
          <w:tcPr>
            <w:tcW w:type="dxa" w:w="1399"/>
            <w:tcMar>
              <w:top w:w="50" w:type="dxa"/>
              <w:bottom w:w="50" w:type="dxa"/>
              <w:left w:w="90" w:type="dxa"/>
              <w:right w:w="90" w:type="dxa"/>
            </w:tcMar>
            <w:shd w:val="clear" w:color="auto" w:fill="E5F5FF"/>
          </w:tcPr>
          <w:p>
            <w:pPr>
              <w:pStyle w:val="BDOITable"/>
            </w:pPr>
            <w:r>
              <w:rPr>
                <w:sz w:val="15"/>
              </w:rPr>
              <w:t>Drop 0</w:t>
            </w:r>
          </w:p>
        </w:tc>
        <w:tc>
          <w:tcPr>
            <w:tcW w:type="dxa" w:w="2938"/>
            <w:tcMar>
              <w:top w:w="50" w:type="dxa"/>
              <w:bottom w:w="50" w:type="dxa"/>
              <w:left w:w="90" w:type="dxa"/>
              <w:right w:w="90" w:type="dxa"/>
            </w:tcMar>
            <w:shd w:val="clear" w:color="auto" w:fill="E5F5FF"/>
          </w:tcPr>
          <w:p>
            <w:pPr>
              <w:pStyle w:val="BDOITable"/>
            </w:pPr>
            <w:r>
              <w:rPr>
                <w:sz w:val="15"/>
              </w:rPr>
              <w:t>User ID Maintenance - Identity Security Cloud, the identity governance and administration (IGA) tool</w:t>
            </w:r>
          </w:p>
        </w:tc>
        <w:tc>
          <w:tcPr>
            <w:tcW w:type="dxa" w:w="1819"/>
            <w:tcMar>
              <w:top w:w="50" w:type="dxa"/>
              <w:bottom w:w="50" w:type="dxa"/>
              <w:left w:w="90" w:type="dxa"/>
              <w:right w:w="90" w:type="dxa"/>
            </w:tcMar>
            <w:shd w:val="clear" w:color="auto" w:fill="E5F5FF"/>
          </w:tcPr>
          <w:p>
            <w:pPr>
              <w:pStyle w:val="BDOITable"/>
            </w:pPr>
            <w:r>
              <w:rPr>
                <w:sz w:val="15"/>
              </w:rPr>
              <w:t>Inbound (provisioning) and outbound (account and entitlement aggregation)</w:t>
            </w:r>
          </w:p>
        </w:tc>
        <w:tc>
          <w:tcPr>
            <w:tcW w:type="dxa" w:w="2379"/>
            <w:tcMar>
              <w:top w:w="50" w:type="dxa"/>
              <w:bottom w:w="50" w:type="dxa"/>
              <w:left w:w="90" w:type="dxa"/>
              <w:right w:w="90" w:type="dxa"/>
            </w:tcMar>
            <w:shd w:val="clear" w:color="auto" w:fill="E5F5FF"/>
          </w:tcPr>
          <w:p>
            <w:pPr>
              <w:pStyle w:val="BDOITable"/>
            </w:pPr>
            <w:r>
              <w:rPr>
                <w:sz w:val="15"/>
              </w:rPr>
              <w:t>security, nbadmin (BRD-11 access requests)</w:t>
            </w:r>
          </w:p>
        </w:tc>
        <w:tc>
          <w:tcPr>
            <w:tcW w:type="dxa" w:w="1399"/>
            <w:tcMar>
              <w:top w:w="50" w:type="dxa"/>
              <w:bottom w:w="50" w:type="dxa"/>
              <w:left w:w="90" w:type="dxa"/>
              <w:right w:w="90" w:type="dxa"/>
            </w:tcMar>
            <w:shd w:val="clear" w:color="auto" w:fill="FFF4D6"/>
          </w:tcPr>
          <w:p>
            <w:pPr>
              <w:pStyle w:val="BDOITable"/>
            </w:pPr>
            <w:r>
              <w:rPr>
                <w:b/>
                <w:color w:val="8A5A00"/>
                <w:sz w:val="15"/>
              </w:rPr>
              <w:t>CHANGE</w:t>
            </w:r>
          </w:p>
        </w:tc>
        <w:tc>
          <w:tcPr>
            <w:tcW w:type="dxa" w:w="979"/>
            <w:tcMar>
              <w:top w:w="50" w:type="dxa"/>
              <w:bottom w:w="50" w:type="dxa"/>
              <w:left w:w="90" w:type="dxa"/>
              <w:right w:w="90" w:type="dxa"/>
            </w:tcMar>
            <w:shd w:val="clear" w:color="auto" w:fill="E5F5FF"/>
          </w:tcPr>
          <w:p>
            <w:pPr>
              <w:pStyle w:val="BDOITable"/>
            </w:pPr>
            <w:r>
              <w:rPr>
                <w:sz w:val="15"/>
              </w:rPr>
              <w:t>IQ05</w:t>
            </w:r>
          </w:p>
        </w:tc>
      </w:tr>
      <w:tr>
        <w:trPr>
          <w:cantSplit w:val="true"/>
        </w:trPr>
        <w:tc>
          <w:tcPr>
            <w:tcW w:type="dxa" w:w="840"/>
            <w:tcMar>
              <w:top w:w="50" w:type="dxa"/>
              <w:bottom w:w="50" w:type="dxa"/>
              <w:left w:w="90" w:type="dxa"/>
              <w:right w:w="90" w:type="dxa"/>
            </w:tcMar>
          </w:tcPr>
          <w:p>
            <w:pPr>
              <w:pStyle w:val="BDOITable"/>
            </w:pPr>
            <w:r>
              <w:rPr>
                <w:b/>
                <w:sz w:val="15"/>
              </w:rPr>
              <w:t>INT-03</w:t>
            </w:r>
          </w:p>
        </w:tc>
        <w:tc>
          <w:tcPr>
            <w:tcW w:type="dxa" w:w="1819"/>
            <w:tcMar>
              <w:top w:w="50" w:type="dxa"/>
              <w:bottom w:w="50" w:type="dxa"/>
              <w:left w:w="90" w:type="dxa"/>
              <w:right w:w="90" w:type="dxa"/>
            </w:tcMar>
          </w:tcPr>
          <w:p>
            <w:pPr>
              <w:pStyle w:val="BDOITable"/>
            </w:pPr>
            <w:r>
              <w:rPr>
                <w:sz w:val="15"/>
              </w:rPr>
              <w:t>LMS</w:t>
            </w:r>
          </w:p>
        </w:tc>
        <w:tc>
          <w:tcPr>
            <w:tcW w:type="dxa" w:w="1399"/>
            <w:tcMar>
              <w:top w:w="50" w:type="dxa"/>
              <w:bottom w:w="50" w:type="dxa"/>
              <w:left w:w="90" w:type="dxa"/>
              <w:right w:w="90" w:type="dxa"/>
            </w:tcMar>
          </w:tcPr>
          <w:p>
            <w:pPr>
              <w:pStyle w:val="BDOITable"/>
            </w:pPr>
            <w:r>
              <w:rPr>
                <w:sz w:val="15"/>
              </w:rPr>
              <w:t>Drop 0</w:t>
            </w:r>
          </w:p>
        </w:tc>
        <w:tc>
          <w:tcPr>
            <w:tcW w:type="dxa" w:w="2938"/>
            <w:tcMar>
              <w:top w:w="50" w:type="dxa"/>
              <w:bottom w:w="50" w:type="dxa"/>
              <w:left w:w="90" w:type="dxa"/>
              <w:right w:w="90" w:type="dxa"/>
            </w:tcMar>
          </w:tcPr>
          <w:p>
            <w:pPr>
              <w:pStyle w:val="BDOITable"/>
            </w:pPr>
            <w:r>
              <w:rPr>
                <w:sz w:val="15"/>
              </w:rPr>
              <w:t>Loans Management System</w:t>
            </w:r>
          </w:p>
        </w:tc>
        <w:tc>
          <w:tcPr>
            <w:tcW w:type="dxa" w:w="1819"/>
            <w:tcMar>
              <w:top w:w="50" w:type="dxa"/>
              <w:bottom w:w="50" w:type="dxa"/>
              <w:left w:w="90" w:type="dxa"/>
              <w:right w:w="90" w:type="dxa"/>
            </w:tcMar>
          </w:tcPr>
          <w:p>
            <w:pPr>
              <w:pStyle w:val="BDOITable"/>
            </w:pPr>
            <w:r>
              <w:rPr>
                <w:sz w:val="15"/>
              </w:rPr>
              <w:t>Inbound</w:t>
            </w:r>
          </w:p>
        </w:tc>
        <w:tc>
          <w:tcPr>
            <w:tcW w:type="dxa" w:w="2379"/>
            <w:tcMar>
              <w:top w:w="50" w:type="dxa"/>
              <w:bottom w:w="50" w:type="dxa"/>
              <w:left w:w="90" w:type="dxa"/>
              <w:right w:w="90" w:type="dxa"/>
            </w:tcMar>
          </w:tcPr>
          <w:p>
            <w:pPr>
              <w:pStyle w:val="BDOITable"/>
            </w:pPr>
            <w:r>
              <w:rPr>
                <w:sz w:val="15"/>
              </w:rPr>
              <w:t>renewal (designed), submitted (designed), placement (CLPC reports), cashiering (PAY_CLPC)</w:t>
            </w:r>
          </w:p>
        </w:tc>
        <w:tc>
          <w:tcPr>
            <w:tcW w:type="dxa" w:w="1399"/>
            <w:tcMar>
              <w:top w:w="50" w:type="dxa"/>
              <w:bottom w:w="50" w:type="dxa"/>
              <w:left w:w="90" w:type="dxa"/>
              <w:right w:w="90" w:type="dxa"/>
            </w:tcMar>
            <w:shd w:val="clear" w:color="auto" w:fill="FFF4D6"/>
          </w:tcPr>
          <w:p>
            <w:pPr>
              <w:pStyle w:val="BDOITable"/>
            </w:pPr>
            <w:r>
              <w:rPr>
                <w:b/>
                <w:color w:val="8A5A00"/>
                <w:sz w:val="15"/>
              </w:rPr>
              <w:t>CHANGE</w:t>
            </w:r>
          </w:p>
        </w:tc>
        <w:tc>
          <w:tcPr>
            <w:tcW w:type="dxa" w:w="979"/>
            <w:tcMar>
              <w:top w:w="50" w:type="dxa"/>
              <w:bottom w:w="50" w:type="dxa"/>
              <w:left w:w="90" w:type="dxa"/>
              <w:right w:w="90" w:type="dxa"/>
            </w:tcMar>
          </w:tcPr>
          <w:p>
            <w:pPr>
              <w:pStyle w:val="BDOITable"/>
            </w:pPr>
            <w:r>
              <w:rPr>
                <w:sz w:val="15"/>
              </w:rPr>
              <w:t>IQ06</w:t>
            </w:r>
          </w:p>
        </w:tc>
      </w:tr>
      <w:tr>
        <w:trPr>
          <w:cantSplit w:val="true"/>
        </w:trPr>
        <w:tc>
          <w:tcPr>
            <w:tcW w:type="dxa" w:w="840"/>
            <w:tcMar>
              <w:top w:w="50" w:type="dxa"/>
              <w:bottom w:w="50" w:type="dxa"/>
              <w:left w:w="90" w:type="dxa"/>
              <w:right w:w="90" w:type="dxa"/>
            </w:tcMar>
            <w:shd w:val="clear" w:color="auto" w:fill="E5F5FF"/>
          </w:tcPr>
          <w:p>
            <w:pPr>
              <w:pStyle w:val="BDOITable"/>
            </w:pPr>
            <w:r>
              <w:rPr>
                <w:b/>
                <w:sz w:val="15"/>
              </w:rPr>
              <w:t>INT-04</w:t>
            </w:r>
          </w:p>
        </w:tc>
        <w:tc>
          <w:tcPr>
            <w:tcW w:type="dxa" w:w="1819"/>
            <w:tcMar>
              <w:top w:w="50" w:type="dxa"/>
              <w:bottom w:w="50" w:type="dxa"/>
              <w:left w:w="90" w:type="dxa"/>
              <w:right w:w="90" w:type="dxa"/>
            </w:tcMar>
            <w:shd w:val="clear" w:color="auto" w:fill="E5F5FF"/>
          </w:tcPr>
          <w:p>
            <w:pPr>
              <w:pStyle w:val="BDOITable"/>
            </w:pPr>
            <w:r>
              <w:rPr>
                <w:sz w:val="15"/>
              </w:rPr>
              <w:t>HL-LOAS (HLS / LOAS)</w:t>
            </w:r>
          </w:p>
        </w:tc>
        <w:tc>
          <w:tcPr>
            <w:tcW w:type="dxa" w:w="1399"/>
            <w:tcMar>
              <w:top w:w="50" w:type="dxa"/>
              <w:bottom w:w="50" w:type="dxa"/>
              <w:left w:w="90" w:type="dxa"/>
              <w:right w:w="90" w:type="dxa"/>
            </w:tcMar>
            <w:shd w:val="clear" w:color="auto" w:fill="E5F5FF"/>
          </w:tcPr>
          <w:p>
            <w:pPr>
              <w:pStyle w:val="BDOITable"/>
            </w:pPr>
            <w:r>
              <w:rPr>
                <w:sz w:val="15"/>
              </w:rPr>
              <w:t>Drop 0 (HLS) and Drop 2 (LOAS)</w:t>
            </w:r>
          </w:p>
        </w:tc>
        <w:tc>
          <w:tcPr>
            <w:tcW w:type="dxa" w:w="2938"/>
            <w:tcMar>
              <w:top w:w="50" w:type="dxa"/>
              <w:bottom w:w="50" w:type="dxa"/>
              <w:left w:w="90" w:type="dxa"/>
              <w:right w:w="90" w:type="dxa"/>
            </w:tcMar>
            <w:shd w:val="clear" w:color="auto" w:fill="E5F5FF"/>
          </w:tcPr>
          <w:p>
            <w:pPr>
              <w:pStyle w:val="BDOITable"/>
            </w:pPr>
            <w:r>
              <w:rPr>
                <w:sz w:val="15"/>
              </w:rPr>
              <w:t>Home Loan System (Loan Origination and Admin)</w:t>
            </w:r>
          </w:p>
        </w:tc>
        <w:tc>
          <w:tcPr>
            <w:tcW w:type="dxa" w:w="1819"/>
            <w:tcMar>
              <w:top w:w="50" w:type="dxa"/>
              <w:bottom w:w="50" w:type="dxa"/>
              <w:left w:w="90" w:type="dxa"/>
              <w:right w:w="90" w:type="dxa"/>
            </w:tcMar>
            <w:shd w:val="clear" w:color="auto" w:fill="E5F5FF"/>
          </w:tcPr>
          <w:p>
            <w:pPr>
              <w:pStyle w:val="BDOITable"/>
            </w:pPr>
            <w:r>
              <w:rPr>
                <w:sz w:val="15"/>
              </w:rPr>
              <w:t>Inbound</w:t>
            </w:r>
          </w:p>
        </w:tc>
        <w:tc>
          <w:tcPr>
            <w:tcW w:type="dxa" w:w="2379"/>
            <w:tcMar>
              <w:top w:w="50" w:type="dxa"/>
              <w:bottom w:w="50" w:type="dxa"/>
              <w:left w:w="90" w:type="dxa"/>
              <w:right w:w="90" w:type="dxa"/>
            </w:tcMar>
            <w:shd w:val="clear" w:color="auto" w:fill="E5F5FF"/>
          </w:tcPr>
          <w:p>
            <w:pPr>
              <w:pStyle w:val="BDOITable"/>
            </w:pPr>
            <w:r>
              <w:rPr>
                <w:sz w:val="15"/>
              </w:rPr>
              <w:t>quotation, submitted (designed), placement (CLPC)</w:t>
            </w:r>
          </w:p>
        </w:tc>
        <w:tc>
          <w:tcPr>
            <w:tcW w:type="dxa" w:w="1399"/>
            <w:tcMar>
              <w:top w:w="50" w:type="dxa"/>
              <w:bottom w:w="50" w:type="dxa"/>
              <w:left w:w="90" w:type="dxa"/>
              <w:right w:w="90" w:type="dxa"/>
            </w:tcMar>
            <w:shd w:val="clear" w:color="auto" w:fill="FFF4D6"/>
          </w:tcPr>
          <w:p>
            <w:pPr>
              <w:pStyle w:val="BDOITable"/>
            </w:pPr>
            <w:r>
              <w:rPr>
                <w:b/>
                <w:color w:val="8A5A00"/>
                <w:sz w:val="15"/>
              </w:rPr>
              <w:t>CHANGE</w:t>
            </w:r>
          </w:p>
        </w:tc>
        <w:tc>
          <w:tcPr>
            <w:tcW w:type="dxa" w:w="979"/>
            <w:tcMar>
              <w:top w:w="50" w:type="dxa"/>
              <w:bottom w:w="50" w:type="dxa"/>
              <w:left w:w="90" w:type="dxa"/>
              <w:right w:w="90" w:type="dxa"/>
            </w:tcMar>
            <w:shd w:val="clear" w:color="auto" w:fill="E5F5FF"/>
          </w:tcPr>
          <w:p>
            <w:pPr>
              <w:pStyle w:val="BDOITable"/>
            </w:pPr>
            <w:r>
              <w:rPr>
                <w:sz w:val="15"/>
              </w:rPr>
              <w:t>IQ07</w:t>
            </w:r>
          </w:p>
        </w:tc>
      </w:tr>
      <w:tr>
        <w:trPr>
          <w:cantSplit w:val="true"/>
        </w:trPr>
        <w:tc>
          <w:tcPr>
            <w:tcW w:type="dxa" w:w="840"/>
            <w:tcMar>
              <w:top w:w="50" w:type="dxa"/>
              <w:bottom w:w="50" w:type="dxa"/>
              <w:left w:w="90" w:type="dxa"/>
              <w:right w:w="90" w:type="dxa"/>
            </w:tcMar>
          </w:tcPr>
          <w:p>
            <w:pPr>
              <w:pStyle w:val="BDOITable"/>
            </w:pPr>
            <w:r>
              <w:rPr>
                <w:b/>
                <w:sz w:val="15"/>
              </w:rPr>
              <w:t>INT-05</w:t>
            </w:r>
          </w:p>
        </w:tc>
        <w:tc>
          <w:tcPr>
            <w:tcW w:type="dxa" w:w="1819"/>
            <w:tcMar>
              <w:top w:w="50" w:type="dxa"/>
              <w:bottom w:w="50" w:type="dxa"/>
              <w:left w:w="90" w:type="dxa"/>
              <w:right w:w="90" w:type="dxa"/>
            </w:tcMar>
          </w:tcPr>
          <w:p>
            <w:pPr>
              <w:pStyle w:val="BDOITable"/>
            </w:pPr>
            <w:r>
              <w:rPr>
                <w:sz w:val="15"/>
              </w:rPr>
              <w:t>LFS SaaS</w:t>
            </w:r>
          </w:p>
        </w:tc>
        <w:tc>
          <w:tcPr>
            <w:tcW w:type="dxa" w:w="1399"/>
            <w:tcMar>
              <w:top w:w="50" w:type="dxa"/>
              <w:bottom w:w="50" w:type="dxa"/>
              <w:left w:w="90" w:type="dxa"/>
              <w:right w:w="90" w:type="dxa"/>
            </w:tcMar>
          </w:tcPr>
          <w:p>
            <w:pPr>
              <w:pStyle w:val="BDOITable"/>
            </w:pPr>
            <w:r>
              <w:rPr>
                <w:sz w:val="15"/>
              </w:rPr>
              <w:t>Not on the slide</w:t>
            </w:r>
          </w:p>
        </w:tc>
        <w:tc>
          <w:tcPr>
            <w:tcW w:type="dxa" w:w="2938"/>
            <w:tcMar>
              <w:top w:w="50" w:type="dxa"/>
              <w:bottom w:w="50" w:type="dxa"/>
              <w:left w:w="90" w:type="dxa"/>
              <w:right w:w="90" w:type="dxa"/>
            </w:tcMar>
          </w:tcPr>
          <w:p>
            <w:pPr>
              <w:pStyle w:val="BDOITable"/>
            </w:pPr>
            <w:r>
              <w:rPr>
                <w:sz w:val="15"/>
              </w:rPr>
              <w:t>Loan Front-End System (SaaS)</w:t>
            </w:r>
          </w:p>
        </w:tc>
        <w:tc>
          <w:tcPr>
            <w:tcW w:type="dxa" w:w="1819"/>
            <w:tcMar>
              <w:top w:w="50" w:type="dxa"/>
              <w:bottom w:w="50" w:type="dxa"/>
              <w:left w:w="90" w:type="dxa"/>
              <w:right w:w="90" w:type="dxa"/>
            </w:tcMar>
          </w:tcPr>
          <w:p>
            <w:pPr>
              <w:pStyle w:val="BDOITable"/>
            </w:pPr>
            <w:r>
              <w:rPr>
                <w:sz w:val="15"/>
              </w:rPr>
              <w:t>Inbound</w:t>
            </w:r>
          </w:p>
        </w:tc>
        <w:tc>
          <w:tcPr>
            <w:tcW w:type="dxa" w:w="2379"/>
            <w:tcMar>
              <w:top w:w="50" w:type="dxa"/>
              <w:bottom w:w="50" w:type="dxa"/>
              <w:left w:w="90" w:type="dxa"/>
              <w:right w:w="90" w:type="dxa"/>
            </w:tcMar>
          </w:tcPr>
          <w:p>
            <w:pPr>
              <w:pStyle w:val="BDOITable"/>
            </w:pPr>
            <w:r>
              <w:rPr>
                <w:sz w:val="15"/>
              </w:rPr>
              <w:t>submitted (designed)</w:t>
            </w:r>
          </w:p>
        </w:tc>
        <w:tc>
          <w:tcPr>
            <w:tcW w:type="dxa" w:w="1399"/>
            <w:tcMar>
              <w:top w:w="50" w:type="dxa"/>
              <w:bottom w:w="50" w:type="dxa"/>
              <w:left w:w="90" w:type="dxa"/>
              <w:right w:w="90" w:type="dxa"/>
            </w:tcMar>
            <w:shd w:val="clear" w:color="auto" w:fill="EDE7F6"/>
          </w:tcPr>
          <w:p>
            <w:pPr>
              <w:pStyle w:val="BDOITable"/>
            </w:pPr>
            <w:r>
              <w:rPr>
                <w:b/>
                <w:color w:val="4527A0"/>
                <w:sz w:val="15"/>
              </w:rPr>
              <w:t>NEW</w:t>
            </w:r>
          </w:p>
        </w:tc>
        <w:tc>
          <w:tcPr>
            <w:tcW w:type="dxa" w:w="979"/>
            <w:tcMar>
              <w:top w:w="50" w:type="dxa"/>
              <w:bottom w:w="50" w:type="dxa"/>
              <w:left w:w="90" w:type="dxa"/>
              <w:right w:w="90" w:type="dxa"/>
            </w:tcMar>
          </w:tcPr>
          <w:p>
            <w:pPr>
              <w:pStyle w:val="BDOITable"/>
            </w:pPr>
            <w:r>
              <w:rPr>
                <w:sz w:val="15"/>
              </w:rPr>
              <w:t>IQ08</w:t>
            </w:r>
          </w:p>
        </w:tc>
      </w:tr>
      <w:tr>
        <w:trPr>
          <w:cantSplit w:val="true"/>
        </w:trPr>
        <w:tc>
          <w:tcPr>
            <w:tcW w:type="dxa" w:w="840"/>
            <w:tcMar>
              <w:top w:w="50" w:type="dxa"/>
              <w:bottom w:w="50" w:type="dxa"/>
              <w:left w:w="90" w:type="dxa"/>
              <w:right w:w="90" w:type="dxa"/>
            </w:tcMar>
            <w:shd w:val="clear" w:color="auto" w:fill="E5F5FF"/>
          </w:tcPr>
          <w:p>
            <w:pPr>
              <w:pStyle w:val="BDOITable"/>
            </w:pPr>
            <w:r>
              <w:rPr>
                <w:b/>
                <w:sz w:val="15"/>
              </w:rPr>
              <w:t>INT-06</w:t>
            </w:r>
          </w:p>
        </w:tc>
        <w:tc>
          <w:tcPr>
            <w:tcW w:type="dxa" w:w="1819"/>
            <w:tcMar>
              <w:top w:w="50" w:type="dxa"/>
              <w:bottom w:w="50" w:type="dxa"/>
              <w:left w:w="90" w:type="dxa"/>
              <w:right w:w="90" w:type="dxa"/>
            </w:tcMar>
            <w:shd w:val="clear" w:color="auto" w:fill="E5F5FF"/>
          </w:tcPr>
          <w:p>
            <w:pPr>
              <w:pStyle w:val="BDOITable"/>
            </w:pPr>
            <w:r>
              <w:rPr>
                <w:sz w:val="15"/>
              </w:rPr>
              <w:t>PMS</w:t>
            </w:r>
          </w:p>
        </w:tc>
        <w:tc>
          <w:tcPr>
            <w:tcW w:type="dxa" w:w="1399"/>
            <w:tcMar>
              <w:top w:w="50" w:type="dxa"/>
              <w:bottom w:w="50" w:type="dxa"/>
              <w:left w:w="90" w:type="dxa"/>
              <w:right w:w="90" w:type="dxa"/>
            </w:tcMar>
            <w:shd w:val="clear" w:color="auto" w:fill="E5F5FF"/>
          </w:tcPr>
          <w:p>
            <w:pPr>
              <w:pStyle w:val="BDOITable"/>
            </w:pPr>
            <w:r>
              <w:rPr>
                <w:sz w:val="15"/>
              </w:rPr>
              <w:t>Drop 0</w:t>
            </w:r>
          </w:p>
        </w:tc>
        <w:tc>
          <w:tcPr>
            <w:tcW w:type="dxa" w:w="2938"/>
            <w:tcMar>
              <w:top w:w="50" w:type="dxa"/>
              <w:bottom w:w="50" w:type="dxa"/>
              <w:left w:w="90" w:type="dxa"/>
              <w:right w:w="90" w:type="dxa"/>
            </w:tcMar>
            <w:shd w:val="clear" w:color="auto" w:fill="E5F5FF"/>
          </w:tcPr>
          <w:p>
            <w:pPr>
              <w:pStyle w:val="BDOITable"/>
            </w:pPr>
            <w:r>
              <w:rPr>
                <w:sz w:val="15"/>
              </w:rPr>
              <w:t>PDC Management System</w:t>
            </w:r>
          </w:p>
        </w:tc>
        <w:tc>
          <w:tcPr>
            <w:tcW w:type="dxa" w:w="1819"/>
            <w:tcMar>
              <w:top w:w="50" w:type="dxa"/>
              <w:bottom w:w="50" w:type="dxa"/>
              <w:left w:w="90" w:type="dxa"/>
              <w:right w:w="90" w:type="dxa"/>
            </w:tcMar>
            <w:shd w:val="clear" w:color="auto" w:fill="E5F5FF"/>
          </w:tcPr>
          <w:p>
            <w:pPr>
              <w:pStyle w:val="BDOITable"/>
            </w:pPr>
            <w:r>
              <w:rPr>
                <w:sz w:val="15"/>
              </w:rPr>
              <w:t>Inbound; outbound status to confirm</w:t>
            </w:r>
          </w:p>
        </w:tc>
        <w:tc>
          <w:tcPr>
            <w:tcW w:type="dxa" w:w="2379"/>
            <w:tcMar>
              <w:top w:w="50" w:type="dxa"/>
              <w:bottom w:w="50" w:type="dxa"/>
              <w:left w:w="90" w:type="dxa"/>
              <w:right w:w="90" w:type="dxa"/>
            </w:tcMar>
            <w:shd w:val="clear" w:color="auto" w:fill="E5F5FF"/>
          </w:tcPr>
          <w:p>
            <w:pPr>
              <w:pStyle w:val="BDOITable"/>
            </w:pPr>
            <w:r>
              <w:rPr>
                <w:sz w:val="15"/>
              </w:rPr>
              <w:t>cashiering</w:t>
            </w:r>
          </w:p>
        </w:tc>
        <w:tc>
          <w:tcPr>
            <w:tcW w:type="dxa" w:w="1399"/>
            <w:tcMar>
              <w:top w:w="50" w:type="dxa"/>
              <w:bottom w:w="50" w:type="dxa"/>
              <w:left w:w="90" w:type="dxa"/>
              <w:right w:w="90" w:type="dxa"/>
            </w:tcMar>
            <w:shd w:val="clear" w:color="auto" w:fill="E5F5FF"/>
          </w:tcPr>
          <w:p>
            <w:pPr>
              <w:pStyle w:val="BDOITable"/>
            </w:pPr>
            <w:r>
              <w:rPr>
                <w:b/>
                <w:color w:val="004EA8"/>
                <w:sz w:val="15"/>
              </w:rPr>
              <w:t>CONFIGURE</w:t>
            </w:r>
          </w:p>
        </w:tc>
        <w:tc>
          <w:tcPr>
            <w:tcW w:type="dxa" w:w="979"/>
            <w:tcMar>
              <w:top w:w="50" w:type="dxa"/>
              <w:bottom w:w="50" w:type="dxa"/>
              <w:left w:w="90" w:type="dxa"/>
              <w:right w:w="90" w:type="dxa"/>
            </w:tcMar>
            <w:shd w:val="clear" w:color="auto" w:fill="E5F5FF"/>
          </w:tcPr>
          <w:p>
            <w:pPr>
              <w:pStyle w:val="BDOITable"/>
            </w:pPr>
            <w:r>
              <w:rPr>
                <w:sz w:val="15"/>
              </w:rPr>
              <w:t>IQ09</w:t>
            </w:r>
          </w:p>
        </w:tc>
      </w:tr>
      <w:tr>
        <w:trPr>
          <w:cantSplit w:val="true"/>
        </w:trPr>
        <w:tc>
          <w:tcPr>
            <w:tcW w:type="dxa" w:w="840"/>
            <w:tcMar>
              <w:top w:w="50" w:type="dxa"/>
              <w:bottom w:w="50" w:type="dxa"/>
              <w:left w:w="90" w:type="dxa"/>
              <w:right w:w="90" w:type="dxa"/>
            </w:tcMar>
          </w:tcPr>
          <w:p>
            <w:pPr>
              <w:pStyle w:val="BDOITable"/>
            </w:pPr>
            <w:r>
              <w:rPr>
                <w:b/>
                <w:sz w:val="15"/>
              </w:rPr>
              <w:t>INT-07</w:t>
            </w:r>
          </w:p>
        </w:tc>
        <w:tc>
          <w:tcPr>
            <w:tcW w:type="dxa" w:w="1819"/>
            <w:tcMar>
              <w:top w:w="50" w:type="dxa"/>
              <w:bottom w:w="50" w:type="dxa"/>
              <w:left w:w="90" w:type="dxa"/>
              <w:right w:w="90" w:type="dxa"/>
            </w:tcMar>
          </w:tcPr>
          <w:p>
            <w:pPr>
              <w:pStyle w:val="BDOITable"/>
            </w:pPr>
            <w:r>
              <w:rPr>
                <w:sz w:val="15"/>
              </w:rPr>
              <w:t>CMS / New BOB</w:t>
            </w:r>
          </w:p>
        </w:tc>
        <w:tc>
          <w:tcPr>
            <w:tcW w:type="dxa" w:w="1399"/>
            <w:tcMar>
              <w:top w:w="50" w:type="dxa"/>
              <w:bottom w:w="50" w:type="dxa"/>
              <w:left w:w="90" w:type="dxa"/>
              <w:right w:w="90" w:type="dxa"/>
            </w:tcMar>
          </w:tcPr>
          <w:p>
            <w:pPr>
              <w:pStyle w:val="BDOITable"/>
            </w:pPr>
            <w:r>
              <w:rPr>
                <w:sz w:val="15"/>
              </w:rPr>
              <w:t>Drop 0</w:t>
            </w:r>
          </w:p>
        </w:tc>
        <w:tc>
          <w:tcPr>
            <w:tcW w:type="dxa" w:w="2938"/>
            <w:tcMar>
              <w:top w:w="50" w:type="dxa"/>
              <w:bottom w:w="50" w:type="dxa"/>
              <w:left w:w="90" w:type="dxa"/>
              <w:right w:w="90" w:type="dxa"/>
            </w:tcMar>
          </w:tcPr>
          <w:p>
            <w:pPr>
              <w:pStyle w:val="BDOITable"/>
            </w:pPr>
            <w:r>
              <w:rPr>
                <w:sz w:val="15"/>
              </w:rPr>
              <w:t>Cash Management System, outward payments (also called New BOB)</w:t>
            </w:r>
          </w:p>
        </w:tc>
        <w:tc>
          <w:tcPr>
            <w:tcW w:type="dxa" w:w="1819"/>
            <w:tcMar>
              <w:top w:w="50" w:type="dxa"/>
              <w:bottom w:w="50" w:type="dxa"/>
              <w:left w:w="90" w:type="dxa"/>
              <w:right w:w="90" w:type="dxa"/>
            </w:tcMar>
          </w:tcPr>
          <w:p>
            <w:pPr>
              <w:pStyle w:val="BDOITable"/>
            </w:pPr>
            <w:r>
              <w:rPr>
                <w:sz w:val="15"/>
              </w:rPr>
              <w:t>Outbound (payment instructions); inbound (status, debit confirmation)</w:t>
            </w:r>
          </w:p>
        </w:tc>
        <w:tc>
          <w:tcPr>
            <w:tcW w:type="dxa" w:w="2379"/>
            <w:tcMar>
              <w:top w:w="50" w:type="dxa"/>
              <w:bottom w:w="50" w:type="dxa"/>
              <w:left w:w="90" w:type="dxa"/>
              <w:right w:w="90" w:type="dxa"/>
            </w:tcMar>
          </w:tcPr>
          <w:p>
            <w:pPr>
              <w:pStyle w:val="BDOITable"/>
            </w:pPr>
            <w:r>
              <w:rPr>
                <w:sz w:val="15"/>
              </w:rPr>
              <w:t>disbursement</w:t>
            </w:r>
          </w:p>
        </w:tc>
        <w:tc>
          <w:tcPr>
            <w:tcW w:type="dxa" w:w="1399"/>
            <w:tcMar>
              <w:top w:w="50" w:type="dxa"/>
              <w:bottom w:w="50" w:type="dxa"/>
              <w:left w:w="90" w:type="dxa"/>
              <w:right w:w="90" w:type="dxa"/>
            </w:tcMar>
            <w:shd w:val="clear" w:color="auto" w:fill="FFF4D6"/>
          </w:tcPr>
          <w:p>
            <w:pPr>
              <w:pStyle w:val="BDOITable"/>
            </w:pPr>
            <w:r>
              <w:rPr>
                <w:b/>
                <w:color w:val="8A5A00"/>
                <w:sz w:val="15"/>
              </w:rPr>
              <w:t>CHANGE</w:t>
            </w:r>
          </w:p>
        </w:tc>
        <w:tc>
          <w:tcPr>
            <w:tcW w:type="dxa" w:w="979"/>
            <w:tcMar>
              <w:top w:w="50" w:type="dxa"/>
              <w:bottom w:w="50" w:type="dxa"/>
              <w:left w:w="90" w:type="dxa"/>
              <w:right w:w="90" w:type="dxa"/>
            </w:tcMar>
          </w:tcPr>
          <w:p>
            <w:pPr>
              <w:pStyle w:val="BDOITable"/>
            </w:pPr>
            <w:r>
              <w:rPr>
                <w:sz w:val="15"/>
              </w:rPr>
              <w:t>IQ10</w:t>
            </w:r>
          </w:p>
        </w:tc>
      </w:tr>
      <w:tr>
        <w:trPr>
          <w:cantSplit w:val="true"/>
        </w:trPr>
        <w:tc>
          <w:tcPr>
            <w:tcW w:type="dxa" w:w="840"/>
            <w:tcMar>
              <w:top w:w="50" w:type="dxa"/>
              <w:bottom w:w="50" w:type="dxa"/>
              <w:left w:w="90" w:type="dxa"/>
              <w:right w:w="90" w:type="dxa"/>
            </w:tcMar>
            <w:shd w:val="clear" w:color="auto" w:fill="E5F5FF"/>
          </w:tcPr>
          <w:p>
            <w:pPr>
              <w:pStyle w:val="BDOITable"/>
            </w:pPr>
            <w:r>
              <w:rPr>
                <w:b/>
                <w:sz w:val="15"/>
              </w:rPr>
              <w:t>INT-08</w:t>
            </w:r>
          </w:p>
        </w:tc>
        <w:tc>
          <w:tcPr>
            <w:tcW w:type="dxa" w:w="1819"/>
            <w:tcMar>
              <w:top w:w="50" w:type="dxa"/>
              <w:bottom w:w="50" w:type="dxa"/>
              <w:left w:w="90" w:type="dxa"/>
              <w:right w:w="90" w:type="dxa"/>
            </w:tcMar>
            <w:shd w:val="clear" w:color="auto" w:fill="E5F5FF"/>
          </w:tcPr>
          <w:p>
            <w:pPr>
              <w:pStyle w:val="BDOITable"/>
            </w:pPr>
            <w:r>
              <w:rPr>
                <w:sz w:val="15"/>
              </w:rPr>
              <w:t>OBPCS</w:t>
            </w:r>
          </w:p>
        </w:tc>
        <w:tc>
          <w:tcPr>
            <w:tcW w:type="dxa" w:w="1399"/>
            <w:tcMar>
              <w:top w:w="50" w:type="dxa"/>
              <w:bottom w:w="50" w:type="dxa"/>
              <w:left w:w="90" w:type="dxa"/>
              <w:right w:w="90" w:type="dxa"/>
            </w:tcMar>
            <w:shd w:val="clear" w:color="auto" w:fill="E5F5FF"/>
          </w:tcPr>
          <w:p>
            <w:pPr>
              <w:pStyle w:val="BDOITable"/>
            </w:pPr>
            <w:r>
              <w:rPr>
                <w:sz w:val="15"/>
              </w:rPr>
              <w:t>Drop 0</w:t>
            </w:r>
          </w:p>
        </w:tc>
        <w:tc>
          <w:tcPr>
            <w:tcW w:type="dxa" w:w="2938"/>
            <w:tcMar>
              <w:top w:w="50" w:type="dxa"/>
              <w:bottom w:w="50" w:type="dxa"/>
              <w:left w:w="90" w:type="dxa"/>
              <w:right w:w="90" w:type="dxa"/>
            </w:tcMar>
            <w:shd w:val="clear" w:color="auto" w:fill="E5F5FF"/>
          </w:tcPr>
          <w:p>
            <w:pPr>
              <w:pStyle w:val="BDOITable"/>
            </w:pPr>
            <w:r>
              <w:rPr>
                <w:sz w:val="15"/>
              </w:rPr>
              <w:t>Online Bills Payment Consolidation System</w:t>
            </w:r>
          </w:p>
        </w:tc>
        <w:tc>
          <w:tcPr>
            <w:tcW w:type="dxa" w:w="1819"/>
            <w:tcMar>
              <w:top w:w="50" w:type="dxa"/>
              <w:bottom w:w="50" w:type="dxa"/>
              <w:left w:w="90" w:type="dxa"/>
              <w:right w:w="90" w:type="dxa"/>
            </w:tcMar>
            <w:shd w:val="clear" w:color="auto" w:fill="E5F5FF"/>
          </w:tcPr>
          <w:p>
            <w:pPr>
              <w:pStyle w:val="BDOITable"/>
            </w:pPr>
            <w:r>
              <w:rPr>
                <w:sz w:val="15"/>
              </w:rPr>
              <w:t>Inbound</w:t>
            </w:r>
          </w:p>
        </w:tc>
        <w:tc>
          <w:tcPr>
            <w:tcW w:type="dxa" w:w="2379"/>
            <w:tcMar>
              <w:top w:w="50" w:type="dxa"/>
              <w:bottom w:w="50" w:type="dxa"/>
              <w:left w:w="90" w:type="dxa"/>
              <w:right w:w="90" w:type="dxa"/>
            </w:tcMar>
            <w:shd w:val="clear" w:color="auto" w:fill="E5F5FF"/>
          </w:tcPr>
          <w:p>
            <w:pPr>
              <w:pStyle w:val="BDOITable"/>
            </w:pPr>
            <w:r>
              <w:rPr>
                <w:sz w:val="15"/>
              </w:rPr>
              <w:t>cashiering</w:t>
            </w:r>
          </w:p>
        </w:tc>
        <w:tc>
          <w:tcPr>
            <w:tcW w:type="dxa" w:w="1399"/>
            <w:tcMar>
              <w:top w:w="50" w:type="dxa"/>
              <w:bottom w:w="50" w:type="dxa"/>
              <w:left w:w="90" w:type="dxa"/>
              <w:right w:w="90" w:type="dxa"/>
            </w:tcMar>
            <w:shd w:val="clear" w:color="auto" w:fill="E5F5FF"/>
          </w:tcPr>
          <w:p>
            <w:pPr>
              <w:pStyle w:val="BDOITable"/>
            </w:pPr>
            <w:r>
              <w:rPr>
                <w:b/>
                <w:color w:val="004EA8"/>
                <w:sz w:val="15"/>
              </w:rPr>
              <w:t>CONFIGURE</w:t>
            </w:r>
          </w:p>
        </w:tc>
        <w:tc>
          <w:tcPr>
            <w:tcW w:type="dxa" w:w="979"/>
            <w:tcMar>
              <w:top w:w="50" w:type="dxa"/>
              <w:bottom w:w="50" w:type="dxa"/>
              <w:left w:w="90" w:type="dxa"/>
              <w:right w:w="90" w:type="dxa"/>
            </w:tcMar>
            <w:shd w:val="clear" w:color="auto" w:fill="E5F5FF"/>
          </w:tcPr>
          <w:p>
            <w:pPr>
              <w:pStyle w:val="BDOITable"/>
            </w:pPr>
            <w:r>
              <w:rPr>
                <w:sz w:val="15"/>
              </w:rPr>
              <w:t>IQ10</w:t>
            </w:r>
          </w:p>
        </w:tc>
      </w:tr>
      <w:tr>
        <w:trPr>
          <w:cantSplit w:val="true"/>
        </w:trPr>
        <w:tc>
          <w:tcPr>
            <w:tcW w:type="dxa" w:w="840"/>
            <w:tcMar>
              <w:top w:w="50" w:type="dxa"/>
              <w:bottom w:w="50" w:type="dxa"/>
              <w:left w:w="90" w:type="dxa"/>
              <w:right w:w="90" w:type="dxa"/>
            </w:tcMar>
          </w:tcPr>
          <w:p>
            <w:pPr>
              <w:pStyle w:val="BDOITable"/>
            </w:pPr>
            <w:r>
              <w:rPr>
                <w:b/>
                <w:sz w:val="15"/>
              </w:rPr>
              <w:t>INT-09</w:t>
            </w:r>
          </w:p>
        </w:tc>
        <w:tc>
          <w:tcPr>
            <w:tcW w:type="dxa" w:w="1819"/>
            <w:tcMar>
              <w:top w:w="50" w:type="dxa"/>
              <w:bottom w:w="50" w:type="dxa"/>
              <w:left w:w="90" w:type="dxa"/>
              <w:right w:w="90" w:type="dxa"/>
            </w:tcMar>
          </w:tcPr>
          <w:p>
            <w:pPr>
              <w:pStyle w:val="BDOITable"/>
            </w:pPr>
            <w:r>
              <w:rPr>
                <w:sz w:val="15"/>
              </w:rPr>
              <w:t>Old BOB</w:t>
            </w:r>
          </w:p>
        </w:tc>
        <w:tc>
          <w:tcPr>
            <w:tcW w:type="dxa" w:w="1399"/>
            <w:tcMar>
              <w:top w:w="50" w:type="dxa"/>
              <w:bottom w:w="50" w:type="dxa"/>
              <w:left w:w="90" w:type="dxa"/>
              <w:right w:w="90" w:type="dxa"/>
            </w:tcMar>
          </w:tcPr>
          <w:p>
            <w:pPr>
              <w:pStyle w:val="BDOITable"/>
            </w:pPr>
            <w:r>
              <w:rPr>
                <w:sz w:val="15"/>
              </w:rPr>
              <w:t>Drop 0</w:t>
            </w:r>
          </w:p>
        </w:tc>
        <w:tc>
          <w:tcPr>
            <w:tcW w:type="dxa" w:w="2938"/>
            <w:tcMar>
              <w:top w:w="50" w:type="dxa"/>
              <w:bottom w:w="50" w:type="dxa"/>
              <w:left w:w="90" w:type="dxa"/>
              <w:right w:w="90" w:type="dxa"/>
            </w:tcMar>
          </w:tcPr>
          <w:p>
            <w:pPr>
              <w:pStyle w:val="BDOITable"/>
            </w:pPr>
            <w:r>
              <w:rPr>
                <w:sz w:val="15"/>
              </w:rPr>
              <w:t>Old Business Online Banking Collection System; SOA bills payments via funds transfer</w:t>
            </w:r>
          </w:p>
        </w:tc>
        <w:tc>
          <w:tcPr>
            <w:tcW w:type="dxa" w:w="1819"/>
            <w:tcMar>
              <w:top w:w="50" w:type="dxa"/>
              <w:bottom w:w="50" w:type="dxa"/>
              <w:left w:w="90" w:type="dxa"/>
              <w:right w:w="90" w:type="dxa"/>
            </w:tcMar>
          </w:tcPr>
          <w:p>
            <w:pPr>
              <w:pStyle w:val="BDOITable"/>
            </w:pPr>
            <w:r>
              <w:rPr>
                <w:sz w:val="15"/>
              </w:rPr>
              <w:t>Inbound</w:t>
            </w:r>
          </w:p>
        </w:tc>
        <w:tc>
          <w:tcPr>
            <w:tcW w:type="dxa" w:w="2379"/>
            <w:tcMar>
              <w:top w:w="50" w:type="dxa"/>
              <w:bottom w:w="50" w:type="dxa"/>
              <w:left w:w="90" w:type="dxa"/>
              <w:right w:w="90" w:type="dxa"/>
            </w:tcMar>
          </w:tcPr>
          <w:p>
            <w:pPr>
              <w:pStyle w:val="BDOITable"/>
            </w:pPr>
            <w:r>
              <w:rPr>
                <w:sz w:val="15"/>
              </w:rPr>
              <w:t>cashiering (Direct Credit or a new layout)</w:t>
            </w:r>
          </w:p>
        </w:tc>
        <w:tc>
          <w:tcPr>
            <w:tcW w:type="dxa" w:w="1399"/>
            <w:tcMar>
              <w:top w:w="50" w:type="dxa"/>
              <w:bottom w:w="50" w:type="dxa"/>
              <w:left w:w="90" w:type="dxa"/>
              <w:right w:w="90" w:type="dxa"/>
            </w:tcMar>
            <w:shd w:val="clear" w:color="auto" w:fill="E5F5FF"/>
          </w:tcPr>
          <w:p>
            <w:pPr>
              <w:pStyle w:val="BDOITable"/>
            </w:pPr>
            <w:r>
              <w:rPr>
                <w:b/>
                <w:color w:val="004EA8"/>
                <w:sz w:val="15"/>
              </w:rPr>
              <w:t>CONFIGURE</w:t>
            </w:r>
          </w:p>
        </w:tc>
        <w:tc>
          <w:tcPr>
            <w:tcW w:type="dxa" w:w="979"/>
            <w:tcMar>
              <w:top w:w="50" w:type="dxa"/>
              <w:bottom w:w="50" w:type="dxa"/>
              <w:left w:w="90" w:type="dxa"/>
              <w:right w:w="90" w:type="dxa"/>
            </w:tcMar>
          </w:tcPr>
          <w:p>
            <w:pPr>
              <w:pStyle w:val="BDOITable"/>
            </w:pPr>
            <w:r>
              <w:rPr>
                <w:sz w:val="15"/>
              </w:rPr>
              <w:t>IQ10</w:t>
            </w:r>
          </w:p>
        </w:tc>
      </w:tr>
      <w:tr>
        <w:trPr>
          <w:cantSplit w:val="true"/>
        </w:trPr>
        <w:tc>
          <w:tcPr>
            <w:tcW w:type="dxa" w:w="840"/>
            <w:tcMar>
              <w:top w:w="50" w:type="dxa"/>
              <w:bottom w:w="50" w:type="dxa"/>
              <w:left w:w="90" w:type="dxa"/>
              <w:right w:w="90" w:type="dxa"/>
            </w:tcMar>
            <w:shd w:val="clear" w:color="auto" w:fill="E5F5FF"/>
          </w:tcPr>
          <w:p>
            <w:pPr>
              <w:pStyle w:val="BDOITable"/>
            </w:pPr>
            <w:r>
              <w:rPr>
                <w:b/>
                <w:sz w:val="15"/>
              </w:rPr>
              <w:t>INT-10</w:t>
            </w:r>
          </w:p>
        </w:tc>
        <w:tc>
          <w:tcPr>
            <w:tcW w:type="dxa" w:w="1819"/>
            <w:tcMar>
              <w:top w:w="50" w:type="dxa"/>
              <w:bottom w:w="50" w:type="dxa"/>
              <w:left w:w="90" w:type="dxa"/>
              <w:right w:w="90" w:type="dxa"/>
            </w:tcMar>
            <w:shd w:val="clear" w:color="auto" w:fill="E5F5FF"/>
          </w:tcPr>
          <w:p>
            <w:pPr>
              <w:pStyle w:val="BDOITable"/>
            </w:pPr>
            <w:r>
              <w:rPr>
                <w:sz w:val="15"/>
              </w:rPr>
              <w:t>AFTS</w:t>
            </w:r>
          </w:p>
        </w:tc>
        <w:tc>
          <w:tcPr>
            <w:tcW w:type="dxa" w:w="1399"/>
            <w:tcMar>
              <w:top w:w="50" w:type="dxa"/>
              <w:bottom w:w="50" w:type="dxa"/>
              <w:left w:w="90" w:type="dxa"/>
              <w:right w:w="90" w:type="dxa"/>
            </w:tcMar>
            <w:shd w:val="clear" w:color="auto" w:fill="E5F5FF"/>
          </w:tcPr>
          <w:p>
            <w:pPr>
              <w:pStyle w:val="BDOITable"/>
            </w:pPr>
            <w:r>
              <w:rPr>
                <w:sz w:val="15"/>
              </w:rPr>
              <w:t>Drop 0</w:t>
            </w:r>
          </w:p>
        </w:tc>
        <w:tc>
          <w:tcPr>
            <w:tcW w:type="dxa" w:w="2938"/>
            <w:tcMar>
              <w:top w:w="50" w:type="dxa"/>
              <w:bottom w:w="50" w:type="dxa"/>
              <w:left w:w="90" w:type="dxa"/>
              <w:right w:w="90" w:type="dxa"/>
            </w:tcMar>
            <w:shd w:val="clear" w:color="auto" w:fill="E5F5FF"/>
          </w:tcPr>
          <w:p>
            <w:pPr>
              <w:pStyle w:val="BDOITable"/>
            </w:pPr>
            <w:r>
              <w:rPr>
                <w:sz w:val="15"/>
              </w:rPr>
              <w:t>Automatic Fund Transfer System (on the slide; not explained in the answers)</w:t>
            </w:r>
          </w:p>
        </w:tc>
        <w:tc>
          <w:tcPr>
            <w:tcW w:type="dxa" w:w="1819"/>
            <w:tcMar>
              <w:top w:w="50" w:type="dxa"/>
              <w:bottom w:w="50" w:type="dxa"/>
              <w:left w:w="90" w:type="dxa"/>
              <w:right w:w="90" w:type="dxa"/>
            </w:tcMar>
            <w:shd w:val="clear" w:color="auto" w:fill="E5F5FF"/>
          </w:tcPr>
          <w:p>
            <w:pPr>
              <w:pStyle w:val="BDOITable"/>
            </w:pPr>
            <w:r>
              <w:rPr>
                <w:sz w:val="15"/>
              </w:rPr>
              <w:t>To confirm</w:t>
            </w:r>
          </w:p>
        </w:tc>
        <w:tc>
          <w:tcPr>
            <w:tcW w:type="dxa" w:w="2379"/>
            <w:tcMar>
              <w:top w:w="50" w:type="dxa"/>
              <w:bottom w:w="50" w:type="dxa"/>
              <w:left w:w="90" w:type="dxa"/>
              <w:right w:w="90" w:type="dxa"/>
            </w:tcMar>
            <w:shd w:val="clear" w:color="auto" w:fill="E5F5FF"/>
          </w:tcPr>
          <w:p>
            <w:pPr>
              <w:pStyle w:val="BDOITable"/>
            </w:pPr>
            <w:r>
              <w:rPr>
                <w:sz w:val="15"/>
              </w:rPr>
              <w:t>cashiering or disbursement</w:t>
            </w:r>
          </w:p>
        </w:tc>
        <w:tc>
          <w:tcPr>
            <w:tcW w:type="dxa" w:w="1399"/>
            <w:tcMar>
              <w:top w:w="50" w:type="dxa"/>
              <w:bottom w:w="50" w:type="dxa"/>
              <w:left w:w="90" w:type="dxa"/>
              <w:right w:w="90" w:type="dxa"/>
            </w:tcMar>
            <w:shd w:val="clear" w:color="auto" w:fill="FFF4D6"/>
          </w:tcPr>
          <w:p>
            <w:pPr>
              <w:pStyle w:val="BDOITable"/>
            </w:pPr>
            <w:r>
              <w:rPr>
                <w:b/>
                <w:color w:val="8A5A00"/>
                <w:sz w:val="15"/>
              </w:rPr>
              <w:t>CHANGE</w:t>
            </w:r>
          </w:p>
        </w:tc>
        <w:tc>
          <w:tcPr>
            <w:tcW w:type="dxa" w:w="979"/>
            <w:tcMar>
              <w:top w:w="50" w:type="dxa"/>
              <w:bottom w:w="50" w:type="dxa"/>
              <w:left w:w="90" w:type="dxa"/>
              <w:right w:w="90" w:type="dxa"/>
            </w:tcMar>
            <w:shd w:val="clear" w:color="auto" w:fill="E5F5FF"/>
          </w:tcPr>
          <w:p>
            <w:pPr>
              <w:pStyle w:val="BDOITable"/>
            </w:pPr>
            <w:r>
              <w:rPr>
                <w:sz w:val="15"/>
              </w:rPr>
              <w:t>IQ10</w:t>
            </w:r>
          </w:p>
        </w:tc>
      </w:tr>
      <w:tr>
        <w:trPr>
          <w:cantSplit w:val="true"/>
        </w:trPr>
        <w:tc>
          <w:tcPr>
            <w:tcW w:type="dxa" w:w="840"/>
            <w:tcMar>
              <w:top w:w="50" w:type="dxa"/>
              <w:bottom w:w="50" w:type="dxa"/>
              <w:left w:w="90" w:type="dxa"/>
              <w:right w:w="90" w:type="dxa"/>
            </w:tcMar>
          </w:tcPr>
          <w:p>
            <w:pPr>
              <w:pStyle w:val="BDOITable"/>
            </w:pPr>
            <w:r>
              <w:rPr>
                <w:b/>
                <w:sz w:val="15"/>
              </w:rPr>
              <w:t>INT-11</w:t>
            </w:r>
          </w:p>
        </w:tc>
        <w:tc>
          <w:tcPr>
            <w:tcW w:type="dxa" w:w="1819"/>
            <w:tcMar>
              <w:top w:w="50" w:type="dxa"/>
              <w:bottom w:w="50" w:type="dxa"/>
              <w:left w:w="90" w:type="dxa"/>
              <w:right w:w="90" w:type="dxa"/>
            </w:tcMar>
          </w:tcPr>
          <w:p>
            <w:pPr>
              <w:pStyle w:val="BDOITable"/>
            </w:pPr>
            <w:r>
              <w:rPr>
                <w:sz w:val="15"/>
              </w:rPr>
              <w:t>ICBS</w:t>
            </w:r>
          </w:p>
        </w:tc>
        <w:tc>
          <w:tcPr>
            <w:tcW w:type="dxa" w:w="1399"/>
            <w:tcMar>
              <w:top w:w="50" w:type="dxa"/>
              <w:bottom w:w="50" w:type="dxa"/>
              <w:left w:w="90" w:type="dxa"/>
              <w:right w:w="90" w:type="dxa"/>
            </w:tcMar>
          </w:tcPr>
          <w:p>
            <w:pPr>
              <w:pStyle w:val="BDOITable"/>
            </w:pPr>
            <w:r>
              <w:rPr>
                <w:sz w:val="15"/>
              </w:rPr>
              <w:t>Drop 0 (struck through)</w:t>
            </w:r>
          </w:p>
        </w:tc>
        <w:tc>
          <w:tcPr>
            <w:tcW w:type="dxa" w:w="2938"/>
            <w:tcMar>
              <w:top w:w="50" w:type="dxa"/>
              <w:bottom w:w="50" w:type="dxa"/>
              <w:left w:w="90" w:type="dxa"/>
              <w:right w:w="90" w:type="dxa"/>
            </w:tcMar>
          </w:tcPr>
          <w:p>
            <w:pPr>
              <w:pStyle w:val="BDOITable"/>
            </w:pPr>
            <w:r>
              <w:rPr>
                <w:sz w:val="15"/>
              </w:rPr>
              <w:t>Struck through on the slide</w:t>
            </w:r>
          </w:p>
        </w:tc>
        <w:tc>
          <w:tcPr>
            <w:tcW w:type="dxa" w:w="1819"/>
            <w:tcMar>
              <w:top w:w="50" w:type="dxa"/>
              <w:bottom w:w="50" w:type="dxa"/>
              <w:left w:w="90" w:type="dxa"/>
              <w:right w:w="90" w:type="dxa"/>
            </w:tcMar>
          </w:tcPr>
          <w:p>
            <w:pPr>
              <w:pStyle w:val="BDOITable"/>
            </w:pPr>
            <w:r>
              <w:rPr>
                <w:sz w:val="15"/>
              </w:rPr>
              <w:t>-</w:t>
            </w:r>
          </w:p>
        </w:tc>
        <w:tc>
          <w:tcPr>
            <w:tcW w:type="dxa" w:w="2379"/>
            <w:tcMar>
              <w:top w:w="50" w:type="dxa"/>
              <w:bottom w:w="50" w:type="dxa"/>
              <w:left w:w="90" w:type="dxa"/>
              <w:right w:w="90" w:type="dxa"/>
            </w:tcMar>
          </w:tcPr>
          <w:p>
            <w:pPr>
              <w:pStyle w:val="BDOITable"/>
            </w:pPr>
            <w:r>
              <w:rPr>
                <w:sz w:val="15"/>
              </w:rPr>
              <w:t>-</w:t>
            </w:r>
          </w:p>
        </w:tc>
        <w:tc>
          <w:tcPr>
            <w:tcW w:type="dxa" w:w="1399"/>
            <w:tcMar>
              <w:top w:w="50" w:type="dxa"/>
              <w:bottom w:w="50" w:type="dxa"/>
              <w:left w:w="90" w:type="dxa"/>
              <w:right w:w="90" w:type="dxa"/>
            </w:tcMar>
            <w:shd w:val="clear" w:color="auto" w:fill="F6F6F6"/>
          </w:tcPr>
          <w:p>
            <w:pPr>
              <w:pStyle w:val="BDOITable"/>
            </w:pPr>
            <w:r>
              <w:rPr>
                <w:b/>
                <w:color w:val="656565"/>
                <w:sz w:val="15"/>
              </w:rPr>
              <w:t>OUT</w:t>
            </w:r>
          </w:p>
        </w:tc>
        <w:tc>
          <w:tcPr>
            <w:tcW w:type="dxa" w:w="979"/>
            <w:tcMar>
              <w:top w:w="50" w:type="dxa"/>
              <w:bottom w:w="50" w:type="dxa"/>
              <w:left w:w="90" w:type="dxa"/>
              <w:right w:w="90" w:type="dxa"/>
            </w:tcMar>
          </w:tcPr>
          <w:p>
            <w:pPr>
              <w:pStyle w:val="BDOITable"/>
            </w:pPr>
            <w:r>
              <w:rPr>
                <w:sz w:val="15"/>
              </w:rPr>
              <w:t>IQ10</w:t>
            </w:r>
          </w:p>
        </w:tc>
      </w:tr>
      <w:tr>
        <w:trPr>
          <w:cantSplit w:val="true"/>
        </w:trPr>
        <w:tc>
          <w:tcPr>
            <w:tcW w:type="dxa" w:w="840"/>
            <w:tcMar>
              <w:top w:w="50" w:type="dxa"/>
              <w:bottom w:w="50" w:type="dxa"/>
              <w:left w:w="90" w:type="dxa"/>
              <w:right w:w="90" w:type="dxa"/>
            </w:tcMar>
            <w:shd w:val="clear" w:color="auto" w:fill="E5F5FF"/>
          </w:tcPr>
          <w:p>
            <w:pPr>
              <w:pStyle w:val="BDOITable"/>
            </w:pPr>
            <w:r>
              <w:rPr>
                <w:b/>
                <w:sz w:val="15"/>
              </w:rPr>
              <w:t>INT-12</w:t>
            </w:r>
          </w:p>
        </w:tc>
        <w:tc>
          <w:tcPr>
            <w:tcW w:type="dxa" w:w="1819"/>
            <w:tcMar>
              <w:top w:w="50" w:type="dxa"/>
              <w:bottom w:w="50" w:type="dxa"/>
              <w:left w:w="90" w:type="dxa"/>
              <w:right w:w="90" w:type="dxa"/>
            </w:tcMar>
            <w:shd w:val="clear" w:color="auto" w:fill="E5F5FF"/>
          </w:tcPr>
          <w:p>
            <w:pPr>
              <w:pStyle w:val="BDOITable"/>
            </w:pPr>
            <w:r>
              <w:rPr>
                <w:sz w:val="15"/>
              </w:rPr>
              <w:t>ECM</w:t>
            </w:r>
          </w:p>
        </w:tc>
        <w:tc>
          <w:tcPr>
            <w:tcW w:type="dxa" w:w="1399"/>
            <w:tcMar>
              <w:top w:w="50" w:type="dxa"/>
              <w:bottom w:w="50" w:type="dxa"/>
              <w:left w:w="90" w:type="dxa"/>
              <w:right w:w="90" w:type="dxa"/>
            </w:tcMar>
            <w:shd w:val="clear" w:color="auto" w:fill="E5F5FF"/>
          </w:tcPr>
          <w:p>
            <w:pPr>
              <w:pStyle w:val="BDOITable"/>
            </w:pPr>
            <w:r>
              <w:rPr>
                <w:sz w:val="15"/>
              </w:rPr>
              <w:t>Drop 0</w:t>
            </w:r>
          </w:p>
        </w:tc>
        <w:tc>
          <w:tcPr>
            <w:tcW w:type="dxa" w:w="2938"/>
            <w:tcMar>
              <w:top w:w="50" w:type="dxa"/>
              <w:bottom w:w="50" w:type="dxa"/>
              <w:left w:w="90" w:type="dxa"/>
              <w:right w:w="90" w:type="dxa"/>
            </w:tcMar>
            <w:shd w:val="clear" w:color="auto" w:fill="E5F5FF"/>
          </w:tcPr>
          <w:p>
            <w:pPr>
              <w:pStyle w:val="BDOITable"/>
            </w:pPr>
            <w:r>
              <w:rPr>
                <w:sz w:val="15"/>
              </w:rPr>
              <w:t>Enterprise Content Management</w:t>
            </w:r>
          </w:p>
        </w:tc>
        <w:tc>
          <w:tcPr>
            <w:tcW w:type="dxa" w:w="1819"/>
            <w:tcMar>
              <w:top w:w="50" w:type="dxa"/>
              <w:bottom w:w="50" w:type="dxa"/>
              <w:left w:w="90" w:type="dxa"/>
              <w:right w:w="90" w:type="dxa"/>
            </w:tcMar>
            <w:shd w:val="clear" w:color="auto" w:fill="E5F5FF"/>
          </w:tcPr>
          <w:p>
            <w:pPr>
              <w:pStyle w:val="BDOITable"/>
            </w:pPr>
            <w:r>
              <w:rPr>
                <w:sz w:val="15"/>
              </w:rPr>
              <w:t>To confirm (possibly inbound legacy documents only)</w:t>
            </w:r>
          </w:p>
        </w:tc>
        <w:tc>
          <w:tcPr>
            <w:tcW w:type="dxa" w:w="2379"/>
            <w:tcMar>
              <w:top w:w="50" w:type="dxa"/>
              <w:bottom w:w="50" w:type="dxa"/>
              <w:left w:w="90" w:type="dxa"/>
              <w:right w:w="90" w:type="dxa"/>
            </w:tcMar>
            <w:shd w:val="clear" w:color="auto" w:fill="E5F5FF"/>
          </w:tcPr>
          <w:p>
            <w:pPr>
              <w:pStyle w:val="BDOITable"/>
            </w:pPr>
            <w:r>
              <w:rPr>
                <w:sz w:val="15"/>
              </w:rPr>
              <w:t>attachment; migration archive (designed)</w:t>
            </w:r>
          </w:p>
        </w:tc>
        <w:tc>
          <w:tcPr>
            <w:tcW w:type="dxa" w:w="1399"/>
            <w:tcMar>
              <w:top w:w="50" w:type="dxa"/>
              <w:bottom w:w="50" w:type="dxa"/>
              <w:left w:w="90" w:type="dxa"/>
              <w:right w:w="90" w:type="dxa"/>
            </w:tcMar>
            <w:shd w:val="clear" w:color="auto" w:fill="F6F6F6"/>
          </w:tcPr>
          <w:p>
            <w:pPr>
              <w:pStyle w:val="BDOITable"/>
            </w:pPr>
            <w:r>
              <w:rPr>
                <w:b/>
                <w:color w:val="656565"/>
                <w:sz w:val="15"/>
              </w:rPr>
              <w:t>OUT</w:t>
            </w:r>
          </w:p>
        </w:tc>
        <w:tc>
          <w:tcPr>
            <w:tcW w:type="dxa" w:w="979"/>
            <w:tcMar>
              <w:top w:w="50" w:type="dxa"/>
              <w:bottom w:w="50" w:type="dxa"/>
              <w:left w:w="90" w:type="dxa"/>
              <w:right w:w="90" w:type="dxa"/>
            </w:tcMar>
            <w:shd w:val="clear" w:color="auto" w:fill="E5F5FF"/>
          </w:tcPr>
          <w:p>
            <w:pPr>
              <w:pStyle w:val="BDOITable"/>
            </w:pPr>
            <w:r>
              <w:rPr>
                <w:sz w:val="15"/>
              </w:rPr>
              <w:t>IQ13</w:t>
            </w:r>
          </w:p>
        </w:tc>
      </w:tr>
      <w:tr>
        <w:trPr>
          <w:cantSplit w:val="true"/>
        </w:trPr>
        <w:tc>
          <w:tcPr>
            <w:tcW w:type="dxa" w:w="840"/>
            <w:tcMar>
              <w:top w:w="50" w:type="dxa"/>
              <w:bottom w:w="50" w:type="dxa"/>
              <w:left w:w="90" w:type="dxa"/>
              <w:right w:w="90" w:type="dxa"/>
            </w:tcMar>
          </w:tcPr>
          <w:p>
            <w:pPr>
              <w:pStyle w:val="BDOITable"/>
            </w:pPr>
            <w:r>
              <w:rPr>
                <w:b/>
                <w:sz w:val="15"/>
              </w:rPr>
              <w:t>INT-13</w:t>
            </w:r>
          </w:p>
        </w:tc>
        <w:tc>
          <w:tcPr>
            <w:tcW w:type="dxa" w:w="1819"/>
            <w:tcMar>
              <w:top w:w="50" w:type="dxa"/>
              <w:bottom w:w="50" w:type="dxa"/>
              <w:left w:w="90" w:type="dxa"/>
              <w:right w:w="90" w:type="dxa"/>
            </w:tcMar>
          </w:tcPr>
          <w:p>
            <w:pPr>
              <w:pStyle w:val="BDOITable"/>
            </w:pPr>
            <w:r>
              <w:rPr>
                <w:sz w:val="15"/>
              </w:rPr>
              <w:t>CCM</w:t>
            </w:r>
          </w:p>
        </w:tc>
        <w:tc>
          <w:tcPr>
            <w:tcW w:type="dxa" w:w="1399"/>
            <w:tcMar>
              <w:top w:w="50" w:type="dxa"/>
              <w:bottom w:w="50" w:type="dxa"/>
              <w:left w:w="90" w:type="dxa"/>
              <w:right w:w="90" w:type="dxa"/>
            </w:tcMar>
          </w:tcPr>
          <w:p>
            <w:pPr>
              <w:pStyle w:val="BDOITable"/>
            </w:pPr>
            <w:r>
              <w:rPr>
                <w:sz w:val="15"/>
              </w:rPr>
              <w:t>Drop 0</w:t>
            </w:r>
          </w:p>
        </w:tc>
        <w:tc>
          <w:tcPr>
            <w:tcW w:type="dxa" w:w="2938"/>
            <w:tcMar>
              <w:top w:w="50" w:type="dxa"/>
              <w:bottom w:w="50" w:type="dxa"/>
              <w:left w:w="90" w:type="dxa"/>
              <w:right w:w="90" w:type="dxa"/>
            </w:tcMar>
          </w:tcPr>
          <w:p>
            <w:pPr>
              <w:pStyle w:val="BDOITable"/>
            </w:pPr>
            <w:r>
              <w:rPr>
                <w:sz w:val="15"/>
              </w:rPr>
              <w:t>Centralized Communications Management, e-mail sending</w:t>
            </w:r>
          </w:p>
        </w:tc>
        <w:tc>
          <w:tcPr>
            <w:tcW w:type="dxa" w:w="1819"/>
            <w:tcMar>
              <w:top w:w="50" w:type="dxa"/>
              <w:bottom w:w="50" w:type="dxa"/>
              <w:left w:w="90" w:type="dxa"/>
              <w:right w:w="90" w:type="dxa"/>
            </w:tcMar>
          </w:tcPr>
          <w:p>
            <w:pPr>
              <w:pStyle w:val="BDOITable"/>
            </w:pPr>
            <w:r>
              <w:rPr>
                <w:sz w:val="15"/>
              </w:rPr>
              <w:t>Outbound; delivery status inbound</w:t>
            </w:r>
          </w:p>
        </w:tc>
        <w:tc>
          <w:tcPr>
            <w:tcW w:type="dxa" w:w="2379"/>
            <w:tcMar>
              <w:top w:w="50" w:type="dxa"/>
              <w:bottom w:w="50" w:type="dxa"/>
              <w:left w:w="90" w:type="dxa"/>
              <w:right w:w="90" w:type="dxa"/>
            </w:tcMar>
          </w:tcPr>
          <w:p>
            <w:pPr>
              <w:pStyle w:val="BDOITable"/>
            </w:pPr>
            <w:r>
              <w:rPr>
                <w:sz w:val="15"/>
              </w:rPr>
              <w:t>messaging</w:t>
            </w:r>
          </w:p>
        </w:tc>
        <w:tc>
          <w:tcPr>
            <w:tcW w:type="dxa" w:w="1399"/>
            <w:tcMar>
              <w:top w:w="50" w:type="dxa"/>
              <w:bottom w:w="50" w:type="dxa"/>
              <w:left w:w="90" w:type="dxa"/>
              <w:right w:w="90" w:type="dxa"/>
            </w:tcMar>
            <w:shd w:val="clear" w:color="auto" w:fill="E5F5FF"/>
          </w:tcPr>
          <w:p>
            <w:pPr>
              <w:pStyle w:val="BDOITable"/>
            </w:pPr>
            <w:r>
              <w:rPr>
                <w:b/>
                <w:color w:val="004EA8"/>
                <w:sz w:val="15"/>
              </w:rPr>
              <w:t>CONFIGURE</w:t>
            </w:r>
          </w:p>
        </w:tc>
        <w:tc>
          <w:tcPr>
            <w:tcW w:type="dxa" w:w="979"/>
            <w:tcMar>
              <w:top w:w="50" w:type="dxa"/>
              <w:bottom w:w="50" w:type="dxa"/>
              <w:left w:w="90" w:type="dxa"/>
              <w:right w:w="90" w:type="dxa"/>
            </w:tcMar>
          </w:tcPr>
          <w:p>
            <w:pPr>
              <w:pStyle w:val="BDOITable"/>
            </w:pPr>
            <w:r>
              <w:rPr>
                <w:sz w:val="15"/>
              </w:rPr>
              <w:t>IQ11</w:t>
            </w:r>
          </w:p>
        </w:tc>
      </w:tr>
      <w:tr>
        <w:trPr>
          <w:cantSplit w:val="true"/>
        </w:trPr>
        <w:tc>
          <w:tcPr>
            <w:tcW w:type="dxa" w:w="840"/>
            <w:tcMar>
              <w:top w:w="50" w:type="dxa"/>
              <w:bottom w:w="50" w:type="dxa"/>
              <w:left w:w="90" w:type="dxa"/>
              <w:right w:w="90" w:type="dxa"/>
            </w:tcMar>
            <w:shd w:val="clear" w:color="auto" w:fill="E5F5FF"/>
          </w:tcPr>
          <w:p>
            <w:pPr>
              <w:pStyle w:val="BDOITable"/>
            </w:pPr>
            <w:r>
              <w:rPr>
                <w:b/>
                <w:sz w:val="15"/>
              </w:rPr>
              <w:t>INT-14</w:t>
            </w:r>
          </w:p>
        </w:tc>
        <w:tc>
          <w:tcPr>
            <w:tcW w:type="dxa" w:w="1819"/>
            <w:tcMar>
              <w:top w:w="50" w:type="dxa"/>
              <w:bottom w:w="50" w:type="dxa"/>
              <w:left w:w="90" w:type="dxa"/>
              <w:right w:w="90" w:type="dxa"/>
            </w:tcMar>
            <w:shd w:val="clear" w:color="auto" w:fill="E5F5FF"/>
          </w:tcPr>
          <w:p>
            <w:pPr>
              <w:pStyle w:val="BDOITable"/>
            </w:pPr>
            <w:r>
              <w:rPr>
                <w:sz w:val="15"/>
              </w:rPr>
              <w:t>M365 Exchange</w:t>
            </w:r>
          </w:p>
        </w:tc>
        <w:tc>
          <w:tcPr>
            <w:tcW w:type="dxa" w:w="1399"/>
            <w:tcMar>
              <w:top w:w="50" w:type="dxa"/>
              <w:bottom w:w="50" w:type="dxa"/>
              <w:left w:w="90" w:type="dxa"/>
              <w:right w:w="90" w:type="dxa"/>
            </w:tcMar>
            <w:shd w:val="clear" w:color="auto" w:fill="E5F5FF"/>
          </w:tcPr>
          <w:p>
            <w:pPr>
              <w:pStyle w:val="BDOITable"/>
            </w:pPr>
            <w:r>
              <w:rPr>
                <w:sz w:val="15"/>
              </w:rPr>
              <w:t>Drop 0</w:t>
            </w:r>
          </w:p>
        </w:tc>
        <w:tc>
          <w:tcPr>
            <w:tcW w:type="dxa" w:w="2938"/>
            <w:tcMar>
              <w:top w:w="50" w:type="dxa"/>
              <w:bottom w:w="50" w:type="dxa"/>
              <w:left w:w="90" w:type="dxa"/>
              <w:right w:w="90" w:type="dxa"/>
            </w:tcMar>
            <w:shd w:val="clear" w:color="auto" w:fill="E5F5FF"/>
          </w:tcPr>
          <w:p>
            <w:pPr>
              <w:pStyle w:val="BDOITable"/>
            </w:pPr>
            <w:r>
              <w:rPr>
                <w:sz w:val="15"/>
              </w:rPr>
              <w:t>M365 Exchange</w:t>
            </w:r>
          </w:p>
        </w:tc>
        <w:tc>
          <w:tcPr>
            <w:tcW w:type="dxa" w:w="1819"/>
            <w:tcMar>
              <w:top w:w="50" w:type="dxa"/>
              <w:bottom w:w="50" w:type="dxa"/>
              <w:left w:w="90" w:type="dxa"/>
              <w:right w:w="90" w:type="dxa"/>
            </w:tcMar>
            <w:shd w:val="clear" w:color="auto" w:fill="E5F5FF"/>
          </w:tcPr>
          <w:p>
            <w:pPr>
              <w:pStyle w:val="BDOITable"/>
            </w:pPr>
            <w:r>
              <w:rPr>
                <w:sz w:val="15"/>
              </w:rPr>
              <w:t>Inbound (mailbox reading) and/or outbound</w:t>
            </w:r>
          </w:p>
        </w:tc>
        <w:tc>
          <w:tcPr>
            <w:tcW w:type="dxa" w:w="2379"/>
            <w:tcMar>
              <w:top w:w="50" w:type="dxa"/>
              <w:bottom w:w="50" w:type="dxa"/>
              <w:left w:w="90" w:type="dxa"/>
              <w:right w:w="90" w:type="dxa"/>
            </w:tcMar>
            <w:shd w:val="clear" w:color="auto" w:fill="E5F5FF"/>
          </w:tcPr>
          <w:p>
            <w:pPr>
              <w:pStyle w:val="BDOITable"/>
            </w:pPr>
            <w:r>
              <w:rPr>
                <w:sz w:val="15"/>
              </w:rPr>
              <w:t>quotation (request intake), messaging</w:t>
            </w:r>
          </w:p>
        </w:tc>
        <w:tc>
          <w:tcPr>
            <w:tcW w:type="dxa" w:w="1399"/>
            <w:tcMar>
              <w:top w:w="50" w:type="dxa"/>
              <w:bottom w:w="50" w:type="dxa"/>
              <w:left w:w="90" w:type="dxa"/>
              <w:right w:w="90" w:type="dxa"/>
            </w:tcMar>
            <w:shd w:val="clear" w:color="auto" w:fill="EDE7F6"/>
          </w:tcPr>
          <w:p>
            <w:pPr>
              <w:pStyle w:val="BDOITable"/>
            </w:pPr>
            <w:r>
              <w:rPr>
                <w:b/>
                <w:color w:val="4527A0"/>
                <w:sz w:val="15"/>
              </w:rPr>
              <w:t>NEW</w:t>
            </w:r>
          </w:p>
        </w:tc>
        <w:tc>
          <w:tcPr>
            <w:tcW w:type="dxa" w:w="979"/>
            <w:tcMar>
              <w:top w:w="50" w:type="dxa"/>
              <w:bottom w:w="50" w:type="dxa"/>
              <w:left w:w="90" w:type="dxa"/>
              <w:right w:w="90" w:type="dxa"/>
            </w:tcMar>
            <w:shd w:val="clear" w:color="auto" w:fill="E5F5FF"/>
          </w:tcPr>
          <w:p>
            <w:pPr>
              <w:pStyle w:val="BDOITable"/>
            </w:pPr>
            <w:r>
              <w:rPr>
                <w:sz w:val="15"/>
              </w:rPr>
              <w:t>IQ12</w:t>
            </w:r>
          </w:p>
        </w:tc>
      </w:tr>
      <w:tr>
        <w:trPr>
          <w:cantSplit w:val="true"/>
        </w:trPr>
        <w:tc>
          <w:tcPr>
            <w:tcW w:type="dxa" w:w="840"/>
            <w:tcMar>
              <w:top w:w="50" w:type="dxa"/>
              <w:bottom w:w="50" w:type="dxa"/>
              <w:left w:w="90" w:type="dxa"/>
              <w:right w:w="90" w:type="dxa"/>
            </w:tcMar>
          </w:tcPr>
          <w:p>
            <w:pPr>
              <w:pStyle w:val="BDOITable"/>
            </w:pPr>
            <w:r>
              <w:rPr>
                <w:b/>
                <w:sz w:val="15"/>
              </w:rPr>
              <w:t>INT-15</w:t>
            </w:r>
          </w:p>
        </w:tc>
        <w:tc>
          <w:tcPr>
            <w:tcW w:type="dxa" w:w="1819"/>
            <w:tcMar>
              <w:top w:w="50" w:type="dxa"/>
              <w:bottom w:w="50" w:type="dxa"/>
              <w:left w:w="90" w:type="dxa"/>
              <w:right w:w="90" w:type="dxa"/>
            </w:tcMar>
          </w:tcPr>
          <w:p>
            <w:pPr>
              <w:pStyle w:val="BDOITable"/>
            </w:pPr>
            <w:r>
              <w:rPr>
                <w:sz w:val="15"/>
              </w:rPr>
              <w:t>TFS (manual)</w:t>
            </w:r>
          </w:p>
        </w:tc>
        <w:tc>
          <w:tcPr>
            <w:tcW w:type="dxa" w:w="1399"/>
            <w:tcMar>
              <w:top w:w="50" w:type="dxa"/>
              <w:bottom w:w="50" w:type="dxa"/>
              <w:left w:w="90" w:type="dxa"/>
              <w:right w:w="90" w:type="dxa"/>
            </w:tcMar>
          </w:tcPr>
          <w:p>
            <w:pPr>
              <w:pStyle w:val="BDOITable"/>
            </w:pPr>
            <w:r>
              <w:rPr>
                <w:sz w:val="15"/>
              </w:rPr>
              <w:t>Drop 0</w:t>
            </w:r>
          </w:p>
        </w:tc>
        <w:tc>
          <w:tcPr>
            <w:tcW w:type="dxa" w:w="2938"/>
            <w:tcMar>
              <w:top w:w="50" w:type="dxa"/>
              <w:bottom w:w="50" w:type="dxa"/>
              <w:left w:w="90" w:type="dxa"/>
              <w:right w:w="90" w:type="dxa"/>
            </w:tcMar>
          </w:tcPr>
          <w:p>
            <w:pPr>
              <w:pStyle w:val="BDOITable"/>
            </w:pPr>
            <w:r>
              <w:rPr>
                <w:sz w:val="15"/>
              </w:rPr>
              <w:t>Trade Finance System - client onboarding and payment (manual)</w:t>
            </w:r>
          </w:p>
        </w:tc>
        <w:tc>
          <w:tcPr>
            <w:tcW w:type="dxa" w:w="1819"/>
            <w:tcMar>
              <w:top w:w="50" w:type="dxa"/>
              <w:bottom w:w="50" w:type="dxa"/>
              <w:left w:w="90" w:type="dxa"/>
              <w:right w:w="90" w:type="dxa"/>
            </w:tcMar>
          </w:tcPr>
          <w:p>
            <w:pPr>
              <w:pStyle w:val="BDOITable"/>
            </w:pPr>
            <w:r>
              <w:rPr>
                <w:sz w:val="15"/>
              </w:rPr>
              <w:t>Manual inbound</w:t>
            </w:r>
          </w:p>
        </w:tc>
        <w:tc>
          <w:tcPr>
            <w:tcW w:type="dxa" w:w="2379"/>
            <w:tcMar>
              <w:top w:w="50" w:type="dxa"/>
              <w:bottom w:w="50" w:type="dxa"/>
              <w:left w:w="90" w:type="dxa"/>
              <w:right w:w="90" w:type="dxa"/>
            </w:tcMar>
          </w:tcPr>
          <w:p>
            <w:pPr>
              <w:pStyle w:val="BDOITable"/>
            </w:pPr>
            <w:r>
              <w:rPr>
                <w:sz w:val="15"/>
              </w:rPr>
              <w:t>crm, cashiering</w:t>
            </w:r>
          </w:p>
        </w:tc>
        <w:tc>
          <w:tcPr>
            <w:tcW w:type="dxa" w:w="1399"/>
            <w:tcMar>
              <w:top w:w="50" w:type="dxa"/>
              <w:bottom w:w="50" w:type="dxa"/>
              <w:left w:w="90" w:type="dxa"/>
              <w:right w:w="90" w:type="dxa"/>
            </w:tcMar>
            <w:shd w:val="clear" w:color="auto" w:fill="E8F5E9"/>
          </w:tcPr>
          <w:p>
            <w:pPr>
              <w:pStyle w:val="BDOITable"/>
            </w:pPr>
            <w:r>
              <w:rPr>
                <w:b/>
                <w:color w:val="2E7D32"/>
                <w:sz w:val="15"/>
              </w:rPr>
              <w:t>FIT</w:t>
            </w:r>
          </w:p>
        </w:tc>
        <w:tc>
          <w:tcPr>
            <w:tcW w:type="dxa" w:w="979"/>
            <w:tcMar>
              <w:top w:w="50" w:type="dxa"/>
              <w:bottom w:w="50" w:type="dxa"/>
              <w:left w:w="90" w:type="dxa"/>
              <w:right w:w="90" w:type="dxa"/>
            </w:tcMar>
          </w:tcPr>
          <w:p>
            <w:pPr>
              <w:pStyle w:val="BDOITable"/>
            </w:pPr>
            <w:r>
              <w:rPr>
                <w:sz w:val="15"/>
              </w:rPr>
              <w:t>IQ14</w:t>
            </w:r>
          </w:p>
        </w:tc>
      </w:tr>
      <w:tr>
        <w:trPr>
          <w:cantSplit w:val="true"/>
        </w:trPr>
        <w:tc>
          <w:tcPr>
            <w:tcW w:type="dxa" w:w="840"/>
            <w:tcMar>
              <w:top w:w="50" w:type="dxa"/>
              <w:bottom w:w="50" w:type="dxa"/>
              <w:left w:w="90" w:type="dxa"/>
              <w:right w:w="90" w:type="dxa"/>
            </w:tcMar>
            <w:shd w:val="clear" w:color="auto" w:fill="E5F5FF"/>
          </w:tcPr>
          <w:p>
            <w:pPr>
              <w:pStyle w:val="BDOITable"/>
            </w:pPr>
            <w:r>
              <w:rPr>
                <w:b/>
                <w:sz w:val="15"/>
              </w:rPr>
              <w:t>INT-16</w:t>
            </w:r>
          </w:p>
        </w:tc>
        <w:tc>
          <w:tcPr>
            <w:tcW w:type="dxa" w:w="1819"/>
            <w:tcMar>
              <w:top w:w="50" w:type="dxa"/>
              <w:bottom w:w="50" w:type="dxa"/>
              <w:left w:w="90" w:type="dxa"/>
              <w:right w:w="90" w:type="dxa"/>
            </w:tcMar>
            <w:shd w:val="clear" w:color="auto" w:fill="E5F5FF"/>
          </w:tcPr>
          <w:p>
            <w:pPr>
              <w:pStyle w:val="BDOITable"/>
            </w:pPr>
            <w:r>
              <w:rPr>
                <w:sz w:val="15"/>
              </w:rPr>
              <w:t>EDP - Data Ingestion (SD 11)</w:t>
            </w:r>
          </w:p>
        </w:tc>
        <w:tc>
          <w:tcPr>
            <w:tcW w:type="dxa" w:w="1399"/>
            <w:tcMar>
              <w:top w:w="50" w:type="dxa"/>
              <w:bottom w:w="50" w:type="dxa"/>
              <w:left w:w="90" w:type="dxa"/>
              <w:right w:w="90" w:type="dxa"/>
            </w:tcMar>
            <w:shd w:val="clear" w:color="auto" w:fill="E5F5FF"/>
          </w:tcPr>
          <w:p>
            <w:pPr>
              <w:pStyle w:val="BDOITable"/>
            </w:pPr>
            <w:r>
              <w:rPr>
                <w:sz w:val="15"/>
              </w:rPr>
              <w:t>Drop 2</w:t>
            </w:r>
          </w:p>
        </w:tc>
        <w:tc>
          <w:tcPr>
            <w:tcW w:type="dxa" w:w="2938"/>
            <w:tcMar>
              <w:top w:w="50" w:type="dxa"/>
              <w:bottom w:w="50" w:type="dxa"/>
              <w:left w:w="90" w:type="dxa"/>
              <w:right w:w="90" w:type="dxa"/>
            </w:tcMar>
            <w:shd w:val="clear" w:color="auto" w:fill="E5F5FF"/>
          </w:tcPr>
          <w:p>
            <w:pPr>
              <w:pStyle w:val="BDOITable"/>
            </w:pPr>
            <w:r>
              <w:rPr>
                <w:sz w:val="15"/>
              </w:rPr>
              <w:t>Enterprise Data Platform</w:t>
            </w:r>
          </w:p>
        </w:tc>
        <w:tc>
          <w:tcPr>
            <w:tcW w:type="dxa" w:w="1819"/>
            <w:tcMar>
              <w:top w:w="50" w:type="dxa"/>
              <w:bottom w:w="50" w:type="dxa"/>
              <w:left w:w="90" w:type="dxa"/>
              <w:right w:w="90" w:type="dxa"/>
            </w:tcMar>
            <w:shd w:val="clear" w:color="auto" w:fill="E5F5FF"/>
          </w:tcPr>
          <w:p>
            <w:pPr>
              <w:pStyle w:val="BDOITable"/>
            </w:pPr>
            <w:r>
              <w:rPr>
                <w:sz w:val="15"/>
              </w:rPr>
              <w:t>Outbound</w:t>
            </w:r>
          </w:p>
        </w:tc>
        <w:tc>
          <w:tcPr>
            <w:tcW w:type="dxa" w:w="2379"/>
            <w:tcMar>
              <w:top w:w="50" w:type="dxa"/>
              <w:bottom w:w="50" w:type="dxa"/>
              <w:left w:w="90" w:type="dxa"/>
              <w:right w:w="90" w:type="dxa"/>
            </w:tcMar>
            <w:shd w:val="clear" w:color="auto" w:fill="E5F5FF"/>
          </w:tcPr>
          <w:p>
            <w:pPr>
              <w:pStyle w:val="BDOITable"/>
            </w:pPr>
            <w:r>
              <w:rPr>
                <w:sz w:val="15"/>
              </w:rPr>
              <w:t>platform (events, report)</w:t>
            </w:r>
          </w:p>
        </w:tc>
        <w:tc>
          <w:tcPr>
            <w:tcW w:type="dxa" w:w="1399"/>
            <w:tcMar>
              <w:top w:w="50" w:type="dxa"/>
              <w:bottom w:w="50" w:type="dxa"/>
              <w:left w:w="90" w:type="dxa"/>
              <w:right w:w="90" w:type="dxa"/>
            </w:tcMar>
            <w:shd w:val="clear" w:color="auto" w:fill="EDE7F6"/>
          </w:tcPr>
          <w:p>
            <w:pPr>
              <w:pStyle w:val="BDOITable"/>
            </w:pPr>
            <w:r>
              <w:rPr>
                <w:b/>
                <w:color w:val="4527A0"/>
                <w:sz w:val="15"/>
              </w:rPr>
              <w:t>NEW</w:t>
            </w:r>
          </w:p>
        </w:tc>
        <w:tc>
          <w:tcPr>
            <w:tcW w:type="dxa" w:w="979"/>
            <w:tcMar>
              <w:top w:w="50" w:type="dxa"/>
              <w:bottom w:w="50" w:type="dxa"/>
              <w:left w:w="90" w:type="dxa"/>
              <w:right w:w="90" w:type="dxa"/>
            </w:tcMar>
            <w:shd w:val="clear" w:color="auto" w:fill="E5F5FF"/>
          </w:tcPr>
          <w:p>
            <w:pPr>
              <w:pStyle w:val="BDOITable"/>
            </w:pPr>
            <w:r>
              <w:rPr>
                <w:sz w:val="15"/>
              </w:rPr>
              <w:t>IQ15</w:t>
            </w:r>
          </w:p>
        </w:tc>
      </w:tr>
      <w:tr>
        <w:trPr>
          <w:cantSplit w:val="true"/>
        </w:trPr>
        <w:tc>
          <w:tcPr>
            <w:tcW w:type="dxa" w:w="840"/>
            <w:tcMar>
              <w:top w:w="50" w:type="dxa"/>
              <w:bottom w:w="50" w:type="dxa"/>
              <w:left w:w="90" w:type="dxa"/>
              <w:right w:w="90" w:type="dxa"/>
            </w:tcMar>
          </w:tcPr>
          <w:p>
            <w:pPr>
              <w:pStyle w:val="BDOITable"/>
            </w:pPr>
            <w:r>
              <w:rPr>
                <w:b/>
                <w:sz w:val="15"/>
              </w:rPr>
              <w:t>INT-17</w:t>
            </w:r>
          </w:p>
        </w:tc>
        <w:tc>
          <w:tcPr>
            <w:tcW w:type="dxa" w:w="1819"/>
            <w:tcMar>
              <w:top w:w="50" w:type="dxa"/>
              <w:bottom w:w="50" w:type="dxa"/>
              <w:left w:w="90" w:type="dxa"/>
              <w:right w:w="90" w:type="dxa"/>
            </w:tcMar>
          </w:tcPr>
          <w:p>
            <w:pPr>
              <w:pStyle w:val="BDOITable"/>
            </w:pPr>
            <w:r>
              <w:rPr>
                <w:sz w:val="15"/>
              </w:rPr>
              <w:t>EGL</w:t>
            </w:r>
          </w:p>
        </w:tc>
        <w:tc>
          <w:tcPr>
            <w:tcW w:type="dxa" w:w="1399"/>
            <w:tcMar>
              <w:top w:w="50" w:type="dxa"/>
              <w:bottom w:w="50" w:type="dxa"/>
              <w:left w:w="90" w:type="dxa"/>
              <w:right w:w="90" w:type="dxa"/>
            </w:tcMar>
          </w:tcPr>
          <w:p>
            <w:pPr>
              <w:pStyle w:val="BDOITable"/>
            </w:pPr>
            <w:r>
              <w:rPr>
                <w:sz w:val="15"/>
              </w:rPr>
              <w:t>Drop 2</w:t>
            </w:r>
          </w:p>
        </w:tc>
        <w:tc>
          <w:tcPr>
            <w:tcW w:type="dxa" w:w="2938"/>
            <w:tcMar>
              <w:top w:w="50" w:type="dxa"/>
              <w:bottom w:w="50" w:type="dxa"/>
              <w:left w:w="90" w:type="dxa"/>
              <w:right w:w="90" w:type="dxa"/>
            </w:tcMar>
          </w:tcPr>
          <w:p>
            <w:pPr>
              <w:pStyle w:val="BDOITable"/>
            </w:pPr>
            <w:r>
              <w:rPr>
                <w:sz w:val="15"/>
              </w:rPr>
              <w:t>Enterprise General Ledger</w:t>
            </w:r>
          </w:p>
        </w:tc>
        <w:tc>
          <w:tcPr>
            <w:tcW w:type="dxa" w:w="1819"/>
            <w:tcMar>
              <w:top w:w="50" w:type="dxa"/>
              <w:bottom w:w="50" w:type="dxa"/>
              <w:left w:w="90" w:type="dxa"/>
              <w:right w:w="90" w:type="dxa"/>
            </w:tcMar>
          </w:tcPr>
          <w:p>
            <w:pPr>
              <w:pStyle w:val="BDOITable"/>
            </w:pPr>
            <w:r>
              <w:rPr>
                <w:sz w:val="15"/>
              </w:rPr>
              <w:t>Outbound</w:t>
            </w:r>
          </w:p>
        </w:tc>
        <w:tc>
          <w:tcPr>
            <w:tcW w:type="dxa" w:w="2379"/>
            <w:tcMar>
              <w:top w:w="50" w:type="dxa"/>
              <w:bottom w:w="50" w:type="dxa"/>
              <w:left w:w="90" w:type="dxa"/>
              <w:right w:w="90" w:type="dxa"/>
            </w:tcMar>
          </w:tcPr>
          <w:p>
            <w:pPr>
              <w:pStyle w:val="BDOITable"/>
            </w:pPr>
            <w:r>
              <w:rPr>
                <w:sz w:val="15"/>
              </w:rPr>
              <w:t>journal, ledger, coa, finreport</w:t>
            </w:r>
          </w:p>
        </w:tc>
        <w:tc>
          <w:tcPr>
            <w:tcW w:type="dxa" w:w="1399"/>
            <w:tcMar>
              <w:top w:w="50" w:type="dxa"/>
              <w:bottom w:w="50" w:type="dxa"/>
              <w:left w:w="90" w:type="dxa"/>
              <w:right w:w="90" w:type="dxa"/>
            </w:tcMar>
            <w:shd w:val="clear" w:color="auto" w:fill="EDE7F6"/>
          </w:tcPr>
          <w:p>
            <w:pPr>
              <w:pStyle w:val="BDOITable"/>
            </w:pPr>
            <w:r>
              <w:rPr>
                <w:b/>
                <w:color w:val="4527A0"/>
                <w:sz w:val="15"/>
              </w:rPr>
              <w:t>NEW</w:t>
            </w:r>
          </w:p>
        </w:tc>
        <w:tc>
          <w:tcPr>
            <w:tcW w:type="dxa" w:w="979"/>
            <w:tcMar>
              <w:top w:w="50" w:type="dxa"/>
              <w:bottom w:w="50" w:type="dxa"/>
              <w:left w:w="90" w:type="dxa"/>
              <w:right w:w="90" w:type="dxa"/>
            </w:tcMar>
          </w:tcPr>
          <w:p>
            <w:pPr>
              <w:pStyle w:val="BDOITable"/>
            </w:pPr>
            <w:r>
              <w:rPr>
                <w:sz w:val="15"/>
              </w:rPr>
              <w:t>IQ16</w:t>
            </w:r>
          </w:p>
        </w:tc>
      </w:tr>
      <w:tr>
        <w:trPr>
          <w:cantSplit w:val="true"/>
        </w:trPr>
        <w:tc>
          <w:tcPr>
            <w:tcW w:type="dxa" w:w="840"/>
            <w:tcMar>
              <w:top w:w="50" w:type="dxa"/>
              <w:bottom w:w="50" w:type="dxa"/>
              <w:left w:w="90" w:type="dxa"/>
              <w:right w:w="90" w:type="dxa"/>
            </w:tcMar>
            <w:shd w:val="clear" w:color="auto" w:fill="E5F5FF"/>
          </w:tcPr>
          <w:p>
            <w:pPr>
              <w:pStyle w:val="BDOITable"/>
            </w:pPr>
            <w:r>
              <w:rPr>
                <w:b/>
                <w:sz w:val="15"/>
              </w:rPr>
              <w:t>INT-18</w:t>
            </w:r>
          </w:p>
        </w:tc>
        <w:tc>
          <w:tcPr>
            <w:tcW w:type="dxa" w:w="1819"/>
            <w:tcMar>
              <w:top w:w="50" w:type="dxa"/>
              <w:bottom w:w="50" w:type="dxa"/>
              <w:left w:w="90" w:type="dxa"/>
              <w:right w:w="90" w:type="dxa"/>
            </w:tcMar>
            <w:shd w:val="clear" w:color="auto" w:fill="E5F5FF"/>
          </w:tcPr>
          <w:p>
            <w:pPr>
              <w:pStyle w:val="BDOITable"/>
            </w:pPr>
            <w:r>
              <w:rPr>
                <w:sz w:val="15"/>
              </w:rPr>
              <w:t>CARMS</w:t>
            </w:r>
          </w:p>
        </w:tc>
        <w:tc>
          <w:tcPr>
            <w:tcW w:type="dxa" w:w="1399"/>
            <w:tcMar>
              <w:top w:w="50" w:type="dxa"/>
              <w:bottom w:w="50" w:type="dxa"/>
              <w:left w:w="90" w:type="dxa"/>
              <w:right w:w="90" w:type="dxa"/>
            </w:tcMar>
            <w:shd w:val="clear" w:color="auto" w:fill="E5F5FF"/>
          </w:tcPr>
          <w:p>
            <w:pPr>
              <w:pStyle w:val="BDOITable"/>
            </w:pPr>
            <w:r>
              <w:rPr>
                <w:sz w:val="15"/>
              </w:rPr>
              <w:t>Drop 2</w:t>
            </w:r>
          </w:p>
        </w:tc>
        <w:tc>
          <w:tcPr>
            <w:tcW w:type="dxa" w:w="2938"/>
            <w:tcMar>
              <w:top w:w="50" w:type="dxa"/>
              <w:bottom w:w="50" w:type="dxa"/>
              <w:left w:w="90" w:type="dxa"/>
              <w:right w:w="90" w:type="dxa"/>
            </w:tcMar>
            <w:shd w:val="clear" w:color="auto" w:fill="E5F5FF"/>
          </w:tcPr>
          <w:p>
            <w:pPr>
              <w:pStyle w:val="BDOITable"/>
            </w:pPr>
            <w:r>
              <w:rPr>
                <w:sz w:val="15"/>
              </w:rPr>
              <w:t>Not explained in the answers</w:t>
            </w:r>
          </w:p>
        </w:tc>
        <w:tc>
          <w:tcPr>
            <w:tcW w:type="dxa" w:w="1819"/>
            <w:tcMar>
              <w:top w:w="50" w:type="dxa"/>
              <w:bottom w:w="50" w:type="dxa"/>
              <w:left w:w="90" w:type="dxa"/>
              <w:right w:w="90" w:type="dxa"/>
            </w:tcMar>
            <w:shd w:val="clear" w:color="auto" w:fill="E5F5FF"/>
          </w:tcPr>
          <w:p>
            <w:pPr>
              <w:pStyle w:val="BDOITable"/>
            </w:pPr>
            <w:r>
              <w:rPr>
                <w:sz w:val="15"/>
              </w:rPr>
              <w:t>To confirm</w:t>
            </w:r>
          </w:p>
        </w:tc>
        <w:tc>
          <w:tcPr>
            <w:tcW w:type="dxa" w:w="2379"/>
            <w:tcMar>
              <w:top w:w="50" w:type="dxa"/>
              <w:bottom w:w="50" w:type="dxa"/>
              <w:left w:w="90" w:type="dxa"/>
              <w:right w:w="90" w:type="dxa"/>
            </w:tcMar>
            <w:shd w:val="clear" w:color="auto" w:fill="E5F5FF"/>
          </w:tcPr>
          <w:p>
            <w:pPr>
              <w:pStyle w:val="BDOITable"/>
            </w:pPr>
            <w:r>
              <w:rPr>
                <w:sz w:val="15"/>
              </w:rPr>
              <w:t>To confirm</w:t>
            </w:r>
          </w:p>
        </w:tc>
        <w:tc>
          <w:tcPr>
            <w:tcW w:type="dxa" w:w="1399"/>
            <w:tcMar>
              <w:top w:w="50" w:type="dxa"/>
              <w:bottom w:w="50" w:type="dxa"/>
              <w:left w:w="90" w:type="dxa"/>
              <w:right w:w="90" w:type="dxa"/>
            </w:tcMar>
            <w:shd w:val="clear" w:color="auto" w:fill="EDE7F6"/>
          </w:tcPr>
          <w:p>
            <w:pPr>
              <w:pStyle w:val="BDOITable"/>
            </w:pPr>
            <w:r>
              <w:rPr>
                <w:b/>
                <w:color w:val="4527A0"/>
                <w:sz w:val="15"/>
              </w:rPr>
              <w:t>NEW</w:t>
            </w:r>
          </w:p>
        </w:tc>
        <w:tc>
          <w:tcPr>
            <w:tcW w:type="dxa" w:w="979"/>
            <w:tcMar>
              <w:top w:w="50" w:type="dxa"/>
              <w:bottom w:w="50" w:type="dxa"/>
              <w:left w:w="90" w:type="dxa"/>
              <w:right w:w="90" w:type="dxa"/>
            </w:tcMar>
            <w:shd w:val="clear" w:color="auto" w:fill="E5F5FF"/>
          </w:tcPr>
          <w:p>
            <w:pPr>
              <w:pStyle w:val="BDOITable"/>
            </w:pPr>
            <w:r>
              <w:rPr>
                <w:sz w:val="15"/>
              </w:rPr>
              <w:t>IQ17</w:t>
            </w:r>
          </w:p>
        </w:tc>
      </w:tr>
      <w:tr>
        <w:trPr>
          <w:cantSplit w:val="true"/>
        </w:trPr>
        <w:tc>
          <w:tcPr>
            <w:tcW w:type="dxa" w:w="840"/>
            <w:tcMar>
              <w:top w:w="50" w:type="dxa"/>
              <w:bottom w:w="50" w:type="dxa"/>
              <w:left w:w="90" w:type="dxa"/>
              <w:right w:w="90" w:type="dxa"/>
            </w:tcMar>
          </w:tcPr>
          <w:p>
            <w:pPr>
              <w:pStyle w:val="BDOITable"/>
            </w:pPr>
            <w:r>
              <w:rPr>
                <w:b/>
                <w:sz w:val="15"/>
              </w:rPr>
              <w:t>INT-19</w:t>
            </w:r>
          </w:p>
        </w:tc>
        <w:tc>
          <w:tcPr>
            <w:tcW w:type="dxa" w:w="1819"/>
            <w:tcMar>
              <w:top w:w="50" w:type="dxa"/>
              <w:bottom w:w="50" w:type="dxa"/>
              <w:left w:w="90" w:type="dxa"/>
              <w:right w:w="90" w:type="dxa"/>
            </w:tcMar>
          </w:tcPr>
          <w:p>
            <w:pPr>
              <w:pStyle w:val="BDOITable"/>
            </w:pPr>
            <w:r>
              <w:rPr>
                <w:sz w:val="15"/>
              </w:rPr>
              <w:t>Insurer System</w:t>
            </w:r>
          </w:p>
        </w:tc>
        <w:tc>
          <w:tcPr>
            <w:tcW w:type="dxa" w:w="1399"/>
            <w:tcMar>
              <w:top w:w="50" w:type="dxa"/>
              <w:bottom w:w="50" w:type="dxa"/>
              <w:left w:w="90" w:type="dxa"/>
              <w:right w:w="90" w:type="dxa"/>
            </w:tcMar>
          </w:tcPr>
          <w:p>
            <w:pPr>
              <w:pStyle w:val="BDOITable"/>
            </w:pPr>
            <w:r>
              <w:rPr>
                <w:sz w:val="15"/>
              </w:rPr>
              <w:t>Drop 2</w:t>
            </w:r>
          </w:p>
        </w:tc>
        <w:tc>
          <w:tcPr>
            <w:tcW w:type="dxa" w:w="2938"/>
            <w:tcMar>
              <w:top w:w="50" w:type="dxa"/>
              <w:bottom w:w="50" w:type="dxa"/>
              <w:left w:w="90" w:type="dxa"/>
              <w:right w:w="90" w:type="dxa"/>
            </w:tcMar>
          </w:tcPr>
          <w:p>
            <w:pPr>
              <w:pStyle w:val="BDOITable"/>
            </w:pPr>
            <w:r>
              <w:rPr>
                <w:sz w:val="15"/>
              </w:rPr>
              <w:t>Insurer systems (not detailed)</w:t>
            </w:r>
          </w:p>
        </w:tc>
        <w:tc>
          <w:tcPr>
            <w:tcW w:type="dxa" w:w="1819"/>
            <w:tcMar>
              <w:top w:w="50" w:type="dxa"/>
              <w:bottom w:w="50" w:type="dxa"/>
              <w:left w:w="90" w:type="dxa"/>
              <w:right w:w="90" w:type="dxa"/>
            </w:tcMar>
          </w:tcPr>
          <w:p>
            <w:pPr>
              <w:pStyle w:val="BDOITable"/>
            </w:pPr>
            <w:r>
              <w:rPr>
                <w:sz w:val="15"/>
              </w:rPr>
              <w:t>Both</w:t>
            </w:r>
          </w:p>
        </w:tc>
        <w:tc>
          <w:tcPr>
            <w:tcW w:type="dxa" w:w="2379"/>
            <w:tcMar>
              <w:top w:w="50" w:type="dxa"/>
              <w:bottom w:w="50" w:type="dxa"/>
              <w:left w:w="90" w:type="dxa"/>
              <w:right w:w="90" w:type="dxa"/>
            </w:tcMar>
          </w:tcPr>
          <w:p>
            <w:pPr>
              <w:pStyle w:val="BDOITable"/>
            </w:pPr>
            <w:r>
              <w:rPr>
                <w:sz w:val="15"/>
              </w:rPr>
              <w:t>prodrecon, remittance, commission, renewal, acsl, issuance, brokerclaims</w:t>
            </w:r>
          </w:p>
        </w:tc>
        <w:tc>
          <w:tcPr>
            <w:tcW w:type="dxa" w:w="1399"/>
            <w:tcMar>
              <w:top w:w="50" w:type="dxa"/>
              <w:bottom w:w="50" w:type="dxa"/>
              <w:left w:w="90" w:type="dxa"/>
              <w:right w:w="90" w:type="dxa"/>
            </w:tcMar>
            <w:shd w:val="clear" w:color="auto" w:fill="FFF4D6"/>
          </w:tcPr>
          <w:p>
            <w:pPr>
              <w:pStyle w:val="BDOITable"/>
            </w:pPr>
            <w:r>
              <w:rPr>
                <w:b/>
                <w:color w:val="8A5A00"/>
                <w:sz w:val="15"/>
              </w:rPr>
              <w:t>CHANGE</w:t>
            </w:r>
          </w:p>
        </w:tc>
        <w:tc>
          <w:tcPr>
            <w:tcW w:type="dxa" w:w="979"/>
            <w:tcMar>
              <w:top w:w="50" w:type="dxa"/>
              <w:bottom w:w="50" w:type="dxa"/>
              <w:left w:w="90" w:type="dxa"/>
              <w:right w:w="90" w:type="dxa"/>
            </w:tcMar>
          </w:tcPr>
          <w:p>
            <w:pPr>
              <w:pStyle w:val="BDOITable"/>
            </w:pPr>
            <w:r>
              <w:rPr>
                <w:sz w:val="15"/>
              </w:rPr>
              <w:t>IQ18</w:t>
            </w:r>
          </w:p>
        </w:tc>
      </w:tr>
      <w:tr>
        <w:trPr>
          <w:cantSplit w:val="true"/>
        </w:trPr>
        <w:tc>
          <w:tcPr>
            <w:tcW w:type="dxa" w:w="840"/>
            <w:tcMar>
              <w:top w:w="50" w:type="dxa"/>
              <w:bottom w:w="50" w:type="dxa"/>
              <w:left w:w="90" w:type="dxa"/>
              <w:right w:w="90" w:type="dxa"/>
            </w:tcMar>
            <w:shd w:val="clear" w:color="auto" w:fill="E5F5FF"/>
          </w:tcPr>
          <w:p>
            <w:pPr>
              <w:pStyle w:val="BDOITable"/>
            </w:pPr>
            <w:r>
              <w:rPr>
                <w:b/>
                <w:sz w:val="15"/>
              </w:rPr>
              <w:t>INT-20</w:t>
            </w:r>
          </w:p>
        </w:tc>
        <w:tc>
          <w:tcPr>
            <w:tcW w:type="dxa" w:w="1819"/>
            <w:tcMar>
              <w:top w:w="50" w:type="dxa"/>
              <w:bottom w:w="50" w:type="dxa"/>
              <w:left w:w="90" w:type="dxa"/>
              <w:right w:w="90" w:type="dxa"/>
            </w:tcMar>
            <w:shd w:val="clear" w:color="auto" w:fill="E5F5FF"/>
          </w:tcPr>
          <w:p>
            <w:pPr>
              <w:pStyle w:val="BDOITable"/>
            </w:pPr>
            <w:r>
              <w:rPr>
                <w:sz w:val="15"/>
              </w:rPr>
              <w:t>Bridger Insight XG (manual)</w:t>
            </w:r>
          </w:p>
        </w:tc>
        <w:tc>
          <w:tcPr>
            <w:tcW w:type="dxa" w:w="1399"/>
            <w:tcMar>
              <w:top w:w="50" w:type="dxa"/>
              <w:bottom w:w="50" w:type="dxa"/>
              <w:left w:w="90" w:type="dxa"/>
              <w:right w:w="90" w:type="dxa"/>
            </w:tcMar>
            <w:shd w:val="clear" w:color="auto" w:fill="E5F5FF"/>
          </w:tcPr>
          <w:p>
            <w:pPr>
              <w:pStyle w:val="BDOITable"/>
            </w:pPr>
            <w:r>
              <w:rPr>
                <w:sz w:val="15"/>
              </w:rPr>
              <w:t>Drop 2</w:t>
            </w:r>
          </w:p>
        </w:tc>
        <w:tc>
          <w:tcPr>
            <w:tcW w:type="dxa" w:w="2938"/>
            <w:tcMar>
              <w:top w:w="50" w:type="dxa"/>
              <w:bottom w:w="50" w:type="dxa"/>
              <w:left w:w="90" w:type="dxa"/>
              <w:right w:w="90" w:type="dxa"/>
            </w:tcMar>
            <w:shd w:val="clear" w:color="auto" w:fill="E5F5FF"/>
          </w:tcPr>
          <w:p>
            <w:pPr>
              <w:pStyle w:val="BDOITable"/>
            </w:pPr>
            <w:r>
              <w:rPr>
                <w:sz w:val="15"/>
              </w:rPr>
              <w:t>Bridger Insight XG (screening)</w:t>
            </w:r>
          </w:p>
        </w:tc>
        <w:tc>
          <w:tcPr>
            <w:tcW w:type="dxa" w:w="1819"/>
            <w:tcMar>
              <w:top w:w="50" w:type="dxa"/>
              <w:bottom w:w="50" w:type="dxa"/>
              <w:left w:w="90" w:type="dxa"/>
              <w:right w:w="90" w:type="dxa"/>
            </w:tcMar>
            <w:shd w:val="clear" w:color="auto" w:fill="E5F5FF"/>
          </w:tcPr>
          <w:p>
            <w:pPr>
              <w:pStyle w:val="BDOITable"/>
            </w:pPr>
            <w:r>
              <w:rPr>
                <w:sz w:val="15"/>
              </w:rPr>
              <w:t>Manual</w:t>
            </w:r>
          </w:p>
        </w:tc>
        <w:tc>
          <w:tcPr>
            <w:tcW w:type="dxa" w:w="2379"/>
            <w:tcMar>
              <w:top w:w="50" w:type="dxa"/>
              <w:bottom w:w="50" w:type="dxa"/>
              <w:left w:w="90" w:type="dxa"/>
              <w:right w:w="90" w:type="dxa"/>
            </w:tcMar>
            <w:shd w:val="clear" w:color="auto" w:fill="E5F5FF"/>
          </w:tcPr>
          <w:p>
            <w:pPr>
              <w:pStyle w:val="BDOITable"/>
            </w:pPr>
            <w:r>
              <w:rPr>
                <w:sz w:val="15"/>
              </w:rPr>
              <w:t>screening</w:t>
            </w:r>
          </w:p>
        </w:tc>
        <w:tc>
          <w:tcPr>
            <w:tcW w:type="dxa" w:w="1399"/>
            <w:tcMar>
              <w:top w:w="50" w:type="dxa"/>
              <w:bottom w:w="50" w:type="dxa"/>
              <w:left w:w="90" w:type="dxa"/>
              <w:right w:w="90" w:type="dxa"/>
            </w:tcMar>
            <w:shd w:val="clear" w:color="auto" w:fill="E5F5FF"/>
          </w:tcPr>
          <w:p>
            <w:pPr>
              <w:pStyle w:val="BDOITable"/>
            </w:pPr>
            <w:r>
              <w:rPr>
                <w:b/>
                <w:color w:val="004EA8"/>
                <w:sz w:val="15"/>
              </w:rPr>
              <w:t>CONFIGURE</w:t>
            </w:r>
          </w:p>
        </w:tc>
        <w:tc>
          <w:tcPr>
            <w:tcW w:type="dxa" w:w="979"/>
            <w:tcMar>
              <w:top w:w="50" w:type="dxa"/>
              <w:bottom w:w="50" w:type="dxa"/>
              <w:left w:w="90" w:type="dxa"/>
              <w:right w:w="90" w:type="dxa"/>
            </w:tcMar>
            <w:shd w:val="clear" w:color="auto" w:fill="E5F5FF"/>
          </w:tcPr>
          <w:p>
            <w:pPr>
              <w:pStyle w:val="BDOITable"/>
            </w:pPr>
            <w:r>
              <w:rPr>
                <w:sz w:val="15"/>
              </w:rPr>
              <w:t>IQ19</w:t>
            </w:r>
          </w:p>
        </w:tc>
      </w:tr>
    </w:tbl>
    <w:p>
      <w:pPr>
        <w:pStyle w:val="BDOISpacer"/>
      </w:pPr>
    </w:p>
    <w:p>
      <w:pPr>
        <w:pStyle w:val="Caption"/>
        <w:keepNext/>
        <w:spacing w:after="60"/>
      </w:pPr>
      <w:r>
        <w:rPr>
          <w:b/>
          <w:i w:val="0"/>
        </w:rPr>
        <w:t xml:space="preserve">Table 14: </w:t>
      </w:r>
      <w:r>
        <w:rPr/>
        <w:t>Integration inventory (detail)</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88"/>
        <w:gridCol w:w="1251"/>
        <w:gridCol w:w="2877"/>
        <w:gridCol w:w="1876"/>
        <w:gridCol w:w="2752"/>
        <w:gridCol w:w="2502"/>
        <w:gridCol w:w="1626"/>
      </w:tblGrid>
      <w:tr>
        <w:trPr>
          <w:tblHeader w:val="true"/>
          <w:cantSplit w:val="true"/>
        </w:trPr>
        <w:tc>
          <w:tcPr>
            <w:tcW w:type="dxa" w:w="688"/>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251"/>
            <w:shd w:val="clear" w:color="auto" w:fill="004EA8"/>
            <w:tcMar>
              <w:top w:w="50" w:type="dxa"/>
              <w:bottom w:w="50" w:type="dxa"/>
              <w:left w:w="90" w:type="dxa"/>
              <w:right w:w="90" w:type="dxa"/>
            </w:tcMar>
            <w:vAlign w:val="center"/>
          </w:tcPr>
          <w:p>
            <w:pPr>
              <w:pStyle w:val="BDOITableHeader"/>
            </w:pPr>
            <w:r>
              <w:rPr>
                <w:b/>
                <w:color w:val="FFFFFF"/>
                <w:sz w:val="14"/>
              </w:rPr>
              <w:t>Integration</w:t>
            </w:r>
          </w:p>
        </w:tc>
        <w:tc>
          <w:tcPr>
            <w:tcW w:type="dxa" w:w="2877"/>
            <w:shd w:val="clear" w:color="auto" w:fill="004EA8"/>
            <w:tcMar>
              <w:top w:w="50" w:type="dxa"/>
              <w:bottom w:w="50" w:type="dxa"/>
              <w:left w:w="90" w:type="dxa"/>
              <w:right w:w="90" w:type="dxa"/>
            </w:tcMar>
            <w:vAlign w:val="center"/>
          </w:tcPr>
          <w:p>
            <w:pPr>
              <w:pStyle w:val="BDOITableHeader"/>
            </w:pPr>
            <w:r>
              <w:rPr>
                <w:b/>
                <w:color w:val="FFFFFF"/>
                <w:sz w:val="14"/>
              </w:rPr>
              <w:t>Our understanding (to confirm)</w:t>
            </w:r>
          </w:p>
        </w:tc>
        <w:tc>
          <w:tcPr>
            <w:tcW w:type="dxa" w:w="1876"/>
            <w:shd w:val="clear" w:color="auto" w:fill="004EA8"/>
            <w:tcMar>
              <w:top w:w="50" w:type="dxa"/>
              <w:bottom w:w="50" w:type="dxa"/>
              <w:left w:w="90" w:type="dxa"/>
              <w:right w:w="90" w:type="dxa"/>
            </w:tcMar>
            <w:vAlign w:val="center"/>
          </w:tcPr>
          <w:p>
            <w:pPr>
              <w:pStyle w:val="BDOITableHeader"/>
            </w:pPr>
            <w:r>
              <w:rPr>
                <w:b/>
                <w:color w:val="FFFFFF"/>
                <w:sz w:val="14"/>
              </w:rPr>
              <w:t>Data</w:t>
            </w:r>
          </w:p>
        </w:tc>
        <w:tc>
          <w:tcPr>
            <w:tcW w:type="dxa" w:w="2752"/>
            <w:shd w:val="clear" w:color="auto" w:fill="004EA8"/>
            <w:tcMar>
              <w:top w:w="50" w:type="dxa"/>
              <w:bottom w:w="50" w:type="dxa"/>
              <w:left w:w="90" w:type="dxa"/>
              <w:right w:w="90" w:type="dxa"/>
            </w:tcMar>
            <w:vAlign w:val="center"/>
          </w:tcPr>
          <w:p>
            <w:pPr>
              <w:pStyle w:val="BDOITableHeader"/>
            </w:pPr>
            <w:r>
              <w:rPr>
                <w:b/>
                <w:color w:val="FFFFFF"/>
                <w:sz w:val="14"/>
              </w:rPr>
              <w:t>Existing seam in BIBS</w:t>
            </w:r>
          </w:p>
        </w:tc>
        <w:tc>
          <w:tcPr>
            <w:tcW w:type="dxa" w:w="2502"/>
            <w:shd w:val="clear" w:color="auto" w:fill="004EA8"/>
            <w:tcMar>
              <w:top w:w="50" w:type="dxa"/>
              <w:bottom w:w="50" w:type="dxa"/>
              <w:left w:w="90" w:type="dxa"/>
              <w:right w:w="90" w:type="dxa"/>
            </w:tcMar>
            <w:vAlign w:val="center"/>
          </w:tcPr>
          <w:p>
            <w:pPr>
              <w:pStyle w:val="BDOITableHeader"/>
            </w:pPr>
            <w:r>
              <w:rPr>
                <w:b/>
                <w:color w:val="FFFFFF"/>
                <w:sz w:val="14"/>
              </w:rPr>
              <w:t>Build needed</w:t>
            </w:r>
          </w:p>
        </w:tc>
        <w:tc>
          <w:tcPr>
            <w:tcW w:type="dxa" w:w="1626"/>
            <w:shd w:val="clear" w:color="auto" w:fill="004EA8"/>
            <w:tcMar>
              <w:top w:w="50" w:type="dxa"/>
              <w:bottom w:w="50" w:type="dxa"/>
              <w:left w:w="90" w:type="dxa"/>
              <w:right w:w="90" w:type="dxa"/>
            </w:tcMar>
            <w:vAlign w:val="center"/>
          </w:tcPr>
          <w:p>
            <w:pPr>
              <w:pStyle w:val="BDOITableHeader"/>
            </w:pPr>
            <w:r>
              <w:rPr>
                <w:b/>
                <w:color w:val="FFFFFF"/>
                <w:sz w:val="14"/>
              </w:rPr>
              <w:t>Open</w:t>
            </w:r>
          </w:p>
        </w:tc>
      </w:tr>
      <w:tr>
        <w:trPr>
          <w:cantSplit w:val="true"/>
        </w:trPr>
        <w:tc>
          <w:tcPr>
            <w:tcW w:type="dxa" w:w="688"/>
            <w:tcMar>
              <w:top w:w="50" w:type="dxa"/>
              <w:bottom w:w="50" w:type="dxa"/>
              <w:left w:w="90" w:type="dxa"/>
              <w:right w:w="90" w:type="dxa"/>
            </w:tcMar>
          </w:tcPr>
          <w:p>
            <w:pPr>
              <w:pStyle w:val="BDOITable"/>
            </w:pPr>
            <w:r>
              <w:rPr>
                <w:b/>
                <w:sz w:val="14"/>
              </w:rPr>
              <w:t>INT-01</w:t>
            </w:r>
          </w:p>
        </w:tc>
        <w:tc>
          <w:tcPr>
            <w:tcW w:type="dxa" w:w="1251"/>
            <w:tcMar>
              <w:top w:w="50" w:type="dxa"/>
              <w:bottom w:w="50" w:type="dxa"/>
              <w:left w:w="90" w:type="dxa"/>
              <w:right w:w="90" w:type="dxa"/>
            </w:tcMar>
          </w:tcPr>
          <w:p>
            <w:pPr>
              <w:pStyle w:val="BDOITable"/>
            </w:pPr>
            <w:r>
              <w:rPr>
                <w:sz w:val="14"/>
              </w:rPr>
              <w:t>EIAM (Entra ID)</w:t>
            </w:r>
          </w:p>
        </w:tc>
        <w:tc>
          <w:tcPr>
            <w:tcW w:type="dxa" w:w="2877"/>
            <w:tcMar>
              <w:top w:w="50" w:type="dxa"/>
              <w:bottom w:w="50" w:type="dxa"/>
              <w:left w:w="90" w:type="dxa"/>
              <w:right w:w="90" w:type="dxa"/>
            </w:tcMar>
          </w:tcPr>
          <w:p>
            <w:pPr>
              <w:pStyle w:val="BDOITable"/>
            </w:pPr>
            <w:r>
              <w:rPr>
                <w:sz w:val="14"/>
              </w:rPr>
              <w:t>Single sign-on of BDO users. BIBS redirects to Entra ID (OpenID Connect, authorisation code with PKCE) and maps the returned identity to the BIBS user; roles stay in BIBS.</w:t>
            </w:r>
          </w:p>
        </w:tc>
        <w:tc>
          <w:tcPr>
            <w:tcW w:type="dxa" w:w="1876"/>
            <w:tcMar>
              <w:top w:w="50" w:type="dxa"/>
              <w:bottom w:w="50" w:type="dxa"/>
              <w:left w:w="90" w:type="dxa"/>
              <w:right w:w="90" w:type="dxa"/>
            </w:tcMar>
          </w:tcPr>
          <w:p>
            <w:pPr>
              <w:pStyle w:val="BDOITable"/>
            </w:pPr>
            <w:r>
              <w:rPr>
                <w:sz w:val="14"/>
              </w:rPr>
              <w:t>User identity (UPN or Windows ID, name, e-mail); optional group claims</w:t>
            </w:r>
          </w:p>
        </w:tc>
        <w:tc>
          <w:tcPr>
            <w:tcW w:type="dxa" w:w="2752"/>
            <w:tcMar>
              <w:top w:w="50" w:type="dxa"/>
              <w:bottom w:w="50" w:type="dxa"/>
              <w:left w:w="90" w:type="dxa"/>
              <w:right w:w="90" w:type="dxa"/>
            </w:tcMar>
          </w:tcPr>
          <w:p>
            <w:pPr>
              <w:pStyle w:val="BDOITable"/>
            </w:pPr>
            <w:r>
              <w:rPr>
                <w:sz w:val="14"/>
              </w:rPr>
              <w:t>security.service.directory.DirectoryAuthenticator (password check, LOCAL default; AUTH_MODE); SsoTokenExchange designed, not built (USER_ACCESS_DESIGN section 10)</w:t>
            </w:r>
          </w:p>
        </w:tc>
        <w:tc>
          <w:tcPr>
            <w:tcW w:type="dxa" w:w="2502"/>
            <w:tcMar>
              <w:top w:w="50" w:type="dxa"/>
              <w:bottom w:w="50" w:type="dxa"/>
              <w:left w:w="90" w:type="dxa"/>
              <w:right w:w="90" w:type="dxa"/>
            </w:tcMar>
          </w:tcPr>
          <w:p>
            <w:pPr>
              <w:pStyle w:val="BDOITable"/>
            </w:pPr>
            <w:r>
              <w:rPr>
                <w:sz w:val="14"/>
              </w:rPr>
              <w:t>OIDC log-in (frontend redirect, backend token validation with Spring Security OAuth2), user mapping by sec_user.windows_id or UPN, log-out to Entra, local break-glass administrator; lockout and password rules then sit in Entra ID</w:t>
            </w:r>
          </w:p>
        </w:tc>
        <w:tc>
          <w:tcPr>
            <w:tcW w:type="dxa" w:w="1626"/>
            <w:tcMar>
              <w:top w:w="50" w:type="dxa"/>
              <w:bottom w:w="50" w:type="dxa"/>
              <w:left w:w="90" w:type="dxa"/>
              <w:right w:w="90" w:type="dxa"/>
            </w:tcMar>
          </w:tcPr>
          <w:p>
            <w:pPr>
              <w:pStyle w:val="BDOITable"/>
            </w:pPr>
            <w:r>
              <w:rPr>
                <w:sz w:val="14"/>
              </w:rPr>
              <w:t>Protocol and claims, MFA and conditional access, session life against the 30-minute inactivity rule, non-BDO users</w:t>
            </w:r>
          </w:p>
        </w:tc>
      </w:tr>
      <w:tr>
        <w:trPr>
          <w:cantSplit w:val="true"/>
        </w:trPr>
        <w:tc>
          <w:tcPr>
            <w:tcW w:type="dxa" w:w="688"/>
            <w:tcMar>
              <w:top w:w="50" w:type="dxa"/>
              <w:bottom w:w="50" w:type="dxa"/>
              <w:left w:w="90" w:type="dxa"/>
              <w:right w:w="90" w:type="dxa"/>
            </w:tcMar>
            <w:shd w:val="clear" w:color="auto" w:fill="E5F5FF"/>
          </w:tcPr>
          <w:p>
            <w:pPr>
              <w:pStyle w:val="BDOITable"/>
            </w:pPr>
            <w:r>
              <w:rPr>
                <w:b/>
                <w:sz w:val="14"/>
              </w:rPr>
              <w:t>INT-02</w:t>
            </w:r>
          </w:p>
        </w:tc>
        <w:tc>
          <w:tcPr>
            <w:tcW w:type="dxa" w:w="1251"/>
            <w:tcMar>
              <w:top w:w="50" w:type="dxa"/>
              <w:bottom w:w="50" w:type="dxa"/>
              <w:left w:w="90" w:type="dxa"/>
              <w:right w:w="90" w:type="dxa"/>
            </w:tcMar>
            <w:shd w:val="clear" w:color="auto" w:fill="E5F5FF"/>
          </w:tcPr>
          <w:p>
            <w:pPr>
              <w:pStyle w:val="BDOITable"/>
            </w:pPr>
            <w:r>
              <w:rPr>
                <w:sz w:val="14"/>
              </w:rPr>
              <w:t>UIDM-ISC (IGA)</w:t>
            </w:r>
          </w:p>
        </w:tc>
        <w:tc>
          <w:tcPr>
            <w:tcW w:type="dxa" w:w="2877"/>
            <w:tcMar>
              <w:top w:w="50" w:type="dxa"/>
              <w:bottom w:w="50" w:type="dxa"/>
              <w:left w:w="90" w:type="dxa"/>
              <w:right w:w="90" w:type="dxa"/>
            </w:tcMar>
            <w:shd w:val="clear" w:color="auto" w:fill="E5F5FF"/>
          </w:tcPr>
          <w:p>
            <w:pPr>
              <w:pStyle w:val="BDOITable"/>
            </w:pPr>
            <w:r>
              <w:rPr>
                <w:sz w:val="14"/>
              </w:rPr>
              <w:t>Joiner, mover and leaver provisioning and access certification from the IGA. We read "Identity Security Cloud" as the SailPoint product; to confirm.</w:t>
            </w:r>
          </w:p>
        </w:tc>
        <w:tc>
          <w:tcPr>
            <w:tcW w:type="dxa" w:w="1876"/>
            <w:tcMar>
              <w:top w:w="50" w:type="dxa"/>
              <w:bottom w:w="50" w:type="dxa"/>
              <w:left w:w="90" w:type="dxa"/>
              <w:right w:w="90" w:type="dxa"/>
            </w:tcMar>
            <w:shd w:val="clear" w:color="auto" w:fill="E5F5FF"/>
          </w:tcPr>
          <w:p>
            <w:pPr>
              <w:pStyle w:val="BDOITable"/>
            </w:pPr>
            <w:r>
              <w:rPr>
                <w:sz w:val="14"/>
              </w:rPr>
              <w:t>User accounts, enable / disable, group profiles (BIBS roles) as entitlements</w:t>
            </w:r>
          </w:p>
        </w:tc>
        <w:tc>
          <w:tcPr>
            <w:tcW w:type="dxa" w:w="2752"/>
            <w:tcMar>
              <w:top w:w="50" w:type="dxa"/>
              <w:bottom w:w="50" w:type="dxa"/>
              <w:left w:w="90" w:type="dxa"/>
              <w:right w:w="90" w:type="dxa"/>
            </w:tcMar>
            <w:shd w:val="clear" w:color="auto" w:fill="E5F5FF"/>
          </w:tcPr>
          <w:p>
            <w:pPr>
              <w:pStyle w:val="BDOITable"/>
            </w:pPr>
            <w:r>
              <w:rPr>
                <w:sz w:val="14"/>
              </w:rPr>
              <w:t>None for provisioning. nbadmin request lifecycle and UserAdminService apply changes; ExternalUserProvisioner serves portal users only</w:t>
            </w:r>
          </w:p>
        </w:tc>
        <w:tc>
          <w:tcPr>
            <w:tcW w:type="dxa" w:w="2502"/>
            <w:tcMar>
              <w:top w:w="50" w:type="dxa"/>
              <w:bottom w:w="50" w:type="dxa"/>
              <w:left w:w="90" w:type="dxa"/>
              <w:right w:w="90" w:type="dxa"/>
            </w:tcMar>
            <w:shd w:val="clear" w:color="auto" w:fill="E5F5FF"/>
          </w:tcPr>
          <w:p>
            <w:pPr>
              <w:pStyle w:val="BDOITable"/>
            </w:pPr>
            <w:r>
              <w:rPr>
                <w:sz w:val="14"/>
              </w:rPr>
              <w:t>Provisioning API (SCIM 2.0 Users / Groups, or the connector ISC offers), aggregation export, change-log rows with the ISC request number; decide which BRD-11 request types remain in BIBS</w:t>
            </w:r>
          </w:p>
        </w:tc>
        <w:tc>
          <w:tcPr>
            <w:tcW w:type="dxa" w:w="1626"/>
            <w:tcMar>
              <w:top w:w="50" w:type="dxa"/>
              <w:bottom w:w="50" w:type="dxa"/>
              <w:left w:w="90" w:type="dxa"/>
              <w:right w:w="90" w:type="dxa"/>
            </w:tcMar>
            <w:shd w:val="clear" w:color="auto" w:fill="E5F5FF"/>
          </w:tcPr>
          <w:p>
            <w:pPr>
              <w:pStyle w:val="BDOITable"/>
            </w:pPr>
            <w:r>
              <w:rPr>
                <w:sz w:val="14"/>
              </w:rPr>
              <w:t>Who owns requests and approvals, connector type, entitlement level, certification</w:t>
            </w:r>
          </w:p>
        </w:tc>
      </w:tr>
      <w:tr>
        <w:trPr>
          <w:cantSplit w:val="true"/>
        </w:trPr>
        <w:tc>
          <w:tcPr>
            <w:tcW w:type="dxa" w:w="688"/>
            <w:tcMar>
              <w:top w:w="50" w:type="dxa"/>
              <w:bottom w:w="50" w:type="dxa"/>
              <w:left w:w="90" w:type="dxa"/>
              <w:right w:w="90" w:type="dxa"/>
            </w:tcMar>
          </w:tcPr>
          <w:p>
            <w:pPr>
              <w:pStyle w:val="BDOITable"/>
            </w:pPr>
            <w:r>
              <w:rPr>
                <w:b/>
                <w:sz w:val="14"/>
              </w:rPr>
              <w:t>INT-03</w:t>
            </w:r>
          </w:p>
        </w:tc>
        <w:tc>
          <w:tcPr>
            <w:tcW w:type="dxa" w:w="1251"/>
            <w:tcMar>
              <w:top w:w="50" w:type="dxa"/>
              <w:bottom w:w="50" w:type="dxa"/>
              <w:left w:w="90" w:type="dxa"/>
              <w:right w:w="90" w:type="dxa"/>
            </w:tcMar>
          </w:tcPr>
          <w:p>
            <w:pPr>
              <w:pStyle w:val="BDOITable"/>
            </w:pPr>
            <w:r>
              <w:rPr>
                <w:sz w:val="14"/>
              </w:rPr>
              <w:t>LMS</w:t>
            </w:r>
          </w:p>
        </w:tc>
        <w:tc>
          <w:tcPr>
            <w:tcW w:type="dxa" w:w="2877"/>
            <w:tcMar>
              <w:top w:w="50" w:type="dxa"/>
              <w:bottom w:w="50" w:type="dxa"/>
              <w:left w:w="90" w:type="dxa"/>
              <w:right w:w="90" w:type="dxa"/>
            </w:tcMar>
          </w:tcPr>
          <w:p>
            <w:pPr>
              <w:pStyle w:val="BDOITable"/>
            </w:pPr>
            <w:r>
              <w:rPr>
                <w:sz w:val="14"/>
              </w:rPr>
              <w:t>Bank loan data used by Renewal (paid-off and RMU loans, BRRN.029), Submitted Policies (loan snapshot, PN) and CLPC billing. Probably the source of the "LAMD reports".</w:t>
            </w:r>
          </w:p>
        </w:tc>
        <w:tc>
          <w:tcPr>
            <w:tcW w:type="dxa" w:w="1876"/>
            <w:tcMar>
              <w:top w:w="50" w:type="dxa"/>
              <w:bottom w:w="50" w:type="dxa"/>
              <w:left w:w="90" w:type="dxa"/>
              <w:right w:w="90" w:type="dxa"/>
            </w:tcMar>
          </w:tcPr>
          <w:p>
            <w:pPr>
              <w:pStyle w:val="BDOITable"/>
            </w:pPr>
            <w:r>
              <w:rPr>
                <w:sz w:val="14"/>
              </w:rPr>
              <w:t>PN number, loan status (paid-off, RMU), loan release and amortisation for CLPC</w:t>
            </w:r>
          </w:p>
        </w:tc>
        <w:tc>
          <w:tcPr>
            <w:tcW w:type="dxa" w:w="2752"/>
            <w:tcMar>
              <w:top w:w="50" w:type="dxa"/>
              <w:bottom w:w="50" w:type="dxa"/>
              <w:left w:w="90" w:type="dxa"/>
              <w:right w:w="90" w:type="dxa"/>
            </w:tcMar>
          </w:tcPr>
          <w:p>
            <w:pPr>
              <w:pStyle w:val="BDOITable"/>
            </w:pPr>
            <w:r>
              <w:rPr>
                <w:sz w:val="14"/>
              </w:rPr>
              <w:t>Bulk handlers RNW_LAMD_REPORT and SBM LAMD upload (designed); PaymentReportService / NB-CLPC-BILLING; PAY_CLPC</w:t>
            </w:r>
          </w:p>
        </w:tc>
        <w:tc>
          <w:tcPr>
            <w:tcW w:type="dxa" w:w="2502"/>
            <w:tcMar>
              <w:top w:w="50" w:type="dxa"/>
              <w:bottom w:w="50" w:type="dxa"/>
              <w:left w:w="90" w:type="dxa"/>
              <w:right w:w="90" w:type="dxa"/>
            </w:tcMar>
          </w:tcPr>
          <w:p>
            <w:pPr>
              <w:pStyle w:val="BDOITable"/>
            </w:pPr>
            <w:r>
              <w:rPr>
                <w:sz w:val="14"/>
              </w:rPr>
              <w:t>Layouts per report; automated transfer if LMS delivers files (SFTP drop to S3) instead of user uploads</w:t>
            </w:r>
          </w:p>
        </w:tc>
        <w:tc>
          <w:tcPr>
            <w:tcW w:type="dxa" w:w="1626"/>
            <w:tcMar>
              <w:top w:w="50" w:type="dxa"/>
              <w:bottom w:w="50" w:type="dxa"/>
              <w:left w:w="90" w:type="dxa"/>
              <w:right w:w="90" w:type="dxa"/>
            </w:tcMar>
          </w:tcPr>
          <w:p>
            <w:pPr>
              <w:pStyle w:val="BDOITable"/>
            </w:pPr>
            <w:r>
              <w:rPr>
                <w:sz w:val="14"/>
              </w:rPr>
              <w:t>Which LMS extracts, layouts, frequency, transport</w:t>
            </w:r>
          </w:p>
        </w:tc>
      </w:tr>
      <w:tr>
        <w:trPr>
          <w:cantSplit w:val="true"/>
        </w:trPr>
        <w:tc>
          <w:tcPr>
            <w:tcW w:type="dxa" w:w="688"/>
            <w:tcMar>
              <w:top w:w="50" w:type="dxa"/>
              <w:bottom w:w="50" w:type="dxa"/>
              <w:left w:w="90" w:type="dxa"/>
              <w:right w:w="90" w:type="dxa"/>
            </w:tcMar>
            <w:shd w:val="clear" w:color="auto" w:fill="E5F5FF"/>
          </w:tcPr>
          <w:p>
            <w:pPr>
              <w:pStyle w:val="BDOITable"/>
            </w:pPr>
            <w:r>
              <w:rPr>
                <w:b/>
                <w:sz w:val="14"/>
              </w:rPr>
              <w:t>INT-04</w:t>
            </w:r>
          </w:p>
        </w:tc>
        <w:tc>
          <w:tcPr>
            <w:tcW w:type="dxa" w:w="1251"/>
            <w:tcMar>
              <w:top w:w="50" w:type="dxa"/>
              <w:bottom w:w="50" w:type="dxa"/>
              <w:left w:w="90" w:type="dxa"/>
              <w:right w:w="90" w:type="dxa"/>
            </w:tcMar>
            <w:shd w:val="clear" w:color="auto" w:fill="E5F5FF"/>
          </w:tcPr>
          <w:p>
            <w:pPr>
              <w:pStyle w:val="BDOITable"/>
            </w:pPr>
            <w:r>
              <w:rPr>
                <w:sz w:val="14"/>
              </w:rPr>
              <w:t>HL-LOAS (HLS / LOAS)</w:t>
            </w:r>
          </w:p>
        </w:tc>
        <w:tc>
          <w:tcPr>
            <w:tcW w:type="dxa" w:w="2877"/>
            <w:tcMar>
              <w:top w:w="50" w:type="dxa"/>
              <w:bottom w:w="50" w:type="dxa"/>
              <w:left w:w="90" w:type="dxa"/>
              <w:right w:w="90" w:type="dxa"/>
            </w:tcMar>
            <w:shd w:val="clear" w:color="auto" w:fill="E5F5FF"/>
          </w:tcPr>
          <w:p>
            <w:pPr>
              <w:pStyle w:val="BDOITable"/>
            </w:pPr>
            <w:r>
              <w:rPr>
                <w:sz w:val="14"/>
              </w:rPr>
              <w:t>One system shown twice on the slide. Origination side sends home-insurance quotation requests (BRNB.023) and the daily HLS insurance report (Submitted Policies, CBG Fire); admin side gives the HLS amortised loan data for CLPC billing.</w:t>
            </w:r>
          </w:p>
        </w:tc>
        <w:tc>
          <w:tcPr>
            <w:tcW w:type="dxa" w:w="1876"/>
            <w:tcMar>
              <w:top w:w="50" w:type="dxa"/>
              <w:bottom w:w="50" w:type="dxa"/>
              <w:left w:w="90" w:type="dxa"/>
              <w:right w:w="90" w:type="dxa"/>
            </w:tcMar>
            <w:shd w:val="clear" w:color="auto" w:fill="E5F5FF"/>
          </w:tcPr>
          <w:p>
            <w:pPr>
              <w:pStyle w:val="BDOITable"/>
            </w:pPr>
            <w:r>
              <w:rPr>
                <w:sz w:val="14"/>
              </w:rPr>
              <w:t>Quotation requests (borrower, property, sum insured, PN); HLS insurance report; amortised loan release</w:t>
            </w:r>
          </w:p>
        </w:tc>
        <w:tc>
          <w:tcPr>
            <w:tcW w:type="dxa" w:w="2752"/>
            <w:tcMar>
              <w:top w:w="50" w:type="dxa"/>
              <w:bottom w:w="50" w:type="dxa"/>
              <w:left w:w="90" w:type="dxa"/>
              <w:right w:w="90" w:type="dxa"/>
            </w:tcMar>
            <w:shd w:val="clear" w:color="auto" w:fill="E5F5FF"/>
          </w:tcPr>
          <w:p>
            <w:pPr>
              <w:pStyle w:val="BDOITable"/>
            </w:pPr>
            <w:r>
              <w:rPr>
                <w:sz w:val="14"/>
              </w:rPr>
              <w:t>quotation.service.QuotationRequestSource with job QUOTATION_REQUEST_INTAKE (cron off) and bulk QUOTATION_REQUEST; NB-CLPC-BILLING variants</w:t>
            </w:r>
          </w:p>
        </w:tc>
        <w:tc>
          <w:tcPr>
            <w:tcW w:type="dxa" w:w="2502"/>
            <w:tcMar>
              <w:top w:w="50" w:type="dxa"/>
              <w:bottom w:w="50" w:type="dxa"/>
              <w:left w:w="90" w:type="dxa"/>
              <w:right w:w="90" w:type="dxa"/>
            </w:tcMar>
            <w:shd w:val="clear" w:color="auto" w:fill="E5F5FF"/>
          </w:tcPr>
          <w:p>
            <w:pPr>
              <w:pStyle w:val="BDOITable"/>
            </w:pPr>
            <w:r>
              <w:rPr>
                <w:sz w:val="14"/>
              </w:rPr>
              <w:t>QuotationRequestSource adapter (file or REST) with source authentication; SP intake handler; CLPC layout</w:t>
            </w:r>
          </w:p>
        </w:tc>
        <w:tc>
          <w:tcPr>
            <w:tcW w:type="dxa" w:w="1626"/>
            <w:tcMar>
              <w:top w:w="50" w:type="dxa"/>
              <w:bottom w:w="50" w:type="dxa"/>
              <w:left w:w="90" w:type="dxa"/>
              <w:right w:w="90" w:type="dxa"/>
            </w:tcMar>
            <w:shd w:val="clear" w:color="auto" w:fill="E5F5FF"/>
          </w:tcPr>
          <w:p>
            <w:pPr>
              <w:pStyle w:val="BDOITable"/>
            </w:pPr>
            <w:r>
              <w:rPr>
                <w:sz w:val="14"/>
              </w:rPr>
              <w:t>One interface or two, formats, frequency, transport</w:t>
            </w:r>
          </w:p>
        </w:tc>
      </w:tr>
      <w:tr>
        <w:trPr>
          <w:cantSplit w:val="true"/>
        </w:trPr>
        <w:tc>
          <w:tcPr>
            <w:tcW w:type="dxa" w:w="688"/>
            <w:tcMar>
              <w:top w:w="50" w:type="dxa"/>
              <w:bottom w:w="50" w:type="dxa"/>
              <w:left w:w="90" w:type="dxa"/>
              <w:right w:w="90" w:type="dxa"/>
            </w:tcMar>
          </w:tcPr>
          <w:p>
            <w:pPr>
              <w:pStyle w:val="BDOITable"/>
            </w:pPr>
            <w:r>
              <w:rPr>
                <w:b/>
                <w:sz w:val="14"/>
              </w:rPr>
              <w:t>INT-05</w:t>
            </w:r>
          </w:p>
        </w:tc>
        <w:tc>
          <w:tcPr>
            <w:tcW w:type="dxa" w:w="1251"/>
            <w:tcMar>
              <w:top w:w="50" w:type="dxa"/>
              <w:bottom w:w="50" w:type="dxa"/>
              <w:left w:w="90" w:type="dxa"/>
              <w:right w:w="90" w:type="dxa"/>
            </w:tcMar>
          </w:tcPr>
          <w:p>
            <w:pPr>
              <w:pStyle w:val="BDOITable"/>
            </w:pPr>
            <w:r>
              <w:rPr>
                <w:sz w:val="14"/>
              </w:rPr>
              <w:t>LFS SaaS</w:t>
            </w:r>
          </w:p>
        </w:tc>
        <w:tc>
          <w:tcPr>
            <w:tcW w:type="dxa" w:w="2877"/>
            <w:tcMar>
              <w:top w:w="50" w:type="dxa"/>
              <w:bottom w:w="50" w:type="dxa"/>
              <w:left w:w="90" w:type="dxa"/>
              <w:right w:w="90" w:type="dxa"/>
            </w:tcMar>
          </w:tcPr>
          <w:p>
            <w:pPr>
              <w:pStyle w:val="BDOITable"/>
            </w:pPr>
            <w:r>
              <w:rPr>
                <w:sz w:val="14"/>
              </w:rPr>
              <w:t>Source of the LFS insurance report for Submitted Policies (BRD-12 p.4-5).</w:t>
            </w:r>
          </w:p>
        </w:tc>
        <w:tc>
          <w:tcPr>
            <w:tcW w:type="dxa" w:w="1876"/>
            <w:tcMar>
              <w:top w:w="50" w:type="dxa"/>
              <w:bottom w:w="50" w:type="dxa"/>
              <w:left w:w="90" w:type="dxa"/>
              <w:right w:w="90" w:type="dxa"/>
            </w:tcMar>
          </w:tcPr>
          <w:p>
            <w:pPr>
              <w:pStyle w:val="BDOITable"/>
            </w:pPr>
            <w:r>
              <w:rPr>
                <w:sz w:val="14"/>
              </w:rPr>
              <w:t>Loan-linked policies submitted by borrowers</w:t>
            </w:r>
          </w:p>
        </w:tc>
        <w:tc>
          <w:tcPr>
            <w:tcW w:type="dxa" w:w="2752"/>
            <w:tcMar>
              <w:top w:w="50" w:type="dxa"/>
              <w:bottom w:w="50" w:type="dxa"/>
              <w:left w:w="90" w:type="dxa"/>
              <w:right w:w="90" w:type="dxa"/>
            </w:tcMar>
          </w:tcPr>
          <w:p>
            <w:pPr>
              <w:pStyle w:val="BDOITable"/>
            </w:pPr>
            <w:r>
              <w:rPr>
                <w:sz w:val="14"/>
              </w:rPr>
              <w:t>Submitted-policy intake handlers (SUBMITTED_POLICIES_DESIGN); Q11 / SP-SQ01</w:t>
            </w:r>
          </w:p>
        </w:tc>
        <w:tc>
          <w:tcPr>
            <w:tcW w:type="dxa" w:w="2502"/>
            <w:tcMar>
              <w:top w:w="50" w:type="dxa"/>
              <w:bottom w:w="50" w:type="dxa"/>
              <w:left w:w="90" w:type="dxa"/>
              <w:right w:w="90" w:type="dxa"/>
            </w:tcMar>
          </w:tcPr>
          <w:p>
            <w:pPr>
              <w:pStyle w:val="BDOITable"/>
            </w:pPr>
            <w:r>
              <w:rPr>
                <w:sz w:val="14"/>
              </w:rPr>
              <w:t>Intake layout and transfer; part of the SP build</w:t>
            </w:r>
          </w:p>
        </w:tc>
        <w:tc>
          <w:tcPr>
            <w:tcW w:type="dxa" w:w="1626"/>
            <w:tcMar>
              <w:top w:w="50" w:type="dxa"/>
              <w:bottom w:w="50" w:type="dxa"/>
              <w:left w:w="90" w:type="dxa"/>
              <w:right w:w="90" w:type="dxa"/>
            </w:tcMar>
          </w:tcPr>
          <w:p>
            <w:pPr>
              <w:pStyle w:val="BDOITable"/>
            </w:pPr>
            <w:r>
              <w:rPr>
                <w:sz w:val="14"/>
              </w:rPr>
              <w:t>Drop, layout, transport</w:t>
            </w:r>
          </w:p>
        </w:tc>
      </w:tr>
      <w:tr>
        <w:trPr>
          <w:cantSplit w:val="true"/>
        </w:trPr>
        <w:tc>
          <w:tcPr>
            <w:tcW w:type="dxa" w:w="688"/>
            <w:tcMar>
              <w:top w:w="50" w:type="dxa"/>
              <w:bottom w:w="50" w:type="dxa"/>
              <w:left w:w="90" w:type="dxa"/>
              <w:right w:w="90" w:type="dxa"/>
            </w:tcMar>
            <w:shd w:val="clear" w:color="auto" w:fill="E5F5FF"/>
          </w:tcPr>
          <w:p>
            <w:pPr>
              <w:pStyle w:val="BDOITable"/>
            </w:pPr>
            <w:r>
              <w:rPr>
                <w:b/>
                <w:sz w:val="14"/>
              </w:rPr>
              <w:t>INT-06</w:t>
            </w:r>
          </w:p>
        </w:tc>
        <w:tc>
          <w:tcPr>
            <w:tcW w:type="dxa" w:w="1251"/>
            <w:tcMar>
              <w:top w:w="50" w:type="dxa"/>
              <w:bottom w:w="50" w:type="dxa"/>
              <w:left w:w="90" w:type="dxa"/>
              <w:right w:w="90" w:type="dxa"/>
            </w:tcMar>
            <w:shd w:val="clear" w:color="auto" w:fill="E5F5FF"/>
          </w:tcPr>
          <w:p>
            <w:pPr>
              <w:pStyle w:val="BDOITable"/>
            </w:pPr>
            <w:r>
              <w:rPr>
                <w:sz w:val="14"/>
              </w:rPr>
              <w:t>PMS</w:t>
            </w:r>
          </w:p>
        </w:tc>
        <w:tc>
          <w:tcPr>
            <w:tcW w:type="dxa" w:w="2877"/>
            <w:tcMar>
              <w:top w:w="50" w:type="dxa"/>
              <w:bottom w:w="50" w:type="dxa"/>
              <w:left w:w="90" w:type="dxa"/>
              <w:right w:w="90" w:type="dxa"/>
            </w:tcMar>
            <w:shd w:val="clear" w:color="auto" w:fill="E5F5FF"/>
          </w:tcPr>
          <w:p>
            <w:pPr>
              <w:pStyle w:val="BDOITable"/>
            </w:pPr>
            <w:r>
              <w:rPr>
                <w:sz w:val="14"/>
              </w:rPr>
              <w:t>Holds the post-dated checks in the warehouse. BIBS Cashiering receives the daily PDC list and matures PDCs on their date (CSHID.008 item 4).</w:t>
            </w:r>
          </w:p>
        </w:tc>
        <w:tc>
          <w:tcPr>
            <w:tcW w:type="dxa" w:w="1876"/>
            <w:tcMar>
              <w:top w:w="50" w:type="dxa"/>
              <w:bottom w:w="50" w:type="dxa"/>
              <w:left w:w="90" w:type="dxa"/>
              <w:right w:w="90" w:type="dxa"/>
            </w:tcMar>
            <w:shd w:val="clear" w:color="auto" w:fill="E5F5FF"/>
          </w:tcPr>
          <w:p>
            <w:pPr>
              <w:pStyle w:val="BDOITable"/>
            </w:pPr>
            <w:r>
              <w:rPr>
                <w:sz w:val="14"/>
              </w:rPr>
              <w:t>PDC number, bank, date, amount, payor, account / invoice reference; possibly deposit, return and pull-out status</w:t>
            </w:r>
          </w:p>
        </w:tc>
        <w:tc>
          <w:tcPr>
            <w:tcW w:type="dxa" w:w="2752"/>
            <w:tcMar>
              <w:top w:w="50" w:type="dxa"/>
              <w:bottom w:w="50" w:type="dxa"/>
              <w:left w:w="90" w:type="dxa"/>
              <w:right w:w="90" w:type="dxa"/>
            </w:tcMar>
            <w:shd w:val="clear" w:color="auto" w:fill="E5F5FF"/>
          </w:tcPr>
          <w:p>
            <w:pPr>
              <w:pStyle w:val="BDOITable"/>
            </w:pPr>
            <w:r>
              <w:rPr>
                <w:sz w:val="14"/>
              </w:rPr>
              <w:t>Payment file handler PAY_PDC (layout table, PdcFileHandler); job PDC_MATURITY</w:t>
            </w:r>
          </w:p>
        </w:tc>
        <w:tc>
          <w:tcPr>
            <w:tcW w:type="dxa" w:w="2502"/>
            <w:tcMar>
              <w:top w:w="50" w:type="dxa"/>
              <w:bottom w:w="50" w:type="dxa"/>
              <w:left w:w="90" w:type="dxa"/>
              <w:right w:w="90" w:type="dxa"/>
            </w:tcMar>
            <w:shd w:val="clear" w:color="auto" w:fill="E5F5FF"/>
          </w:tcPr>
          <w:p>
            <w:pPr>
              <w:pStyle w:val="BDOITable"/>
            </w:pPr>
            <w:r>
              <w:rPr>
                <w:sz w:val="14"/>
              </w:rPr>
              <w:t>Layout in the payment-file layout table; an automated transfer if PMS drops files; outbound status feed if required</w:t>
            </w:r>
          </w:p>
        </w:tc>
        <w:tc>
          <w:tcPr>
            <w:tcW w:type="dxa" w:w="1626"/>
            <w:tcMar>
              <w:top w:w="50" w:type="dxa"/>
              <w:bottom w:w="50" w:type="dxa"/>
              <w:left w:w="90" w:type="dxa"/>
              <w:right w:w="90" w:type="dxa"/>
            </w:tcMar>
            <w:shd w:val="clear" w:color="auto" w:fill="E5F5FF"/>
          </w:tcPr>
          <w:p>
            <w:pPr>
              <w:pStyle w:val="BDOITable"/>
            </w:pPr>
            <w:r>
              <w:rPr>
                <w:sz w:val="14"/>
              </w:rPr>
              <w:t>Layout (OQ03), direction, frequency</w:t>
            </w:r>
          </w:p>
        </w:tc>
      </w:tr>
      <w:tr>
        <w:trPr>
          <w:cantSplit w:val="true"/>
        </w:trPr>
        <w:tc>
          <w:tcPr>
            <w:tcW w:type="dxa" w:w="688"/>
            <w:tcMar>
              <w:top w:w="50" w:type="dxa"/>
              <w:bottom w:w="50" w:type="dxa"/>
              <w:left w:w="90" w:type="dxa"/>
              <w:right w:w="90" w:type="dxa"/>
            </w:tcMar>
          </w:tcPr>
          <w:p>
            <w:pPr>
              <w:pStyle w:val="BDOITable"/>
            </w:pPr>
            <w:r>
              <w:rPr>
                <w:b/>
                <w:sz w:val="14"/>
              </w:rPr>
              <w:t>INT-07</w:t>
            </w:r>
          </w:p>
        </w:tc>
        <w:tc>
          <w:tcPr>
            <w:tcW w:type="dxa" w:w="1251"/>
            <w:tcMar>
              <w:top w:w="50" w:type="dxa"/>
              <w:bottom w:w="50" w:type="dxa"/>
              <w:left w:w="90" w:type="dxa"/>
              <w:right w:w="90" w:type="dxa"/>
            </w:tcMar>
          </w:tcPr>
          <w:p>
            <w:pPr>
              <w:pStyle w:val="BDOITable"/>
            </w:pPr>
            <w:r>
              <w:rPr>
                <w:sz w:val="14"/>
              </w:rPr>
              <w:t>CMS / New BOB</w:t>
            </w:r>
          </w:p>
        </w:tc>
        <w:tc>
          <w:tcPr>
            <w:tcW w:type="dxa" w:w="2877"/>
            <w:tcMar>
              <w:top w:w="50" w:type="dxa"/>
              <w:bottom w:w="50" w:type="dxa"/>
              <w:left w:w="90" w:type="dxa"/>
              <w:right w:w="90" w:type="dxa"/>
            </w:tcMar>
          </w:tcPr>
          <w:p>
            <w:pPr>
              <w:pStyle w:val="BDOITable"/>
            </w:pPr>
            <w:r>
              <w:rPr>
                <w:sz w:val="14"/>
              </w:rPr>
              <w:t>Bank channel for BDOI's outgoing payments (insurer remittances, refunds, supplier and commission payments) from Disbursement; the bank returns the debit status.</w:t>
            </w:r>
          </w:p>
        </w:tc>
        <w:tc>
          <w:tcPr>
            <w:tcW w:type="dxa" w:w="1876"/>
            <w:tcMar>
              <w:top w:w="50" w:type="dxa"/>
              <w:bottom w:w="50" w:type="dxa"/>
              <w:left w:w="90" w:type="dxa"/>
              <w:right w:w="90" w:type="dxa"/>
            </w:tcMar>
          </w:tcPr>
          <w:p>
            <w:pPr>
              <w:pStyle w:val="BDOITable"/>
            </w:pPr>
            <w:r>
              <w:rPr>
                <w:sz w:val="14"/>
              </w:rPr>
              <w:t>Payee, account, amount, currency, value date, voucher reference; status per transaction</w:t>
            </w:r>
          </w:p>
        </w:tc>
        <w:tc>
          <w:tcPr>
            <w:tcW w:type="dxa" w:w="2752"/>
            <w:tcMar>
              <w:top w:w="50" w:type="dxa"/>
              <w:bottom w:w="50" w:type="dxa"/>
              <w:left w:w="90" w:type="dxa"/>
              <w:right w:w="90" w:type="dxa"/>
            </w:tcMar>
          </w:tcPr>
          <w:p>
            <w:pPr>
              <w:pStyle w:val="BDOITable"/>
            </w:pPr>
            <w:r>
              <w:rPr>
                <w:sz w:val="14"/>
              </w:rPr>
              <w:t>Payment instruments and EOD outputs (dsb_eod_output); DCTF file; upload DISB_BOB_APPROVED (BobApprovedHandler); BankChannelPort named in the design, not built (AQ09)</w:t>
            </w:r>
          </w:p>
        </w:tc>
        <w:tc>
          <w:tcPr>
            <w:tcW w:type="dxa" w:w="2502"/>
            <w:tcMar>
              <w:top w:w="50" w:type="dxa"/>
              <w:bottom w:w="50" w:type="dxa"/>
              <w:left w:w="90" w:type="dxa"/>
              <w:right w:w="90" w:type="dxa"/>
            </w:tcMar>
          </w:tcPr>
          <w:p>
            <w:pPr>
              <w:pStyle w:val="BDOITable"/>
            </w:pPr>
            <w:r>
              <w:rPr>
                <w:sz w:val="14"/>
              </w:rPr>
              <w:t>Outward payment file in the CMS layout (or host-to-host), status upload or pull, reconciliation to vouchers</w:t>
            </w:r>
          </w:p>
        </w:tc>
        <w:tc>
          <w:tcPr>
            <w:tcW w:type="dxa" w:w="1626"/>
            <w:tcMar>
              <w:top w:w="50" w:type="dxa"/>
              <w:bottom w:w="50" w:type="dxa"/>
              <w:left w:w="90" w:type="dxa"/>
              <w:right w:w="90" w:type="dxa"/>
            </w:tcMar>
          </w:tcPr>
          <w:p>
            <w:pPr>
              <w:pStyle w:val="BDOITable"/>
            </w:pPr>
            <w:r>
              <w:rPr>
                <w:sz w:val="14"/>
              </w:rPr>
              <w:t>Layout, host-to-host or upload, cut-off times, approvals in CMS</w:t>
            </w:r>
          </w:p>
        </w:tc>
      </w:tr>
      <w:tr>
        <w:trPr>
          <w:cantSplit w:val="true"/>
        </w:trPr>
        <w:tc>
          <w:tcPr>
            <w:tcW w:type="dxa" w:w="688"/>
            <w:tcMar>
              <w:top w:w="50" w:type="dxa"/>
              <w:bottom w:w="50" w:type="dxa"/>
              <w:left w:w="90" w:type="dxa"/>
              <w:right w:w="90" w:type="dxa"/>
            </w:tcMar>
            <w:shd w:val="clear" w:color="auto" w:fill="E5F5FF"/>
          </w:tcPr>
          <w:p>
            <w:pPr>
              <w:pStyle w:val="BDOITable"/>
            </w:pPr>
            <w:r>
              <w:rPr>
                <w:b/>
                <w:sz w:val="14"/>
              </w:rPr>
              <w:t>INT-08</w:t>
            </w:r>
          </w:p>
        </w:tc>
        <w:tc>
          <w:tcPr>
            <w:tcW w:type="dxa" w:w="1251"/>
            <w:tcMar>
              <w:top w:w="50" w:type="dxa"/>
              <w:bottom w:w="50" w:type="dxa"/>
              <w:left w:w="90" w:type="dxa"/>
              <w:right w:w="90" w:type="dxa"/>
            </w:tcMar>
            <w:shd w:val="clear" w:color="auto" w:fill="E5F5FF"/>
          </w:tcPr>
          <w:p>
            <w:pPr>
              <w:pStyle w:val="BDOITable"/>
            </w:pPr>
            <w:r>
              <w:rPr>
                <w:sz w:val="14"/>
              </w:rPr>
              <w:t>OBPCS</w:t>
            </w:r>
          </w:p>
        </w:tc>
        <w:tc>
          <w:tcPr>
            <w:tcW w:type="dxa" w:w="2877"/>
            <w:tcMar>
              <w:top w:w="50" w:type="dxa"/>
              <w:bottom w:w="50" w:type="dxa"/>
              <w:left w:w="90" w:type="dxa"/>
              <w:right w:w="90" w:type="dxa"/>
            </w:tcMar>
            <w:shd w:val="clear" w:color="auto" w:fill="E5F5FF"/>
          </w:tcPr>
          <w:p>
            <w:pPr>
              <w:pStyle w:val="BDOITable"/>
            </w:pPr>
            <w:r>
              <w:rPr>
                <w:sz w:val="14"/>
              </w:rPr>
              <w:t>The consolidated bills-payment collections file (today "Bills Payment FS01") that Cashiering uploads and automatches.</w:t>
            </w:r>
          </w:p>
        </w:tc>
        <w:tc>
          <w:tcPr>
            <w:tcW w:type="dxa" w:w="1876"/>
            <w:tcMar>
              <w:top w:w="50" w:type="dxa"/>
              <w:bottom w:w="50" w:type="dxa"/>
              <w:left w:w="90" w:type="dxa"/>
              <w:right w:w="90" w:type="dxa"/>
            </w:tcMar>
            <w:shd w:val="clear" w:color="auto" w:fill="E5F5FF"/>
          </w:tcPr>
          <w:p>
            <w:pPr>
              <w:pStyle w:val="BDOITable"/>
            </w:pPr>
            <w:r>
              <w:rPr>
                <w:sz w:val="14"/>
              </w:rPr>
              <w:t>Payment date, reference (ARN, invoice, PN), payor, amount, channel</w:t>
            </w:r>
          </w:p>
        </w:tc>
        <w:tc>
          <w:tcPr>
            <w:tcW w:type="dxa" w:w="2752"/>
            <w:tcMar>
              <w:top w:w="50" w:type="dxa"/>
              <w:bottom w:w="50" w:type="dxa"/>
              <w:left w:w="90" w:type="dxa"/>
              <w:right w:w="90" w:type="dxa"/>
            </w:tcMar>
            <w:shd w:val="clear" w:color="auto" w:fill="E5F5FF"/>
          </w:tcPr>
          <w:p>
            <w:pPr>
              <w:pStyle w:val="BDOITable"/>
            </w:pPr>
            <w:r>
              <w:rPr>
                <w:sz w:val="14"/>
              </w:rPr>
              <w:t>Payment file handler PAY_BILLS (configurable layout); PAYMENT_AUTOMATCH job</w:t>
            </w:r>
          </w:p>
        </w:tc>
        <w:tc>
          <w:tcPr>
            <w:tcW w:type="dxa" w:w="2502"/>
            <w:tcMar>
              <w:top w:w="50" w:type="dxa"/>
              <w:bottom w:w="50" w:type="dxa"/>
              <w:left w:w="90" w:type="dxa"/>
              <w:right w:w="90" w:type="dxa"/>
            </w:tcMar>
            <w:shd w:val="clear" w:color="auto" w:fill="E5F5FF"/>
          </w:tcPr>
          <w:p>
            <w:pPr>
              <w:pStyle w:val="BDOITable"/>
            </w:pPr>
            <w:r>
              <w:rPr>
                <w:sz w:val="14"/>
              </w:rPr>
              <w:t>Layout; automated transfer if OBPCS drops files</w:t>
            </w:r>
          </w:p>
        </w:tc>
        <w:tc>
          <w:tcPr>
            <w:tcW w:type="dxa" w:w="1626"/>
            <w:tcMar>
              <w:top w:w="50" w:type="dxa"/>
              <w:bottom w:w="50" w:type="dxa"/>
              <w:left w:w="90" w:type="dxa"/>
              <w:right w:w="90" w:type="dxa"/>
            </w:tcMar>
            <w:shd w:val="clear" w:color="auto" w:fill="E5F5FF"/>
          </w:tcPr>
          <w:p>
            <w:pPr>
              <w:pStyle w:val="BDOITable"/>
            </w:pPr>
            <w:r>
              <w:rPr>
                <w:sz w:val="14"/>
              </w:rPr>
              <w:t>Layout, frequency, transport</w:t>
            </w:r>
          </w:p>
        </w:tc>
      </w:tr>
      <w:tr>
        <w:trPr>
          <w:cantSplit w:val="true"/>
        </w:trPr>
        <w:tc>
          <w:tcPr>
            <w:tcW w:type="dxa" w:w="688"/>
            <w:tcMar>
              <w:top w:w="50" w:type="dxa"/>
              <w:bottom w:w="50" w:type="dxa"/>
              <w:left w:w="90" w:type="dxa"/>
              <w:right w:w="90" w:type="dxa"/>
            </w:tcMar>
          </w:tcPr>
          <w:p>
            <w:pPr>
              <w:pStyle w:val="BDOITable"/>
            </w:pPr>
            <w:r>
              <w:rPr>
                <w:b/>
                <w:sz w:val="14"/>
              </w:rPr>
              <w:t>INT-09</w:t>
            </w:r>
          </w:p>
        </w:tc>
        <w:tc>
          <w:tcPr>
            <w:tcW w:type="dxa" w:w="1251"/>
            <w:tcMar>
              <w:top w:w="50" w:type="dxa"/>
              <w:bottom w:w="50" w:type="dxa"/>
              <w:left w:w="90" w:type="dxa"/>
              <w:right w:w="90" w:type="dxa"/>
            </w:tcMar>
          </w:tcPr>
          <w:p>
            <w:pPr>
              <w:pStyle w:val="BDOITable"/>
            </w:pPr>
            <w:r>
              <w:rPr>
                <w:sz w:val="14"/>
              </w:rPr>
              <w:t>Old BOB</w:t>
            </w:r>
          </w:p>
        </w:tc>
        <w:tc>
          <w:tcPr>
            <w:tcW w:type="dxa" w:w="2877"/>
            <w:tcMar>
              <w:top w:w="50" w:type="dxa"/>
              <w:bottom w:w="50" w:type="dxa"/>
              <w:left w:w="90" w:type="dxa"/>
              <w:right w:w="90" w:type="dxa"/>
            </w:tcMar>
          </w:tcPr>
          <w:p>
            <w:pPr>
              <w:pStyle w:val="BDOITable"/>
            </w:pPr>
            <w:r>
              <w:rPr>
                <w:sz w:val="14"/>
              </w:rPr>
              <w:t>Corporate clients pay statements of account by funds transfer; the collection file is applied in Cashiering.</w:t>
            </w:r>
          </w:p>
        </w:tc>
        <w:tc>
          <w:tcPr>
            <w:tcW w:type="dxa" w:w="1876"/>
            <w:tcMar>
              <w:top w:w="50" w:type="dxa"/>
              <w:bottom w:w="50" w:type="dxa"/>
              <w:left w:w="90" w:type="dxa"/>
              <w:right w:w="90" w:type="dxa"/>
            </w:tcMar>
          </w:tcPr>
          <w:p>
            <w:pPr>
              <w:pStyle w:val="BDOITable"/>
            </w:pPr>
            <w:r>
              <w:rPr>
                <w:sz w:val="14"/>
              </w:rPr>
              <w:t>Funds-transfer credits with SOA or invoice reference</w:t>
            </w:r>
          </w:p>
        </w:tc>
        <w:tc>
          <w:tcPr>
            <w:tcW w:type="dxa" w:w="2752"/>
            <w:tcMar>
              <w:top w:w="50" w:type="dxa"/>
              <w:bottom w:w="50" w:type="dxa"/>
              <w:left w:w="90" w:type="dxa"/>
              <w:right w:w="90" w:type="dxa"/>
            </w:tcMar>
          </w:tcPr>
          <w:p>
            <w:pPr>
              <w:pStyle w:val="BDOITable"/>
            </w:pPr>
            <w:r>
              <w:rPr>
                <w:sz w:val="14"/>
              </w:rPr>
              <w:t>Payment file handler PAY_DIRECT_CREDIT or a new layout row</w:t>
            </w:r>
          </w:p>
        </w:tc>
        <w:tc>
          <w:tcPr>
            <w:tcW w:type="dxa" w:w="2502"/>
            <w:tcMar>
              <w:top w:w="50" w:type="dxa"/>
              <w:bottom w:w="50" w:type="dxa"/>
              <w:left w:w="90" w:type="dxa"/>
              <w:right w:w="90" w:type="dxa"/>
            </w:tcMar>
          </w:tcPr>
          <w:p>
            <w:pPr>
              <w:pStyle w:val="BDOITable"/>
            </w:pPr>
            <w:r>
              <w:rPr>
                <w:sz w:val="14"/>
              </w:rPr>
              <w:t>Layout; SOA-to-invoice matching rule if the file carries the SOA number only</w:t>
            </w:r>
          </w:p>
        </w:tc>
        <w:tc>
          <w:tcPr>
            <w:tcW w:type="dxa" w:w="1626"/>
            <w:tcMar>
              <w:top w:w="50" w:type="dxa"/>
              <w:bottom w:w="50" w:type="dxa"/>
              <w:left w:w="90" w:type="dxa"/>
              <w:right w:w="90" w:type="dxa"/>
            </w:tcMar>
          </w:tcPr>
          <w:p>
            <w:pPr>
              <w:pStyle w:val="BDOITable"/>
            </w:pPr>
            <w:r>
              <w:rPr>
                <w:sz w:val="14"/>
              </w:rPr>
              <w:t>Layout, SOA reference, frequency</w:t>
            </w:r>
          </w:p>
        </w:tc>
      </w:tr>
      <w:tr>
        <w:trPr>
          <w:cantSplit w:val="true"/>
        </w:trPr>
        <w:tc>
          <w:tcPr>
            <w:tcW w:type="dxa" w:w="688"/>
            <w:tcMar>
              <w:top w:w="50" w:type="dxa"/>
              <w:bottom w:w="50" w:type="dxa"/>
              <w:left w:w="90" w:type="dxa"/>
              <w:right w:w="90" w:type="dxa"/>
            </w:tcMar>
            <w:shd w:val="clear" w:color="auto" w:fill="E5F5FF"/>
          </w:tcPr>
          <w:p>
            <w:pPr>
              <w:pStyle w:val="BDOITable"/>
            </w:pPr>
            <w:r>
              <w:rPr>
                <w:b/>
                <w:sz w:val="14"/>
              </w:rPr>
              <w:t>INT-10</w:t>
            </w:r>
          </w:p>
        </w:tc>
        <w:tc>
          <w:tcPr>
            <w:tcW w:type="dxa" w:w="1251"/>
            <w:tcMar>
              <w:top w:w="50" w:type="dxa"/>
              <w:bottom w:w="50" w:type="dxa"/>
              <w:left w:w="90" w:type="dxa"/>
              <w:right w:w="90" w:type="dxa"/>
            </w:tcMar>
            <w:shd w:val="clear" w:color="auto" w:fill="E5F5FF"/>
          </w:tcPr>
          <w:p>
            <w:pPr>
              <w:pStyle w:val="BDOITable"/>
            </w:pPr>
            <w:r>
              <w:rPr>
                <w:sz w:val="14"/>
              </w:rPr>
              <w:t>AFTS</w:t>
            </w:r>
          </w:p>
        </w:tc>
        <w:tc>
          <w:tcPr>
            <w:tcW w:type="dxa" w:w="2877"/>
            <w:tcMar>
              <w:top w:w="50" w:type="dxa"/>
              <w:bottom w:w="50" w:type="dxa"/>
              <w:left w:w="90" w:type="dxa"/>
              <w:right w:w="90" w:type="dxa"/>
            </w:tcMar>
            <w:shd w:val="clear" w:color="auto" w:fill="E5F5FF"/>
          </w:tcPr>
          <w:p>
            <w:pPr>
              <w:pStyle w:val="BDOITable"/>
            </w:pPr>
            <w:r>
              <w:rPr>
                <w:sz w:val="14"/>
              </w:rPr>
              <w:t>Unknown. Possibly auto-debit of client accounts for premium, or automatic transfers for disbursement.</w:t>
            </w:r>
          </w:p>
        </w:tc>
        <w:tc>
          <w:tcPr>
            <w:tcW w:type="dxa" w:w="1876"/>
            <w:tcMar>
              <w:top w:w="50" w:type="dxa"/>
              <w:bottom w:w="50" w:type="dxa"/>
              <w:left w:w="90" w:type="dxa"/>
              <w:right w:w="90" w:type="dxa"/>
            </w:tcMar>
            <w:shd w:val="clear" w:color="auto" w:fill="E5F5FF"/>
          </w:tcPr>
          <w:p>
            <w:pPr>
              <w:pStyle w:val="BDOITable"/>
            </w:pPr>
            <w:r>
              <w:rPr>
                <w:sz w:val="14"/>
              </w:rPr>
              <w:t>To confirm</w:t>
            </w:r>
          </w:p>
        </w:tc>
        <w:tc>
          <w:tcPr>
            <w:tcW w:type="dxa" w:w="2752"/>
            <w:tcMar>
              <w:top w:w="50" w:type="dxa"/>
              <w:bottom w:w="50" w:type="dxa"/>
              <w:left w:w="90" w:type="dxa"/>
              <w:right w:w="90" w:type="dxa"/>
            </w:tcMar>
            <w:shd w:val="clear" w:color="auto" w:fill="E5F5FF"/>
          </w:tcPr>
          <w:p>
            <w:pPr>
              <w:pStyle w:val="BDOITable"/>
            </w:pPr>
            <w:r>
              <w:rPr>
                <w:sz w:val="14"/>
              </w:rPr>
              <w:t>Payment file handlers; disbursement instruments</w:t>
            </w:r>
          </w:p>
        </w:tc>
        <w:tc>
          <w:tcPr>
            <w:tcW w:type="dxa" w:w="2502"/>
            <w:tcMar>
              <w:top w:w="50" w:type="dxa"/>
              <w:bottom w:w="50" w:type="dxa"/>
              <w:left w:w="90" w:type="dxa"/>
              <w:right w:w="90" w:type="dxa"/>
            </w:tcMar>
            <w:shd w:val="clear" w:color="auto" w:fill="E5F5FF"/>
          </w:tcPr>
          <w:p>
            <w:pPr>
              <w:pStyle w:val="BDOITable"/>
            </w:pPr>
            <w:r>
              <w:rPr>
                <w:sz w:val="14"/>
              </w:rPr>
              <w:t>To size after the answer</w:t>
            </w:r>
          </w:p>
        </w:tc>
        <w:tc>
          <w:tcPr>
            <w:tcW w:type="dxa" w:w="1626"/>
            <w:tcMar>
              <w:top w:w="50" w:type="dxa"/>
              <w:bottom w:w="50" w:type="dxa"/>
              <w:left w:w="90" w:type="dxa"/>
              <w:right w:w="90" w:type="dxa"/>
            </w:tcMar>
            <w:shd w:val="clear" w:color="auto" w:fill="E5F5FF"/>
          </w:tcPr>
          <w:p>
            <w:pPr>
              <w:pStyle w:val="BDOITable"/>
            </w:pPr>
            <w:r>
              <w:rPr>
                <w:sz w:val="14"/>
              </w:rPr>
              <w:t>Purpose, direction, layout</w:t>
            </w:r>
          </w:p>
        </w:tc>
      </w:tr>
      <w:tr>
        <w:trPr>
          <w:cantSplit w:val="true"/>
        </w:trPr>
        <w:tc>
          <w:tcPr>
            <w:tcW w:type="dxa" w:w="688"/>
            <w:tcMar>
              <w:top w:w="50" w:type="dxa"/>
              <w:bottom w:w="50" w:type="dxa"/>
              <w:left w:w="90" w:type="dxa"/>
              <w:right w:w="90" w:type="dxa"/>
            </w:tcMar>
          </w:tcPr>
          <w:p>
            <w:pPr>
              <w:pStyle w:val="BDOITable"/>
            </w:pPr>
            <w:r>
              <w:rPr>
                <w:b/>
                <w:sz w:val="14"/>
              </w:rPr>
              <w:t>INT-11</w:t>
            </w:r>
          </w:p>
        </w:tc>
        <w:tc>
          <w:tcPr>
            <w:tcW w:type="dxa" w:w="1251"/>
            <w:tcMar>
              <w:top w:w="50" w:type="dxa"/>
              <w:bottom w:w="50" w:type="dxa"/>
              <w:left w:w="90" w:type="dxa"/>
              <w:right w:w="90" w:type="dxa"/>
            </w:tcMar>
          </w:tcPr>
          <w:p>
            <w:pPr>
              <w:pStyle w:val="BDOITable"/>
            </w:pPr>
            <w:r>
              <w:rPr>
                <w:sz w:val="14"/>
              </w:rPr>
              <w:t>ICBS</w:t>
            </w:r>
          </w:p>
        </w:tc>
        <w:tc>
          <w:tcPr>
            <w:tcW w:type="dxa" w:w="2877"/>
            <w:tcMar>
              <w:top w:w="50" w:type="dxa"/>
              <w:bottom w:w="50" w:type="dxa"/>
              <w:left w:w="90" w:type="dxa"/>
              <w:right w:w="90" w:type="dxa"/>
            </w:tcMar>
          </w:tcPr>
          <w:p>
            <w:pPr>
              <w:pStyle w:val="BDOITable"/>
            </w:pPr>
            <w:r>
              <w:rPr>
                <w:sz w:val="14"/>
              </w:rPr>
              <w:t>Out of scope (core banking system replaced by the channels above).</w:t>
            </w:r>
          </w:p>
        </w:tc>
        <w:tc>
          <w:tcPr>
            <w:tcW w:type="dxa" w:w="1876"/>
            <w:tcMar>
              <w:top w:w="50" w:type="dxa"/>
              <w:bottom w:w="50" w:type="dxa"/>
              <w:left w:w="90" w:type="dxa"/>
              <w:right w:w="90" w:type="dxa"/>
            </w:tcMar>
          </w:tcPr>
          <w:p>
            <w:pPr>
              <w:pStyle w:val="BDOITable"/>
            </w:pPr>
            <w:r>
              <w:rPr>
                <w:sz w:val="14"/>
              </w:rPr>
              <w:t>-</w:t>
            </w:r>
          </w:p>
        </w:tc>
        <w:tc>
          <w:tcPr>
            <w:tcW w:type="dxa" w:w="2752"/>
            <w:tcMar>
              <w:top w:w="50" w:type="dxa"/>
              <w:bottom w:w="50" w:type="dxa"/>
              <w:left w:w="90" w:type="dxa"/>
              <w:right w:w="90" w:type="dxa"/>
            </w:tcMar>
          </w:tcPr>
          <w:p>
            <w:pPr>
              <w:pStyle w:val="BDOITable"/>
            </w:pPr>
            <w:r>
              <w:rPr>
                <w:sz w:val="14"/>
              </w:rPr>
              <w:t>-</w:t>
            </w:r>
          </w:p>
        </w:tc>
        <w:tc>
          <w:tcPr>
            <w:tcW w:type="dxa" w:w="2502"/>
            <w:tcMar>
              <w:top w:w="50" w:type="dxa"/>
              <w:bottom w:w="50" w:type="dxa"/>
              <w:left w:w="90" w:type="dxa"/>
              <w:right w:w="90" w:type="dxa"/>
            </w:tcMar>
          </w:tcPr>
          <w:p>
            <w:pPr>
              <w:pStyle w:val="BDOITable"/>
            </w:pPr>
            <w:r>
              <w:rPr>
                <w:sz w:val="14"/>
              </w:rPr>
              <w:t>None</w:t>
            </w:r>
          </w:p>
        </w:tc>
        <w:tc>
          <w:tcPr>
            <w:tcW w:type="dxa" w:w="1626"/>
            <w:tcMar>
              <w:top w:w="50" w:type="dxa"/>
              <w:bottom w:w="50" w:type="dxa"/>
              <w:left w:w="90" w:type="dxa"/>
              <w:right w:w="90" w:type="dxa"/>
            </w:tcMar>
          </w:tcPr>
          <w:p>
            <w:pPr>
              <w:pStyle w:val="BDOITable"/>
            </w:pPr>
            <w:r>
              <w:rPr>
                <w:sz w:val="14"/>
              </w:rPr>
              <w:t>Confirm out of scope</w:t>
            </w:r>
          </w:p>
        </w:tc>
      </w:tr>
      <w:tr>
        <w:trPr>
          <w:cantSplit w:val="true"/>
        </w:trPr>
        <w:tc>
          <w:tcPr>
            <w:tcW w:type="dxa" w:w="688"/>
            <w:tcMar>
              <w:top w:w="50" w:type="dxa"/>
              <w:bottom w:w="50" w:type="dxa"/>
              <w:left w:w="90" w:type="dxa"/>
              <w:right w:w="90" w:type="dxa"/>
            </w:tcMar>
            <w:shd w:val="clear" w:color="auto" w:fill="E5F5FF"/>
          </w:tcPr>
          <w:p>
            <w:pPr>
              <w:pStyle w:val="BDOITable"/>
            </w:pPr>
            <w:r>
              <w:rPr>
                <w:b/>
                <w:sz w:val="14"/>
              </w:rPr>
              <w:t>INT-12</w:t>
            </w:r>
          </w:p>
        </w:tc>
        <w:tc>
          <w:tcPr>
            <w:tcW w:type="dxa" w:w="1251"/>
            <w:tcMar>
              <w:top w:w="50" w:type="dxa"/>
              <w:bottom w:w="50" w:type="dxa"/>
              <w:left w:w="90" w:type="dxa"/>
              <w:right w:w="90" w:type="dxa"/>
            </w:tcMar>
            <w:shd w:val="clear" w:color="auto" w:fill="E5F5FF"/>
          </w:tcPr>
          <w:p>
            <w:pPr>
              <w:pStyle w:val="BDOITable"/>
            </w:pPr>
            <w:r>
              <w:rPr>
                <w:sz w:val="14"/>
              </w:rPr>
              <w:t>ECM</w:t>
            </w:r>
          </w:p>
        </w:tc>
        <w:tc>
          <w:tcPr>
            <w:tcW w:type="dxa" w:w="2877"/>
            <w:tcMar>
              <w:top w:w="50" w:type="dxa"/>
              <w:bottom w:w="50" w:type="dxa"/>
              <w:left w:w="90" w:type="dxa"/>
              <w:right w:w="90" w:type="dxa"/>
            </w:tcMar>
            <w:shd w:val="clear" w:color="auto" w:fill="E5F5FF"/>
          </w:tcPr>
          <w:p>
            <w:pPr>
              <w:pStyle w:val="BDOITable"/>
            </w:pPr>
            <w:r>
              <w:rPr>
                <w:sz w:val="14"/>
              </w:rPr>
              <w:t>Answer A4 places every BIBS document and attachment in Amazon S3, not in ECM. A remaining ECM role is not stated (source of legacy documents for the archive, or records transfer at end of retention).</w:t>
            </w:r>
          </w:p>
        </w:tc>
        <w:tc>
          <w:tcPr>
            <w:tcW w:type="dxa" w:w="1876"/>
            <w:tcMar>
              <w:top w:w="50" w:type="dxa"/>
              <w:bottom w:w="50" w:type="dxa"/>
              <w:left w:w="90" w:type="dxa"/>
              <w:right w:w="90" w:type="dxa"/>
            </w:tcMar>
            <w:shd w:val="clear" w:color="auto" w:fill="E5F5FF"/>
          </w:tcPr>
          <w:p>
            <w:pPr>
              <w:pStyle w:val="BDOITable"/>
            </w:pPr>
            <w:r>
              <w:rPr>
                <w:sz w:val="14"/>
              </w:rPr>
              <w:t>Legacy documents (H02) if ECM holds them</w:t>
            </w:r>
          </w:p>
        </w:tc>
        <w:tc>
          <w:tcPr>
            <w:tcW w:type="dxa" w:w="2752"/>
            <w:tcMar>
              <w:top w:w="50" w:type="dxa"/>
              <w:bottom w:w="50" w:type="dxa"/>
              <w:left w:w="90" w:type="dxa"/>
              <w:right w:w="90" w:type="dxa"/>
            </w:tcMar>
            <w:shd w:val="clear" w:color="auto" w:fill="E5F5FF"/>
          </w:tcPr>
          <w:p>
            <w:pPr>
              <w:pStyle w:val="BDOITable"/>
            </w:pPr>
            <w:r>
              <w:rPr>
                <w:sz w:val="14"/>
              </w:rPr>
              <w:t>migration ArchiveDocumentStore (designed)</w:t>
            </w:r>
          </w:p>
        </w:tc>
        <w:tc>
          <w:tcPr>
            <w:tcW w:type="dxa" w:w="2502"/>
            <w:tcMar>
              <w:top w:w="50" w:type="dxa"/>
              <w:bottom w:w="50" w:type="dxa"/>
              <w:left w:w="90" w:type="dxa"/>
              <w:right w:w="90" w:type="dxa"/>
            </w:tcMar>
            <w:shd w:val="clear" w:color="auto" w:fill="E5F5FF"/>
          </w:tcPr>
          <w:p>
            <w:pPr>
              <w:pStyle w:val="BDOITable"/>
            </w:pPr>
            <w:r>
              <w:rPr>
                <w:sz w:val="14"/>
              </w:rPr>
              <w:t>None for document storage (S3); archive transfer if ECM holds legacy documents</w:t>
            </w:r>
          </w:p>
        </w:tc>
        <w:tc>
          <w:tcPr>
            <w:tcW w:type="dxa" w:w="1626"/>
            <w:tcMar>
              <w:top w:w="50" w:type="dxa"/>
              <w:bottom w:w="50" w:type="dxa"/>
              <w:left w:w="90" w:type="dxa"/>
              <w:right w:w="90" w:type="dxa"/>
            </w:tcMar>
            <w:shd w:val="clear" w:color="auto" w:fill="E5F5FF"/>
          </w:tcPr>
          <w:p>
            <w:pPr>
              <w:pStyle w:val="BDOITable"/>
            </w:pPr>
            <w:r>
              <w:rPr>
                <w:sz w:val="14"/>
              </w:rPr>
              <w:t>Any ECM touch-point left</w:t>
            </w:r>
          </w:p>
        </w:tc>
      </w:tr>
      <w:tr>
        <w:trPr>
          <w:cantSplit w:val="true"/>
        </w:trPr>
        <w:tc>
          <w:tcPr>
            <w:tcW w:type="dxa" w:w="688"/>
            <w:tcMar>
              <w:top w:w="50" w:type="dxa"/>
              <w:bottom w:w="50" w:type="dxa"/>
              <w:left w:w="90" w:type="dxa"/>
              <w:right w:w="90" w:type="dxa"/>
            </w:tcMar>
          </w:tcPr>
          <w:p>
            <w:pPr>
              <w:pStyle w:val="BDOITable"/>
            </w:pPr>
            <w:r>
              <w:rPr>
                <w:b/>
                <w:sz w:val="14"/>
              </w:rPr>
              <w:t>INT-13</w:t>
            </w:r>
          </w:p>
        </w:tc>
        <w:tc>
          <w:tcPr>
            <w:tcW w:type="dxa" w:w="1251"/>
            <w:tcMar>
              <w:top w:w="50" w:type="dxa"/>
              <w:bottom w:w="50" w:type="dxa"/>
              <w:left w:w="90" w:type="dxa"/>
              <w:right w:w="90" w:type="dxa"/>
            </w:tcMar>
          </w:tcPr>
          <w:p>
            <w:pPr>
              <w:pStyle w:val="BDOITable"/>
            </w:pPr>
            <w:r>
              <w:rPr>
                <w:sz w:val="14"/>
              </w:rPr>
              <w:t>CCM</w:t>
            </w:r>
          </w:p>
        </w:tc>
        <w:tc>
          <w:tcPr>
            <w:tcW w:type="dxa" w:w="2877"/>
            <w:tcMar>
              <w:top w:w="50" w:type="dxa"/>
              <w:bottom w:w="50" w:type="dxa"/>
              <w:left w:w="90" w:type="dxa"/>
              <w:right w:w="90" w:type="dxa"/>
            </w:tcMar>
          </w:tcPr>
          <w:p>
            <w:pPr>
              <w:pStyle w:val="BDOITable"/>
            </w:pPr>
            <w:r>
              <w:rPr>
                <w:sz w:val="14"/>
              </w:rPr>
              <w:t>All outbound BIBS e-mail (renewal advices, protected PDFs, notifications, job-failure mails) goes through CCM.</w:t>
            </w:r>
          </w:p>
        </w:tc>
        <w:tc>
          <w:tcPr>
            <w:tcW w:type="dxa" w:w="1876"/>
            <w:tcMar>
              <w:top w:w="50" w:type="dxa"/>
              <w:bottom w:w="50" w:type="dxa"/>
              <w:left w:w="90" w:type="dxa"/>
              <w:right w:w="90" w:type="dxa"/>
            </w:tcMar>
          </w:tcPr>
          <w:p>
            <w:pPr>
              <w:pStyle w:val="BDOITable"/>
            </w:pPr>
            <w:r>
              <w:rPr>
                <w:sz w:val="14"/>
              </w:rPr>
              <w:t>Recipient, subject, body, attachments (password-protected PDFs), template id</w:t>
            </w:r>
          </w:p>
        </w:tc>
        <w:tc>
          <w:tcPr>
            <w:tcW w:type="dxa" w:w="2752"/>
            <w:tcMar>
              <w:top w:w="50" w:type="dxa"/>
              <w:bottom w:w="50" w:type="dxa"/>
              <w:left w:w="90" w:type="dxa"/>
              <w:right w:w="90" w:type="dxa"/>
            </w:tcMar>
          </w:tcPr>
          <w:p>
            <w:pPr>
              <w:pStyle w:val="BDOITable"/>
            </w:pPr>
            <w:r>
              <w:rPr>
                <w:sz w:val="14"/>
              </w:rPr>
              <w:t>messaging.service.MailTransport (SmtpMailTransport, SimulatedMailTransport); outbox msg_outbound_message; MAIL_DISPATCH job; DocumentProtector</w:t>
            </w:r>
          </w:p>
        </w:tc>
        <w:tc>
          <w:tcPr>
            <w:tcW w:type="dxa" w:w="2502"/>
            <w:tcMar>
              <w:top w:w="50" w:type="dxa"/>
              <w:bottom w:w="50" w:type="dxa"/>
              <w:left w:w="90" w:type="dxa"/>
              <w:right w:w="90" w:type="dxa"/>
            </w:tcMar>
          </w:tcPr>
          <w:p>
            <w:pPr>
              <w:pStyle w:val="BDOITable"/>
            </w:pPr>
            <w:r>
              <w:rPr>
                <w:sz w:val="14"/>
              </w:rPr>
              <w:t>SMTP relay: configuration only. API: a new MailTransport adapter with status callback</w:t>
            </w:r>
          </w:p>
        </w:tc>
        <w:tc>
          <w:tcPr>
            <w:tcW w:type="dxa" w:w="1626"/>
            <w:tcMar>
              <w:top w:w="50" w:type="dxa"/>
              <w:bottom w:w="50" w:type="dxa"/>
              <w:left w:w="90" w:type="dxa"/>
              <w:right w:w="90" w:type="dxa"/>
            </w:tcMar>
          </w:tcPr>
          <w:p>
            <w:pPr>
              <w:pStyle w:val="BDOITable"/>
            </w:pPr>
            <w:r>
              <w:rPr>
                <w:sz w:val="14"/>
              </w:rPr>
              <w:t>SMTP or API, attachment limits, volume, bounce feedback, sender domains</w:t>
            </w:r>
          </w:p>
        </w:tc>
      </w:tr>
      <w:tr>
        <w:trPr>
          <w:cantSplit w:val="true"/>
        </w:trPr>
        <w:tc>
          <w:tcPr>
            <w:tcW w:type="dxa" w:w="688"/>
            <w:tcMar>
              <w:top w:w="50" w:type="dxa"/>
              <w:bottom w:w="50" w:type="dxa"/>
              <w:left w:w="90" w:type="dxa"/>
              <w:right w:w="90" w:type="dxa"/>
            </w:tcMar>
            <w:shd w:val="clear" w:color="auto" w:fill="E5F5FF"/>
          </w:tcPr>
          <w:p>
            <w:pPr>
              <w:pStyle w:val="BDOITable"/>
            </w:pPr>
            <w:r>
              <w:rPr>
                <w:b/>
                <w:sz w:val="14"/>
              </w:rPr>
              <w:t>INT-14</w:t>
            </w:r>
          </w:p>
        </w:tc>
        <w:tc>
          <w:tcPr>
            <w:tcW w:type="dxa" w:w="1251"/>
            <w:tcMar>
              <w:top w:w="50" w:type="dxa"/>
              <w:bottom w:w="50" w:type="dxa"/>
              <w:left w:w="90" w:type="dxa"/>
              <w:right w:w="90" w:type="dxa"/>
            </w:tcMar>
            <w:shd w:val="clear" w:color="auto" w:fill="E5F5FF"/>
          </w:tcPr>
          <w:p>
            <w:pPr>
              <w:pStyle w:val="BDOITable"/>
            </w:pPr>
            <w:r>
              <w:rPr>
                <w:sz w:val="14"/>
              </w:rPr>
              <w:t>M365 Exchange</w:t>
            </w:r>
          </w:p>
        </w:tc>
        <w:tc>
          <w:tcPr>
            <w:tcW w:type="dxa" w:w="2877"/>
            <w:tcMar>
              <w:top w:w="50" w:type="dxa"/>
              <w:bottom w:w="50" w:type="dxa"/>
              <w:left w:w="90" w:type="dxa"/>
              <w:right w:w="90" w:type="dxa"/>
            </w:tcMar>
            <w:shd w:val="clear" w:color="auto" w:fill="E5F5FF"/>
          </w:tcPr>
          <w:p>
            <w:pPr>
              <w:pStyle w:val="BDOITable"/>
            </w:pPr>
            <w:r>
              <w:rPr>
                <w:sz w:val="14"/>
              </w:rPr>
              <w:t>Mailboxes. Candidate uses are reading e-mailed quotation requests (BRNB.041, Q12 parked) and insurer replies, or relaying mail if CCM does not cover a case.</w:t>
            </w:r>
          </w:p>
        </w:tc>
        <w:tc>
          <w:tcPr>
            <w:tcW w:type="dxa" w:w="1876"/>
            <w:tcMar>
              <w:top w:w="50" w:type="dxa"/>
              <w:bottom w:w="50" w:type="dxa"/>
              <w:left w:w="90" w:type="dxa"/>
              <w:right w:w="90" w:type="dxa"/>
            </w:tcMar>
            <w:shd w:val="clear" w:color="auto" w:fill="E5F5FF"/>
          </w:tcPr>
          <w:p>
            <w:pPr>
              <w:pStyle w:val="BDOITable"/>
            </w:pPr>
            <w:r>
              <w:rPr>
                <w:sz w:val="14"/>
              </w:rPr>
              <w:t>E-mails and attachments</w:t>
            </w:r>
          </w:p>
        </w:tc>
        <w:tc>
          <w:tcPr>
            <w:tcW w:type="dxa" w:w="2752"/>
            <w:tcMar>
              <w:top w:w="50" w:type="dxa"/>
              <w:bottom w:w="50" w:type="dxa"/>
              <w:left w:w="90" w:type="dxa"/>
              <w:right w:w="90" w:type="dxa"/>
            </w:tcMar>
            <w:shd w:val="clear" w:color="auto" w:fill="E5F5FF"/>
          </w:tcPr>
          <w:p>
            <w:pPr>
              <w:pStyle w:val="BDOITable"/>
            </w:pPr>
            <w:r>
              <w:rPr>
                <w:sz w:val="14"/>
              </w:rPr>
              <w:t>None for mailbox reading (Q12); MailTransport for sending</w:t>
            </w:r>
          </w:p>
        </w:tc>
        <w:tc>
          <w:tcPr>
            <w:tcW w:type="dxa" w:w="2502"/>
            <w:tcMar>
              <w:top w:w="50" w:type="dxa"/>
              <w:bottom w:w="50" w:type="dxa"/>
              <w:left w:w="90" w:type="dxa"/>
              <w:right w:w="90" w:type="dxa"/>
            </w:tcMar>
            <w:shd w:val="clear" w:color="auto" w:fill="E5F5FF"/>
          </w:tcPr>
          <w:p>
            <w:pPr>
              <w:pStyle w:val="BDOITable"/>
            </w:pPr>
            <w:r>
              <w:rPr>
                <w:sz w:val="14"/>
              </w:rPr>
              <w:t>Mailbox reader through Microsoft Graph with an application registration, if confirmed</w:t>
            </w:r>
          </w:p>
        </w:tc>
        <w:tc>
          <w:tcPr>
            <w:tcW w:type="dxa" w:w="1626"/>
            <w:tcMar>
              <w:top w:w="50" w:type="dxa"/>
              <w:bottom w:w="50" w:type="dxa"/>
              <w:left w:w="90" w:type="dxa"/>
              <w:right w:w="90" w:type="dxa"/>
            </w:tcMar>
            <w:shd w:val="clear" w:color="auto" w:fill="E5F5FF"/>
          </w:tcPr>
          <w:p>
            <w:pPr>
              <w:pStyle w:val="BDOITable"/>
            </w:pPr>
            <w:r>
              <w:rPr>
                <w:sz w:val="14"/>
              </w:rPr>
              <w:t>Role against CCM, mailboxes, permissions</w:t>
            </w:r>
          </w:p>
        </w:tc>
      </w:tr>
      <w:tr>
        <w:trPr>
          <w:cantSplit w:val="true"/>
        </w:trPr>
        <w:tc>
          <w:tcPr>
            <w:tcW w:type="dxa" w:w="688"/>
            <w:tcMar>
              <w:top w:w="50" w:type="dxa"/>
              <w:bottom w:w="50" w:type="dxa"/>
              <w:left w:w="90" w:type="dxa"/>
              <w:right w:w="90" w:type="dxa"/>
            </w:tcMar>
          </w:tcPr>
          <w:p>
            <w:pPr>
              <w:pStyle w:val="BDOITable"/>
            </w:pPr>
            <w:r>
              <w:rPr>
                <w:b/>
                <w:sz w:val="14"/>
              </w:rPr>
              <w:t>INT-15</w:t>
            </w:r>
          </w:p>
        </w:tc>
        <w:tc>
          <w:tcPr>
            <w:tcW w:type="dxa" w:w="1251"/>
            <w:tcMar>
              <w:top w:w="50" w:type="dxa"/>
              <w:bottom w:w="50" w:type="dxa"/>
              <w:left w:w="90" w:type="dxa"/>
              <w:right w:w="90" w:type="dxa"/>
            </w:tcMar>
          </w:tcPr>
          <w:p>
            <w:pPr>
              <w:pStyle w:val="BDOITable"/>
            </w:pPr>
            <w:r>
              <w:rPr>
                <w:sz w:val="14"/>
              </w:rPr>
              <w:t>TFS (manual)</w:t>
            </w:r>
          </w:p>
        </w:tc>
        <w:tc>
          <w:tcPr>
            <w:tcW w:type="dxa" w:w="2877"/>
            <w:tcMar>
              <w:top w:w="50" w:type="dxa"/>
              <w:bottom w:w="50" w:type="dxa"/>
              <w:left w:w="90" w:type="dxa"/>
              <w:right w:w="90" w:type="dxa"/>
            </w:tcMar>
          </w:tcPr>
          <w:p>
            <w:pPr>
              <w:pStyle w:val="BDOITable"/>
            </w:pPr>
            <w:r>
              <w:rPr>
                <w:sz w:val="14"/>
              </w:rPr>
              <w:t>Trade (CIB) clients and their payments; no system interface. Users key the client in BIBS and upload the Trade payment file.</w:t>
            </w:r>
          </w:p>
        </w:tc>
        <w:tc>
          <w:tcPr>
            <w:tcW w:type="dxa" w:w="1876"/>
            <w:tcMar>
              <w:top w:w="50" w:type="dxa"/>
              <w:bottom w:w="50" w:type="dxa"/>
              <w:left w:w="90" w:type="dxa"/>
              <w:right w:w="90" w:type="dxa"/>
            </w:tcMar>
          </w:tcPr>
          <w:p>
            <w:pPr>
              <w:pStyle w:val="BDOITable"/>
            </w:pPr>
            <w:r>
              <w:rPr>
                <w:sz w:val="14"/>
              </w:rPr>
              <w:t>Trade client details; Trade payment file</w:t>
            </w:r>
          </w:p>
        </w:tc>
        <w:tc>
          <w:tcPr>
            <w:tcW w:type="dxa" w:w="2752"/>
            <w:tcMar>
              <w:top w:w="50" w:type="dxa"/>
              <w:bottom w:w="50" w:type="dxa"/>
              <w:left w:w="90" w:type="dxa"/>
              <w:right w:w="90" w:type="dxa"/>
            </w:tcMar>
          </w:tcPr>
          <w:p>
            <w:pPr>
              <w:pStyle w:val="BDOITable"/>
            </w:pPr>
            <w:r>
              <w:rPr>
                <w:sz w:val="14"/>
              </w:rPr>
              <w:t>Client onboarding screens; payment file handler PAY_TRADE</w:t>
            </w:r>
          </w:p>
        </w:tc>
        <w:tc>
          <w:tcPr>
            <w:tcW w:type="dxa" w:w="2502"/>
            <w:tcMar>
              <w:top w:w="50" w:type="dxa"/>
              <w:bottom w:w="50" w:type="dxa"/>
              <w:left w:w="90" w:type="dxa"/>
              <w:right w:w="90" w:type="dxa"/>
            </w:tcMar>
          </w:tcPr>
          <w:p>
            <w:pPr>
              <w:pStyle w:val="BDOITable"/>
            </w:pPr>
            <w:r>
              <w:rPr>
                <w:sz w:val="14"/>
              </w:rPr>
              <w:t>None (layout confirmation only)</w:t>
            </w:r>
          </w:p>
        </w:tc>
        <w:tc>
          <w:tcPr>
            <w:tcW w:type="dxa" w:w="1626"/>
            <w:tcMar>
              <w:top w:w="50" w:type="dxa"/>
              <w:bottom w:w="50" w:type="dxa"/>
              <w:left w:w="90" w:type="dxa"/>
              <w:right w:w="90" w:type="dxa"/>
            </w:tcMar>
          </w:tcPr>
          <w:p>
            <w:pPr>
              <w:pStyle w:val="BDOITable"/>
            </w:pPr>
            <w:r>
              <w:rPr>
                <w:sz w:val="14"/>
              </w:rPr>
              <w:t>Which onboarding data, layout of the Trade file</w:t>
            </w:r>
          </w:p>
        </w:tc>
      </w:tr>
      <w:tr>
        <w:trPr>
          <w:cantSplit w:val="true"/>
        </w:trPr>
        <w:tc>
          <w:tcPr>
            <w:tcW w:type="dxa" w:w="688"/>
            <w:tcMar>
              <w:top w:w="50" w:type="dxa"/>
              <w:bottom w:w="50" w:type="dxa"/>
              <w:left w:w="90" w:type="dxa"/>
              <w:right w:w="90" w:type="dxa"/>
            </w:tcMar>
            <w:shd w:val="clear" w:color="auto" w:fill="E5F5FF"/>
          </w:tcPr>
          <w:p>
            <w:pPr>
              <w:pStyle w:val="BDOITable"/>
            </w:pPr>
            <w:r>
              <w:rPr>
                <w:b/>
                <w:sz w:val="14"/>
              </w:rPr>
              <w:t>INT-16</w:t>
            </w:r>
          </w:p>
        </w:tc>
        <w:tc>
          <w:tcPr>
            <w:tcW w:type="dxa" w:w="1251"/>
            <w:tcMar>
              <w:top w:w="50" w:type="dxa"/>
              <w:bottom w:w="50" w:type="dxa"/>
              <w:left w:w="90" w:type="dxa"/>
              <w:right w:w="90" w:type="dxa"/>
            </w:tcMar>
            <w:shd w:val="clear" w:color="auto" w:fill="E5F5FF"/>
          </w:tcPr>
          <w:p>
            <w:pPr>
              <w:pStyle w:val="BDOITable"/>
            </w:pPr>
            <w:r>
              <w:rPr>
                <w:sz w:val="14"/>
              </w:rPr>
              <w:t>EDP - Data Ingestion (SD 11)</w:t>
            </w:r>
          </w:p>
        </w:tc>
        <w:tc>
          <w:tcPr>
            <w:tcW w:type="dxa" w:w="2877"/>
            <w:tcMar>
              <w:top w:w="50" w:type="dxa"/>
              <w:bottom w:w="50" w:type="dxa"/>
              <w:left w:w="90" w:type="dxa"/>
              <w:right w:w="90" w:type="dxa"/>
            </w:tcMar>
            <w:shd w:val="clear" w:color="auto" w:fill="E5F5FF"/>
          </w:tcPr>
          <w:p>
            <w:pPr>
              <w:pStyle w:val="BDOITable"/>
            </w:pPr>
            <w:r>
              <w:rPr>
                <w:sz w:val="14"/>
              </w:rPr>
              <w:t>BIBS data delivered to the BDO data platform for analytics. "SD 11" is not explained (a data standard or source-delivery specification).</w:t>
            </w:r>
          </w:p>
        </w:tc>
        <w:tc>
          <w:tcPr>
            <w:tcW w:type="dxa" w:w="1876"/>
            <w:tcMar>
              <w:top w:w="50" w:type="dxa"/>
              <w:bottom w:w="50" w:type="dxa"/>
              <w:left w:w="90" w:type="dxa"/>
              <w:right w:w="90" w:type="dxa"/>
            </w:tcMar>
            <w:shd w:val="clear" w:color="auto" w:fill="E5F5FF"/>
          </w:tcPr>
          <w:p>
            <w:pPr>
              <w:pStyle w:val="BDOITable"/>
            </w:pPr>
            <w:r>
              <w:rPr>
                <w:sz w:val="14"/>
              </w:rPr>
              <w:t>To agree (clients, accounts, invoices, receipts, remittances, GL; history and daily changes)</w:t>
            </w:r>
          </w:p>
        </w:tc>
        <w:tc>
          <w:tcPr>
            <w:tcW w:type="dxa" w:w="2752"/>
            <w:tcMar>
              <w:top w:w="50" w:type="dxa"/>
              <w:bottom w:w="50" w:type="dxa"/>
              <w:left w:w="90" w:type="dxa"/>
              <w:right w:w="90" w:type="dxa"/>
            </w:tcMar>
            <w:shd w:val="clear" w:color="auto" w:fill="E5F5FF"/>
          </w:tcPr>
          <w:p>
            <w:pPr>
              <w:pStyle w:val="BDOITable"/>
            </w:pPr>
            <w:r>
              <w:rPr>
                <w:sz w:val="14"/>
              </w:rPr>
              <w:t>Kafka integration events bibs.* (9 topics, PLATFORM_CACHE_AND_EVENTS.md); report exports; no bulk data feed</w:t>
            </w:r>
          </w:p>
        </w:tc>
        <w:tc>
          <w:tcPr>
            <w:tcW w:type="dxa" w:w="2502"/>
            <w:tcMar>
              <w:top w:w="50" w:type="dxa"/>
              <w:bottom w:w="50" w:type="dxa"/>
              <w:left w:w="90" w:type="dxa"/>
              <w:right w:w="90" w:type="dxa"/>
            </w:tcMar>
            <w:shd w:val="clear" w:color="auto" w:fill="E5F5FF"/>
          </w:tcPr>
          <w:p>
            <w:pPr>
              <w:pStyle w:val="BDOITable"/>
            </w:pPr>
            <w:r>
              <w:rPr>
                <w:sz w:val="14"/>
              </w:rPr>
              <w:t>Daily extracts to an S3 drop per the SD 11 specification, or change-data capture from a read replica; masking rules</w:t>
            </w:r>
          </w:p>
        </w:tc>
        <w:tc>
          <w:tcPr>
            <w:tcW w:type="dxa" w:w="1626"/>
            <w:tcMar>
              <w:top w:w="50" w:type="dxa"/>
              <w:bottom w:w="50" w:type="dxa"/>
              <w:left w:w="90" w:type="dxa"/>
              <w:right w:w="90" w:type="dxa"/>
            </w:tcMar>
            <w:shd w:val="clear" w:color="auto" w:fill="E5F5FF"/>
          </w:tcPr>
          <w:p>
            <w:pPr>
              <w:pStyle w:val="BDOITable"/>
            </w:pPr>
            <w:r>
              <w:rPr>
                <w:sz w:val="14"/>
              </w:rPr>
              <w:t>What SD 11 is, objects, format, frequency, push or pull</w:t>
            </w:r>
          </w:p>
        </w:tc>
      </w:tr>
      <w:tr>
        <w:trPr>
          <w:cantSplit w:val="true"/>
        </w:trPr>
        <w:tc>
          <w:tcPr>
            <w:tcW w:type="dxa" w:w="688"/>
            <w:tcMar>
              <w:top w:w="50" w:type="dxa"/>
              <w:bottom w:w="50" w:type="dxa"/>
              <w:left w:w="90" w:type="dxa"/>
              <w:right w:w="90" w:type="dxa"/>
            </w:tcMar>
          </w:tcPr>
          <w:p>
            <w:pPr>
              <w:pStyle w:val="BDOITable"/>
            </w:pPr>
            <w:r>
              <w:rPr>
                <w:b/>
                <w:sz w:val="14"/>
              </w:rPr>
              <w:t>INT-17</w:t>
            </w:r>
          </w:p>
        </w:tc>
        <w:tc>
          <w:tcPr>
            <w:tcW w:type="dxa" w:w="1251"/>
            <w:tcMar>
              <w:top w:w="50" w:type="dxa"/>
              <w:bottom w:w="50" w:type="dxa"/>
              <w:left w:w="90" w:type="dxa"/>
              <w:right w:w="90" w:type="dxa"/>
            </w:tcMar>
          </w:tcPr>
          <w:p>
            <w:pPr>
              <w:pStyle w:val="BDOITable"/>
            </w:pPr>
            <w:r>
              <w:rPr>
                <w:sz w:val="14"/>
              </w:rPr>
              <w:t>EGL</w:t>
            </w:r>
          </w:p>
        </w:tc>
        <w:tc>
          <w:tcPr>
            <w:tcW w:type="dxa" w:w="2877"/>
            <w:tcMar>
              <w:top w:w="50" w:type="dxa"/>
              <w:bottom w:w="50" w:type="dxa"/>
              <w:left w:w="90" w:type="dxa"/>
              <w:right w:w="90" w:type="dxa"/>
            </w:tcMar>
          </w:tcPr>
          <w:p>
            <w:pPr>
              <w:pStyle w:val="BDOITable"/>
            </w:pPr>
            <w:r>
              <w:rPr>
                <w:sz w:val="14"/>
              </w:rPr>
              <w:t>The BDO group ledger receives BDOI accounting from the BIBS GL (journal detail or balances) for consolidation.</w:t>
            </w:r>
          </w:p>
        </w:tc>
        <w:tc>
          <w:tcPr>
            <w:tcW w:type="dxa" w:w="1876"/>
            <w:tcMar>
              <w:top w:w="50" w:type="dxa"/>
              <w:bottom w:w="50" w:type="dxa"/>
              <w:left w:w="90" w:type="dxa"/>
              <w:right w:w="90" w:type="dxa"/>
            </w:tcMar>
          </w:tcPr>
          <w:p>
            <w:pPr>
              <w:pStyle w:val="BDOITable"/>
            </w:pPr>
            <w:r>
              <w:rPr>
                <w:sz w:val="14"/>
              </w:rPr>
              <w:t>Journals or trial balance by account, branch, cost centre, currency; mapping to EGL accounts</w:t>
            </w:r>
          </w:p>
        </w:tc>
        <w:tc>
          <w:tcPr>
            <w:tcW w:type="dxa" w:w="2752"/>
            <w:tcMar>
              <w:top w:w="50" w:type="dxa"/>
              <w:bottom w:w="50" w:type="dxa"/>
              <w:left w:w="90" w:type="dxa"/>
              <w:right w:w="90" w:type="dxa"/>
            </w:tcMar>
          </w:tcPr>
          <w:p>
            <w:pPr>
              <w:pStyle w:val="BDOITable"/>
            </w:pPr>
            <w:r>
              <w:rPr>
                <w:sz w:val="14"/>
              </w:rPr>
              <w:t>None as an interface; GL reports (trial balance, GL-SCHEDULE); BDO GARD submission is report exports only (AQ31)</w:t>
            </w:r>
          </w:p>
        </w:tc>
        <w:tc>
          <w:tcPr>
            <w:tcW w:type="dxa" w:w="2502"/>
            <w:tcMar>
              <w:top w:w="50" w:type="dxa"/>
              <w:bottom w:w="50" w:type="dxa"/>
              <w:left w:w="90" w:type="dxa"/>
              <w:right w:w="90" w:type="dxa"/>
            </w:tcMar>
          </w:tcPr>
          <w:p>
            <w:pPr>
              <w:pStyle w:val="BDOITable"/>
            </w:pPr>
            <w:r>
              <w:rPr>
                <w:sz w:val="14"/>
              </w:rPr>
              <w:t>EGL extract job with the account mapping (code map), control totals and reconciliation report</w:t>
            </w:r>
          </w:p>
        </w:tc>
        <w:tc>
          <w:tcPr>
            <w:tcW w:type="dxa" w:w="1626"/>
            <w:tcMar>
              <w:top w:w="50" w:type="dxa"/>
              <w:bottom w:w="50" w:type="dxa"/>
              <w:left w:w="90" w:type="dxa"/>
              <w:right w:w="90" w:type="dxa"/>
            </w:tcMar>
          </w:tcPr>
          <w:p>
            <w:pPr>
              <w:pStyle w:val="BDOITable"/>
            </w:pPr>
            <w:r>
              <w:rPr>
                <w:sz w:val="14"/>
              </w:rPr>
              <w:t>Level of detail, frequency, mapping, layout, transport</w:t>
            </w:r>
          </w:p>
        </w:tc>
      </w:tr>
      <w:tr>
        <w:trPr>
          <w:cantSplit w:val="true"/>
        </w:trPr>
        <w:tc>
          <w:tcPr>
            <w:tcW w:type="dxa" w:w="688"/>
            <w:tcMar>
              <w:top w:w="50" w:type="dxa"/>
              <w:bottom w:w="50" w:type="dxa"/>
              <w:left w:w="90" w:type="dxa"/>
              <w:right w:w="90" w:type="dxa"/>
            </w:tcMar>
            <w:shd w:val="clear" w:color="auto" w:fill="E5F5FF"/>
          </w:tcPr>
          <w:p>
            <w:pPr>
              <w:pStyle w:val="BDOITable"/>
            </w:pPr>
            <w:r>
              <w:rPr>
                <w:b/>
                <w:sz w:val="14"/>
              </w:rPr>
              <w:t>INT-18</w:t>
            </w:r>
          </w:p>
        </w:tc>
        <w:tc>
          <w:tcPr>
            <w:tcW w:type="dxa" w:w="1251"/>
            <w:tcMar>
              <w:top w:w="50" w:type="dxa"/>
              <w:bottom w:w="50" w:type="dxa"/>
              <w:left w:w="90" w:type="dxa"/>
              <w:right w:w="90" w:type="dxa"/>
            </w:tcMar>
            <w:shd w:val="clear" w:color="auto" w:fill="E5F5FF"/>
          </w:tcPr>
          <w:p>
            <w:pPr>
              <w:pStyle w:val="BDOITable"/>
            </w:pPr>
            <w:r>
              <w:rPr>
                <w:sz w:val="14"/>
              </w:rPr>
              <w:t>CARMS</w:t>
            </w:r>
          </w:p>
        </w:tc>
        <w:tc>
          <w:tcPr>
            <w:tcW w:type="dxa" w:w="2877"/>
            <w:tcMar>
              <w:top w:w="50" w:type="dxa"/>
              <w:bottom w:w="50" w:type="dxa"/>
              <w:left w:w="90" w:type="dxa"/>
              <w:right w:w="90" w:type="dxa"/>
            </w:tcMar>
            <w:shd w:val="clear" w:color="auto" w:fill="E5F5FF"/>
          </w:tcPr>
          <w:p>
            <w:pPr>
              <w:pStyle w:val="BDOITable"/>
            </w:pPr>
            <w:r>
              <w:rPr>
                <w:sz w:val="14"/>
              </w:rPr>
              <w:t>Unknown.</w:t>
            </w:r>
          </w:p>
        </w:tc>
        <w:tc>
          <w:tcPr>
            <w:tcW w:type="dxa" w:w="1876"/>
            <w:tcMar>
              <w:top w:w="50" w:type="dxa"/>
              <w:bottom w:w="50" w:type="dxa"/>
              <w:left w:w="90" w:type="dxa"/>
              <w:right w:w="90" w:type="dxa"/>
            </w:tcMar>
            <w:shd w:val="clear" w:color="auto" w:fill="E5F5FF"/>
          </w:tcPr>
          <w:p>
            <w:pPr>
              <w:pStyle w:val="BDOITable"/>
            </w:pPr>
            <w:r>
              <w:rPr>
                <w:sz w:val="14"/>
              </w:rPr>
              <w:t>To confirm</w:t>
            </w:r>
          </w:p>
        </w:tc>
        <w:tc>
          <w:tcPr>
            <w:tcW w:type="dxa" w:w="2752"/>
            <w:tcMar>
              <w:top w:w="50" w:type="dxa"/>
              <w:bottom w:w="50" w:type="dxa"/>
              <w:left w:w="90" w:type="dxa"/>
              <w:right w:w="90" w:type="dxa"/>
            </w:tcMar>
            <w:shd w:val="clear" w:color="auto" w:fill="E5F5FF"/>
          </w:tcPr>
          <w:p>
            <w:pPr>
              <w:pStyle w:val="BDOITable"/>
            </w:pPr>
            <w:r>
              <w:rPr>
                <w:sz w:val="14"/>
              </w:rPr>
              <w:t>-</w:t>
            </w:r>
          </w:p>
        </w:tc>
        <w:tc>
          <w:tcPr>
            <w:tcW w:type="dxa" w:w="2502"/>
            <w:tcMar>
              <w:top w:w="50" w:type="dxa"/>
              <w:bottom w:w="50" w:type="dxa"/>
              <w:left w:w="90" w:type="dxa"/>
              <w:right w:w="90" w:type="dxa"/>
            </w:tcMar>
            <w:shd w:val="clear" w:color="auto" w:fill="E5F5FF"/>
          </w:tcPr>
          <w:p>
            <w:pPr>
              <w:pStyle w:val="BDOITable"/>
            </w:pPr>
            <w:r>
              <w:rPr>
                <w:sz w:val="14"/>
              </w:rPr>
              <w:t>To size after the answer</w:t>
            </w:r>
          </w:p>
        </w:tc>
        <w:tc>
          <w:tcPr>
            <w:tcW w:type="dxa" w:w="1626"/>
            <w:tcMar>
              <w:top w:w="50" w:type="dxa"/>
              <w:bottom w:w="50" w:type="dxa"/>
              <w:left w:w="90" w:type="dxa"/>
              <w:right w:w="90" w:type="dxa"/>
            </w:tcMar>
            <w:shd w:val="clear" w:color="auto" w:fill="E5F5FF"/>
          </w:tcPr>
          <w:p>
            <w:pPr>
              <w:pStyle w:val="BDOITable"/>
            </w:pPr>
            <w:r>
              <w:rPr>
                <w:sz w:val="14"/>
              </w:rPr>
              <w:t>Purpose, data, direction</w:t>
            </w:r>
          </w:p>
        </w:tc>
      </w:tr>
      <w:tr>
        <w:trPr>
          <w:cantSplit w:val="true"/>
        </w:trPr>
        <w:tc>
          <w:tcPr>
            <w:tcW w:type="dxa" w:w="688"/>
            <w:tcMar>
              <w:top w:w="50" w:type="dxa"/>
              <w:bottom w:w="50" w:type="dxa"/>
              <w:left w:w="90" w:type="dxa"/>
              <w:right w:w="90" w:type="dxa"/>
            </w:tcMar>
          </w:tcPr>
          <w:p>
            <w:pPr>
              <w:pStyle w:val="BDOITable"/>
            </w:pPr>
            <w:r>
              <w:rPr>
                <w:b/>
                <w:sz w:val="14"/>
              </w:rPr>
              <w:t>INT-19</w:t>
            </w:r>
          </w:p>
        </w:tc>
        <w:tc>
          <w:tcPr>
            <w:tcW w:type="dxa" w:w="1251"/>
            <w:tcMar>
              <w:top w:w="50" w:type="dxa"/>
              <w:bottom w:w="50" w:type="dxa"/>
              <w:left w:w="90" w:type="dxa"/>
              <w:right w:w="90" w:type="dxa"/>
            </w:tcMar>
          </w:tcPr>
          <w:p>
            <w:pPr>
              <w:pStyle w:val="BDOITable"/>
            </w:pPr>
            <w:r>
              <w:rPr>
                <w:sz w:val="14"/>
              </w:rPr>
              <w:t>Insurer System</w:t>
            </w:r>
          </w:p>
        </w:tc>
        <w:tc>
          <w:tcPr>
            <w:tcW w:type="dxa" w:w="2877"/>
            <w:tcMar>
              <w:top w:w="50" w:type="dxa"/>
              <w:bottom w:w="50" w:type="dxa"/>
              <w:left w:w="90" w:type="dxa"/>
              <w:right w:w="90" w:type="dxa"/>
            </w:tcMar>
          </w:tcPr>
          <w:p>
            <w:pPr>
              <w:pStyle w:val="BDOITable"/>
            </w:pPr>
            <w:r>
              <w:rPr>
                <w:sz w:val="14"/>
              </w:rPr>
              <w:t>Files exchanged with each insurer today by e-mail: production reports and feedback (PRCID.009), remittance schedules and ORs (RMTID.012), DP billing responses (CMRID.009), renewal responses, SOAs (ACSL 2.2.1), e-policies, claims.</w:t>
            </w:r>
          </w:p>
        </w:tc>
        <w:tc>
          <w:tcPr>
            <w:tcW w:type="dxa" w:w="1876"/>
            <w:tcMar>
              <w:top w:w="50" w:type="dxa"/>
              <w:bottom w:w="50" w:type="dxa"/>
              <w:left w:w="90" w:type="dxa"/>
              <w:right w:w="90" w:type="dxa"/>
            </w:tcMar>
          </w:tcPr>
          <w:p>
            <w:pPr>
              <w:pStyle w:val="BDOITable"/>
            </w:pPr>
            <w:r>
              <w:rPr>
                <w:sz w:val="14"/>
              </w:rPr>
              <w:t>Per process</w:t>
            </w:r>
          </w:p>
        </w:tc>
        <w:tc>
          <w:tcPr>
            <w:tcW w:type="dxa" w:w="2752"/>
            <w:tcMar>
              <w:top w:w="50" w:type="dxa"/>
              <w:bottom w:w="50" w:type="dxa"/>
              <w:left w:w="90" w:type="dxa"/>
              <w:right w:w="90" w:type="dxa"/>
            </w:tcMar>
          </w:tcPr>
          <w:p>
            <w:pPr>
              <w:pStyle w:val="BDOITable"/>
            </w:pPr>
            <w:r>
              <w:rPr>
                <w:sz w:val="14"/>
              </w:rPr>
              <w:t>opsledger.service.port.InsurerFileInbox (default: no inbox, uploads on screens); FileDropPort for outgoing extracts</w:t>
            </w:r>
          </w:p>
        </w:tc>
        <w:tc>
          <w:tcPr>
            <w:tcW w:type="dxa" w:w="2502"/>
            <w:tcMar>
              <w:top w:w="50" w:type="dxa"/>
              <w:bottom w:w="50" w:type="dxa"/>
              <w:left w:w="90" w:type="dxa"/>
              <w:right w:w="90" w:type="dxa"/>
            </w:tcMar>
          </w:tcPr>
          <w:p>
            <w:pPr>
              <w:pStyle w:val="BDOITable"/>
            </w:pPr>
            <w:r>
              <w:rPr>
                <w:sz w:val="14"/>
              </w:rPr>
              <w:t>InsurerFileInbox adapter per channel (SFTP to S3, API) and outbound drops</w:t>
            </w:r>
          </w:p>
        </w:tc>
        <w:tc>
          <w:tcPr>
            <w:tcW w:type="dxa" w:w="1626"/>
            <w:tcMar>
              <w:top w:w="50" w:type="dxa"/>
              <w:bottom w:w="50" w:type="dxa"/>
              <w:left w:w="90" w:type="dxa"/>
              <w:right w:w="90" w:type="dxa"/>
            </w:tcMar>
          </w:tcPr>
          <w:p>
            <w:pPr>
              <w:pStyle w:val="BDOITable"/>
            </w:pPr>
            <w:r>
              <w:rPr>
                <w:sz w:val="14"/>
              </w:rPr>
              <w:t>Insurers, processes, channel, layouts</w:t>
            </w:r>
          </w:p>
        </w:tc>
      </w:tr>
      <w:tr>
        <w:trPr>
          <w:cantSplit w:val="true"/>
        </w:trPr>
        <w:tc>
          <w:tcPr>
            <w:tcW w:type="dxa" w:w="688"/>
            <w:tcMar>
              <w:top w:w="50" w:type="dxa"/>
              <w:bottom w:w="50" w:type="dxa"/>
              <w:left w:w="90" w:type="dxa"/>
              <w:right w:w="90" w:type="dxa"/>
            </w:tcMar>
            <w:shd w:val="clear" w:color="auto" w:fill="E5F5FF"/>
          </w:tcPr>
          <w:p>
            <w:pPr>
              <w:pStyle w:val="BDOITable"/>
            </w:pPr>
            <w:r>
              <w:rPr>
                <w:b/>
                <w:sz w:val="14"/>
              </w:rPr>
              <w:t>INT-20</w:t>
            </w:r>
          </w:p>
        </w:tc>
        <w:tc>
          <w:tcPr>
            <w:tcW w:type="dxa" w:w="1251"/>
            <w:tcMar>
              <w:top w:w="50" w:type="dxa"/>
              <w:bottom w:w="50" w:type="dxa"/>
              <w:left w:w="90" w:type="dxa"/>
              <w:right w:w="90" w:type="dxa"/>
            </w:tcMar>
            <w:shd w:val="clear" w:color="auto" w:fill="E5F5FF"/>
          </w:tcPr>
          <w:p>
            <w:pPr>
              <w:pStyle w:val="BDOITable"/>
            </w:pPr>
            <w:r>
              <w:rPr>
                <w:sz w:val="14"/>
              </w:rPr>
              <w:t>Bridger Insight XG (manual)</w:t>
            </w:r>
          </w:p>
        </w:tc>
        <w:tc>
          <w:tcPr>
            <w:tcW w:type="dxa" w:w="2877"/>
            <w:tcMar>
              <w:top w:w="50" w:type="dxa"/>
              <w:bottom w:w="50" w:type="dxa"/>
              <w:left w:w="90" w:type="dxa"/>
              <w:right w:w="90" w:type="dxa"/>
            </w:tcMar>
            <w:shd w:val="clear" w:color="auto" w:fill="E5F5FF"/>
          </w:tcPr>
          <w:p>
            <w:pPr>
              <w:pStyle w:val="BDOITable"/>
            </w:pPr>
            <w:r>
              <w:rPr>
                <w:sz w:val="14"/>
              </w:rPr>
              <w:t>Compliance screens names in Bridger Insight XG by hand and records the result in the BIBS screening case.</w:t>
            </w:r>
          </w:p>
        </w:tc>
        <w:tc>
          <w:tcPr>
            <w:tcW w:type="dxa" w:w="1876"/>
            <w:tcMar>
              <w:top w:w="50" w:type="dxa"/>
              <w:bottom w:w="50" w:type="dxa"/>
              <w:left w:w="90" w:type="dxa"/>
              <w:right w:w="90" w:type="dxa"/>
            </w:tcMar>
            <w:shd w:val="clear" w:color="auto" w:fill="E5F5FF"/>
          </w:tcPr>
          <w:p>
            <w:pPr>
              <w:pStyle w:val="BDOITable"/>
            </w:pPr>
            <w:r>
              <w:rPr>
                <w:sz w:val="14"/>
              </w:rPr>
              <w:t>Screening result and evidence</w:t>
            </w:r>
          </w:p>
        </w:tc>
        <w:tc>
          <w:tcPr>
            <w:tcW w:type="dxa" w:w="2752"/>
            <w:tcMar>
              <w:top w:w="50" w:type="dxa"/>
              <w:bottom w:w="50" w:type="dxa"/>
              <w:left w:w="90" w:type="dxa"/>
              <w:right w:w="90" w:type="dxa"/>
            </w:tcMar>
            <w:shd w:val="clear" w:color="auto" w:fill="E5F5FF"/>
          </w:tcPr>
          <w:p>
            <w:pPr>
              <w:pStyle w:val="BDOITable"/>
            </w:pPr>
            <w:r>
              <w:rPr>
                <w:sz w:val="14"/>
              </w:rPr>
              <w:t>Screening cases with evidence attachments; WatchlistFeed for list files (StagedFileWatchlistFeed)</w:t>
            </w:r>
          </w:p>
        </w:tc>
        <w:tc>
          <w:tcPr>
            <w:tcW w:type="dxa" w:w="2502"/>
            <w:tcMar>
              <w:top w:w="50" w:type="dxa"/>
              <w:bottom w:w="50" w:type="dxa"/>
              <w:left w:w="90" w:type="dxa"/>
              <w:right w:w="90" w:type="dxa"/>
            </w:tcMar>
            <w:shd w:val="clear" w:color="auto" w:fill="E5F5FF"/>
          </w:tcPr>
          <w:p>
            <w:pPr>
              <w:pStyle w:val="BDOITable"/>
            </w:pPr>
            <w:r>
              <w:rPr>
                <w:sz w:val="14"/>
              </w:rPr>
              <w:t>Evidence document type and disposition values; a client export for Bridger batch screening if asked</w:t>
            </w:r>
          </w:p>
        </w:tc>
        <w:tc>
          <w:tcPr>
            <w:tcW w:type="dxa" w:w="1626"/>
            <w:tcMar>
              <w:top w:w="50" w:type="dxa"/>
              <w:bottom w:w="50" w:type="dxa"/>
              <w:left w:w="90" w:type="dxa"/>
              <w:right w:w="90" w:type="dxa"/>
            </w:tcMar>
            <w:shd w:val="clear" w:color="auto" w:fill="E5F5FF"/>
          </w:tcPr>
          <w:p>
            <w:pPr>
              <w:pStyle w:val="BDOITable"/>
            </w:pPr>
            <w:r>
              <w:rPr>
                <w:sz w:val="14"/>
              </w:rPr>
              <w:t>Does Bridger replace or complement BIBS list matching</w:t>
            </w:r>
          </w:p>
        </w:tc>
      </w:tr>
    </w:tbl>
    <w:p>
      <w:pPr>
        <w:pStyle w:val="BDOISpacer"/>
      </w:pPr>
    </w:p>
    <w:p>
      <w:pPr>
        <w:sectPr>
          <w:headerReference w:type="default" r:id="rId25"/>
          <w:footerReference w:type="default" r:id="rId26"/>
          <w:headerReference w:type="first" r:id="rId27"/>
          <w:footerReference w:type="first" r:id="rId28"/>
          <w:pgSz w:w="15840" w:h="12240" w:orient="landscape"/>
          <w:pgMar w:top="1417" w:right="1134" w:bottom="1247" w:left="1134" w:header="567" w:footer="510" w:gutter="0"/>
          <w:cols w:space="720"/>
          <w:docGrid w:linePitch="360"/>
        </w:sectPr>
      </w:pPr>
    </w:p>
    <w:p>
      <w:pPr>
        <w:pStyle w:val="Heading2"/>
      </w:pPr>
      <w:bookmarkStart w:id="122" w:name="_Toc000122"/>
      <w:r>
        <w:rPr/>
        <w:t>5.3 Interfaces named in the BRDs but not on the slide</w:t>
      </w:r>
      <w:bookmarkEnd w:id="122"/>
    </w:p>
    <w:p>
      <w:pPr>
        <w:pStyle w:val="Caption"/>
        <w:keepNext/>
        <w:spacing w:after="60"/>
      </w:pPr>
      <w:r>
        <w:rPr>
          <w:b/>
          <w:i w:val="0"/>
        </w:rPr>
        <w:t xml:space="preserve">Table 15: </w:t>
      </w:r>
      <w:r>
        <w:rPr/>
        <w:t>Interfaces named in the BRDs but not on the slide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266"/>
        <w:gridCol w:w="2833"/>
        <w:gridCol w:w="2606"/>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6"/>
              </w:rPr>
              <w:t>Interface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6"/>
              </w:rPr>
              <w:t>Named in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6"/>
              </w:rPr>
              <w:t>BIBS seam</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6"/>
              </w:rPr>
              <w:t>To confirm</w:t>
            </w:r>
          </w:p>
        </w:tc>
      </w:tr>
      <w:tr>
        <w:trPr>
          <w:cantSplit w:val="true"/>
        </w:trPr>
        <w:tc>
          <w:tcPr>
            <w:tcW w:type="dxa" w:w="2266"/>
            <w:tcMar>
              <w:top w:w="50" w:type="dxa"/>
              <w:bottom w:w="50" w:type="dxa"/>
              <w:left w:w="90" w:type="dxa"/>
              <w:right w:w="90" w:type="dxa"/>
            </w:tcMar>
          </w:tcPr>
          <w:p>
            <w:pPr>
              <w:pStyle w:val="BDOITable"/>
            </w:pPr>
            <w:r>
              <w:rPr>
                <w:b/>
                <w:sz w:val="16"/>
              </w:rPr>
              <w:t>LAMD reports (paid-off, RMU)</w:t>
            </w:r>
          </w:p>
        </w:tc>
        <w:tc>
          <w:tcPr>
            <w:tcW w:type="dxa" w:w="2266"/>
            <w:tcMar>
              <w:top w:w="50" w:type="dxa"/>
              <w:bottom w:w="50" w:type="dxa"/>
              <w:left w:w="90" w:type="dxa"/>
              <w:right w:w="90" w:type="dxa"/>
            </w:tcMar>
          </w:tcPr>
          <w:p>
            <w:pPr>
              <w:pStyle w:val="BDOITable"/>
            </w:pPr>
            <w:r>
              <w:rPr>
                <w:sz w:val="16"/>
              </w:rPr>
              <w:t>BRD-6 BRRN.029; BRD-12</w:t>
            </w:r>
          </w:p>
        </w:tc>
        <w:tc>
          <w:tcPr>
            <w:tcW w:type="dxa" w:w="2833"/>
            <w:tcMar>
              <w:top w:w="50" w:type="dxa"/>
              <w:bottom w:w="50" w:type="dxa"/>
              <w:left w:w="90" w:type="dxa"/>
              <w:right w:w="90" w:type="dxa"/>
            </w:tcMar>
          </w:tcPr>
          <w:p>
            <w:pPr>
              <w:pStyle w:val="BDOITable"/>
            </w:pPr>
            <w:r>
              <w:rPr>
                <w:sz w:val="16"/>
              </w:rPr>
              <w:t>RNW_LAMD_REPORT and SBM uploads (designed)</w:t>
            </w:r>
          </w:p>
        </w:tc>
        <w:tc>
          <w:tcPr>
            <w:tcW w:type="dxa" w:w="2606"/>
            <w:tcMar>
              <w:top w:w="50" w:type="dxa"/>
              <w:bottom w:w="50" w:type="dxa"/>
              <w:left w:w="90" w:type="dxa"/>
              <w:right w:w="90" w:type="dxa"/>
            </w:tcMar>
          </w:tcPr>
          <w:p>
            <w:pPr>
              <w:pStyle w:val="BDOITable"/>
            </w:pPr>
            <w:r>
              <w:rPr>
                <w:sz w:val="16"/>
              </w:rPr>
              <w:t>Covered by LMS (INT-03)?</w:t>
            </w:r>
          </w:p>
        </w:tc>
      </w:tr>
      <w:tr>
        <w:trPr>
          <w:cantSplit w:val="true"/>
        </w:trPr>
        <w:tc>
          <w:tcPr>
            <w:tcW w:type="dxa" w:w="2266"/>
            <w:tcMar>
              <w:top w:w="50" w:type="dxa"/>
              <w:bottom w:w="50" w:type="dxa"/>
              <w:left w:w="90" w:type="dxa"/>
              <w:right w:w="90" w:type="dxa"/>
            </w:tcMar>
            <w:shd w:val="clear" w:color="auto" w:fill="E5F5FF"/>
          </w:tcPr>
          <w:p>
            <w:pPr>
              <w:pStyle w:val="BDOITable"/>
            </w:pPr>
            <w:r>
              <w:rPr>
                <w:b/>
                <w:sz w:val="16"/>
              </w:rPr>
              <w:t>CLPC loan credits and billing</w:t>
            </w:r>
          </w:p>
        </w:tc>
        <w:tc>
          <w:tcPr>
            <w:tcW w:type="dxa" w:w="2266"/>
            <w:tcMar>
              <w:top w:w="50" w:type="dxa"/>
              <w:bottom w:w="50" w:type="dxa"/>
              <w:left w:w="90" w:type="dxa"/>
              <w:right w:w="90" w:type="dxa"/>
            </w:tcMar>
            <w:shd w:val="clear" w:color="auto" w:fill="E5F5FF"/>
          </w:tcPr>
          <w:p>
            <w:pPr>
              <w:pStyle w:val="BDOITable"/>
            </w:pPr>
            <w:r>
              <w:rPr>
                <w:sz w:val="16"/>
              </w:rPr>
              <w:t>BRD-1 BRNB.067; Report List #65-67</w:t>
            </w:r>
          </w:p>
        </w:tc>
        <w:tc>
          <w:tcPr>
            <w:tcW w:type="dxa" w:w="2833"/>
            <w:tcMar>
              <w:top w:w="50" w:type="dxa"/>
              <w:bottom w:w="50" w:type="dxa"/>
              <w:left w:w="90" w:type="dxa"/>
              <w:right w:w="90" w:type="dxa"/>
            </w:tcMar>
            <w:shd w:val="clear" w:color="auto" w:fill="E5F5FF"/>
          </w:tcPr>
          <w:p>
            <w:pPr>
              <w:pStyle w:val="BDOITable"/>
            </w:pPr>
            <w:r>
              <w:rPr>
                <w:sz w:val="16"/>
              </w:rPr>
              <w:t>PAY_CLPC, NB-CLPC-BILLING</w:t>
            </w:r>
          </w:p>
        </w:tc>
        <w:tc>
          <w:tcPr>
            <w:tcW w:type="dxa" w:w="2606"/>
            <w:tcMar>
              <w:top w:w="50" w:type="dxa"/>
              <w:bottom w:w="50" w:type="dxa"/>
              <w:left w:w="90" w:type="dxa"/>
              <w:right w:w="90" w:type="dxa"/>
            </w:tcMar>
            <w:shd w:val="clear" w:color="auto" w:fill="E5F5FF"/>
          </w:tcPr>
          <w:p>
            <w:pPr>
              <w:pStyle w:val="BDOITable"/>
            </w:pPr>
            <w:r>
              <w:rPr>
                <w:sz w:val="16"/>
              </w:rPr>
              <w:t>Covered by LMS / HL-LOAS?</w:t>
            </w:r>
          </w:p>
        </w:tc>
      </w:tr>
      <w:tr>
        <w:trPr>
          <w:cantSplit w:val="true"/>
        </w:trPr>
        <w:tc>
          <w:tcPr>
            <w:tcW w:type="dxa" w:w="2266"/>
            <w:tcMar>
              <w:top w:w="50" w:type="dxa"/>
              <w:bottom w:w="50" w:type="dxa"/>
              <w:left w:w="90" w:type="dxa"/>
              <w:right w:w="90" w:type="dxa"/>
            </w:tcMar>
          </w:tcPr>
          <w:p>
            <w:pPr>
              <w:pStyle w:val="BDOITable"/>
            </w:pPr>
            <w:r>
              <w:rPr>
                <w:b/>
                <w:sz w:val="16"/>
              </w:rPr>
              <w:t>NLDS PEP list and AML advisory</w:t>
            </w:r>
          </w:p>
        </w:tc>
        <w:tc>
          <w:tcPr>
            <w:tcW w:type="dxa" w:w="2266"/>
            <w:tcMar>
              <w:top w:w="50" w:type="dxa"/>
              <w:bottom w:w="50" w:type="dxa"/>
              <w:left w:w="90" w:type="dxa"/>
              <w:right w:w="90" w:type="dxa"/>
            </w:tcMar>
          </w:tcPr>
          <w:p>
            <w:pPr>
              <w:pStyle w:val="BDOITable"/>
            </w:pPr>
            <w:r>
              <w:rPr>
                <w:sz w:val="16"/>
              </w:rPr>
              <w:t>BRD-10 SNSRP-201, p.7</w:t>
            </w:r>
          </w:p>
        </w:tc>
        <w:tc>
          <w:tcPr>
            <w:tcW w:type="dxa" w:w="2833"/>
            <w:tcMar>
              <w:top w:w="50" w:type="dxa"/>
              <w:bottom w:w="50" w:type="dxa"/>
              <w:left w:w="90" w:type="dxa"/>
              <w:right w:w="90" w:type="dxa"/>
            </w:tcMar>
          </w:tcPr>
          <w:p>
            <w:pPr>
              <w:pStyle w:val="BDOITable"/>
            </w:pPr>
            <w:r>
              <w:rPr>
                <w:sz w:val="16"/>
              </w:rPr>
              <w:t>WatchlistFeed sources NLDS_PEP, AML_ADVISORY</w:t>
            </w:r>
          </w:p>
        </w:tc>
        <w:tc>
          <w:tcPr>
            <w:tcW w:type="dxa" w:w="2606"/>
            <w:tcMar>
              <w:top w:w="50" w:type="dxa"/>
              <w:bottom w:w="50" w:type="dxa"/>
              <w:left w:w="90" w:type="dxa"/>
              <w:right w:w="90" w:type="dxa"/>
            </w:tcMar>
          </w:tcPr>
          <w:p>
            <w:pPr>
              <w:pStyle w:val="BDOITable"/>
            </w:pPr>
            <w:r>
              <w:rPr>
                <w:sz w:val="16"/>
              </w:rPr>
              <w:t>Transport (SQ01)</w:t>
            </w:r>
          </w:p>
        </w:tc>
      </w:tr>
      <w:tr>
        <w:trPr>
          <w:cantSplit w:val="true"/>
        </w:trPr>
        <w:tc>
          <w:tcPr>
            <w:tcW w:type="dxa" w:w="2266"/>
            <w:tcMar>
              <w:top w:w="50" w:type="dxa"/>
              <w:bottom w:w="50" w:type="dxa"/>
              <w:left w:w="90" w:type="dxa"/>
              <w:right w:w="90" w:type="dxa"/>
            </w:tcMar>
            <w:shd w:val="clear" w:color="auto" w:fill="E5F5FF"/>
          </w:tcPr>
          <w:p>
            <w:pPr>
              <w:pStyle w:val="BDOITable"/>
            </w:pPr>
            <w:r>
              <w:rPr>
                <w:b/>
                <w:sz w:val="16"/>
              </w:rPr>
              <w:t>Mail house (printed letters)</w:t>
            </w:r>
          </w:p>
        </w:tc>
        <w:tc>
          <w:tcPr>
            <w:tcW w:type="dxa" w:w="2266"/>
            <w:tcMar>
              <w:top w:w="50" w:type="dxa"/>
              <w:bottom w:w="50" w:type="dxa"/>
              <w:left w:w="90" w:type="dxa"/>
              <w:right w:w="90" w:type="dxa"/>
            </w:tcMar>
            <w:shd w:val="clear" w:color="auto" w:fill="E5F5FF"/>
          </w:tcPr>
          <w:p>
            <w:pPr>
              <w:pStyle w:val="BDOITable"/>
            </w:pPr>
            <w:r>
              <w:rPr>
                <w:sz w:val="16"/>
              </w:rPr>
              <w:t>BRD-12; BRD-6 letters</w:t>
            </w:r>
          </w:p>
        </w:tc>
        <w:tc>
          <w:tcPr>
            <w:tcW w:type="dxa" w:w="2833"/>
            <w:tcMar>
              <w:top w:w="50" w:type="dxa"/>
              <w:bottom w:w="50" w:type="dxa"/>
              <w:left w:w="90" w:type="dxa"/>
              <w:right w:w="90" w:type="dxa"/>
            </w:tcMar>
            <w:shd w:val="clear" w:color="auto" w:fill="E5F5FF"/>
          </w:tcPr>
          <w:p>
            <w:pPr>
              <w:pStyle w:val="BDOITable"/>
            </w:pPr>
            <w:r>
              <w:rPr>
                <w:sz w:val="16"/>
              </w:rPr>
              <w:t>MailHouseGateway (designed)</w:t>
            </w:r>
          </w:p>
        </w:tc>
        <w:tc>
          <w:tcPr>
            <w:tcW w:type="dxa" w:w="2606"/>
            <w:tcMar>
              <w:top w:w="50" w:type="dxa"/>
              <w:bottom w:w="50" w:type="dxa"/>
              <w:left w:w="90" w:type="dxa"/>
              <w:right w:w="90" w:type="dxa"/>
            </w:tcMar>
            <w:shd w:val="clear" w:color="auto" w:fill="E5F5FF"/>
          </w:tcPr>
          <w:p>
            <w:pPr>
              <w:pStyle w:val="BDOITable"/>
            </w:pPr>
            <w:r>
              <w:rPr>
                <w:sz w:val="16"/>
              </w:rPr>
              <w:t>Channel and layout</w:t>
            </w:r>
          </w:p>
        </w:tc>
      </w:tr>
      <w:tr>
        <w:trPr>
          <w:cantSplit w:val="true"/>
        </w:trPr>
        <w:tc>
          <w:tcPr>
            <w:tcW w:type="dxa" w:w="2266"/>
            <w:tcMar>
              <w:top w:w="50" w:type="dxa"/>
              <w:bottom w:w="50" w:type="dxa"/>
              <w:left w:w="90" w:type="dxa"/>
              <w:right w:w="90" w:type="dxa"/>
            </w:tcMar>
          </w:tcPr>
          <w:p>
            <w:pPr>
              <w:pStyle w:val="BDOITable"/>
            </w:pPr>
            <w:r>
              <w:rPr>
                <w:b/>
                <w:sz w:val="16"/>
              </w:rPr>
              <w:t>BIR eFPS / eBIRForms, CAS books</w:t>
            </w:r>
          </w:p>
        </w:tc>
        <w:tc>
          <w:tcPr>
            <w:tcW w:type="dxa" w:w="2266"/>
            <w:tcMar>
              <w:top w:w="50" w:type="dxa"/>
              <w:bottom w:w="50" w:type="dxa"/>
              <w:left w:w="90" w:type="dxa"/>
              <w:right w:w="90" w:type="dxa"/>
            </w:tcMar>
          </w:tcPr>
          <w:p>
            <w:pPr>
              <w:pStyle w:val="BDOITable"/>
            </w:pPr>
            <w:r>
              <w:rPr>
                <w:sz w:val="16"/>
              </w:rPr>
              <w:t>BRD-5 Appendix A VII</w:t>
            </w:r>
          </w:p>
        </w:tc>
        <w:tc>
          <w:tcPr>
            <w:tcW w:type="dxa" w:w="2833"/>
            <w:tcMar>
              <w:top w:w="50" w:type="dxa"/>
              <w:bottom w:w="50" w:type="dxa"/>
              <w:left w:w="90" w:type="dxa"/>
              <w:right w:w="90" w:type="dxa"/>
            </w:tcMar>
          </w:tcPr>
          <w:p>
            <w:pPr>
              <w:pStyle w:val="BDOITable"/>
            </w:pPr>
            <w:r>
              <w:rPr>
                <w:sz w:val="16"/>
              </w:rPr>
              <w:t>Export files per form</w:t>
            </w:r>
          </w:p>
        </w:tc>
        <w:tc>
          <w:tcPr>
            <w:tcW w:type="dxa" w:w="2606"/>
            <w:tcMar>
              <w:top w:w="50" w:type="dxa"/>
              <w:bottom w:w="50" w:type="dxa"/>
              <w:left w:w="90" w:type="dxa"/>
              <w:right w:w="90" w:type="dxa"/>
            </w:tcMar>
          </w:tcPr>
          <w:p>
            <w:pPr>
              <w:pStyle w:val="BDOITable"/>
            </w:pPr>
            <w:r>
              <w:rPr>
                <w:sz w:val="16"/>
              </w:rPr>
              <w:t>Manual upload by Comptrollership</w:t>
            </w:r>
          </w:p>
        </w:tc>
      </w:tr>
      <w:tr>
        <w:trPr>
          <w:cantSplit w:val="true"/>
        </w:trPr>
        <w:tc>
          <w:tcPr>
            <w:tcW w:type="dxa" w:w="2266"/>
            <w:tcMar>
              <w:top w:w="50" w:type="dxa"/>
              <w:bottom w:w="50" w:type="dxa"/>
              <w:left w:w="90" w:type="dxa"/>
              <w:right w:w="90" w:type="dxa"/>
            </w:tcMar>
            <w:shd w:val="clear" w:color="auto" w:fill="E5F5FF"/>
          </w:tcPr>
          <w:p>
            <w:pPr>
              <w:pStyle w:val="BDOITable"/>
            </w:pPr>
            <w:r>
              <w:rPr>
                <w:b/>
                <w:sz w:val="16"/>
              </w:rPr>
              <w:t>BDO Unibank GARD submission</w:t>
            </w:r>
          </w:p>
        </w:tc>
        <w:tc>
          <w:tcPr>
            <w:tcW w:type="dxa" w:w="2266"/>
            <w:tcMar>
              <w:top w:w="50" w:type="dxa"/>
              <w:bottom w:w="50" w:type="dxa"/>
              <w:left w:w="90" w:type="dxa"/>
              <w:right w:w="90" w:type="dxa"/>
            </w:tcMar>
            <w:shd w:val="clear" w:color="auto" w:fill="E5F5FF"/>
          </w:tcPr>
          <w:p>
            <w:pPr>
              <w:pStyle w:val="BDOITable"/>
            </w:pPr>
            <w:r>
              <w:rPr>
                <w:sz w:val="16"/>
              </w:rPr>
              <w:t>BRD-5 Appendix A II</w:t>
            </w:r>
          </w:p>
        </w:tc>
        <w:tc>
          <w:tcPr>
            <w:tcW w:type="dxa" w:w="2833"/>
            <w:tcMar>
              <w:top w:w="50" w:type="dxa"/>
              <w:bottom w:w="50" w:type="dxa"/>
              <w:left w:w="90" w:type="dxa"/>
              <w:right w:w="90" w:type="dxa"/>
            </w:tcMar>
            <w:shd w:val="clear" w:color="auto" w:fill="E5F5FF"/>
          </w:tcPr>
          <w:p>
            <w:pPr>
              <w:pStyle w:val="BDOITable"/>
            </w:pPr>
            <w:r>
              <w:rPr>
                <w:sz w:val="16"/>
              </w:rPr>
              <w:t>Report exports</w:t>
            </w:r>
          </w:p>
        </w:tc>
        <w:tc>
          <w:tcPr>
            <w:tcW w:type="dxa" w:w="2606"/>
            <w:tcMar>
              <w:top w:w="50" w:type="dxa"/>
              <w:bottom w:w="50" w:type="dxa"/>
              <w:left w:w="90" w:type="dxa"/>
              <w:right w:w="90" w:type="dxa"/>
            </w:tcMar>
            <w:shd w:val="clear" w:color="auto" w:fill="E5F5FF"/>
          </w:tcPr>
          <w:p>
            <w:pPr>
              <w:pStyle w:val="BDOITable"/>
            </w:pPr>
            <w:r>
              <w:rPr>
                <w:sz w:val="16"/>
              </w:rPr>
              <w:t>AQ31; relation to EGL</w:t>
            </w:r>
          </w:p>
        </w:tc>
      </w:tr>
      <w:tr>
        <w:trPr>
          <w:cantSplit w:val="true"/>
        </w:trPr>
        <w:tc>
          <w:tcPr>
            <w:tcW w:type="dxa" w:w="2266"/>
            <w:tcMar>
              <w:top w:w="50" w:type="dxa"/>
              <w:bottom w:w="50" w:type="dxa"/>
              <w:left w:w="90" w:type="dxa"/>
              <w:right w:w="90" w:type="dxa"/>
            </w:tcMar>
          </w:tcPr>
          <w:p>
            <w:pPr>
              <w:pStyle w:val="BDOITable"/>
            </w:pPr>
            <w:r>
              <w:rPr>
                <w:b/>
                <w:sz w:val="16"/>
              </w:rPr>
              <w:t>Legacy EBIX, QPS, ISYS, Collection Management System (migration sources)</w:t>
            </w:r>
          </w:p>
        </w:tc>
        <w:tc>
          <w:tcPr>
            <w:tcW w:type="dxa" w:w="2266"/>
            <w:tcMar>
              <w:top w:w="50" w:type="dxa"/>
              <w:bottom w:w="50" w:type="dxa"/>
              <w:left w:w="90" w:type="dxa"/>
              <w:right w:w="90" w:type="dxa"/>
            </w:tcMar>
          </w:tcPr>
          <w:p>
            <w:pPr>
              <w:pStyle w:val="BDOITable"/>
            </w:pPr>
            <w:r>
              <w:rPr>
                <w:sz w:val="16"/>
              </w:rPr>
              <w:t>BRD-13</w:t>
            </w:r>
          </w:p>
        </w:tc>
        <w:tc>
          <w:tcPr>
            <w:tcW w:type="dxa" w:w="2833"/>
            <w:tcMar>
              <w:top w:w="50" w:type="dxa"/>
              <w:bottom w:w="50" w:type="dxa"/>
              <w:left w:w="90" w:type="dxa"/>
              <w:right w:w="90" w:type="dxa"/>
            </w:tcMar>
          </w:tcPr>
          <w:p>
            <w:pPr>
              <w:pStyle w:val="BDOITable"/>
            </w:pPr>
            <w:r>
              <w:rPr>
                <w:sz w:val="16"/>
              </w:rPr>
              <w:t>Migration intake (ExtractInbox, designed)</w:t>
            </w:r>
          </w:p>
        </w:tc>
        <w:tc>
          <w:tcPr>
            <w:tcW w:type="dxa" w:w="2606"/>
            <w:tcMar>
              <w:top w:w="50" w:type="dxa"/>
              <w:bottom w:w="50" w:type="dxa"/>
              <w:left w:w="90" w:type="dxa"/>
              <w:right w:w="90" w:type="dxa"/>
            </w:tcMar>
          </w:tcPr>
          <w:p>
            <w:pPr>
              <w:pStyle w:val="BDOITable"/>
            </w:pPr>
            <w:r>
              <w:rPr>
                <w:sz w:val="16"/>
              </w:rPr>
              <w:t>Extract transport (DMQ28)</w:t>
            </w:r>
          </w:p>
        </w:tc>
      </w:tr>
    </w:tbl>
    <w:p>
      <w:pPr>
        <w:pStyle w:val="BDOISpacer"/>
      </w:pPr>
    </w:p>
    <w:p>
      <w:pPr>
        <w:pStyle w:val="Heading2"/>
      </w:pPr>
      <w:bookmarkStart w:id="123" w:name="_Toc000123"/>
      <w:r>
        <w:rPr/>
        <w:t>5.4 Integration build summary</w:t>
      </w:r>
      <w:bookmarkEnd w:id="123"/>
    </w:p>
    <w:p>
      <w:pPr>
        <w:tabs>
          <w:tab w:pos="312" w:val="left"/>
        </w:tabs>
        <w:spacing w:after="40"/>
        <w:ind w:left="312" w:hanging="283"/>
      </w:pPr>
      <w:r>
        <w:rPr>
          <w:color w:val="004EA8"/>
        </w:rPr>
        <w:t>•</w:t>
        <w:tab/>
      </w:r>
      <w:r>
        <w:rPr>
          <w:b/>
        </w:rPr>
        <w:t>Drop 0, build now:</w:t>
      </w:r>
      <w:r>
        <w:rPr/>
        <w:t xml:space="preserve"> EIAM sign-in (OIDC, CHANGE to </w:t>
      </w:r>
      <w:r>
        <w:rPr>
          <w:rFonts w:ascii="Courier New" w:hAnsi="Courier New" w:cs="Courier New" w:eastAsia="Courier New"/>
          <w:color w:val="2E2E2E"/>
          <w:sz w:val="19"/>
        </w:rPr>
        <w:t>security</w:t>
      </w:r>
      <w:r>
        <w:rPr/>
        <w:t xml:space="preserve">), UIDM-ISC provisioning (CHANGE to </w:t>
      </w:r>
      <w:r>
        <w:rPr>
          <w:rFonts w:ascii="Courier New" w:hAnsi="Courier New" w:cs="Courier New" w:eastAsia="Courier New"/>
          <w:color w:val="2E2E2E"/>
          <w:sz w:val="19"/>
        </w:rPr>
        <w:t>security</w:t>
      </w:r>
      <w:r>
        <w:rPr/>
        <w:t xml:space="preserve"> and </w:t>
      </w:r>
      <w:r>
        <w:rPr>
          <w:rFonts w:ascii="Courier New" w:hAnsi="Courier New" w:cs="Courier New" w:eastAsia="Courier New"/>
          <w:color w:val="2E2E2E"/>
          <w:sz w:val="19"/>
        </w:rPr>
        <w:t>nbadmin</w:t>
      </w:r>
      <w:r>
        <w:rPr/>
        <w:t xml:space="preserve">), CCM (configuration if SMTP), bank and PDC file layouts (configuration of the existing payment-file handlers), CMS / New BOB outward payment file (CHANGE to </w:t>
      </w:r>
      <w:r>
        <w:rPr>
          <w:rFonts w:ascii="Courier New" w:hAnsi="Courier New" w:cs="Courier New" w:eastAsia="Courier New"/>
          <w:color w:val="2E2E2E"/>
          <w:sz w:val="19"/>
        </w:rPr>
        <w:t>disbursement</w:t>
      </w:r>
      <w:r>
        <w:rPr/>
        <w:t>), HL-LOAS quotation request adapter (</w:t>
      </w:r>
      <w:r>
        <w:rPr>
          <w:rFonts w:ascii="Courier New" w:hAnsi="Courier New" w:cs="Courier New" w:eastAsia="Courier New"/>
          <w:color w:val="2E2E2E"/>
          <w:sz w:val="19"/>
        </w:rPr>
        <w:t>QuotationRequestSource</w:t>
      </w:r>
      <w:r>
        <w:rPr/>
        <w:t>).</w:t>
      </w:r>
    </w:p>
    <w:p>
      <w:pPr>
        <w:tabs>
          <w:tab w:pos="312" w:val="left"/>
        </w:tabs>
        <w:spacing w:after="40"/>
        <w:ind w:left="312" w:hanging="283"/>
      </w:pPr>
      <w:r>
        <w:rPr>
          <w:color w:val="004EA8"/>
        </w:rPr>
        <w:t>•</w:t>
        <w:tab/>
      </w:r>
      <w:r>
        <w:rPr>
          <w:b/>
        </w:rPr>
        <w:t>Drop 1 with the designed BRDs:</w:t>
      </w:r>
      <w:r>
        <w:rPr/>
        <w:t xml:space="preserve"> LMS and LFS intakes with Submitted Policies and Renewal.</w:t>
      </w:r>
    </w:p>
    <w:p>
      <w:pPr>
        <w:tabs>
          <w:tab w:pos="312" w:val="left"/>
        </w:tabs>
        <w:spacing w:after="40"/>
        <w:ind w:left="312" w:hanging="283"/>
      </w:pPr>
      <w:r>
        <w:rPr>
          <w:color w:val="004EA8"/>
        </w:rPr>
        <w:t>•</w:t>
        <w:tab/>
      </w:r>
      <w:r>
        <w:rPr>
          <w:b/>
        </w:rPr>
        <w:t>Drop 2:</w:t>
      </w:r>
      <w:r>
        <w:rPr/>
        <w:t xml:space="preserve"> EGL extract (NEW), EDP ingestion per SD 11 (NEW), insurer channels (</w:t>
      </w:r>
      <w:r>
        <w:rPr>
          <w:rFonts w:ascii="Courier New" w:hAnsi="Courier New" w:cs="Courier New" w:eastAsia="Courier New"/>
          <w:color w:val="2E2E2E"/>
          <w:sz w:val="19"/>
        </w:rPr>
        <w:t>InsurerFileInbox</w:t>
      </w:r>
      <w:r>
        <w:rPr/>
        <w:t xml:space="preserve"> adapters), CARMS (unknown), Bridger evidence set-up.</w:t>
      </w:r>
    </w:p>
    <w:p>
      <w:pPr>
        <w:tabs>
          <w:tab w:pos="312" w:val="left"/>
        </w:tabs>
        <w:spacing w:after="120"/>
        <w:ind w:left="312" w:hanging="283"/>
      </w:pPr>
      <w:r>
        <w:rPr>
          <w:color w:val="004EA8"/>
        </w:rPr>
        <w:t>•</w:t>
        <w:tab/>
      </w:r>
      <w:r>
        <w:rPr>
          <w:b/>
        </w:rPr>
        <w:t>Not built:</w:t>
      </w:r>
      <w:r>
        <w:rPr/>
        <w:t xml:space="preserve"> ECM storage (A4), ICBS (struck through).</w:t>
      </w:r>
    </w:p>
    <w:p>
      <w:pPr>
        <w:pStyle w:val="Heading1"/>
        <w:pageBreakBefore/>
        <w:pBdr>
          <w:bottom w:val="single" w:sz="4" w:space="4" w:color="99C1E7"/>
        </w:pBdr>
      </w:pPr>
      <w:bookmarkStart w:id="124" w:name="_Toc000124"/>
      <w:r>
        <w:rPr/>
        <w:t>6 Infrastructure alignment</w:t>
      </w:r>
      <w:bookmarkEnd w:id="124"/>
    </w:p>
    <w:p>
      <w:pPr>
        <w:pStyle w:val="Heading2"/>
      </w:pPr>
      <w:bookmarkStart w:id="125" w:name="_Toc000125"/>
      <w:r>
        <w:rPr/>
        <w:t>6.1 What the IER says</w:t>
      </w:r>
      <w:bookmarkEnd w:id="125"/>
    </w:p>
    <w:p>
      <w:r>
        <w:rPr/>
        <w:t>The IER (S3) sets RPO 15 minutes and RTO 4 hours; RDS PostgreSQL 16 (Single-AZ in DEV, SIT, UAT; Multi-AZ in Pre-Prod and PROD, 2,000 GB in PROD), ElastiCache Redis 7 and Amazon MSK (Kafka 3.6, three brokers in Pre-Prod, PROD and DR), a GitLab runner and SSM bastion, S3 as document store and EFS as shared volume; a DR standby with asynchronous replication; 15 VDI users; 12 x 5 hours for non-production; 15 % growth a year over 60 months. It matches the BIBS technology baseline for the database, cache and event streaming.</w:t>
      </w:r>
    </w:p>
    <w:p>
      <w:r>
        <w:rPr/>
        <w:t>It does not match BIBS on the application: the diagram in the "Architecture Diagram" sheet and the Kubernetes sheets describe ten microservices, three tenants, Aurora and MongoDB, Apigee, Istio and EventBridge. BIBS is one modular monolith whose business record, journal and ledger rows commit in one database transaction; splitting it would break that guarantee. The IER should describe BIBS as built (IQ25). Figures 3 and 4 are the diagrams for the two "Architecture Diagram" sheets (A6).</w:t>
      </w:r>
    </w:p>
    <w:p>
      <w:pPr>
        <w:sectPr>
          <w:headerReference w:type="default" r:id="rId29"/>
          <w:footerReference w:type="default" r:id="rId30"/>
          <w:headerReference w:type="first" r:id="rId31"/>
          <w:footerReference w:type="first" r:id="rId32"/>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40000" cy="4557363"/>
            <wp:docPr id="5" name="Picture 5"/>
            <wp:cNvGraphicFramePr>
              <a:graphicFrameLocks noChangeAspect="1"/>
            </wp:cNvGraphicFramePr>
            <a:graphic>
              <a:graphicData uri="http://schemas.openxmlformats.org/drawingml/2006/picture">
                <pic:pic>
                  <pic:nvPicPr>
                    <pic:cNvPr id="0" name="al_application_architecture.png"/>
                    <pic:cNvPicPr/>
                  </pic:nvPicPr>
                  <pic:blipFill>
                    <a:blip r:embed="rId37"/>
                    <a:stretch>
                      <a:fillRect/>
                    </a:stretch>
                  </pic:blipFill>
                  <pic:spPr>
                    <a:xfrm>
                      <a:off x="0" y="0"/>
                      <a:ext cx="8640000" cy="4557363"/>
                    </a:xfrm>
                    <a:prstGeom prst="rect"/>
                  </pic:spPr>
                </pic:pic>
              </a:graphicData>
            </a:graphic>
          </wp:inline>
        </w:drawing>
      </w:r>
    </w:p>
    <w:p>
      <w:pPr>
        <w:pStyle w:val="Caption"/>
        <w:jc w:val="center"/>
      </w:pPr>
      <w:r>
        <w:rPr>
          <w:b/>
          <w:i w:val="0"/>
        </w:rPr>
        <w:t xml:space="preserve">Figure 3: </w:t>
      </w:r>
      <w:r>
        <w:rPr/>
        <w:t>BIBS application architecture as built (for the IER "Architecture Diagram" sheet)</w:t>
      </w:r>
    </w:p>
    <w:p>
      <w:pPr>
        <w:keepNext/>
        <w:spacing w:before="80" w:after="0"/>
        <w:jc w:val="center"/>
      </w:pPr>
      <w:r>
        <w:drawing>
          <wp:inline xmlns:a="http://schemas.openxmlformats.org/drawingml/2006/main" xmlns:pic="http://schemas.openxmlformats.org/drawingml/2006/picture">
            <wp:extent cx="8640000" cy="4287537"/>
            <wp:docPr id="6" name="Picture 6"/>
            <wp:cNvGraphicFramePr>
              <a:graphicFrameLocks noChangeAspect="1"/>
            </wp:cNvGraphicFramePr>
            <a:graphic>
              <a:graphicData uri="http://schemas.openxmlformats.org/drawingml/2006/picture">
                <pic:pic>
                  <pic:nvPicPr>
                    <pic:cNvPr id="0" name="al_deployment.png"/>
                    <pic:cNvPicPr/>
                  </pic:nvPicPr>
                  <pic:blipFill>
                    <a:blip r:embed="rId38"/>
                    <a:stretch>
                      <a:fillRect/>
                    </a:stretch>
                  </pic:blipFill>
                  <pic:spPr>
                    <a:xfrm>
                      <a:off x="0" y="0"/>
                      <a:ext cx="8640000" cy="4287537"/>
                    </a:xfrm>
                    <a:prstGeom prst="rect"/>
                  </pic:spPr>
                </pic:pic>
              </a:graphicData>
            </a:graphic>
          </wp:inline>
        </w:drawing>
      </w:r>
    </w:p>
    <w:p>
      <w:pPr>
        <w:pStyle w:val="Caption"/>
        <w:jc w:val="center"/>
      </w:pPr>
      <w:r>
        <w:rPr>
          <w:b/>
          <w:i w:val="0"/>
        </w:rPr>
        <w:t xml:space="preserve">Figure 4: </w:t>
      </w:r>
      <w:r>
        <w:rPr/>
        <w:t>BIBS infrastructure and deployment (for the IER "Architecture Diagram (Infra)" sheet)</w:t>
      </w:r>
    </w:p>
    <w:p>
      <w:pPr>
        <w:pStyle w:val="Heading2"/>
      </w:pPr>
      <w:bookmarkStart w:id="126" w:name="_Toc000126"/>
      <w:r>
        <w:rPr/>
        <w:t>6.2 IER against BIBS</w:t>
      </w:r>
      <w:bookmarkEnd w:id="126"/>
    </w:p>
    <w:p>
      <w:pPr>
        <w:pStyle w:val="Caption"/>
        <w:keepNext/>
        <w:spacing w:after="60"/>
      </w:pPr>
      <w:r>
        <w:rPr>
          <w:b/>
          <w:i w:val="0"/>
        </w:rPr>
        <w:t xml:space="preserve">Table 16: </w:t>
      </w:r>
      <w:r>
        <w:rPr/>
        <w:t>IER against BIBS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09"/>
        <w:gridCol w:w="3572"/>
        <w:gridCol w:w="3333"/>
        <w:gridCol w:w="1071"/>
        <w:gridCol w:w="3214"/>
        <w:gridCol w:w="1071"/>
      </w:tblGrid>
      <w:tr>
        <w:trPr>
          <w:tblHeader w:val="true"/>
          <w:cantSplit w:val="true"/>
        </w:trPr>
        <w:tc>
          <w:tcPr>
            <w:tcW w:type="dxa" w:w="1310"/>
            <w:shd w:val="clear" w:color="auto" w:fill="004EA8"/>
            <w:tcMar>
              <w:top w:w="50" w:type="dxa"/>
              <w:bottom w:w="50" w:type="dxa"/>
              <w:left w:w="90" w:type="dxa"/>
              <w:right w:w="90" w:type="dxa"/>
            </w:tcMar>
            <w:vAlign w:val="center"/>
          </w:tcPr>
          <w:p>
            <w:pPr>
              <w:pStyle w:val="BDOITableHeader"/>
            </w:pPr>
            <w:r>
              <w:rPr>
                <w:b/>
                <w:color w:val="FFFFFF"/>
                <w:sz w:val="14"/>
              </w:rPr>
              <w:t>Topic</w:t>
            </w:r>
          </w:p>
        </w:tc>
        <w:tc>
          <w:tcPr>
            <w:tcW w:type="dxa" w:w="3572"/>
            <w:shd w:val="clear" w:color="auto" w:fill="004EA8"/>
            <w:tcMar>
              <w:top w:w="50" w:type="dxa"/>
              <w:bottom w:w="50" w:type="dxa"/>
              <w:left w:w="90" w:type="dxa"/>
              <w:right w:w="90" w:type="dxa"/>
            </w:tcMar>
            <w:vAlign w:val="center"/>
          </w:tcPr>
          <w:p>
            <w:pPr>
              <w:pStyle w:val="BDOITableHeader"/>
            </w:pPr>
            <w:r>
              <w:rPr>
                <w:b/>
                <w:color w:val="FFFFFF"/>
                <w:sz w:val="14"/>
              </w:rPr>
              <w:t>IER (BDOI IT)</w:t>
            </w:r>
          </w:p>
        </w:tc>
        <w:tc>
          <w:tcPr>
            <w:tcW w:type="dxa" w:w="3333"/>
            <w:shd w:val="clear" w:color="auto" w:fill="004EA8"/>
            <w:tcMar>
              <w:top w:w="50" w:type="dxa"/>
              <w:bottom w:w="50" w:type="dxa"/>
              <w:left w:w="90" w:type="dxa"/>
              <w:right w:w="90" w:type="dxa"/>
            </w:tcMar>
            <w:vAlign w:val="center"/>
          </w:tcPr>
          <w:p>
            <w:pPr>
              <w:pStyle w:val="BDOITableHeader"/>
            </w:pPr>
            <w:r>
              <w:rPr>
                <w:b/>
                <w:color w:val="FFFFFF"/>
                <w:sz w:val="14"/>
              </w:rPr>
              <w:t>BIBS as built</w:t>
            </w:r>
          </w:p>
        </w:tc>
        <w:tc>
          <w:tcPr>
            <w:tcW w:type="dxa" w:w="1071"/>
            <w:shd w:val="clear" w:color="auto" w:fill="004EA8"/>
            <w:tcMar>
              <w:top w:w="50" w:type="dxa"/>
              <w:bottom w:w="50" w:type="dxa"/>
              <w:left w:w="90" w:type="dxa"/>
              <w:right w:w="90" w:type="dxa"/>
            </w:tcMar>
            <w:vAlign w:val="center"/>
          </w:tcPr>
          <w:p>
            <w:pPr>
              <w:pStyle w:val="BDOITableHeader"/>
            </w:pPr>
            <w:r>
              <w:rPr>
                <w:b/>
                <w:color w:val="FFFFFF"/>
                <w:sz w:val="14"/>
              </w:rPr>
              <w:t>Assessment</w:t>
            </w:r>
          </w:p>
        </w:tc>
        <w:tc>
          <w:tcPr>
            <w:tcW w:type="dxa" w:w="3214"/>
            <w:shd w:val="clear" w:color="auto" w:fill="004EA8"/>
            <w:tcMar>
              <w:top w:w="50" w:type="dxa"/>
              <w:bottom w:w="50" w:type="dxa"/>
              <w:left w:w="90" w:type="dxa"/>
              <w:right w:w="90" w:type="dxa"/>
            </w:tcMar>
            <w:vAlign w:val="center"/>
          </w:tcPr>
          <w:p>
            <w:pPr>
              <w:pStyle w:val="BDOITableHeader"/>
            </w:pPr>
            <w:r>
              <w:rPr>
                <w:b/>
                <w:color w:val="FFFFFF"/>
                <w:sz w:val="14"/>
              </w:rPr>
              <w:t>Change needed</w:t>
            </w:r>
          </w:p>
        </w:tc>
        <w:tc>
          <w:tcPr>
            <w:tcW w:type="dxa" w:w="1071"/>
            <w:shd w:val="clear" w:color="auto" w:fill="004EA8"/>
            <w:tcMar>
              <w:top w:w="50" w:type="dxa"/>
              <w:bottom w:w="50" w:type="dxa"/>
              <w:left w:w="90" w:type="dxa"/>
              <w:right w:w="90" w:type="dxa"/>
            </w:tcMar>
            <w:vAlign w:val="center"/>
          </w:tcPr>
          <w:p>
            <w:pPr>
              <w:pStyle w:val="BDOITableHeader"/>
            </w:pPr>
            <w:r>
              <w:rPr>
                <w:b/>
                <w:color w:val="FFFFFF"/>
                <w:sz w:val="14"/>
              </w:rPr>
              <w:t>Ref</w:t>
            </w:r>
          </w:p>
        </w:tc>
      </w:tr>
      <w:tr>
        <w:trPr>
          <w:cantSplit w:val="true"/>
        </w:trPr>
        <w:tc>
          <w:tcPr>
            <w:tcW w:type="dxa" w:w="1310"/>
            <w:tcMar>
              <w:top w:w="50" w:type="dxa"/>
              <w:bottom w:w="50" w:type="dxa"/>
              <w:left w:w="90" w:type="dxa"/>
              <w:right w:w="90" w:type="dxa"/>
            </w:tcMar>
          </w:tcPr>
          <w:p>
            <w:pPr>
              <w:pStyle w:val="BDOITable"/>
            </w:pPr>
            <w:r>
              <w:rPr>
                <w:b/>
                <w:sz w:val="14"/>
              </w:rPr>
              <w:t>Application architecture</w:t>
            </w:r>
          </w:p>
        </w:tc>
        <w:tc>
          <w:tcPr>
            <w:tcW w:type="dxa" w:w="3572"/>
            <w:tcMar>
              <w:top w:w="50" w:type="dxa"/>
              <w:bottom w:w="50" w:type="dxa"/>
              <w:left w:w="90" w:type="dxa"/>
              <w:right w:w="90" w:type="dxa"/>
            </w:tcMar>
          </w:tcPr>
          <w:p>
            <w:pPr>
              <w:pStyle w:val="BDOITable"/>
            </w:pPr>
            <w:r>
              <w:rPr>
                <w:sz w:val="14"/>
              </w:rPr>
              <w:t>Diagram sheet: multi-tenant microservices (identity, audit, workflow, document, notification, reference, tenant; client, policy, quotation, cashiering, billing, accounting, product; nb, sp, acc, clxn, rn, clm, ops, pm, eb, rl), Istio + OPA per pod, "no cross-DB transactions"</w:t>
            </w:r>
          </w:p>
        </w:tc>
        <w:tc>
          <w:tcPr>
            <w:tcW w:type="dxa" w:w="3333"/>
            <w:tcMar>
              <w:top w:w="50" w:type="dxa"/>
              <w:bottom w:w="50" w:type="dxa"/>
              <w:left w:w="90" w:type="dxa"/>
              <w:right w:w="90" w:type="dxa"/>
            </w:tcMar>
          </w:tcPr>
          <w:p>
            <w:pPr>
              <w:pStyle w:val="BDOITable"/>
            </w:pPr>
            <w:r>
              <w:rPr>
                <w:sz w:val="14"/>
              </w:rPr>
              <w:t>One Spring Boot 3.5 modular monolith (backend) and one React SPA served by nginx (frontend); modules isolated by ArchUnit; a business record, its journal, ledger and sub-ledger rows commit in one PostgreSQL transaction</w:t>
            </w:r>
          </w:p>
        </w:tc>
        <w:tc>
          <w:tcPr>
            <w:tcW w:type="dxa" w:w="1071"/>
            <w:tcMar>
              <w:top w:w="50" w:type="dxa"/>
              <w:bottom w:w="50" w:type="dxa"/>
              <w:left w:w="90" w:type="dxa"/>
              <w:right w:w="90" w:type="dxa"/>
            </w:tcMar>
          </w:tcPr>
          <w:p>
            <w:pPr>
              <w:pStyle w:val="BDOITable"/>
            </w:pPr>
            <w:r>
              <w:rPr>
                <w:sz w:val="14"/>
              </w:rPr>
              <w:t>Mismatch</w:t>
            </w:r>
          </w:p>
        </w:tc>
        <w:tc>
          <w:tcPr>
            <w:tcW w:type="dxa" w:w="3214"/>
            <w:tcMar>
              <w:top w:w="50" w:type="dxa"/>
              <w:bottom w:w="50" w:type="dxa"/>
              <w:left w:w="90" w:type="dxa"/>
              <w:right w:w="90" w:type="dxa"/>
            </w:tcMar>
          </w:tcPr>
          <w:p>
            <w:pPr>
              <w:pStyle w:val="BDOITable"/>
            </w:pPr>
            <w:r>
              <w:rPr>
                <w:sz w:val="14"/>
              </w:rPr>
              <w:t>Replace the diagram with the BIBS diagrams of this document; state the modular monolith in the IER</w:t>
            </w:r>
          </w:p>
        </w:tc>
        <w:tc>
          <w:tcPr>
            <w:tcW w:type="dxa" w:w="1071"/>
            <w:tcMar>
              <w:top w:w="50" w:type="dxa"/>
              <w:bottom w:w="50" w:type="dxa"/>
              <w:left w:w="90" w:type="dxa"/>
              <w:right w:w="90" w:type="dxa"/>
            </w:tcMar>
          </w:tcPr>
          <w:p>
            <w:pPr>
              <w:pStyle w:val="BDOITable"/>
            </w:pPr>
            <w:r>
              <w:rPr>
                <w:sz w:val="14"/>
              </w:rPr>
              <w:t>DCR-222; IQ25</w:t>
            </w:r>
          </w:p>
        </w:tc>
      </w:tr>
      <w:tr>
        <w:trPr>
          <w:cantSplit w:val="true"/>
        </w:trPr>
        <w:tc>
          <w:tcPr>
            <w:tcW w:type="dxa" w:w="1310"/>
            <w:tcMar>
              <w:top w:w="50" w:type="dxa"/>
              <w:bottom w:w="50" w:type="dxa"/>
              <w:left w:w="90" w:type="dxa"/>
              <w:right w:w="90" w:type="dxa"/>
            </w:tcMar>
            <w:shd w:val="clear" w:color="auto" w:fill="E5F5FF"/>
          </w:tcPr>
          <w:p>
            <w:pPr>
              <w:pStyle w:val="BDOITable"/>
            </w:pPr>
            <w:r>
              <w:rPr>
                <w:b/>
                <w:sz w:val="14"/>
              </w:rPr>
              <w:t>Tenancy</w:t>
            </w:r>
          </w:p>
        </w:tc>
        <w:tc>
          <w:tcPr>
            <w:tcW w:type="dxa" w:w="3572"/>
            <w:tcMar>
              <w:top w:w="50" w:type="dxa"/>
              <w:bottom w:w="50" w:type="dxa"/>
              <w:left w:w="90" w:type="dxa"/>
              <w:right w:w="90" w:type="dxa"/>
            </w:tcMar>
            <w:shd w:val="clear" w:color="auto" w:fill="E5F5FF"/>
          </w:tcPr>
          <w:p>
            <w:pPr>
              <w:pStyle w:val="BDOITable"/>
            </w:pPr>
            <w:r>
              <w:rPr>
                <w:sz w:val="14"/>
              </w:rPr>
              <w:t>Three tenants: BDOI internal ~1,200 users, EB insurer portal ~50 partners, broker / RI network ~200 accounts; tenant_id + RLS per data layer</w:t>
            </w:r>
          </w:p>
        </w:tc>
        <w:tc>
          <w:tcPr>
            <w:tcW w:type="dxa" w:w="3333"/>
            <w:tcMar>
              <w:top w:w="50" w:type="dxa"/>
              <w:bottom w:w="50" w:type="dxa"/>
              <w:left w:w="90" w:type="dxa"/>
              <w:right w:w="90" w:type="dxa"/>
            </w:tcMar>
            <w:shd w:val="clear" w:color="auto" w:fill="E5F5FF"/>
          </w:tcPr>
          <w:p>
            <w:pPr>
              <w:pStyle w:val="BDOITable"/>
            </w:pPr>
            <w:r>
              <w:rPr>
                <w:sz w:val="14"/>
              </w:rPr>
              <w:t>Single tenant (company_id, branch scope, role scope); no portal (EB portal dropped by answer); RI network is phase 2</w:t>
            </w:r>
          </w:p>
        </w:tc>
        <w:tc>
          <w:tcPr>
            <w:tcW w:type="dxa" w:w="1071"/>
            <w:tcMar>
              <w:top w:w="50" w:type="dxa"/>
              <w:bottom w:w="50" w:type="dxa"/>
              <w:left w:w="90" w:type="dxa"/>
              <w:right w:w="90" w:type="dxa"/>
            </w:tcMar>
            <w:shd w:val="clear" w:color="auto" w:fill="E5F5FF"/>
          </w:tcPr>
          <w:p>
            <w:pPr>
              <w:pStyle w:val="BDOITable"/>
            </w:pPr>
            <w:r>
              <w:rPr>
                <w:sz w:val="14"/>
              </w:rPr>
              <w:t>Mismatch</w:t>
            </w:r>
          </w:p>
        </w:tc>
        <w:tc>
          <w:tcPr>
            <w:tcW w:type="dxa" w:w="3214"/>
            <w:tcMar>
              <w:top w:w="50" w:type="dxa"/>
              <w:bottom w:w="50" w:type="dxa"/>
              <w:left w:w="90" w:type="dxa"/>
              <w:right w:w="90" w:type="dxa"/>
            </w:tcMar>
            <w:shd w:val="clear" w:color="auto" w:fill="E5F5FF"/>
          </w:tcPr>
          <w:p>
            <w:pPr>
              <w:pStyle w:val="BDOITable"/>
            </w:pPr>
            <w:r>
              <w:rPr>
                <w:sz w:val="14"/>
              </w:rPr>
              <w:t>Remove tenants 2 and 3; size for internal users</w:t>
            </w:r>
          </w:p>
        </w:tc>
        <w:tc>
          <w:tcPr>
            <w:tcW w:type="dxa" w:w="1071"/>
            <w:tcMar>
              <w:top w:w="50" w:type="dxa"/>
              <w:bottom w:w="50" w:type="dxa"/>
              <w:left w:w="90" w:type="dxa"/>
              <w:right w:w="90" w:type="dxa"/>
            </w:tcMar>
            <w:shd w:val="clear" w:color="auto" w:fill="E5F5FF"/>
          </w:tcPr>
          <w:p>
            <w:pPr>
              <w:pStyle w:val="BDOITable"/>
            </w:pPr>
            <w:r>
              <w:rPr>
                <w:sz w:val="14"/>
              </w:rPr>
              <w:t>DCR-222, DCR-232</w:t>
            </w:r>
          </w:p>
        </w:tc>
      </w:tr>
      <w:tr>
        <w:trPr>
          <w:cantSplit w:val="true"/>
        </w:trPr>
        <w:tc>
          <w:tcPr>
            <w:tcW w:type="dxa" w:w="1310"/>
            <w:tcMar>
              <w:top w:w="50" w:type="dxa"/>
              <w:bottom w:w="50" w:type="dxa"/>
              <w:left w:w="90" w:type="dxa"/>
              <w:right w:w="90" w:type="dxa"/>
            </w:tcMar>
          </w:tcPr>
          <w:p>
            <w:pPr>
              <w:pStyle w:val="BDOITable"/>
            </w:pPr>
            <w:r>
              <w:rPr>
                <w:b/>
                <w:sz w:val="14"/>
              </w:rPr>
              <w:t>Kubernetes workloads</w:t>
            </w:r>
          </w:p>
        </w:tc>
        <w:tc>
          <w:tcPr>
            <w:tcW w:type="dxa" w:w="3572"/>
            <w:tcMar>
              <w:top w:w="50" w:type="dxa"/>
              <w:bottom w:w="50" w:type="dxa"/>
              <w:left w:w="90" w:type="dxa"/>
              <w:right w:w="90" w:type="dxa"/>
            </w:tcMar>
          </w:tcPr>
          <w:p>
            <w:pPr>
              <w:pStyle w:val="BDOITable"/>
            </w:pPr>
            <w:r>
              <w:rPr>
                <w:sz w:val="14"/>
              </w:rPr>
              <w:t>Ten services bv-policy-admin-svc, bv-claims-svc, bv-billing-collections-svc, bv-distribution-svc, bv-web-portal, bv-api-gateway, bv-iam-svc, bv-integration-svc, bv-document-svc, bv-batch-notification-svc in namespaces brokerverse-core / -platform</w:t>
            </w:r>
          </w:p>
        </w:tc>
        <w:tc>
          <w:tcPr>
            <w:tcW w:type="dxa" w:w="3333"/>
            <w:tcMar>
              <w:top w:w="50" w:type="dxa"/>
              <w:bottom w:w="50" w:type="dxa"/>
              <w:left w:w="90" w:type="dxa"/>
              <w:right w:w="90" w:type="dxa"/>
            </w:tcMar>
          </w:tcPr>
          <w:p>
            <w:pPr>
              <w:pStyle w:val="BDOITable"/>
            </w:pPr>
            <w:r>
              <w:rPr>
                <w:sz w:val="14"/>
              </w:rPr>
              <w:t>Two deployments: brokerverse-backend (2 replicas, 500m / 1 Gi requests, 2 CPU / 2 Gi limits) and brokerverse-frontend (2 replicas); namespace brokerverse (deploy/k8s/brokerverse.yaml)</w:t>
            </w:r>
          </w:p>
        </w:tc>
        <w:tc>
          <w:tcPr>
            <w:tcW w:type="dxa" w:w="1071"/>
            <w:tcMar>
              <w:top w:w="50" w:type="dxa"/>
              <w:bottom w:w="50" w:type="dxa"/>
              <w:left w:w="90" w:type="dxa"/>
              <w:right w:w="90" w:type="dxa"/>
            </w:tcMar>
          </w:tcPr>
          <w:p>
            <w:pPr>
              <w:pStyle w:val="BDOITable"/>
            </w:pPr>
            <w:r>
              <w:rPr>
                <w:sz w:val="14"/>
              </w:rPr>
              <w:t>Mismatch</w:t>
            </w:r>
          </w:p>
        </w:tc>
        <w:tc>
          <w:tcPr>
            <w:tcW w:type="dxa" w:w="3214"/>
            <w:tcMar>
              <w:top w:w="50" w:type="dxa"/>
              <w:bottom w:w="50" w:type="dxa"/>
              <w:left w:w="90" w:type="dxa"/>
              <w:right w:w="90" w:type="dxa"/>
            </w:tcMar>
          </w:tcPr>
          <w:p>
            <w:pPr>
              <w:pStyle w:val="BDOITable"/>
            </w:pPr>
            <w:r>
              <w:rPr>
                <w:sz w:val="14"/>
              </w:rPr>
              <w:t>Re-state the K8s sheets with the sizing of section 6.4</w:t>
            </w:r>
          </w:p>
        </w:tc>
        <w:tc>
          <w:tcPr>
            <w:tcW w:type="dxa" w:w="1071"/>
            <w:tcMar>
              <w:top w:w="50" w:type="dxa"/>
              <w:bottom w:w="50" w:type="dxa"/>
              <w:left w:w="90" w:type="dxa"/>
              <w:right w:w="90" w:type="dxa"/>
            </w:tcMar>
          </w:tcPr>
          <w:p>
            <w:pPr>
              <w:pStyle w:val="BDOITable"/>
            </w:pPr>
            <w:r>
              <w:rPr>
                <w:sz w:val="14"/>
              </w:rPr>
              <w:t>DCR-223</w:t>
            </w:r>
          </w:p>
        </w:tc>
      </w:tr>
      <w:tr>
        <w:trPr>
          <w:cantSplit w:val="true"/>
        </w:trPr>
        <w:tc>
          <w:tcPr>
            <w:tcW w:type="dxa" w:w="1310"/>
            <w:tcMar>
              <w:top w:w="50" w:type="dxa"/>
              <w:bottom w:w="50" w:type="dxa"/>
              <w:left w:w="90" w:type="dxa"/>
              <w:right w:w="90" w:type="dxa"/>
            </w:tcMar>
            <w:shd w:val="clear" w:color="auto" w:fill="E5F5FF"/>
          </w:tcPr>
          <w:p>
            <w:pPr>
              <w:pStyle w:val="BDOITable"/>
            </w:pPr>
            <w:r>
              <w:rPr>
                <w:b/>
                <w:sz w:val="14"/>
              </w:rPr>
              <w:t>Database</w:t>
            </w:r>
          </w:p>
        </w:tc>
        <w:tc>
          <w:tcPr>
            <w:tcW w:type="dxa" w:w="3572"/>
            <w:tcMar>
              <w:top w:w="50" w:type="dxa"/>
              <w:bottom w:w="50" w:type="dxa"/>
              <w:left w:w="90" w:type="dxa"/>
              <w:right w:w="90" w:type="dxa"/>
            </w:tcMar>
            <w:shd w:val="clear" w:color="auto" w:fill="E5F5FF"/>
          </w:tcPr>
          <w:p>
            <w:pPr>
              <w:pStyle w:val="BDOITable"/>
            </w:pPr>
            <w:r>
              <w:rPr>
                <w:sz w:val="14"/>
              </w:rPr>
              <w:t>HW sheet: "RHEL 9.x + PostgreSQL 16 (Amazon RDS)", Single-AZ DEV / SIT / UAT, Multi-AZ Pre-Prod / PROD; diagram: Aurora and MongoDB per tenant</w:t>
            </w:r>
          </w:p>
        </w:tc>
        <w:tc>
          <w:tcPr>
            <w:tcW w:type="dxa" w:w="3333"/>
            <w:tcMar>
              <w:top w:w="50" w:type="dxa"/>
              <w:bottom w:w="50" w:type="dxa"/>
              <w:left w:w="90" w:type="dxa"/>
              <w:right w:w="90" w:type="dxa"/>
            </w:tcMar>
            <w:shd w:val="clear" w:color="auto" w:fill="E5F5FF"/>
          </w:tcPr>
          <w:p>
            <w:pPr>
              <w:pStyle w:val="BDOITable"/>
            </w:pPr>
            <w:r>
              <w:rPr>
                <w:sz w:val="14"/>
              </w:rPr>
              <w:t>PostgreSQL 16 with Flyway, JSONB where needed; Amazon RDS Multi-AZ in production (deploy notes); no MongoDB</w:t>
            </w:r>
          </w:p>
        </w:tc>
        <w:tc>
          <w:tcPr>
            <w:tcW w:type="dxa" w:w="1071"/>
            <w:tcMar>
              <w:top w:w="50" w:type="dxa"/>
              <w:bottom w:w="50" w:type="dxa"/>
              <w:left w:w="90" w:type="dxa"/>
              <w:right w:w="90" w:type="dxa"/>
            </w:tcMar>
            <w:shd w:val="clear" w:color="auto" w:fill="E5F5FF"/>
          </w:tcPr>
          <w:p>
            <w:pPr>
              <w:pStyle w:val="BDOITable"/>
            </w:pPr>
            <w:r>
              <w:rPr>
                <w:sz w:val="14"/>
              </w:rPr>
              <w:t>Aligned (RDS); Mismatch (Aurora, Mongo, "RHEL 9")</w:t>
            </w:r>
          </w:p>
        </w:tc>
        <w:tc>
          <w:tcPr>
            <w:tcW w:type="dxa" w:w="3214"/>
            <w:tcMar>
              <w:top w:w="50" w:type="dxa"/>
              <w:bottom w:w="50" w:type="dxa"/>
              <w:left w:w="90" w:type="dxa"/>
              <w:right w:w="90" w:type="dxa"/>
            </w:tcMar>
            <w:shd w:val="clear" w:color="auto" w:fill="E5F5FF"/>
          </w:tcPr>
          <w:p>
            <w:pPr>
              <w:pStyle w:val="BDOITable"/>
            </w:pPr>
            <w:r>
              <w:rPr>
                <w:sz w:val="14"/>
              </w:rPr>
              <w:t>Drop "RHEL 9.x" from RDS rows (managed engine); remove Mongo; RDS PostgreSQL 16 or Aurora PostgreSQL both work</w:t>
            </w:r>
          </w:p>
        </w:tc>
        <w:tc>
          <w:tcPr>
            <w:tcW w:type="dxa" w:w="1071"/>
            <w:tcMar>
              <w:top w:w="50" w:type="dxa"/>
              <w:bottom w:w="50" w:type="dxa"/>
              <w:left w:w="90" w:type="dxa"/>
              <w:right w:w="90" w:type="dxa"/>
            </w:tcMar>
            <w:shd w:val="clear" w:color="auto" w:fill="E5F5FF"/>
          </w:tcPr>
          <w:p>
            <w:pPr>
              <w:pStyle w:val="BDOITable"/>
            </w:pPr>
            <w:r>
              <w:rPr>
                <w:sz w:val="14"/>
              </w:rPr>
              <w:t>DCR-224</w:t>
            </w:r>
          </w:p>
        </w:tc>
      </w:tr>
      <w:tr>
        <w:trPr>
          <w:cantSplit w:val="true"/>
        </w:trPr>
        <w:tc>
          <w:tcPr>
            <w:tcW w:type="dxa" w:w="1310"/>
            <w:tcMar>
              <w:top w:w="50" w:type="dxa"/>
              <w:bottom w:w="50" w:type="dxa"/>
              <w:left w:w="90" w:type="dxa"/>
              <w:right w:w="90" w:type="dxa"/>
            </w:tcMar>
          </w:tcPr>
          <w:p>
            <w:pPr>
              <w:pStyle w:val="BDOITable"/>
            </w:pPr>
            <w:r>
              <w:rPr>
                <w:b/>
                <w:sz w:val="14"/>
              </w:rPr>
              <w:t>Cache</w:t>
            </w:r>
          </w:p>
        </w:tc>
        <w:tc>
          <w:tcPr>
            <w:tcW w:type="dxa" w:w="3572"/>
            <w:tcMar>
              <w:top w:w="50" w:type="dxa"/>
              <w:bottom w:w="50" w:type="dxa"/>
              <w:left w:w="90" w:type="dxa"/>
              <w:right w:w="90" w:type="dxa"/>
            </w:tcMar>
          </w:tcPr>
          <w:p>
            <w:pPr>
              <w:pStyle w:val="BDOITable"/>
            </w:pPr>
            <w:r>
              <w:rPr>
                <w:sz w:val="14"/>
              </w:rPr>
              <w:t>ElastiCache for Redis 7.x; "(cluster)" in Pre-Prod, PROD</w:t>
            </w:r>
          </w:p>
        </w:tc>
        <w:tc>
          <w:tcPr>
            <w:tcW w:type="dxa" w:w="3333"/>
            <w:tcMar>
              <w:top w:w="50" w:type="dxa"/>
              <w:bottom w:w="50" w:type="dxa"/>
              <w:left w:w="90" w:type="dxa"/>
              <w:right w:w="90" w:type="dxa"/>
            </w:tcMar>
          </w:tcPr>
          <w:p>
            <w:pPr>
              <w:pStyle w:val="BDOITable"/>
            </w:pPr>
            <w:r>
              <w:rPr>
                <w:sz w:val="14"/>
              </w:rPr>
              <w:t>Redis 7 with cluster mode disabled (one shard, primary + replica, TLS, AUTH); the cache clear uses SCAN and the job lock uses scripts on single keys</w:t>
            </w:r>
          </w:p>
        </w:tc>
        <w:tc>
          <w:tcPr>
            <w:tcW w:type="dxa" w:w="1071"/>
            <w:tcMar>
              <w:top w:w="50" w:type="dxa"/>
              <w:bottom w:w="50" w:type="dxa"/>
              <w:left w:w="90" w:type="dxa"/>
              <w:right w:w="90" w:type="dxa"/>
            </w:tcMar>
          </w:tcPr>
          <w:p>
            <w:pPr>
              <w:pStyle w:val="BDOITable"/>
            </w:pPr>
            <w:r>
              <w:rPr>
                <w:sz w:val="14"/>
              </w:rPr>
              <w:t>Mismatch (wording)</w:t>
            </w:r>
          </w:p>
        </w:tc>
        <w:tc>
          <w:tcPr>
            <w:tcW w:type="dxa" w:w="3214"/>
            <w:tcMar>
              <w:top w:w="50" w:type="dxa"/>
              <w:bottom w:w="50" w:type="dxa"/>
              <w:left w:w="90" w:type="dxa"/>
              <w:right w:w="90" w:type="dxa"/>
            </w:tcMar>
          </w:tcPr>
          <w:p>
            <w:pPr>
              <w:pStyle w:val="BDOITable"/>
            </w:pPr>
            <w:r>
              <w:rPr>
                <w:sz w:val="14"/>
              </w:rPr>
              <w:t>IER: cluster mode disabled, Multi-AZ replica. Code change only if cluster mode enabled is imposed</w:t>
            </w:r>
          </w:p>
        </w:tc>
        <w:tc>
          <w:tcPr>
            <w:tcW w:type="dxa" w:w="1071"/>
            <w:tcMar>
              <w:top w:w="50" w:type="dxa"/>
              <w:bottom w:w="50" w:type="dxa"/>
              <w:left w:w="90" w:type="dxa"/>
              <w:right w:w="90" w:type="dxa"/>
            </w:tcMar>
          </w:tcPr>
          <w:p>
            <w:pPr>
              <w:pStyle w:val="BDOITable"/>
            </w:pPr>
            <w:r>
              <w:rPr>
                <w:sz w:val="14"/>
              </w:rPr>
              <w:t>DCR-228; IQ34</w:t>
            </w:r>
          </w:p>
        </w:tc>
      </w:tr>
      <w:tr>
        <w:trPr>
          <w:cantSplit w:val="true"/>
        </w:trPr>
        <w:tc>
          <w:tcPr>
            <w:tcW w:type="dxa" w:w="1310"/>
            <w:tcMar>
              <w:top w:w="50" w:type="dxa"/>
              <w:bottom w:w="50" w:type="dxa"/>
              <w:left w:w="90" w:type="dxa"/>
              <w:right w:w="90" w:type="dxa"/>
            </w:tcMar>
            <w:shd w:val="clear" w:color="auto" w:fill="E5F5FF"/>
          </w:tcPr>
          <w:p>
            <w:pPr>
              <w:pStyle w:val="BDOITable"/>
            </w:pPr>
            <w:r>
              <w:rPr>
                <w:b/>
                <w:sz w:val="14"/>
              </w:rPr>
              <w:t>Event streaming</w:t>
            </w:r>
          </w:p>
        </w:tc>
        <w:tc>
          <w:tcPr>
            <w:tcW w:type="dxa" w:w="3572"/>
            <w:tcMar>
              <w:top w:w="50" w:type="dxa"/>
              <w:bottom w:w="50" w:type="dxa"/>
              <w:left w:w="90" w:type="dxa"/>
              <w:right w:w="90" w:type="dxa"/>
            </w:tcMar>
            <w:shd w:val="clear" w:color="auto" w:fill="E5F5FF"/>
          </w:tcPr>
          <w:p>
            <w:pPr>
              <w:pStyle w:val="BDOITable"/>
            </w:pPr>
            <w:r>
              <w:rPr>
                <w:sz w:val="14"/>
              </w:rPr>
              <w:t>Amazon MSK (Kafka 3.6), 3 brokers in Pre-Prod / PROD / DR; diagram: MSK + EventBridge, Glue Schema Registry, ~80 topics</w:t>
            </w:r>
          </w:p>
        </w:tc>
        <w:tc>
          <w:tcPr>
            <w:tcW w:type="dxa" w:w="3333"/>
            <w:tcMar>
              <w:top w:w="50" w:type="dxa"/>
              <w:bottom w:w="50" w:type="dxa"/>
              <w:left w:w="90" w:type="dxa"/>
              <w:right w:w="90" w:type="dxa"/>
            </w:tcMar>
            <w:shd w:val="clear" w:color="auto" w:fill="E5F5FF"/>
          </w:tcPr>
          <w:p>
            <w:pPr>
              <w:pStyle w:val="BDOITable"/>
            </w:pPr>
            <w:r>
              <w:rPr>
                <w:sz w:val="14"/>
              </w:rPr>
              <w:t>MSK Kafka 3.6+ with SASL/SCRAM + TLS, 9 topics bibs.* plus .dlt, transactional outbox; no EventBridge, no schema registry</w:t>
            </w:r>
          </w:p>
        </w:tc>
        <w:tc>
          <w:tcPr>
            <w:tcW w:type="dxa" w:w="1071"/>
            <w:tcMar>
              <w:top w:w="50" w:type="dxa"/>
              <w:bottom w:w="50" w:type="dxa"/>
              <w:left w:w="90" w:type="dxa"/>
              <w:right w:w="90" w:type="dxa"/>
            </w:tcMar>
            <w:shd w:val="clear" w:color="auto" w:fill="E5F5FF"/>
          </w:tcPr>
          <w:p>
            <w:pPr>
              <w:pStyle w:val="BDOITable"/>
            </w:pPr>
            <w:r>
              <w:rPr>
                <w:sz w:val="14"/>
              </w:rPr>
              <w:t>Aligned (MSK); Mismatch (EventBridge, 80 topics)</w:t>
            </w:r>
          </w:p>
        </w:tc>
        <w:tc>
          <w:tcPr>
            <w:tcW w:type="dxa" w:w="3214"/>
            <w:tcMar>
              <w:top w:w="50" w:type="dxa"/>
              <w:bottom w:w="50" w:type="dxa"/>
              <w:left w:w="90" w:type="dxa"/>
              <w:right w:w="90" w:type="dxa"/>
            </w:tcMar>
            <w:shd w:val="clear" w:color="auto" w:fill="E5F5FF"/>
          </w:tcPr>
          <w:p>
            <w:pPr>
              <w:pStyle w:val="BDOITable"/>
            </w:pPr>
            <w:r>
              <w:rPr>
                <w:sz w:val="14"/>
              </w:rPr>
              <w:t>IER: 3 brokers kafka.m5.large class, 9 topics x 3 partitions; DEV / SIT with 2 brokers need BROKERVERSE_KAFKA_REPLICATION_FACTOR=2</w:t>
            </w:r>
          </w:p>
        </w:tc>
        <w:tc>
          <w:tcPr>
            <w:tcW w:type="dxa" w:w="1071"/>
            <w:tcMar>
              <w:top w:w="50" w:type="dxa"/>
              <w:bottom w:w="50" w:type="dxa"/>
              <w:left w:w="90" w:type="dxa"/>
              <w:right w:w="90" w:type="dxa"/>
            </w:tcMar>
            <w:shd w:val="clear" w:color="auto" w:fill="E5F5FF"/>
          </w:tcPr>
          <w:p>
            <w:pPr>
              <w:pStyle w:val="BDOITable"/>
            </w:pPr>
            <w:r>
              <w:rPr>
                <w:sz w:val="14"/>
              </w:rPr>
              <w:t>IQ25</w:t>
            </w:r>
          </w:p>
        </w:tc>
      </w:tr>
      <w:tr>
        <w:trPr>
          <w:cantSplit w:val="true"/>
        </w:trPr>
        <w:tc>
          <w:tcPr>
            <w:tcW w:type="dxa" w:w="1310"/>
            <w:tcMar>
              <w:top w:w="50" w:type="dxa"/>
              <w:bottom w:w="50" w:type="dxa"/>
              <w:left w:w="90" w:type="dxa"/>
              <w:right w:w="90" w:type="dxa"/>
            </w:tcMar>
          </w:tcPr>
          <w:p>
            <w:pPr>
              <w:pStyle w:val="BDOITable"/>
            </w:pPr>
            <w:r>
              <w:rPr>
                <w:b/>
                <w:sz w:val="14"/>
              </w:rPr>
              <w:t>Documents and files</w:t>
            </w:r>
          </w:p>
        </w:tc>
        <w:tc>
          <w:tcPr>
            <w:tcW w:type="dxa" w:w="3572"/>
            <w:tcMar>
              <w:top w:w="50" w:type="dxa"/>
              <w:bottom w:w="50" w:type="dxa"/>
              <w:left w:w="90" w:type="dxa"/>
              <w:right w:w="90" w:type="dxa"/>
            </w:tcMar>
          </w:tcPr>
          <w:p>
            <w:pPr>
              <w:pStyle w:val="BDOITable"/>
            </w:pPr>
            <w:r>
              <w:rPr>
                <w:sz w:val="14"/>
              </w:rPr>
              <w:t>Amazon S3 (document store) + Amazon EFS (shared K8s PV); K8s sheets: "Total PV (GB) EFS" of 21,800 GB (DEV), 32,760 GB (UAT) and 43,600 to 87,200 GB (PROD Y1 to Y5)</w:t>
            </w:r>
          </w:p>
        </w:tc>
        <w:tc>
          <w:tcPr>
            <w:tcW w:type="dxa" w:w="3333"/>
            <w:tcMar>
              <w:top w:w="50" w:type="dxa"/>
              <w:bottom w:w="50" w:type="dxa"/>
              <w:left w:w="90" w:type="dxa"/>
              <w:right w:w="90" w:type="dxa"/>
            </w:tcMar>
          </w:tcPr>
          <w:p>
            <w:pPr>
              <w:pStyle w:val="BDOITable"/>
            </w:pPr>
            <w:r>
              <w:rPr>
                <w:sz w:val="14"/>
              </w:rPr>
              <w:t>File content in PostgreSQL bytea in 13 tables (doc_attachment_content and others); no volume on the pods</w:t>
            </w:r>
          </w:p>
        </w:tc>
        <w:tc>
          <w:tcPr>
            <w:tcW w:type="dxa" w:w="1071"/>
            <w:tcMar>
              <w:top w:w="50" w:type="dxa"/>
              <w:bottom w:w="50" w:type="dxa"/>
              <w:left w:w="90" w:type="dxa"/>
              <w:right w:w="90" w:type="dxa"/>
            </w:tcMar>
          </w:tcPr>
          <w:p>
            <w:pPr>
              <w:pStyle w:val="BDOITable"/>
            </w:pPr>
            <w:r>
              <w:rPr>
                <w:sz w:val="14"/>
              </w:rPr>
              <w:t>Mismatch</w:t>
            </w:r>
          </w:p>
        </w:tc>
        <w:tc>
          <w:tcPr>
            <w:tcW w:type="dxa" w:w="3214"/>
            <w:tcMar>
              <w:top w:w="50" w:type="dxa"/>
              <w:bottom w:w="50" w:type="dxa"/>
              <w:left w:w="90" w:type="dxa"/>
              <w:right w:w="90" w:type="dxa"/>
            </w:tcMar>
          </w:tcPr>
          <w:p>
            <w:pPr>
              <w:pStyle w:val="BDOITable"/>
            </w:pPr>
            <w:r>
              <w:rPr>
                <w:sz w:val="14"/>
              </w:rPr>
              <w:t>Answer A4 and DOCUMENT_STORAGE_DECISION.md (option C, steps ST0 / ST1): S3 for bytes, PostgreSQL for metadata; no EFS for BIBS. The EFS totals are a formula error (Total PV = max replicas x CPU limit)</w:t>
            </w:r>
          </w:p>
        </w:tc>
        <w:tc>
          <w:tcPr>
            <w:tcW w:type="dxa" w:w="1071"/>
            <w:tcMar>
              <w:top w:w="50" w:type="dxa"/>
              <w:bottom w:w="50" w:type="dxa"/>
              <w:left w:w="90" w:type="dxa"/>
              <w:right w:w="90" w:type="dxa"/>
            </w:tcMar>
          </w:tcPr>
          <w:p>
            <w:pPr>
              <w:pStyle w:val="BDOITable"/>
            </w:pPr>
            <w:r>
              <w:rPr>
                <w:sz w:val="14"/>
              </w:rPr>
              <w:t>DCR-227, DCR-223; IQ31</w:t>
            </w:r>
          </w:p>
        </w:tc>
      </w:tr>
      <w:tr>
        <w:trPr>
          <w:cantSplit w:val="true"/>
        </w:trPr>
        <w:tc>
          <w:tcPr>
            <w:tcW w:type="dxa" w:w="1310"/>
            <w:tcMar>
              <w:top w:w="50" w:type="dxa"/>
              <w:bottom w:w="50" w:type="dxa"/>
              <w:left w:w="90" w:type="dxa"/>
              <w:right w:w="90" w:type="dxa"/>
            </w:tcMar>
            <w:shd w:val="clear" w:color="auto" w:fill="E5F5FF"/>
          </w:tcPr>
          <w:p>
            <w:pPr>
              <w:pStyle w:val="BDOITable"/>
            </w:pPr>
            <w:r>
              <w:rPr>
                <w:b/>
                <w:sz w:val="14"/>
              </w:rPr>
              <w:t>Edge and ingress</w:t>
            </w:r>
          </w:p>
        </w:tc>
        <w:tc>
          <w:tcPr>
            <w:tcW w:type="dxa" w:w="3572"/>
            <w:tcMar>
              <w:top w:w="50" w:type="dxa"/>
              <w:bottom w:w="50" w:type="dxa"/>
              <w:left w:w="90" w:type="dxa"/>
              <w:right w:w="90" w:type="dxa"/>
            </w:tcMar>
            <w:shd w:val="clear" w:color="auto" w:fill="E5F5FF"/>
          </w:tcPr>
          <w:p>
            <w:pPr>
              <w:pStyle w:val="BDOITable"/>
            </w:pPr>
            <w:r>
              <w:rPr>
                <w:sz w:val="14"/>
              </w:rPr>
              <w:t>Diagram: CloudFront + WAF, Apigee X (OIDC validation, quotas), Istio ingress mTLS; infra diagram: Route 53 + ALB; K8s sheets: ingress-nginx</w:t>
            </w:r>
          </w:p>
        </w:tc>
        <w:tc>
          <w:tcPr>
            <w:tcW w:type="dxa" w:w="3333"/>
            <w:tcMar>
              <w:top w:w="50" w:type="dxa"/>
              <w:bottom w:w="50" w:type="dxa"/>
              <w:left w:w="90" w:type="dxa"/>
              <w:right w:w="90" w:type="dxa"/>
            </w:tcMar>
            <w:shd w:val="clear" w:color="auto" w:fill="E5F5FF"/>
          </w:tcPr>
          <w:p>
            <w:pPr>
              <w:pStyle w:val="BDOITable"/>
            </w:pPr>
            <w:r>
              <w:rPr>
                <w:sz w:val="14"/>
              </w:rPr>
              <w:t>Kubernetes Ingress to the nginx frontend, /api proxied to the backend; JWT issued by BIBS; login rate limit in the application</w:t>
            </w:r>
          </w:p>
        </w:tc>
        <w:tc>
          <w:tcPr>
            <w:tcW w:type="dxa" w:w="1071"/>
            <w:tcMar>
              <w:top w:w="50" w:type="dxa"/>
              <w:bottom w:w="50" w:type="dxa"/>
              <w:left w:w="90" w:type="dxa"/>
              <w:right w:w="90" w:type="dxa"/>
            </w:tcMar>
            <w:shd w:val="clear" w:color="auto" w:fill="FDECEA"/>
          </w:tcPr>
          <w:p>
            <w:pPr>
              <w:pStyle w:val="BDOITable"/>
            </w:pPr>
            <w:r>
              <w:rPr>
                <w:b/>
                <w:color w:val="C62828"/>
                <w:sz w:val="14"/>
              </w:rPr>
              <w:t>Gap</w:t>
            </w:r>
          </w:p>
        </w:tc>
        <w:tc>
          <w:tcPr>
            <w:tcW w:type="dxa" w:w="3214"/>
            <w:tcMar>
              <w:top w:w="50" w:type="dxa"/>
              <w:bottom w:w="50" w:type="dxa"/>
              <w:left w:w="90" w:type="dxa"/>
              <w:right w:w="90" w:type="dxa"/>
            </w:tcMar>
            <w:shd w:val="clear" w:color="auto" w:fill="E5F5FF"/>
          </w:tcPr>
          <w:p>
            <w:pPr>
              <w:pStyle w:val="BDOITable"/>
            </w:pPr>
            <w:r>
              <w:rPr>
                <w:sz w:val="14"/>
              </w:rPr>
              <w:t>Agree one edge: Route 53 + WAF + ALB (AWS Load Balancer Controller) or ingress-nginx; Apigee only if BDO mandates it for internal APIs</w:t>
            </w:r>
          </w:p>
        </w:tc>
        <w:tc>
          <w:tcPr>
            <w:tcW w:type="dxa" w:w="1071"/>
            <w:tcMar>
              <w:top w:w="50" w:type="dxa"/>
              <w:bottom w:w="50" w:type="dxa"/>
              <w:left w:w="90" w:type="dxa"/>
              <w:right w:w="90" w:type="dxa"/>
            </w:tcMar>
            <w:shd w:val="clear" w:color="auto" w:fill="E5F5FF"/>
          </w:tcPr>
          <w:p>
            <w:pPr>
              <w:pStyle w:val="BDOITable"/>
            </w:pPr>
            <w:r>
              <w:rPr>
                <w:sz w:val="14"/>
              </w:rPr>
              <w:t>IQ25</w:t>
            </w:r>
          </w:p>
        </w:tc>
      </w:tr>
      <w:tr>
        <w:trPr>
          <w:cantSplit w:val="true"/>
        </w:trPr>
        <w:tc>
          <w:tcPr>
            <w:tcW w:type="dxa" w:w="1310"/>
            <w:tcMar>
              <w:top w:w="50" w:type="dxa"/>
              <w:bottom w:w="50" w:type="dxa"/>
              <w:left w:w="90" w:type="dxa"/>
              <w:right w:w="90" w:type="dxa"/>
            </w:tcMar>
          </w:tcPr>
          <w:p>
            <w:pPr>
              <w:pStyle w:val="BDOITable"/>
            </w:pPr>
            <w:r>
              <w:rPr>
                <w:b/>
                <w:sz w:val="14"/>
              </w:rPr>
              <w:t>Runtime and images</w:t>
            </w:r>
          </w:p>
        </w:tc>
        <w:tc>
          <w:tcPr>
            <w:tcW w:type="dxa" w:w="3572"/>
            <w:tcMar>
              <w:top w:w="50" w:type="dxa"/>
              <w:bottom w:w="50" w:type="dxa"/>
              <w:left w:w="90" w:type="dxa"/>
              <w:right w:w="90" w:type="dxa"/>
            </w:tcMar>
          </w:tcPr>
          <w:p>
            <w:pPr>
              <w:pStyle w:val="BDOITable"/>
            </w:pPr>
            <w:r>
              <w:rPr>
                <w:sz w:val="14"/>
              </w:rPr>
              <w:t>VDI: OpenJDK Temurin 17 ("BrokerVerse services build on JDK 17"), Node 20, Angular SPA</w:t>
            </w:r>
          </w:p>
        </w:tc>
        <w:tc>
          <w:tcPr>
            <w:tcW w:type="dxa" w:w="3333"/>
            <w:tcMar>
              <w:top w:w="50" w:type="dxa"/>
              <w:bottom w:w="50" w:type="dxa"/>
              <w:left w:w="90" w:type="dxa"/>
              <w:right w:w="90" w:type="dxa"/>
            </w:tcMar>
          </w:tcPr>
          <w:p>
            <w:pPr>
              <w:pStyle w:val="BDOITable"/>
            </w:pPr>
            <w:r>
              <w:rPr>
                <w:sz w:val="14"/>
              </w:rPr>
              <w:t>Java 21 (Temurin 21 JRE Alpine image), Spring Boot 3.5, Node 22, React 19, Vite 8</w:t>
            </w:r>
          </w:p>
        </w:tc>
        <w:tc>
          <w:tcPr>
            <w:tcW w:type="dxa" w:w="1071"/>
            <w:tcMar>
              <w:top w:w="50" w:type="dxa"/>
              <w:bottom w:w="50" w:type="dxa"/>
              <w:left w:w="90" w:type="dxa"/>
              <w:right w:w="90" w:type="dxa"/>
            </w:tcMar>
          </w:tcPr>
          <w:p>
            <w:pPr>
              <w:pStyle w:val="BDOITable"/>
            </w:pPr>
            <w:r>
              <w:rPr>
                <w:sz w:val="14"/>
              </w:rPr>
              <w:t>Mismatch</w:t>
            </w:r>
          </w:p>
        </w:tc>
        <w:tc>
          <w:tcPr>
            <w:tcW w:type="dxa" w:w="3214"/>
            <w:tcMar>
              <w:top w:w="50" w:type="dxa"/>
              <w:bottom w:w="50" w:type="dxa"/>
              <w:left w:w="90" w:type="dxa"/>
              <w:right w:w="90" w:type="dxa"/>
            </w:tcMar>
          </w:tcPr>
          <w:p>
            <w:pPr>
              <w:pStyle w:val="BDOITable"/>
            </w:pPr>
            <w:r>
              <w:rPr>
                <w:sz w:val="14"/>
              </w:rPr>
              <w:t>VDI list: Temurin 21, Maven 3.9, Node 22 LTS; no Angular. Base images RHEL UBI 9 only if BDO requires</w:t>
            </w:r>
          </w:p>
        </w:tc>
        <w:tc>
          <w:tcPr>
            <w:tcW w:type="dxa" w:w="1071"/>
            <w:tcMar>
              <w:top w:w="50" w:type="dxa"/>
              <w:bottom w:w="50" w:type="dxa"/>
              <w:left w:w="90" w:type="dxa"/>
              <w:right w:w="90" w:type="dxa"/>
            </w:tcMar>
          </w:tcPr>
          <w:p>
            <w:pPr>
              <w:pStyle w:val="BDOITable"/>
            </w:pPr>
            <w:r>
              <w:rPr>
                <w:sz w:val="14"/>
              </w:rPr>
              <w:t>DCR-224; IQ28, IQ29</w:t>
            </w:r>
          </w:p>
        </w:tc>
      </w:tr>
      <w:tr>
        <w:trPr>
          <w:cantSplit w:val="true"/>
        </w:trPr>
        <w:tc>
          <w:tcPr>
            <w:tcW w:type="dxa" w:w="1310"/>
            <w:tcMar>
              <w:top w:w="50" w:type="dxa"/>
              <w:bottom w:w="50" w:type="dxa"/>
              <w:left w:w="90" w:type="dxa"/>
              <w:right w:w="90" w:type="dxa"/>
            </w:tcMar>
            <w:shd w:val="clear" w:color="auto" w:fill="E5F5FF"/>
          </w:tcPr>
          <w:p>
            <w:pPr>
              <w:pStyle w:val="BDOITable"/>
            </w:pPr>
            <w:r>
              <w:rPr>
                <w:b/>
                <w:sz w:val="14"/>
              </w:rPr>
              <w:t>CI / CD</w:t>
            </w:r>
          </w:p>
        </w:tc>
        <w:tc>
          <w:tcPr>
            <w:tcW w:type="dxa" w:w="3572"/>
            <w:tcMar>
              <w:top w:w="50" w:type="dxa"/>
              <w:bottom w:w="50" w:type="dxa"/>
              <w:left w:w="90" w:type="dxa"/>
              <w:right w:w="90" w:type="dxa"/>
            </w:tcMar>
            <w:shd w:val="clear" w:color="auto" w:fill="E5F5FF"/>
          </w:tcPr>
          <w:p>
            <w:pPr>
              <w:pStyle w:val="BDOITable"/>
            </w:pPr>
            <w:r>
              <w:rPr>
                <w:sz w:val="14"/>
              </w:rPr>
              <w:t>HW sheet: GitLab Runner, AWS SSM, kubectl / helm on a bastion; infra diagram: GitHub + Jenkins; diagram: ArgoCD GitOps + Helm, Terraform + Crossplane</w:t>
            </w:r>
          </w:p>
        </w:tc>
        <w:tc>
          <w:tcPr>
            <w:tcW w:type="dxa" w:w="3333"/>
            <w:tcMar>
              <w:top w:w="50" w:type="dxa"/>
              <w:bottom w:w="50" w:type="dxa"/>
              <w:left w:w="90" w:type="dxa"/>
              <w:right w:w="90" w:type="dxa"/>
            </w:tcMar>
            <w:shd w:val="clear" w:color="auto" w:fill="E5F5FF"/>
          </w:tcPr>
          <w:p>
            <w:pPr>
              <w:pStyle w:val="BDOITable"/>
            </w:pPr>
            <w:r>
              <w:rPr>
                <w:sz w:val="14"/>
              </w:rPr>
              <w:t>GitHub Actions (ci.yml: mvn verify, SonarQube, npm verify); plain Kubernetes manifests; no Helm chart</w:t>
            </w:r>
          </w:p>
        </w:tc>
        <w:tc>
          <w:tcPr>
            <w:tcW w:type="dxa" w:w="1071"/>
            <w:tcMar>
              <w:top w:w="50" w:type="dxa"/>
              <w:bottom w:w="50" w:type="dxa"/>
              <w:left w:w="90" w:type="dxa"/>
              <w:right w:w="90" w:type="dxa"/>
            </w:tcMar>
            <w:shd w:val="clear" w:color="auto" w:fill="FDECEA"/>
          </w:tcPr>
          <w:p>
            <w:pPr>
              <w:pStyle w:val="BDOITable"/>
            </w:pPr>
            <w:r>
              <w:rPr>
                <w:b/>
                <w:color w:val="C62828"/>
                <w:sz w:val="14"/>
              </w:rPr>
              <w:t>Gap</w:t>
            </w:r>
          </w:p>
        </w:tc>
        <w:tc>
          <w:tcPr>
            <w:tcW w:type="dxa" w:w="3214"/>
            <w:tcMar>
              <w:top w:w="50" w:type="dxa"/>
              <w:bottom w:w="50" w:type="dxa"/>
              <w:left w:w="90" w:type="dxa"/>
              <w:right w:w="90" w:type="dxa"/>
            </w:tcMar>
            <w:shd w:val="clear" w:color="auto" w:fill="E5F5FF"/>
          </w:tcPr>
          <w:p>
            <w:pPr>
              <w:pStyle w:val="BDOITable"/>
            </w:pPr>
            <w:r>
              <w:rPr>
                <w:sz w:val="14"/>
              </w:rPr>
              <w:t>Helm chart (or Kustomize overlays) per environment; pipeline on the BDO toolchain once named</w:t>
            </w:r>
          </w:p>
        </w:tc>
        <w:tc>
          <w:tcPr>
            <w:tcW w:type="dxa" w:w="1071"/>
            <w:tcMar>
              <w:top w:w="50" w:type="dxa"/>
              <w:bottom w:w="50" w:type="dxa"/>
              <w:left w:w="90" w:type="dxa"/>
              <w:right w:w="90" w:type="dxa"/>
            </w:tcMar>
            <w:shd w:val="clear" w:color="auto" w:fill="E5F5FF"/>
          </w:tcPr>
          <w:p>
            <w:pPr>
              <w:pStyle w:val="BDOITable"/>
            </w:pPr>
            <w:r>
              <w:rPr>
                <w:sz w:val="14"/>
              </w:rPr>
              <w:t>IQ29</w:t>
            </w:r>
          </w:p>
        </w:tc>
      </w:tr>
      <w:tr>
        <w:trPr>
          <w:cantSplit w:val="true"/>
        </w:trPr>
        <w:tc>
          <w:tcPr>
            <w:tcW w:type="dxa" w:w="1310"/>
            <w:tcMar>
              <w:top w:w="50" w:type="dxa"/>
              <w:bottom w:w="50" w:type="dxa"/>
              <w:left w:w="90" w:type="dxa"/>
              <w:right w:w="90" w:type="dxa"/>
            </w:tcMar>
          </w:tcPr>
          <w:p>
            <w:pPr>
              <w:pStyle w:val="BDOITable"/>
            </w:pPr>
            <w:r>
              <w:rPr>
                <w:b/>
                <w:sz w:val="14"/>
              </w:rPr>
              <w:t>Observability</w:t>
            </w:r>
          </w:p>
        </w:tc>
        <w:tc>
          <w:tcPr>
            <w:tcW w:type="dxa" w:w="3572"/>
            <w:tcMar>
              <w:top w:w="50" w:type="dxa"/>
              <w:bottom w:w="50" w:type="dxa"/>
              <w:left w:w="90" w:type="dxa"/>
              <w:right w:w="90" w:type="dxa"/>
            </w:tcMar>
          </w:tcPr>
          <w:p>
            <w:pPr>
              <w:pStyle w:val="BDOITable"/>
            </w:pPr>
            <w:r>
              <w:rPr>
                <w:sz w:val="14"/>
              </w:rPr>
              <w:t>VDI and K8s sheets: Dynatrace (ActiveGate, OneAgent); diagram: CloudWatch, X-Ray, Prometheus, Node Exporter, Loki, Grafana</w:t>
            </w:r>
          </w:p>
        </w:tc>
        <w:tc>
          <w:tcPr>
            <w:tcW w:type="dxa" w:w="3333"/>
            <w:tcMar>
              <w:top w:w="50" w:type="dxa"/>
              <w:bottom w:w="50" w:type="dxa"/>
              <w:left w:w="90" w:type="dxa"/>
              <w:right w:w="90" w:type="dxa"/>
            </w:tcMar>
          </w:tcPr>
          <w:p>
            <w:pPr>
              <w:pStyle w:val="BDOITable"/>
            </w:pPr>
            <w:r>
              <w:rPr>
                <w:sz w:val="14"/>
              </w:rPr>
              <w:t>Actuator health, metrics and /actuator/prometheus; structured logs with CR/LF neutralised; alert catalogue planned (deliverable 38)</w:t>
            </w:r>
          </w:p>
        </w:tc>
        <w:tc>
          <w:tcPr>
            <w:tcW w:type="dxa" w:w="1071"/>
            <w:tcMar>
              <w:top w:w="50" w:type="dxa"/>
              <w:bottom w:w="50" w:type="dxa"/>
              <w:left w:w="90" w:type="dxa"/>
              <w:right w:w="90" w:type="dxa"/>
            </w:tcMar>
            <w:shd w:val="clear" w:color="auto" w:fill="FDECEA"/>
          </w:tcPr>
          <w:p>
            <w:pPr>
              <w:pStyle w:val="BDOITable"/>
            </w:pPr>
            <w:r>
              <w:rPr>
                <w:b/>
                <w:color w:val="C62828"/>
                <w:sz w:val="14"/>
              </w:rPr>
              <w:t>Gap</w:t>
            </w:r>
          </w:p>
        </w:tc>
        <w:tc>
          <w:tcPr>
            <w:tcW w:type="dxa" w:w="3214"/>
            <w:tcMar>
              <w:top w:w="50" w:type="dxa"/>
              <w:bottom w:w="50" w:type="dxa"/>
              <w:left w:w="90" w:type="dxa"/>
              <w:right w:w="90" w:type="dxa"/>
            </w:tcMar>
          </w:tcPr>
          <w:p>
            <w:pPr>
              <w:pStyle w:val="BDOITable"/>
            </w:pPr>
            <w:r>
              <w:rPr>
                <w:sz w:val="14"/>
              </w:rPr>
              <w:t>Choose Dynatrace or Prometheus / Grafana; ship logs to the BDO log platform</w:t>
            </w:r>
          </w:p>
        </w:tc>
        <w:tc>
          <w:tcPr>
            <w:tcW w:type="dxa" w:w="1071"/>
            <w:tcMar>
              <w:top w:w="50" w:type="dxa"/>
              <w:bottom w:w="50" w:type="dxa"/>
              <w:left w:w="90" w:type="dxa"/>
              <w:right w:w="90" w:type="dxa"/>
            </w:tcMar>
          </w:tcPr>
          <w:p>
            <w:pPr>
              <w:pStyle w:val="BDOITable"/>
            </w:pPr>
            <w:r>
              <w:rPr>
                <w:sz w:val="14"/>
              </w:rPr>
              <w:t>IQ30</w:t>
            </w:r>
          </w:p>
        </w:tc>
      </w:tr>
      <w:tr>
        <w:trPr>
          <w:cantSplit w:val="true"/>
        </w:trPr>
        <w:tc>
          <w:tcPr>
            <w:tcW w:type="dxa" w:w="1310"/>
            <w:tcMar>
              <w:top w:w="50" w:type="dxa"/>
              <w:bottom w:w="50" w:type="dxa"/>
              <w:left w:w="90" w:type="dxa"/>
              <w:right w:w="90" w:type="dxa"/>
            </w:tcMar>
            <w:shd w:val="clear" w:color="auto" w:fill="E5F5FF"/>
          </w:tcPr>
          <w:p>
            <w:pPr>
              <w:pStyle w:val="BDOITable"/>
            </w:pPr>
            <w:r>
              <w:rPr>
                <w:b/>
                <w:sz w:val="14"/>
              </w:rPr>
              <w:t>Recovery objectives</w:t>
            </w:r>
          </w:p>
        </w:tc>
        <w:tc>
          <w:tcPr>
            <w:tcW w:type="dxa" w:w="3572"/>
            <w:tcMar>
              <w:top w:w="50" w:type="dxa"/>
              <w:bottom w:w="50" w:type="dxa"/>
              <w:left w:w="90" w:type="dxa"/>
              <w:right w:w="90" w:type="dxa"/>
            </w:tcMar>
            <w:shd w:val="clear" w:color="auto" w:fill="E5F5FF"/>
          </w:tcPr>
          <w:p>
            <w:pPr>
              <w:pStyle w:val="BDOITable"/>
            </w:pPr>
            <w:r>
              <w:rPr>
                <w:sz w:val="14"/>
              </w:rPr>
              <w:t>RPO 15 minutes, RTO 4 hours (both diagram sheets); DR standby with async replication, RPO &lt;= 15 min</w:t>
            </w:r>
          </w:p>
        </w:tc>
        <w:tc>
          <w:tcPr>
            <w:tcW w:type="dxa" w:w="3333"/>
            <w:tcMar>
              <w:top w:w="50" w:type="dxa"/>
              <w:bottom w:w="50" w:type="dxa"/>
              <w:left w:w="90" w:type="dxa"/>
              <w:right w:w="90" w:type="dxa"/>
            </w:tcMar>
            <w:shd w:val="clear" w:color="auto" w:fill="E5F5FF"/>
          </w:tcPr>
          <w:p>
            <w:pPr>
              <w:pStyle w:val="BDOITable"/>
            </w:pPr>
            <w:r>
              <w:rPr>
                <w:sz w:val="14"/>
              </w:rPr>
              <w:t>Register proposal DCR-135: RPO 15 min (continuous WAL archiving), RTO 4 h; RUNBOOK: daily full backup + WAL archiving, quarterly restore test</w:t>
            </w:r>
          </w:p>
        </w:tc>
        <w:tc>
          <w:tcPr>
            <w:tcW w:type="dxa" w:w="1071"/>
            <w:tcMar>
              <w:top w:w="50" w:type="dxa"/>
              <w:bottom w:w="50" w:type="dxa"/>
              <w:left w:w="90" w:type="dxa"/>
              <w:right w:w="90" w:type="dxa"/>
            </w:tcMar>
            <w:shd w:val="clear" w:color="auto" w:fill="E5F5FF"/>
          </w:tcPr>
          <w:p>
            <w:pPr>
              <w:pStyle w:val="BDOITable"/>
            </w:pPr>
            <w:r>
              <w:rPr>
                <w:sz w:val="14"/>
              </w:rPr>
              <w:t>Aligned</w:t>
            </w:r>
          </w:p>
        </w:tc>
        <w:tc>
          <w:tcPr>
            <w:tcW w:type="dxa" w:w="3214"/>
            <w:tcMar>
              <w:top w:w="50" w:type="dxa"/>
              <w:bottom w:w="50" w:type="dxa"/>
              <w:left w:w="90" w:type="dxa"/>
              <w:right w:w="90" w:type="dxa"/>
            </w:tcMar>
            <w:shd w:val="clear" w:color="auto" w:fill="E5F5FF"/>
          </w:tcPr>
          <w:p>
            <w:pPr>
              <w:pStyle w:val="BDOITable"/>
            </w:pPr>
            <w:r>
              <w:rPr>
                <w:sz w:val="14"/>
              </w:rPr>
              <w:t>Record the IER as the BDOI answer to DCR-135 (to confirm by the BRD owners)</w:t>
            </w:r>
          </w:p>
        </w:tc>
        <w:tc>
          <w:tcPr>
            <w:tcW w:type="dxa" w:w="1071"/>
            <w:tcMar>
              <w:top w:w="50" w:type="dxa"/>
              <w:bottom w:w="50" w:type="dxa"/>
              <w:left w:w="90" w:type="dxa"/>
              <w:right w:w="90" w:type="dxa"/>
            </w:tcMar>
            <w:shd w:val="clear" w:color="auto" w:fill="E5F5FF"/>
          </w:tcPr>
          <w:p>
            <w:pPr>
              <w:pStyle w:val="BDOITable"/>
            </w:pPr>
            <w:r>
              <w:rPr>
                <w:sz w:val="14"/>
              </w:rPr>
              <w:t>DCR-135, DCR-225</w:t>
            </w:r>
          </w:p>
        </w:tc>
      </w:tr>
      <w:tr>
        <w:trPr>
          <w:cantSplit w:val="true"/>
        </w:trPr>
        <w:tc>
          <w:tcPr>
            <w:tcW w:type="dxa" w:w="1310"/>
            <w:tcMar>
              <w:top w:w="50" w:type="dxa"/>
              <w:bottom w:w="50" w:type="dxa"/>
              <w:left w:w="90" w:type="dxa"/>
              <w:right w:w="90" w:type="dxa"/>
            </w:tcMar>
          </w:tcPr>
          <w:p>
            <w:pPr>
              <w:pStyle w:val="BDOITable"/>
            </w:pPr>
            <w:r>
              <w:rPr>
                <w:b/>
                <w:sz w:val="14"/>
              </w:rPr>
              <w:t>Disaster recovery</w:t>
            </w:r>
          </w:p>
        </w:tc>
        <w:tc>
          <w:tcPr>
            <w:tcW w:type="dxa" w:w="3572"/>
            <w:tcMar>
              <w:top w:w="50" w:type="dxa"/>
              <w:bottom w:w="50" w:type="dxa"/>
              <w:left w:w="90" w:type="dxa"/>
              <w:right w:w="90" w:type="dxa"/>
            </w:tcMar>
          </w:tcPr>
          <w:p>
            <w:pPr>
              <w:pStyle w:val="BDOITable"/>
            </w:pPr>
            <w:r>
              <w:rPr>
                <w:sz w:val="14"/>
              </w:rPr>
              <w:t>PROD DR: "cross-region read replica" (HW sheet); diagram: "ap-southeast-1 primary + DR warm-standby"; DR environment at 12 x 7 hours</w:t>
            </w:r>
          </w:p>
        </w:tc>
        <w:tc>
          <w:tcPr>
            <w:tcW w:type="dxa" w:w="3333"/>
            <w:tcMar>
              <w:top w:w="50" w:type="dxa"/>
              <w:bottom w:w="50" w:type="dxa"/>
              <w:left w:w="90" w:type="dxa"/>
              <w:right w:w="90" w:type="dxa"/>
            </w:tcMar>
          </w:tcPr>
          <w:p>
            <w:pPr>
              <w:pStyle w:val="BDOITable"/>
            </w:pPr>
            <w:r>
              <w:rPr>
                <w:sz w:val="14"/>
              </w:rPr>
              <w:t>Hosting appendix: AWS ap-southeast-1; access restricted to personnel in the Philippines</w:t>
            </w:r>
          </w:p>
        </w:tc>
        <w:tc>
          <w:tcPr>
            <w:tcW w:type="dxa" w:w="1071"/>
            <w:tcMar>
              <w:top w:w="50" w:type="dxa"/>
              <w:bottom w:w="50" w:type="dxa"/>
              <w:left w:w="90" w:type="dxa"/>
              <w:right w:w="90" w:type="dxa"/>
            </w:tcMar>
            <w:shd w:val="clear" w:color="auto" w:fill="FDECEA"/>
          </w:tcPr>
          <w:p>
            <w:pPr>
              <w:pStyle w:val="BDOITable"/>
            </w:pPr>
            <w:r>
              <w:rPr>
                <w:b/>
                <w:color w:val="C62828"/>
                <w:sz w:val="14"/>
              </w:rPr>
              <w:t>Gap</w:t>
            </w:r>
          </w:p>
        </w:tc>
        <w:tc>
          <w:tcPr>
            <w:tcW w:type="dxa" w:w="3214"/>
            <w:tcMar>
              <w:top w:w="50" w:type="dxa"/>
              <w:bottom w:w="50" w:type="dxa"/>
              <w:left w:w="90" w:type="dxa"/>
              <w:right w:w="90" w:type="dxa"/>
            </w:tcMar>
          </w:tcPr>
          <w:p>
            <w:pPr>
              <w:pStyle w:val="BDOITable"/>
            </w:pPr>
            <w:r>
              <w:rPr>
                <w:sz w:val="14"/>
              </w:rPr>
              <w:t>Name the DR region and confirm data residency; S3 cross-region replication and MSK / ElastiCache rebuild in DR; DR runbook</w:t>
            </w:r>
          </w:p>
        </w:tc>
        <w:tc>
          <w:tcPr>
            <w:tcW w:type="dxa" w:w="1071"/>
            <w:tcMar>
              <w:top w:w="50" w:type="dxa"/>
              <w:bottom w:w="50" w:type="dxa"/>
              <w:left w:w="90" w:type="dxa"/>
              <w:right w:w="90" w:type="dxa"/>
            </w:tcMar>
          </w:tcPr>
          <w:p>
            <w:pPr>
              <w:pStyle w:val="BDOITable"/>
            </w:pPr>
            <w:r>
              <w:rPr>
                <w:sz w:val="14"/>
              </w:rPr>
              <w:t>DCR-225; IQ26</w:t>
            </w:r>
          </w:p>
        </w:tc>
      </w:tr>
      <w:tr>
        <w:trPr>
          <w:cantSplit w:val="true"/>
        </w:trPr>
        <w:tc>
          <w:tcPr>
            <w:tcW w:type="dxa" w:w="1310"/>
            <w:tcMar>
              <w:top w:w="50" w:type="dxa"/>
              <w:bottom w:w="50" w:type="dxa"/>
              <w:left w:w="90" w:type="dxa"/>
              <w:right w:w="90" w:type="dxa"/>
            </w:tcMar>
            <w:shd w:val="clear" w:color="auto" w:fill="E5F5FF"/>
          </w:tcPr>
          <w:p>
            <w:pPr>
              <w:pStyle w:val="BDOITable"/>
            </w:pPr>
            <w:r>
              <w:rPr>
                <w:b/>
                <w:sz w:val="14"/>
              </w:rPr>
              <w:t>Environments</w:t>
            </w:r>
          </w:p>
        </w:tc>
        <w:tc>
          <w:tcPr>
            <w:tcW w:type="dxa" w:w="3572"/>
            <w:tcMar>
              <w:top w:w="50" w:type="dxa"/>
              <w:bottom w:w="50" w:type="dxa"/>
              <w:left w:w="90" w:type="dxa"/>
              <w:right w:w="90" w:type="dxa"/>
            </w:tcMar>
            <w:shd w:val="clear" w:color="auto" w:fill="E5F5FF"/>
          </w:tcPr>
          <w:p>
            <w:pPr>
              <w:pStyle w:val="BDOITable"/>
            </w:pPr>
            <w:r>
              <w:rPr>
                <w:sz w:val="14"/>
              </w:rPr>
              <w:t>DEV, SIT, UAT, Pre-Prod, PROD, DR; K8s sheets only for DEV, SIT, UAT, PROD Y1-Y5; the Pre-Prod sheet is titled "UAT ENVIRONMENT"; environment cost sheets hold template rows (Windows Server, EXACC, ON PREM, 0 CPU)</w:t>
            </w:r>
          </w:p>
        </w:tc>
        <w:tc>
          <w:tcPr>
            <w:tcW w:type="dxa" w:w="3333"/>
            <w:tcMar>
              <w:top w:w="50" w:type="dxa"/>
              <w:bottom w:w="50" w:type="dxa"/>
              <w:left w:w="90" w:type="dxa"/>
              <w:right w:w="90" w:type="dxa"/>
            </w:tcMar>
            <w:shd w:val="clear" w:color="auto" w:fill="E5F5FF"/>
          </w:tcPr>
          <w:p>
            <w:pPr>
              <w:pStyle w:val="BDOITable"/>
            </w:pPr>
            <w:r>
              <w:rPr>
                <w:sz w:val="14"/>
              </w:rPr>
              <w:t>Needs all six; Pre-Prod for the dress rehearsal and performance tests; DR for the failover test</w:t>
            </w:r>
          </w:p>
        </w:tc>
        <w:tc>
          <w:tcPr>
            <w:tcW w:type="dxa" w:w="1071"/>
            <w:tcMar>
              <w:top w:w="50" w:type="dxa"/>
              <w:bottom w:w="50" w:type="dxa"/>
              <w:left w:w="90" w:type="dxa"/>
              <w:right w:w="90" w:type="dxa"/>
            </w:tcMar>
            <w:shd w:val="clear" w:color="auto" w:fill="FDECEA"/>
          </w:tcPr>
          <w:p>
            <w:pPr>
              <w:pStyle w:val="BDOITable"/>
            </w:pPr>
            <w:r>
              <w:rPr>
                <w:b/>
                <w:color w:val="C62828"/>
                <w:sz w:val="14"/>
              </w:rPr>
              <w:t>Gap</w:t>
            </w:r>
          </w:p>
        </w:tc>
        <w:tc>
          <w:tcPr>
            <w:tcW w:type="dxa" w:w="3214"/>
            <w:tcMar>
              <w:top w:w="50" w:type="dxa"/>
              <w:bottom w:w="50" w:type="dxa"/>
              <w:left w:w="90" w:type="dxa"/>
              <w:right w:w="90" w:type="dxa"/>
            </w:tcMar>
            <w:shd w:val="clear" w:color="auto" w:fill="E5F5FF"/>
          </w:tcPr>
          <w:p>
            <w:pPr>
              <w:pStyle w:val="BDOITable"/>
            </w:pPr>
            <w:r>
              <w:rPr>
                <w:sz w:val="14"/>
              </w:rPr>
              <w:t>Add Pre-Prod and DR cluster sheets; replace template rows; re-cost</w:t>
            </w:r>
          </w:p>
        </w:tc>
        <w:tc>
          <w:tcPr>
            <w:tcW w:type="dxa" w:w="1071"/>
            <w:tcMar>
              <w:top w:w="50" w:type="dxa"/>
              <w:bottom w:w="50" w:type="dxa"/>
              <w:left w:w="90" w:type="dxa"/>
              <w:right w:w="90" w:type="dxa"/>
            </w:tcMar>
            <w:shd w:val="clear" w:color="auto" w:fill="E5F5FF"/>
          </w:tcPr>
          <w:p>
            <w:pPr>
              <w:pStyle w:val="BDOITable"/>
            </w:pPr>
            <w:r>
              <w:rPr>
                <w:sz w:val="14"/>
              </w:rPr>
              <w:t>DCR-223; IQ33</w:t>
            </w:r>
          </w:p>
        </w:tc>
      </w:tr>
      <w:tr>
        <w:trPr>
          <w:cantSplit w:val="true"/>
        </w:trPr>
        <w:tc>
          <w:tcPr>
            <w:tcW w:type="dxa" w:w="1310"/>
            <w:tcMar>
              <w:top w:w="50" w:type="dxa"/>
              <w:bottom w:w="50" w:type="dxa"/>
              <w:left w:w="90" w:type="dxa"/>
              <w:right w:w="90" w:type="dxa"/>
            </w:tcMar>
          </w:tcPr>
          <w:p>
            <w:pPr>
              <w:pStyle w:val="BDOITable"/>
            </w:pPr>
            <w:r>
              <w:rPr>
                <w:b/>
                <w:sz w:val="14"/>
              </w:rPr>
              <w:t>Operating hours</w:t>
            </w:r>
          </w:p>
        </w:tc>
        <w:tc>
          <w:tcPr>
            <w:tcW w:type="dxa" w:w="3572"/>
            <w:tcMar>
              <w:top w:w="50" w:type="dxa"/>
              <w:bottom w:w="50" w:type="dxa"/>
              <w:left w:w="90" w:type="dxa"/>
              <w:right w:w="90" w:type="dxa"/>
            </w:tcMar>
          </w:tcPr>
          <w:p>
            <w:pPr>
              <w:pStyle w:val="BDOITable"/>
            </w:pPr>
            <w:r>
              <w:rPr>
                <w:sz w:val="14"/>
              </w:rPr>
              <w:t>Non-production 12 x 5 (260.7 h / month); PROD 24 x 7; DR 12 x 7</w:t>
            </w:r>
          </w:p>
        </w:tc>
        <w:tc>
          <w:tcPr>
            <w:tcW w:type="dxa" w:w="3333"/>
            <w:tcMar>
              <w:top w:w="50" w:type="dxa"/>
              <w:bottom w:w="50" w:type="dxa"/>
              <w:left w:w="90" w:type="dxa"/>
              <w:right w:w="90" w:type="dxa"/>
            </w:tcMar>
          </w:tcPr>
          <w:p>
            <w:pPr>
              <w:pStyle w:val="BDOITable"/>
            </w:pPr>
            <w:r>
              <w:rPr>
                <w:sz w:val="14"/>
              </w:rPr>
              <w:t>Night jobs in PHT: EOD booking and remittance extraction 20:00, Collections 22:15-23:00, renewal extraction 01:00, screening 01:00-01:30, application file 05:00, alerts 06:00</w:t>
            </w:r>
          </w:p>
        </w:tc>
        <w:tc>
          <w:tcPr>
            <w:tcW w:type="dxa" w:w="1071"/>
            <w:tcMar>
              <w:top w:w="50" w:type="dxa"/>
              <w:bottom w:w="50" w:type="dxa"/>
              <w:left w:w="90" w:type="dxa"/>
              <w:right w:w="90" w:type="dxa"/>
            </w:tcMar>
          </w:tcPr>
          <w:p>
            <w:pPr>
              <w:pStyle w:val="BDOITable"/>
            </w:pPr>
            <w:r>
              <w:rPr>
                <w:sz w:val="14"/>
              </w:rPr>
              <w:t>Mismatch</w:t>
            </w:r>
          </w:p>
        </w:tc>
        <w:tc>
          <w:tcPr>
            <w:tcW w:type="dxa" w:w="3214"/>
            <w:tcMar>
              <w:top w:w="50" w:type="dxa"/>
              <w:bottom w:w="50" w:type="dxa"/>
              <w:left w:w="90" w:type="dxa"/>
              <w:right w:w="90" w:type="dxa"/>
            </w:tcMar>
          </w:tcPr>
          <w:p>
            <w:pPr>
              <w:pStyle w:val="BDOITable"/>
            </w:pPr>
            <w:r>
              <w:rPr>
                <w:sz w:val="14"/>
              </w:rPr>
              <w:t>Non-production crons shifted into the window by environment variables; extended hours for batch, month-end and migration rehearsal cycles; MSK and ElastiCache run 24 x 7 anyway</w:t>
            </w:r>
          </w:p>
        </w:tc>
        <w:tc>
          <w:tcPr>
            <w:tcW w:type="dxa" w:w="1071"/>
            <w:tcMar>
              <w:top w:w="50" w:type="dxa"/>
              <w:bottom w:w="50" w:type="dxa"/>
              <w:left w:w="90" w:type="dxa"/>
              <w:right w:w="90" w:type="dxa"/>
            </w:tcMar>
          </w:tcPr>
          <w:p>
            <w:pPr>
              <w:pStyle w:val="BDOITable"/>
            </w:pPr>
            <w:r>
              <w:rPr>
                <w:sz w:val="14"/>
              </w:rPr>
              <w:t>DCR-226; IQ27</w:t>
            </w:r>
          </w:p>
        </w:tc>
      </w:tr>
      <w:tr>
        <w:trPr>
          <w:cantSplit w:val="true"/>
        </w:trPr>
        <w:tc>
          <w:tcPr>
            <w:tcW w:type="dxa" w:w="1310"/>
            <w:tcMar>
              <w:top w:w="50" w:type="dxa"/>
              <w:bottom w:w="50" w:type="dxa"/>
              <w:left w:w="90" w:type="dxa"/>
              <w:right w:w="90" w:type="dxa"/>
            </w:tcMar>
            <w:shd w:val="clear" w:color="auto" w:fill="E5F5FF"/>
          </w:tcPr>
          <w:p>
            <w:pPr>
              <w:pStyle w:val="BDOITable"/>
            </w:pPr>
            <w:r>
              <w:rPr>
                <w:b/>
                <w:sz w:val="14"/>
              </w:rPr>
              <w:t>Sizing basis</w:t>
            </w:r>
          </w:p>
        </w:tc>
        <w:tc>
          <w:tcPr>
            <w:tcW w:type="dxa" w:w="3572"/>
            <w:tcMar>
              <w:top w:w="50" w:type="dxa"/>
              <w:bottom w:w="50" w:type="dxa"/>
              <w:left w:w="90" w:type="dxa"/>
              <w:right w:w="90" w:type="dxa"/>
            </w:tcMar>
            <w:shd w:val="clear" w:color="auto" w:fill="E5F5FF"/>
          </w:tcPr>
          <w:p>
            <w:pPr>
              <w:pStyle w:val="BDOITable"/>
            </w:pPr>
            <w:r>
              <w:rPr>
                <w:sz w:val="14"/>
              </w:rPr>
              <w:t>YoY growth 15 %, 60 months; ~1,200 internal users (diagram)</w:t>
            </w:r>
          </w:p>
        </w:tc>
        <w:tc>
          <w:tcPr>
            <w:tcW w:type="dxa" w:w="3333"/>
            <w:tcMar>
              <w:top w:w="50" w:type="dxa"/>
              <w:bottom w:w="50" w:type="dxa"/>
              <w:left w:w="90" w:type="dxa"/>
              <w:right w:w="90" w:type="dxa"/>
            </w:tcMar>
            <w:shd w:val="clear" w:color="auto" w:fill="E5F5FF"/>
          </w:tcPr>
          <w:p>
            <w:pPr>
              <w:pStyle w:val="BDOITable"/>
            </w:pPr>
            <w:r>
              <w:rPr>
                <w:sz w:val="14"/>
              </w:rPr>
              <w:t>Umbrella BRD p.42: 1,344 named / 429 concurrent (DCR-166); renewal 25,800 accounts and NB 21,200 bookings a month</w:t>
            </w:r>
          </w:p>
        </w:tc>
        <w:tc>
          <w:tcPr>
            <w:tcW w:type="dxa" w:w="1071"/>
            <w:tcMar>
              <w:top w:w="50" w:type="dxa"/>
              <w:bottom w:w="50" w:type="dxa"/>
              <w:left w:w="90" w:type="dxa"/>
              <w:right w:w="90" w:type="dxa"/>
            </w:tcMar>
            <w:shd w:val="clear" w:color="auto" w:fill="FDECEA"/>
          </w:tcPr>
          <w:p>
            <w:pPr>
              <w:pStyle w:val="BDOITable"/>
            </w:pPr>
            <w:r>
              <w:rPr>
                <w:b/>
                <w:color w:val="C62828"/>
                <w:sz w:val="14"/>
              </w:rPr>
              <w:t>Gap</w:t>
            </w:r>
          </w:p>
        </w:tc>
        <w:tc>
          <w:tcPr>
            <w:tcW w:type="dxa" w:w="3214"/>
            <w:tcMar>
              <w:top w:w="50" w:type="dxa"/>
              <w:bottom w:w="50" w:type="dxa"/>
              <w:left w:w="90" w:type="dxa"/>
              <w:right w:w="90" w:type="dxa"/>
            </w:tcMar>
            <w:shd w:val="clear" w:color="auto" w:fill="E5F5FF"/>
          </w:tcPr>
          <w:p>
            <w:pPr>
              <w:pStyle w:val="BDOITable"/>
            </w:pPr>
            <w:r>
              <w:rPr>
                <w:sz w:val="14"/>
              </w:rPr>
              <w:t>One user figure for sizing and the performance test</w:t>
            </w:r>
          </w:p>
        </w:tc>
        <w:tc>
          <w:tcPr>
            <w:tcW w:type="dxa" w:w="1071"/>
            <w:tcMar>
              <w:top w:w="50" w:type="dxa"/>
              <w:bottom w:w="50" w:type="dxa"/>
              <w:left w:w="90" w:type="dxa"/>
              <w:right w:w="90" w:type="dxa"/>
            </w:tcMar>
            <w:shd w:val="clear" w:color="auto" w:fill="E5F5FF"/>
          </w:tcPr>
          <w:p>
            <w:pPr>
              <w:pStyle w:val="BDOITable"/>
            </w:pPr>
            <w:r>
              <w:rPr>
                <w:sz w:val="14"/>
              </w:rPr>
              <w:t>DCR-232; IQ32</w:t>
            </w:r>
          </w:p>
        </w:tc>
      </w:tr>
      <w:tr>
        <w:trPr>
          <w:cantSplit w:val="true"/>
        </w:trPr>
        <w:tc>
          <w:tcPr>
            <w:tcW w:type="dxa" w:w="1310"/>
            <w:tcMar>
              <w:top w:w="50" w:type="dxa"/>
              <w:bottom w:w="50" w:type="dxa"/>
              <w:left w:w="90" w:type="dxa"/>
              <w:right w:w="90" w:type="dxa"/>
            </w:tcMar>
          </w:tcPr>
          <w:p>
            <w:pPr>
              <w:pStyle w:val="BDOITable"/>
            </w:pPr>
            <w:r>
              <w:rPr>
                <w:b/>
                <w:sz w:val="14"/>
              </w:rPr>
              <w:t>VDI</w:t>
            </w:r>
          </w:p>
        </w:tc>
        <w:tc>
          <w:tcPr>
            <w:tcW w:type="dxa" w:w="3572"/>
            <w:tcMar>
              <w:top w:w="50" w:type="dxa"/>
              <w:bottom w:w="50" w:type="dxa"/>
              <w:left w:w="90" w:type="dxa"/>
              <w:right w:w="90" w:type="dxa"/>
            </w:tcMar>
          </w:tcPr>
          <w:p>
            <w:pPr>
              <w:pStyle w:val="BDOITable"/>
            </w:pPr>
            <w:r>
              <w:rPr>
                <w:sz w:val="14"/>
              </w:rPr>
              <w:t>15 users: 8 developers (24 months), 4 testers (18), 3 production support (60); 12 x 5</w:t>
            </w:r>
          </w:p>
        </w:tc>
        <w:tc>
          <w:tcPr>
            <w:tcW w:type="dxa" w:w="3333"/>
            <w:tcMar>
              <w:top w:w="50" w:type="dxa"/>
              <w:bottom w:w="50" w:type="dxa"/>
              <w:left w:w="90" w:type="dxa"/>
              <w:right w:w="90" w:type="dxa"/>
            </w:tcMar>
          </w:tcPr>
          <w:p>
            <w:pPr>
              <w:pStyle w:val="BDOITable"/>
            </w:pPr>
            <w:r>
              <w:rPr>
                <w:sz w:val="14"/>
              </w:rPr>
              <w:t>Hosting appendix: access restricted to personnel in the Philippines; migration staging purged within 5 days</w:t>
            </w:r>
          </w:p>
        </w:tc>
        <w:tc>
          <w:tcPr>
            <w:tcW w:type="dxa" w:w="1071"/>
            <w:tcMar>
              <w:top w:w="50" w:type="dxa"/>
              <w:bottom w:w="50" w:type="dxa"/>
              <w:left w:w="90" w:type="dxa"/>
              <w:right w:w="90" w:type="dxa"/>
            </w:tcMar>
            <w:shd w:val="clear" w:color="auto" w:fill="FDECEA"/>
          </w:tcPr>
          <w:p>
            <w:pPr>
              <w:pStyle w:val="BDOITable"/>
            </w:pPr>
            <w:r>
              <w:rPr>
                <w:b/>
                <w:color w:val="C62828"/>
                <w:sz w:val="14"/>
              </w:rPr>
              <w:t>Gap</w:t>
            </w:r>
          </w:p>
        </w:tc>
        <w:tc>
          <w:tcPr>
            <w:tcW w:type="dxa" w:w="3214"/>
            <w:tcMar>
              <w:top w:w="50" w:type="dxa"/>
              <w:bottom w:w="50" w:type="dxa"/>
              <w:left w:w="90" w:type="dxa"/>
              <w:right w:w="90" w:type="dxa"/>
            </w:tcMar>
          </w:tcPr>
          <w:p>
            <w:pPr>
              <w:pStyle w:val="BDOITable"/>
            </w:pPr>
            <w:r>
              <w:rPr>
                <w:sz w:val="14"/>
              </w:rPr>
              <w:t>Confirm who needs VDI and from where; update the software list</w:t>
            </w:r>
          </w:p>
        </w:tc>
        <w:tc>
          <w:tcPr>
            <w:tcW w:type="dxa" w:w="1071"/>
            <w:tcMar>
              <w:top w:w="50" w:type="dxa"/>
              <w:bottom w:w="50" w:type="dxa"/>
              <w:left w:w="90" w:type="dxa"/>
              <w:right w:w="90" w:type="dxa"/>
            </w:tcMar>
          </w:tcPr>
          <w:p>
            <w:pPr>
              <w:pStyle w:val="BDOITable"/>
            </w:pPr>
            <w:r>
              <w:rPr>
                <w:sz w:val="14"/>
              </w:rPr>
              <w:t>DCR-231; IQ28</w:t>
            </w:r>
          </w:p>
        </w:tc>
      </w:tr>
    </w:tbl>
    <w:p>
      <w:pPr>
        <w:pStyle w:val="BDOISpacer"/>
      </w:pPr>
    </w:p>
    <w:p>
      <w:pPr>
        <w:sectPr>
          <w:headerReference w:type="default" r:id="rId33"/>
          <w:footerReference w:type="default" r:id="rId34"/>
          <w:headerReference w:type="first" r:id="rId35"/>
          <w:footerReference w:type="first" r:id="rId36"/>
          <w:pgSz w:w="15840" w:h="12240" w:orient="landscape"/>
          <w:pgMar w:top="1417" w:right="1134" w:bottom="1247" w:left="1134" w:header="567" w:footer="510" w:gutter="0"/>
          <w:cols w:space="720"/>
          <w:docGrid w:linePitch="360"/>
        </w:sectPr>
      </w:pPr>
    </w:p>
    <w:p>
      <w:pPr>
        <w:pStyle w:val="Heading2"/>
      </w:pPr>
      <w:bookmarkStart w:id="127" w:name="_Toc000127"/>
      <w:r>
        <w:rPr/>
        <w:t>6.3 Documents in S3 only</w:t>
      </w:r>
      <w:bookmarkEnd w:id="127"/>
    </w:p>
    <w:p>
      <w:r>
        <w:rPr/>
        <w:t>BDOI's instruction (A4) is designed in DOCUMENT_STORAGE_DECISION.md (S6): option C, S3 for the bytes and PostgreSQL for the metadata (</w:t>
      </w:r>
      <w:r>
        <w:rPr>
          <w:rFonts w:ascii="Courier New" w:hAnsi="Courier New" w:cs="Courier New" w:eastAsia="Courier New"/>
          <w:color w:val="2E2E2E"/>
          <w:sz w:val="19"/>
        </w:rPr>
        <w:t>stored_file</w:t>
      </w:r>
      <w:r>
        <w:rPr/>
        <w:t>), 5-minute presigned links issued after the BIBS permission check and audit, four buckets per environment (documents, reports, inbound quarantine, migration with 5-day expiry), SSE-KMS, IRSA and a VPC endpoint, Object Lock in governance mode with legal hold, and cross-region replication for DR. It is built in two steps: ST0 (storage port, metadata, link endpoint, jobs) and ST1 (every module moved, existing bytes copied and verified). The table below lists what changes in BIBS and in the IER.</w:t>
      </w:r>
    </w:p>
    <w:p>
      <w:pPr>
        <w:pStyle w:val="Caption"/>
        <w:keepNext/>
        <w:spacing w:after="60"/>
      </w:pPr>
      <w:r>
        <w:rPr>
          <w:b/>
          <w:i w:val="0"/>
        </w:rPr>
        <w:t xml:space="preserve">Table 17: </w:t>
      </w:r>
      <w:r>
        <w:rPr/>
        <w:t>Documents in S3 only: changes in BIBS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93"/>
        <w:gridCol w:w="2946"/>
        <w:gridCol w:w="4533"/>
      </w:tblGrid>
      <w:tr>
        <w:trPr>
          <w:tblHeader w:val="true"/>
          <w:cantSplit w:val="true"/>
        </w:trPr>
        <w:tc>
          <w:tcPr>
            <w:tcW w:type="dxa" w:w="2493"/>
            <w:shd w:val="clear" w:color="auto" w:fill="004EA8"/>
            <w:tcMar>
              <w:top w:w="50" w:type="dxa"/>
              <w:bottom w:w="50" w:type="dxa"/>
              <w:left w:w="90" w:type="dxa"/>
              <w:right w:w="90" w:type="dxa"/>
            </w:tcMar>
            <w:vAlign w:val="center"/>
          </w:tcPr>
          <w:p>
            <w:pPr>
              <w:pStyle w:val="BDOITableHeader"/>
            </w:pPr>
            <w:r>
              <w:rPr>
                <w:b/>
                <w:color w:val="FFFFFF"/>
                <w:sz w:val="15"/>
              </w:rPr>
              <w:t>Area</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5"/>
              </w:rPr>
              <w:t>Today</w:t>
            </w:r>
          </w:p>
        </w:tc>
        <w:tc>
          <w:tcPr>
            <w:tcW w:type="dxa" w:w="4533"/>
            <w:shd w:val="clear" w:color="auto" w:fill="004EA8"/>
            <w:tcMar>
              <w:top w:w="50" w:type="dxa"/>
              <w:bottom w:w="50" w:type="dxa"/>
              <w:left w:w="90" w:type="dxa"/>
              <w:right w:w="90" w:type="dxa"/>
            </w:tcMar>
            <w:vAlign w:val="center"/>
          </w:tcPr>
          <w:p>
            <w:pPr>
              <w:pStyle w:val="BDOITableHeader"/>
            </w:pPr>
            <w:r>
              <w:rPr>
                <w:b/>
                <w:color w:val="FFFFFF"/>
                <w:sz w:val="15"/>
              </w:rPr>
              <w:t>Change</w:t>
            </w:r>
          </w:p>
        </w:tc>
      </w:tr>
      <w:tr>
        <w:trPr>
          <w:cantSplit w:val="true"/>
        </w:trPr>
        <w:tc>
          <w:tcPr>
            <w:tcW w:type="dxa" w:w="2493"/>
            <w:tcMar>
              <w:top w:w="50" w:type="dxa"/>
              <w:bottom w:w="50" w:type="dxa"/>
              <w:left w:w="90" w:type="dxa"/>
              <w:right w:w="90" w:type="dxa"/>
            </w:tcMar>
          </w:tcPr>
          <w:p>
            <w:pPr>
              <w:pStyle w:val="BDOITable"/>
            </w:pPr>
            <w:r>
              <w:rPr>
                <w:b/>
                <w:sz w:val="15"/>
              </w:rPr>
              <w:t>Storage port and metadata (ST0)</w:t>
            </w:r>
          </w:p>
        </w:tc>
        <w:tc>
          <w:tcPr>
            <w:tcW w:type="dxa" w:w="2946"/>
            <w:tcMar>
              <w:top w:w="50" w:type="dxa"/>
              <w:bottom w:w="50" w:type="dxa"/>
              <w:left w:w="90" w:type="dxa"/>
              <w:right w:w="90" w:type="dxa"/>
            </w:tcMar>
          </w:tcPr>
          <w:p>
            <w:pPr>
              <w:pStyle w:val="BDOITable"/>
            </w:pPr>
            <w:r>
              <w:rPr>
                <w:sz w:val="15"/>
              </w:rPr>
              <w:t>Each module holds file bytes in its own bytea column</w:t>
            </w:r>
          </w:p>
        </w:tc>
        <w:tc>
          <w:tcPr>
            <w:tcW w:type="dxa" w:w="4533"/>
            <w:tcMar>
              <w:top w:w="50" w:type="dxa"/>
              <w:bottom w:w="50" w:type="dxa"/>
              <w:left w:w="90" w:type="dxa"/>
              <w:right w:w="90" w:type="dxa"/>
            </w:tcMar>
          </w:tcPr>
          <w:p>
            <w:pPr>
              <w:pStyle w:val="BDOITable"/>
            </w:pPr>
            <w:r>
              <w:rPr>
                <w:sz w:val="15"/>
              </w:rPr>
              <w:t>FileStore port in common/storage (S3FileStore, LocalFileStore, MinIO test); shared table stored_file (owner, document type, name, size, SHA-256, bucket, key, version id, retention class, legal hold); module tables get stored_file_id</w:t>
            </w:r>
          </w:p>
        </w:tc>
      </w:tr>
      <w:tr>
        <w:trPr>
          <w:cantSplit w:val="true"/>
        </w:trPr>
        <w:tc>
          <w:tcPr>
            <w:tcW w:type="dxa" w:w="2493"/>
            <w:tcMar>
              <w:top w:w="50" w:type="dxa"/>
              <w:bottom w:w="50" w:type="dxa"/>
              <w:left w:w="90" w:type="dxa"/>
              <w:right w:w="90" w:type="dxa"/>
            </w:tcMar>
            <w:shd w:val="clear" w:color="auto" w:fill="E5F5FF"/>
          </w:tcPr>
          <w:p>
            <w:pPr>
              <w:pStyle w:val="BDOITable"/>
            </w:pPr>
            <w:r>
              <w:rPr>
                <w:b/>
                <w:sz w:val="15"/>
              </w:rPr>
              <w:t>Attachments (all modules)</w:t>
            </w:r>
          </w:p>
        </w:tc>
        <w:tc>
          <w:tcPr>
            <w:tcW w:type="dxa" w:w="2946"/>
            <w:tcMar>
              <w:top w:w="50" w:type="dxa"/>
              <w:bottom w:w="50" w:type="dxa"/>
              <w:left w:w="90" w:type="dxa"/>
              <w:right w:w="90" w:type="dxa"/>
            </w:tcMar>
            <w:shd w:val="clear" w:color="auto" w:fill="E5F5FF"/>
          </w:tcPr>
          <w:p>
            <w:pPr>
              <w:pStyle w:val="BDOITable"/>
            </w:pPr>
            <w:r>
              <w:rPr>
                <w:sz w:val="15"/>
              </w:rPr>
              <w:t>doc_attachment_content.content bytea (V21, AttachmentService)</w:t>
            </w:r>
          </w:p>
        </w:tc>
        <w:tc>
          <w:tcPr>
            <w:tcW w:type="dxa" w:w="4533"/>
            <w:tcMar>
              <w:top w:w="50" w:type="dxa"/>
              <w:bottom w:w="50" w:type="dxa"/>
              <w:left w:w="90" w:type="dxa"/>
              <w:right w:w="90" w:type="dxa"/>
            </w:tcMar>
            <w:shd w:val="clear" w:color="auto" w:fill="E5F5FF"/>
          </w:tcPr>
          <w:p>
            <w:pPr>
              <w:pStyle w:val="BDOITable"/>
            </w:pPr>
            <w:r>
              <w:rPr>
                <w:sz w:val="15"/>
              </w:rPr>
              <w:t>Bytes in bibs-&lt;env&gt;-documents; the attachment record points to stored_file (ST1)</w:t>
            </w:r>
          </w:p>
        </w:tc>
      </w:tr>
      <w:tr>
        <w:trPr>
          <w:cantSplit w:val="true"/>
        </w:trPr>
        <w:tc>
          <w:tcPr>
            <w:tcW w:type="dxa" w:w="2493"/>
            <w:tcMar>
              <w:top w:w="50" w:type="dxa"/>
              <w:bottom w:w="50" w:type="dxa"/>
              <w:left w:w="90" w:type="dxa"/>
              <w:right w:w="90" w:type="dxa"/>
            </w:tcMar>
          </w:tcPr>
          <w:p>
            <w:pPr>
              <w:pStyle w:val="BDOITable"/>
            </w:pPr>
            <w:r>
              <w:rPr>
                <w:b/>
                <w:sz w:val="15"/>
              </w:rPr>
              <w:t>Generated business documents</w:t>
            </w:r>
          </w:p>
        </w:tc>
        <w:tc>
          <w:tcPr>
            <w:tcW w:type="dxa" w:w="2946"/>
            <w:tcMar>
              <w:top w:w="50" w:type="dxa"/>
              <w:bottom w:w="50" w:type="dxa"/>
              <w:left w:w="90" w:type="dxa"/>
              <w:right w:w="90" w:type="dxa"/>
            </w:tcMar>
          </w:tcPr>
          <w:p>
            <w:pPr>
              <w:pStyle w:val="BDOITable"/>
            </w:pPr>
            <w:r>
              <w:rPr>
                <w:sz w:val="15"/>
              </w:rPr>
              <w:t>plc_slip_file, iss_insurance_advice, bkg_service_invoice, rem_batch_document, clx_billing_document, csh_print_batch, dsb_eod_output (bytea)</w:t>
            </w:r>
          </w:p>
        </w:tc>
        <w:tc>
          <w:tcPr>
            <w:tcW w:type="dxa" w:w="4533"/>
            <w:tcMar>
              <w:top w:w="50" w:type="dxa"/>
              <w:bottom w:w="50" w:type="dxa"/>
              <w:left w:w="90" w:type="dxa"/>
              <w:right w:w="90" w:type="dxa"/>
            </w:tcMar>
          </w:tcPr>
          <w:p>
            <w:pPr>
              <w:pStyle w:val="BDOITable"/>
            </w:pPr>
            <w:r>
              <w:rPr>
                <w:sz w:val="15"/>
              </w:rPr>
              <w:t>Written through FileStore to the documents bucket (ST1); doc_rendition keeps its spec and SHA-256</w:t>
            </w:r>
          </w:p>
        </w:tc>
      </w:tr>
      <w:tr>
        <w:trPr>
          <w:cantSplit w:val="true"/>
        </w:trPr>
        <w:tc>
          <w:tcPr>
            <w:tcW w:type="dxa" w:w="2493"/>
            <w:tcMar>
              <w:top w:w="50" w:type="dxa"/>
              <w:bottom w:w="50" w:type="dxa"/>
              <w:left w:w="90" w:type="dxa"/>
              <w:right w:w="90" w:type="dxa"/>
            </w:tcMar>
            <w:shd w:val="clear" w:color="auto" w:fill="E5F5FF"/>
          </w:tcPr>
          <w:p>
            <w:pPr>
              <w:pStyle w:val="BDOITable"/>
            </w:pPr>
            <w:r>
              <w:rPr>
                <w:b/>
                <w:sz w:val="15"/>
              </w:rPr>
              <w:t>Report archive and batch files</w:t>
            </w:r>
          </w:p>
        </w:tc>
        <w:tc>
          <w:tcPr>
            <w:tcW w:type="dxa" w:w="2946"/>
            <w:tcMar>
              <w:top w:w="50" w:type="dxa"/>
              <w:bottom w:w="50" w:type="dxa"/>
              <w:left w:w="90" w:type="dxa"/>
              <w:right w:w="90" w:type="dxa"/>
            </w:tcMar>
            <w:shd w:val="clear" w:color="auto" w:fill="E5F5FF"/>
          </w:tcPr>
          <w:p>
            <w:pPr>
              <w:pStyle w:val="BDOITable"/>
            </w:pPr>
            <w:r>
              <w:rPr>
                <w:sz w:val="15"/>
              </w:rPr>
              <w:t>report_run_file, report_batch (bytea); ReportArchiveService</w:t>
            </w:r>
          </w:p>
        </w:tc>
        <w:tc>
          <w:tcPr>
            <w:tcW w:type="dxa" w:w="4533"/>
            <w:tcMar>
              <w:top w:w="50" w:type="dxa"/>
              <w:bottom w:w="50" w:type="dxa"/>
              <w:left w:w="90" w:type="dxa"/>
              <w:right w:w="90" w:type="dxa"/>
            </w:tcMar>
            <w:shd w:val="clear" w:color="auto" w:fill="E5F5FF"/>
          </w:tcPr>
          <w:p>
            <w:pPr>
              <w:pStyle w:val="BDOITable"/>
            </w:pPr>
            <w:r>
              <w:rPr>
                <w:sz w:val="15"/>
              </w:rPr>
              <w:t>bibs-&lt;env&gt;-reports, expiry per report archive setting (default 400 days); users get a link</w:t>
            </w:r>
          </w:p>
        </w:tc>
      </w:tr>
      <w:tr>
        <w:trPr>
          <w:cantSplit w:val="true"/>
        </w:trPr>
        <w:tc>
          <w:tcPr>
            <w:tcW w:type="dxa" w:w="2493"/>
            <w:tcMar>
              <w:top w:w="50" w:type="dxa"/>
              <w:bottom w:w="50" w:type="dxa"/>
              <w:left w:w="90" w:type="dxa"/>
              <w:right w:w="90" w:type="dxa"/>
            </w:tcMar>
          </w:tcPr>
          <w:p>
            <w:pPr>
              <w:pStyle w:val="BDOITable"/>
            </w:pPr>
            <w:r>
              <w:rPr>
                <w:b/>
                <w:sz w:val="15"/>
              </w:rPr>
              <w:t>Operations extracts, e-mail attachments</w:t>
            </w:r>
          </w:p>
        </w:tc>
        <w:tc>
          <w:tcPr>
            <w:tcW w:type="dxa" w:w="2946"/>
            <w:tcMar>
              <w:top w:w="50" w:type="dxa"/>
              <w:bottom w:w="50" w:type="dxa"/>
              <w:left w:w="90" w:type="dxa"/>
              <w:right w:w="90" w:type="dxa"/>
            </w:tcMar>
          </w:tcPr>
          <w:p>
            <w:pPr>
              <w:pStyle w:val="BDOITable"/>
            </w:pPr>
            <w:r>
              <w:rPr>
                <w:sz w:val="15"/>
              </w:rPr>
              <w:t>ops_extract_file (FileDropPort), msg_outbound_attachment</w:t>
            </w:r>
          </w:p>
        </w:tc>
        <w:tc>
          <w:tcPr>
            <w:tcW w:type="dxa" w:w="4533"/>
            <w:tcMar>
              <w:top w:w="50" w:type="dxa"/>
              <w:bottom w:w="50" w:type="dxa"/>
              <w:left w:w="90" w:type="dxa"/>
              <w:right w:w="90" w:type="dxa"/>
            </w:tcMar>
          </w:tcPr>
          <w:p>
            <w:pPr>
              <w:pStyle w:val="BDOITable"/>
            </w:pPr>
            <w:r>
              <w:rPr>
                <w:sz w:val="15"/>
              </w:rPr>
              <w:t>FileDropPort writes to S3; e-mail attachments and ZIP bundles are read from S3 and streamed (option B path)</w:t>
            </w:r>
          </w:p>
        </w:tc>
      </w:tr>
      <w:tr>
        <w:trPr>
          <w:cantSplit w:val="true"/>
        </w:trPr>
        <w:tc>
          <w:tcPr>
            <w:tcW w:type="dxa" w:w="2493"/>
            <w:tcMar>
              <w:top w:w="50" w:type="dxa"/>
              <w:bottom w:w="50" w:type="dxa"/>
              <w:left w:w="90" w:type="dxa"/>
              <w:right w:w="90" w:type="dxa"/>
            </w:tcMar>
            <w:shd w:val="clear" w:color="auto" w:fill="E5F5FF"/>
          </w:tcPr>
          <w:p>
            <w:pPr>
              <w:pStyle w:val="BDOITable"/>
            </w:pPr>
            <w:r>
              <w:rPr>
                <w:b/>
                <w:sz w:val="15"/>
              </w:rPr>
              <w:t>Uploads and inbound files</w:t>
            </w:r>
          </w:p>
        </w:tc>
        <w:tc>
          <w:tcPr>
            <w:tcW w:type="dxa" w:w="2946"/>
            <w:tcMar>
              <w:top w:w="50" w:type="dxa"/>
              <w:bottom w:w="50" w:type="dxa"/>
              <w:left w:w="90" w:type="dxa"/>
              <w:right w:w="90" w:type="dxa"/>
            </w:tcMar>
            <w:shd w:val="clear" w:color="auto" w:fill="E5F5FF"/>
          </w:tcPr>
          <w:p>
            <w:pPr>
              <w:pStyle w:val="BDOITable"/>
            </w:pPr>
            <w:r>
              <w:rPr>
                <w:sz w:val="15"/>
              </w:rPr>
              <w:t>bulk_job keeps only the file name; iss_upload_item bytea; watchlist files as attachments</w:t>
            </w:r>
          </w:p>
        </w:tc>
        <w:tc>
          <w:tcPr>
            <w:tcW w:type="dxa" w:w="4533"/>
            <w:tcMar>
              <w:top w:w="50" w:type="dxa"/>
              <w:bottom w:w="50" w:type="dxa"/>
              <w:left w:w="90" w:type="dxa"/>
              <w:right w:w="90" w:type="dxa"/>
            </w:tcMar>
            <w:shd w:val="clear" w:color="auto" w:fill="E5F5FF"/>
          </w:tcPr>
          <w:p>
            <w:pPr>
              <w:pStyle w:val="BDOITable"/>
            </w:pPr>
            <w:r>
              <w:rPr>
                <w:sz w:val="15"/>
              </w:rPr>
              <w:t>bibs-&lt;env&gt;-inbound: quarantine prefix until the malware scan tags the object clean; kept 90 days; large files by presigned PUT</w:t>
            </w:r>
          </w:p>
        </w:tc>
      </w:tr>
      <w:tr>
        <w:trPr>
          <w:cantSplit w:val="true"/>
        </w:trPr>
        <w:tc>
          <w:tcPr>
            <w:tcW w:type="dxa" w:w="2493"/>
            <w:tcMar>
              <w:top w:w="50" w:type="dxa"/>
              <w:bottom w:w="50" w:type="dxa"/>
              <w:left w:w="90" w:type="dxa"/>
              <w:right w:w="90" w:type="dxa"/>
            </w:tcMar>
          </w:tcPr>
          <w:p>
            <w:pPr>
              <w:pStyle w:val="BDOITable"/>
            </w:pPr>
            <w:r>
              <w:rPr>
                <w:b/>
                <w:sz w:val="15"/>
              </w:rPr>
              <w:t>Migration files (designed)</w:t>
            </w:r>
          </w:p>
        </w:tc>
        <w:tc>
          <w:tcPr>
            <w:tcW w:type="dxa" w:w="2946"/>
            <w:tcMar>
              <w:top w:w="50" w:type="dxa"/>
              <w:bottom w:w="50" w:type="dxa"/>
              <w:left w:w="90" w:type="dxa"/>
              <w:right w:w="90" w:type="dxa"/>
            </w:tcMar>
          </w:tcPr>
          <w:p>
            <w:pPr>
              <w:pStyle w:val="BDOITable"/>
            </w:pPr>
            <w:r>
              <w:rPr>
                <w:sz w:val="15"/>
              </w:rPr>
              <w:t>mig_extract files; staging purge within 5 days</w:t>
            </w:r>
          </w:p>
        </w:tc>
        <w:tc>
          <w:tcPr>
            <w:tcW w:type="dxa" w:w="4533"/>
            <w:tcMar>
              <w:top w:w="50" w:type="dxa"/>
              <w:bottom w:w="50" w:type="dxa"/>
              <w:left w:w="90" w:type="dxa"/>
              <w:right w:w="90" w:type="dxa"/>
            </w:tcMar>
          </w:tcPr>
          <w:p>
            <w:pPr>
              <w:pStyle w:val="BDOITable"/>
            </w:pPr>
            <w:r>
              <w:rPr>
                <w:sz w:val="15"/>
              </w:rPr>
              <w:t>bibs-&lt;env&gt;-migration, expiry after 5 days, migration role only</w:t>
            </w:r>
          </w:p>
        </w:tc>
      </w:tr>
      <w:tr>
        <w:trPr>
          <w:cantSplit w:val="true"/>
        </w:trPr>
        <w:tc>
          <w:tcPr>
            <w:tcW w:type="dxa" w:w="2493"/>
            <w:tcMar>
              <w:top w:w="50" w:type="dxa"/>
              <w:bottom w:w="50" w:type="dxa"/>
              <w:left w:w="90" w:type="dxa"/>
              <w:right w:w="90" w:type="dxa"/>
            </w:tcMar>
            <w:shd w:val="clear" w:color="auto" w:fill="E5F5FF"/>
          </w:tcPr>
          <w:p>
            <w:pPr>
              <w:pStyle w:val="BDOITable"/>
            </w:pPr>
            <w:r>
              <w:rPr>
                <w:b/>
                <w:sz w:val="15"/>
              </w:rPr>
              <w:t>Access and audit</w:t>
            </w:r>
          </w:p>
        </w:tc>
        <w:tc>
          <w:tcPr>
            <w:tcW w:type="dxa" w:w="2946"/>
            <w:tcMar>
              <w:top w:w="50" w:type="dxa"/>
              <w:bottom w:w="50" w:type="dxa"/>
              <w:left w:w="90" w:type="dxa"/>
              <w:right w:w="90" w:type="dxa"/>
            </w:tcMar>
            <w:shd w:val="clear" w:color="auto" w:fill="E5F5FF"/>
          </w:tcPr>
          <w:p>
            <w:pPr>
              <w:pStyle w:val="BDOITable"/>
            </w:pPr>
            <w:r>
              <w:rPr>
                <w:sz w:val="15"/>
              </w:rPr>
              <w:t>Backend streams the bytes after the permission check</w:t>
            </w:r>
          </w:p>
        </w:tc>
        <w:tc>
          <w:tcPr>
            <w:tcW w:type="dxa" w:w="4533"/>
            <w:tcMar>
              <w:top w:w="50" w:type="dxa"/>
              <w:bottom w:w="50" w:type="dxa"/>
              <w:left w:w="90" w:type="dxa"/>
              <w:right w:w="90" w:type="dxa"/>
            </w:tcMar>
            <w:shd w:val="clear" w:color="auto" w:fill="E5F5FF"/>
          </w:tcPr>
          <w:p>
            <w:pPr>
              <w:pStyle w:val="BDOITable"/>
            </w:pPr>
            <w:r>
              <w:rPr>
                <w:sz w:val="15"/>
              </w:rPr>
              <w:t>Presigned GET valid 5 minutes (FILE_LINK_TTL_SECONDS), issued after the permission check, each issue audited; Content-Disposition attachment, no-store</w:t>
            </w:r>
          </w:p>
        </w:tc>
      </w:tr>
      <w:tr>
        <w:trPr>
          <w:cantSplit w:val="true"/>
        </w:trPr>
        <w:tc>
          <w:tcPr>
            <w:tcW w:type="dxa" w:w="2493"/>
            <w:tcMar>
              <w:top w:w="50" w:type="dxa"/>
              <w:bottom w:w="50" w:type="dxa"/>
              <w:left w:w="90" w:type="dxa"/>
              <w:right w:w="90" w:type="dxa"/>
            </w:tcMar>
          </w:tcPr>
          <w:p>
            <w:pPr>
              <w:pStyle w:val="BDOITable"/>
            </w:pPr>
            <w:r>
              <w:rPr>
                <w:b/>
                <w:sz w:val="15"/>
              </w:rPr>
              <w:t>Security</w:t>
            </w:r>
          </w:p>
        </w:tc>
        <w:tc>
          <w:tcPr>
            <w:tcW w:type="dxa" w:w="2946"/>
            <w:tcMar>
              <w:top w:w="50" w:type="dxa"/>
              <w:bottom w:w="50" w:type="dxa"/>
              <w:left w:w="90" w:type="dxa"/>
              <w:right w:w="90" w:type="dxa"/>
            </w:tcMar>
          </w:tcPr>
          <w:p>
            <w:pPr>
              <w:pStyle w:val="BDOITable"/>
            </w:pPr>
            <w:r>
              <w:rPr>
                <w:sz w:val="15"/>
              </w:rPr>
              <w:t>Database encryption at rest</w:t>
            </w:r>
          </w:p>
        </w:tc>
        <w:tc>
          <w:tcPr>
            <w:tcW w:type="dxa" w:w="4533"/>
            <w:tcMar>
              <w:top w:w="50" w:type="dxa"/>
              <w:bottom w:w="50" w:type="dxa"/>
              <w:left w:w="90" w:type="dxa"/>
              <w:right w:w="90" w:type="dxa"/>
            </w:tcMar>
          </w:tcPr>
          <w:p>
            <w:pPr>
              <w:pStyle w:val="BDOITable"/>
            </w:pPr>
            <w:r>
              <w:rPr>
                <w:sz w:val="15"/>
              </w:rPr>
              <w:t>SSE-KMS with a customer-managed key per environment; deny non-TLS and unencrypted puts; IRSA role and S3 gateway endpoint; keys without personal data</w:t>
            </w:r>
          </w:p>
        </w:tc>
      </w:tr>
      <w:tr>
        <w:trPr>
          <w:cantSplit w:val="true"/>
        </w:trPr>
        <w:tc>
          <w:tcPr>
            <w:tcW w:type="dxa" w:w="2493"/>
            <w:tcMar>
              <w:top w:w="50" w:type="dxa"/>
              <w:bottom w:w="50" w:type="dxa"/>
              <w:left w:w="90" w:type="dxa"/>
              <w:right w:w="90" w:type="dxa"/>
            </w:tcMar>
            <w:shd w:val="clear" w:color="auto" w:fill="E5F5FF"/>
          </w:tcPr>
          <w:p>
            <w:pPr>
              <w:pStyle w:val="BDOITable"/>
            </w:pPr>
            <w:r>
              <w:rPr>
                <w:b/>
                <w:sz w:val="15"/>
              </w:rPr>
              <w:t>Retention, legal hold, DR</w:t>
            </w:r>
          </w:p>
        </w:tc>
        <w:tc>
          <w:tcPr>
            <w:tcW w:type="dxa" w:w="2946"/>
            <w:tcMar>
              <w:top w:w="50" w:type="dxa"/>
              <w:bottom w:w="50" w:type="dxa"/>
              <w:left w:w="90" w:type="dxa"/>
              <w:right w:w="90" w:type="dxa"/>
            </w:tcMar>
            <w:shd w:val="clear" w:color="auto" w:fill="E5F5FF"/>
          </w:tcPr>
          <w:p>
            <w:pPr>
              <w:pStyle w:val="BDOITable"/>
            </w:pPr>
            <w:r>
              <w:rPr>
                <w:sz w:val="15"/>
              </w:rPr>
              <w:t>Files follow the database backup</w:t>
            </w:r>
          </w:p>
        </w:tc>
        <w:tc>
          <w:tcPr>
            <w:tcW w:type="dxa" w:w="4533"/>
            <w:tcMar>
              <w:top w:w="50" w:type="dxa"/>
              <w:bottom w:w="50" w:type="dxa"/>
              <w:left w:w="90" w:type="dxa"/>
              <w:right w:w="90" w:type="dxa"/>
            </w:tcMar>
            <w:shd w:val="clear" w:color="auto" w:fill="E5F5FF"/>
          </w:tcPr>
          <w:p>
            <w:pPr>
              <w:pStyle w:val="BDOITable"/>
            </w:pPr>
            <w:r>
              <w:rPr>
                <w:sz w:val="15"/>
              </w:rPr>
              <w:t>Versioning; lifecycle Standard, Standard-IA after 90 days, Glacier Instant Retrieval after 1 year; Object Lock governance mode with legal hold; cross-region replication with replication time control</w:t>
            </w:r>
          </w:p>
        </w:tc>
      </w:tr>
      <w:tr>
        <w:trPr>
          <w:cantSplit w:val="true"/>
        </w:trPr>
        <w:tc>
          <w:tcPr>
            <w:tcW w:type="dxa" w:w="2493"/>
            <w:tcMar>
              <w:top w:w="50" w:type="dxa"/>
              <w:bottom w:w="50" w:type="dxa"/>
              <w:left w:w="90" w:type="dxa"/>
              <w:right w:w="90" w:type="dxa"/>
            </w:tcMar>
          </w:tcPr>
          <w:p>
            <w:pPr>
              <w:pStyle w:val="BDOITable"/>
            </w:pPr>
            <w:r>
              <w:rPr>
                <w:b/>
                <w:sz w:val="15"/>
              </w:rPr>
              <w:t>Existing content</w:t>
            </w:r>
          </w:p>
        </w:tc>
        <w:tc>
          <w:tcPr>
            <w:tcW w:type="dxa" w:w="2946"/>
            <w:tcMar>
              <w:top w:w="50" w:type="dxa"/>
              <w:bottom w:w="50" w:type="dxa"/>
              <w:left w:w="90" w:type="dxa"/>
              <w:right w:w="90" w:type="dxa"/>
            </w:tcMar>
          </w:tcPr>
          <w:p>
            <w:pPr>
              <w:pStyle w:val="BDOITable"/>
            </w:pPr>
            <w:r>
              <w:rPr>
                <w:sz w:val="15"/>
              </w:rPr>
              <w:t>-</w:t>
            </w:r>
          </w:p>
        </w:tc>
        <w:tc>
          <w:tcPr>
            <w:tcW w:type="dxa" w:w="4533"/>
            <w:tcMar>
              <w:top w:w="50" w:type="dxa"/>
              <w:bottom w:w="50" w:type="dxa"/>
              <w:left w:w="90" w:type="dxa"/>
              <w:right w:w="90" w:type="dxa"/>
            </w:tcMar>
          </w:tcPr>
          <w:p>
            <w:pPr>
              <w:pStyle w:val="BDOITable"/>
            </w:pPr>
            <w:r>
              <w:rPr>
                <w:sz w:val="15"/>
              </w:rPr>
              <w:t>One-off copy job per table with SHA-256 check, switch reads, drop the bytea column later (ST1)</w:t>
            </w:r>
          </w:p>
        </w:tc>
      </w:tr>
      <w:tr>
        <w:trPr>
          <w:cantSplit w:val="true"/>
        </w:trPr>
        <w:tc>
          <w:tcPr>
            <w:tcW w:type="dxa" w:w="2493"/>
            <w:tcMar>
              <w:top w:w="50" w:type="dxa"/>
              <w:bottom w:w="50" w:type="dxa"/>
              <w:left w:w="90" w:type="dxa"/>
              <w:right w:w="90" w:type="dxa"/>
            </w:tcMar>
            <w:shd w:val="clear" w:color="auto" w:fill="E5F5FF"/>
          </w:tcPr>
          <w:p>
            <w:pPr>
              <w:pStyle w:val="BDOITable"/>
            </w:pPr>
            <w:r>
              <w:rPr>
                <w:b/>
                <w:sz w:val="15"/>
              </w:rPr>
              <w:t>IER: new rows</w:t>
            </w:r>
          </w:p>
        </w:tc>
        <w:tc>
          <w:tcPr>
            <w:tcW w:type="dxa" w:w="2946"/>
            <w:tcMar>
              <w:top w:w="50" w:type="dxa"/>
              <w:bottom w:w="50" w:type="dxa"/>
              <w:left w:w="90" w:type="dxa"/>
              <w:right w:w="90" w:type="dxa"/>
            </w:tcMar>
            <w:shd w:val="clear" w:color="auto" w:fill="E5F5FF"/>
          </w:tcPr>
          <w:p>
            <w:pPr>
              <w:pStyle w:val="BDOITable"/>
            </w:pPr>
            <w:r>
              <w:rPr>
                <w:sz w:val="15"/>
              </w:rPr>
              <w:t>IER has "Amazon S3 (document store)" with no size</w:t>
            </w:r>
          </w:p>
        </w:tc>
        <w:tc>
          <w:tcPr>
            <w:tcW w:type="dxa" w:w="4533"/>
            <w:tcMar>
              <w:top w:w="50" w:type="dxa"/>
              <w:bottom w:w="50" w:type="dxa"/>
              <w:left w:w="90" w:type="dxa"/>
              <w:right w:w="90" w:type="dxa"/>
            </w:tcMar>
            <w:shd w:val="clear" w:color="auto" w:fill="E5F5FF"/>
          </w:tcPr>
          <w:p>
            <w:pPr>
              <w:pStyle w:val="BDOITable"/>
            </w:pPr>
            <w:r>
              <w:rPr>
                <w:sz w:val="15"/>
              </w:rPr>
              <w:t>Four buckets per environment; storage estimate per year (to size from the document volumes); KMS keys per environment; S3 gateway endpoint; replication to the DR region; GuardDuty Malware Protection for S3 (or the BDO scanner); Object Lock enabled at bucket creation</w:t>
            </w:r>
          </w:p>
        </w:tc>
      </w:tr>
      <w:tr>
        <w:trPr>
          <w:cantSplit w:val="true"/>
        </w:trPr>
        <w:tc>
          <w:tcPr>
            <w:tcW w:type="dxa" w:w="2493"/>
            <w:tcMar>
              <w:top w:w="50" w:type="dxa"/>
              <w:bottom w:w="50" w:type="dxa"/>
              <w:left w:w="90" w:type="dxa"/>
              <w:right w:w="90" w:type="dxa"/>
            </w:tcMar>
          </w:tcPr>
          <w:p>
            <w:pPr>
              <w:pStyle w:val="BDOITable"/>
            </w:pPr>
            <w:r>
              <w:rPr>
                <w:b/>
                <w:sz w:val="15"/>
              </w:rPr>
              <w:t>IER: rows to remove</w:t>
            </w:r>
          </w:p>
        </w:tc>
        <w:tc>
          <w:tcPr>
            <w:tcW w:type="dxa" w:w="2946"/>
            <w:tcMar>
              <w:top w:w="50" w:type="dxa"/>
              <w:bottom w:w="50" w:type="dxa"/>
              <w:left w:w="90" w:type="dxa"/>
              <w:right w:w="90" w:type="dxa"/>
            </w:tcMar>
          </w:tcPr>
          <w:p>
            <w:pPr>
              <w:pStyle w:val="BDOITable"/>
            </w:pPr>
            <w:r>
              <w:rPr>
                <w:sz w:val="15"/>
              </w:rPr>
              <w:t>Amazon EFS (shared K8s PV); efs-csi-controller pods; "Total PV (GB) EFS" column</w:t>
            </w:r>
          </w:p>
        </w:tc>
        <w:tc>
          <w:tcPr>
            <w:tcW w:type="dxa" w:w="4533"/>
            <w:tcMar>
              <w:top w:w="50" w:type="dxa"/>
              <w:bottom w:w="50" w:type="dxa"/>
              <w:left w:w="90" w:type="dxa"/>
              <w:right w:w="90" w:type="dxa"/>
            </w:tcMar>
          </w:tcPr>
          <w:p>
            <w:pPr>
              <w:pStyle w:val="BDOITable"/>
            </w:pPr>
            <w:r>
              <w:rPr>
                <w:sz w:val="15"/>
              </w:rPr>
              <w:t>Not used by BIBS for documents; pods are stateless</w:t>
            </w:r>
          </w:p>
        </w:tc>
      </w:tr>
      <w:tr>
        <w:trPr>
          <w:cantSplit w:val="true"/>
        </w:trPr>
        <w:tc>
          <w:tcPr>
            <w:tcW w:type="dxa" w:w="2493"/>
            <w:tcMar>
              <w:top w:w="50" w:type="dxa"/>
              <w:bottom w:w="50" w:type="dxa"/>
              <w:left w:w="90" w:type="dxa"/>
              <w:right w:w="90" w:type="dxa"/>
            </w:tcMar>
            <w:shd w:val="clear" w:color="auto" w:fill="E5F5FF"/>
          </w:tcPr>
          <w:p>
            <w:pPr>
              <w:pStyle w:val="BDOITable"/>
            </w:pPr>
            <w:r>
              <w:rPr>
                <w:b/>
                <w:sz w:val="15"/>
              </w:rPr>
              <w:t>IER: database size</w:t>
            </w:r>
          </w:p>
        </w:tc>
        <w:tc>
          <w:tcPr>
            <w:tcW w:type="dxa" w:w="2946"/>
            <w:tcMar>
              <w:top w:w="50" w:type="dxa"/>
              <w:bottom w:w="50" w:type="dxa"/>
              <w:left w:w="90" w:type="dxa"/>
              <w:right w:w="90" w:type="dxa"/>
            </w:tcMar>
            <w:shd w:val="clear" w:color="auto" w:fill="E5F5FF"/>
          </w:tcPr>
          <w:p>
            <w:pPr>
              <w:pStyle w:val="BDOITable"/>
            </w:pPr>
            <w:r>
              <w:rPr>
                <w:sz w:val="15"/>
              </w:rPr>
              <w:t>PROD RDS 2,000 GB, sized with documents in mind</w:t>
            </w:r>
          </w:p>
        </w:tc>
        <w:tc>
          <w:tcPr>
            <w:tcW w:type="dxa" w:w="4533"/>
            <w:tcMar>
              <w:top w:w="50" w:type="dxa"/>
              <w:bottom w:w="50" w:type="dxa"/>
              <w:left w:w="90" w:type="dxa"/>
              <w:right w:w="90" w:type="dxa"/>
            </w:tcMar>
            <w:shd w:val="clear" w:color="auto" w:fill="E5F5FF"/>
          </w:tcPr>
          <w:p>
            <w:pPr>
              <w:pStyle w:val="BDOITable"/>
            </w:pPr>
            <w:r>
              <w:rPr>
                <w:sz w:val="15"/>
              </w:rPr>
              <w:t>Re-size RDS without file content once the volumes are known; backups and cross-region replica get smaller</w:t>
            </w:r>
          </w:p>
        </w:tc>
      </w:tr>
    </w:tbl>
    <w:p>
      <w:pPr>
        <w:pStyle w:val="BDOISpacer"/>
      </w:pPr>
    </w:p>
    <w:p>
      <w:pPr>
        <w:pStyle w:val="Heading2"/>
      </w:pPr>
      <w:bookmarkStart w:id="128" w:name="_Toc000128"/>
      <w:r>
        <w:rPr/>
        <w:t>6.4 Kubernetes sizing of the BIBS workloads</w:t>
      </w:r>
      <w:bookmarkEnd w:id="128"/>
    </w:p>
    <w:p>
      <w:r>
        <w:rPr/>
        <w:t xml:space="preserve">The IER Kubernetes sheets size ten </w:t>
      </w:r>
      <w:r>
        <w:rPr>
          <w:rFonts w:ascii="Courier New" w:hAnsi="Courier New" w:cs="Courier New" w:eastAsia="Courier New"/>
          <w:color w:val="2E2E2E"/>
          <w:sz w:val="19"/>
        </w:rPr>
        <w:t>bv-*</w:t>
      </w:r>
      <w:r>
        <w:rPr/>
        <w:t xml:space="preserve"> services. BIBS runs two deployments. The table below replaces those rows; the values are a starting point to be proved by the performance test at the peak case (429 concurrent sessions until DCR-166 is answered). Scheduled jobs run once per schedule whatever the number of pods, through the Redis job lock. The cluster add-ons of the IER sheets (kube-system, ingress, monitoring and EDR agents) stay; the EFS controller is not needed.</w:t>
      </w:r>
    </w:p>
    <w:p>
      <w:pPr>
        <w:pStyle w:val="Caption"/>
        <w:keepNext/>
        <w:spacing w:after="60"/>
      </w:pPr>
      <w:r>
        <w:rPr>
          <w:b/>
          <w:i w:val="0"/>
        </w:rPr>
        <w:t xml:space="preserve">Table 18: </w:t>
      </w:r>
      <w:r>
        <w:rPr/>
        <w:t>Proposed Kubernetes sizing of the BIBS workloads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33"/>
        <w:gridCol w:w="1813"/>
        <w:gridCol w:w="566"/>
        <w:gridCol w:w="566"/>
        <w:gridCol w:w="1473"/>
        <w:gridCol w:w="1473"/>
        <w:gridCol w:w="2946"/>
      </w:tblGrid>
      <w:tr>
        <w:trPr>
          <w:tblHeader w:val="true"/>
          <w:cantSplit w:val="true"/>
        </w:trPr>
        <w:tc>
          <w:tcPr>
            <w:tcW w:type="dxa" w:w="1133"/>
            <w:shd w:val="clear" w:color="auto" w:fill="004EA8"/>
            <w:tcMar>
              <w:top w:w="50" w:type="dxa"/>
              <w:bottom w:w="50" w:type="dxa"/>
              <w:left w:w="90" w:type="dxa"/>
              <w:right w:w="90" w:type="dxa"/>
            </w:tcMar>
            <w:vAlign w:val="center"/>
          </w:tcPr>
          <w:p>
            <w:pPr>
              <w:pStyle w:val="BDOITableHeader"/>
            </w:pPr>
            <w:r>
              <w:rPr>
                <w:b/>
                <w:color w:val="FFFFFF"/>
                <w:sz w:val="16"/>
              </w:rPr>
              <w:t>Environment</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6"/>
              </w:rPr>
              <w:t>Deployment</w:t>
            </w:r>
          </w:p>
        </w:tc>
        <w:tc>
          <w:tcPr>
            <w:tcW w:type="dxa" w:w="567"/>
            <w:shd w:val="clear" w:color="auto" w:fill="004EA8"/>
            <w:tcMar>
              <w:top w:w="50" w:type="dxa"/>
              <w:bottom w:w="50" w:type="dxa"/>
              <w:left w:w="90" w:type="dxa"/>
              <w:right w:w="90" w:type="dxa"/>
            </w:tcMar>
            <w:vAlign w:val="center"/>
          </w:tcPr>
          <w:p>
            <w:pPr>
              <w:pStyle w:val="BDOITableHeader"/>
            </w:pPr>
            <w:r>
              <w:rPr>
                <w:b/>
                <w:color w:val="FFFFFF"/>
                <w:sz w:val="16"/>
              </w:rPr>
              <w:t>Min</w:t>
            </w:r>
          </w:p>
        </w:tc>
        <w:tc>
          <w:tcPr>
            <w:tcW w:type="dxa" w:w="567"/>
            <w:shd w:val="clear" w:color="auto" w:fill="004EA8"/>
            <w:tcMar>
              <w:top w:w="50" w:type="dxa"/>
              <w:bottom w:w="50" w:type="dxa"/>
              <w:left w:w="90" w:type="dxa"/>
              <w:right w:w="90" w:type="dxa"/>
            </w:tcMar>
            <w:vAlign w:val="center"/>
          </w:tcPr>
          <w:p>
            <w:pPr>
              <w:pStyle w:val="BDOITableHeader"/>
            </w:pPr>
            <w:r>
              <w:rPr>
                <w:b/>
                <w:color w:val="FFFFFF"/>
                <w:sz w:val="16"/>
              </w:rPr>
              <w:t>Max</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6"/>
              </w:rPr>
              <w:t>Requests CPU / memory</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6"/>
              </w:rPr>
              <w:t>Limits CPU / memory</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6"/>
              </w:rPr>
              <w:t>Note</w:t>
            </w:r>
          </w:p>
        </w:tc>
      </w:tr>
      <w:tr>
        <w:trPr>
          <w:cantSplit w:val="true"/>
        </w:trPr>
        <w:tc>
          <w:tcPr>
            <w:tcW w:type="dxa" w:w="1133"/>
            <w:tcMar>
              <w:top w:w="50" w:type="dxa"/>
              <w:bottom w:w="50" w:type="dxa"/>
              <w:left w:w="90" w:type="dxa"/>
              <w:right w:w="90" w:type="dxa"/>
            </w:tcMar>
          </w:tcPr>
          <w:p>
            <w:pPr>
              <w:pStyle w:val="BDOITable"/>
            </w:pPr>
            <w:r>
              <w:rPr>
                <w:b/>
                <w:sz w:val="16"/>
              </w:rPr>
              <w:t>DEV</w:t>
            </w:r>
          </w:p>
        </w:tc>
        <w:tc>
          <w:tcPr>
            <w:tcW w:type="dxa" w:w="1813"/>
            <w:tcMar>
              <w:top w:w="50" w:type="dxa"/>
              <w:bottom w:w="50" w:type="dxa"/>
              <w:left w:w="90" w:type="dxa"/>
              <w:right w:w="90" w:type="dxa"/>
            </w:tcMar>
          </w:tcPr>
          <w:p>
            <w:pPr>
              <w:pStyle w:val="BDOITable"/>
            </w:pPr>
            <w:r>
              <w:rPr>
                <w:sz w:val="16"/>
              </w:rPr>
              <w:t>brokerverse-backend</w:t>
            </w:r>
          </w:p>
        </w:tc>
        <w:tc>
          <w:tcPr>
            <w:tcW w:type="dxa" w:w="567"/>
            <w:tcMar>
              <w:top w:w="50" w:type="dxa"/>
              <w:bottom w:w="50" w:type="dxa"/>
              <w:left w:w="90" w:type="dxa"/>
              <w:right w:w="90" w:type="dxa"/>
            </w:tcMar>
          </w:tcPr>
          <w:p>
            <w:pPr>
              <w:pStyle w:val="BDOITable"/>
            </w:pPr>
            <w:r>
              <w:rPr>
                <w:sz w:val="16"/>
              </w:rPr>
              <w:t>1</w:t>
            </w:r>
          </w:p>
        </w:tc>
        <w:tc>
          <w:tcPr>
            <w:tcW w:type="dxa" w:w="567"/>
            <w:tcMar>
              <w:top w:w="50" w:type="dxa"/>
              <w:bottom w:w="50" w:type="dxa"/>
              <w:left w:w="90" w:type="dxa"/>
              <w:right w:w="90" w:type="dxa"/>
            </w:tcMar>
          </w:tcPr>
          <w:p>
            <w:pPr>
              <w:pStyle w:val="BDOITable"/>
            </w:pPr>
            <w:r>
              <w:rPr>
                <w:sz w:val="16"/>
              </w:rPr>
              <w:t>2</w:t>
            </w:r>
          </w:p>
        </w:tc>
        <w:tc>
          <w:tcPr>
            <w:tcW w:type="dxa" w:w="1473"/>
            <w:tcMar>
              <w:top w:w="50" w:type="dxa"/>
              <w:bottom w:w="50" w:type="dxa"/>
              <w:left w:w="90" w:type="dxa"/>
              <w:right w:w="90" w:type="dxa"/>
            </w:tcMar>
          </w:tcPr>
          <w:p>
            <w:pPr>
              <w:pStyle w:val="BDOITable"/>
            </w:pPr>
            <w:r>
              <w:rPr>
                <w:sz w:val="16"/>
              </w:rPr>
              <w:t>500m / 1.5 Gi</w:t>
            </w:r>
          </w:p>
        </w:tc>
        <w:tc>
          <w:tcPr>
            <w:tcW w:type="dxa" w:w="1473"/>
            <w:tcMar>
              <w:top w:w="50" w:type="dxa"/>
              <w:bottom w:w="50" w:type="dxa"/>
              <w:left w:w="90" w:type="dxa"/>
              <w:right w:w="90" w:type="dxa"/>
            </w:tcMar>
          </w:tcPr>
          <w:p>
            <w:pPr>
              <w:pStyle w:val="BDOITable"/>
            </w:pPr>
            <w:r>
              <w:rPr>
                <w:sz w:val="16"/>
              </w:rPr>
              <w:t>2 / 3 Gi</w:t>
            </w:r>
          </w:p>
        </w:tc>
        <w:tc>
          <w:tcPr>
            <w:tcW w:type="dxa" w:w="2946"/>
            <w:tcMar>
              <w:top w:w="50" w:type="dxa"/>
              <w:bottom w:w="50" w:type="dxa"/>
              <w:left w:w="90" w:type="dxa"/>
              <w:right w:w="90" w:type="dxa"/>
            </w:tcMar>
          </w:tcPr>
          <w:p>
            <w:pPr>
              <w:pStyle w:val="BDOITable"/>
            </w:pPr>
            <w:r>
              <w:rPr>
                <w:sz w:val="16"/>
              </w:rPr>
              <w:t>Demo data; jobs run on the single pod</w:t>
            </w:r>
          </w:p>
        </w:tc>
      </w:tr>
      <w:tr>
        <w:trPr>
          <w:cantSplit w:val="true"/>
        </w:trPr>
        <w:tc>
          <w:tcPr>
            <w:tcW w:type="dxa" w:w="1133"/>
            <w:tcMar>
              <w:top w:w="50" w:type="dxa"/>
              <w:bottom w:w="50" w:type="dxa"/>
              <w:left w:w="90" w:type="dxa"/>
              <w:right w:w="90" w:type="dxa"/>
            </w:tcMar>
            <w:shd w:val="clear" w:color="auto" w:fill="E5F5FF"/>
          </w:tcPr>
          <w:p>
            <w:pPr>
              <w:pStyle w:val="BDOITable"/>
            </w:pPr>
            <w:r>
              <w:rPr>
                <w:b/>
                <w:sz w:val="16"/>
              </w:rPr>
              <w:t>DEV</w:t>
            </w:r>
          </w:p>
        </w:tc>
        <w:tc>
          <w:tcPr>
            <w:tcW w:type="dxa" w:w="1813"/>
            <w:tcMar>
              <w:top w:w="50" w:type="dxa"/>
              <w:bottom w:w="50" w:type="dxa"/>
              <w:left w:w="90" w:type="dxa"/>
              <w:right w:w="90" w:type="dxa"/>
            </w:tcMar>
            <w:shd w:val="clear" w:color="auto" w:fill="E5F5FF"/>
          </w:tcPr>
          <w:p>
            <w:pPr>
              <w:pStyle w:val="BDOITable"/>
            </w:pPr>
            <w:r>
              <w:rPr>
                <w:sz w:val="16"/>
              </w:rPr>
              <w:t>brokerverse-frontend</w:t>
            </w:r>
          </w:p>
        </w:tc>
        <w:tc>
          <w:tcPr>
            <w:tcW w:type="dxa" w:w="567"/>
            <w:tcMar>
              <w:top w:w="50" w:type="dxa"/>
              <w:bottom w:w="50" w:type="dxa"/>
              <w:left w:w="90" w:type="dxa"/>
              <w:right w:w="90" w:type="dxa"/>
            </w:tcMar>
            <w:shd w:val="clear" w:color="auto" w:fill="E5F5FF"/>
          </w:tcPr>
          <w:p>
            <w:pPr>
              <w:pStyle w:val="BDOITable"/>
            </w:pPr>
            <w:r>
              <w:rPr>
                <w:sz w:val="16"/>
              </w:rPr>
              <w:t>1</w:t>
            </w:r>
          </w:p>
        </w:tc>
        <w:tc>
          <w:tcPr>
            <w:tcW w:type="dxa" w:w="567"/>
            <w:tcMar>
              <w:top w:w="50" w:type="dxa"/>
              <w:bottom w:w="50" w:type="dxa"/>
              <w:left w:w="90" w:type="dxa"/>
              <w:right w:w="90" w:type="dxa"/>
            </w:tcMar>
            <w:shd w:val="clear" w:color="auto" w:fill="E5F5FF"/>
          </w:tcPr>
          <w:p>
            <w:pPr>
              <w:pStyle w:val="BDOITable"/>
            </w:pPr>
            <w:r>
              <w:rPr>
                <w:sz w:val="16"/>
              </w:rPr>
              <w:t>2</w:t>
            </w:r>
          </w:p>
        </w:tc>
        <w:tc>
          <w:tcPr>
            <w:tcW w:type="dxa" w:w="1473"/>
            <w:tcMar>
              <w:top w:w="50" w:type="dxa"/>
              <w:bottom w:w="50" w:type="dxa"/>
              <w:left w:w="90" w:type="dxa"/>
              <w:right w:w="90" w:type="dxa"/>
            </w:tcMar>
            <w:shd w:val="clear" w:color="auto" w:fill="E5F5FF"/>
          </w:tcPr>
          <w:p>
            <w:pPr>
              <w:pStyle w:val="BDOITable"/>
            </w:pPr>
            <w:r>
              <w:rPr>
                <w:sz w:val="16"/>
              </w:rPr>
              <w:t>50m / 64 Mi</w:t>
            </w:r>
          </w:p>
        </w:tc>
        <w:tc>
          <w:tcPr>
            <w:tcW w:type="dxa" w:w="1473"/>
            <w:tcMar>
              <w:top w:w="50" w:type="dxa"/>
              <w:bottom w:w="50" w:type="dxa"/>
              <w:left w:w="90" w:type="dxa"/>
              <w:right w:w="90" w:type="dxa"/>
            </w:tcMar>
            <w:shd w:val="clear" w:color="auto" w:fill="E5F5FF"/>
          </w:tcPr>
          <w:p>
            <w:pPr>
              <w:pStyle w:val="BDOITable"/>
            </w:pPr>
            <w:r>
              <w:rPr>
                <w:sz w:val="16"/>
              </w:rPr>
              <w:t>500m / 256 Mi</w:t>
            </w:r>
          </w:p>
        </w:tc>
        <w:tc>
          <w:tcPr>
            <w:tcW w:type="dxa" w:w="2946"/>
            <w:tcMar>
              <w:top w:w="50" w:type="dxa"/>
              <w:bottom w:w="50" w:type="dxa"/>
              <w:left w:w="90" w:type="dxa"/>
              <w:right w:w="90" w:type="dxa"/>
            </w:tcMar>
            <w:shd w:val="clear" w:color="auto" w:fill="E5F5FF"/>
          </w:tcPr>
          <w:p>
            <w:pPr>
              <w:pStyle w:val="BDOITable"/>
            </w:pPr>
            <w:r>
              <w:rPr>
                <w:sz w:val="16"/>
              </w:rPr>
              <w:t>nginx static files and /api proxy</w:t>
            </w:r>
          </w:p>
        </w:tc>
      </w:tr>
      <w:tr>
        <w:trPr>
          <w:cantSplit w:val="true"/>
        </w:trPr>
        <w:tc>
          <w:tcPr>
            <w:tcW w:type="dxa" w:w="1133"/>
            <w:tcMar>
              <w:top w:w="50" w:type="dxa"/>
              <w:bottom w:w="50" w:type="dxa"/>
              <w:left w:w="90" w:type="dxa"/>
              <w:right w:w="90" w:type="dxa"/>
            </w:tcMar>
          </w:tcPr>
          <w:p>
            <w:pPr>
              <w:pStyle w:val="BDOITable"/>
            </w:pPr>
            <w:r>
              <w:rPr>
                <w:b/>
                <w:sz w:val="16"/>
              </w:rPr>
              <w:t>SIT</w:t>
            </w:r>
          </w:p>
        </w:tc>
        <w:tc>
          <w:tcPr>
            <w:tcW w:type="dxa" w:w="1813"/>
            <w:tcMar>
              <w:top w:w="50" w:type="dxa"/>
              <w:bottom w:w="50" w:type="dxa"/>
              <w:left w:w="90" w:type="dxa"/>
              <w:right w:w="90" w:type="dxa"/>
            </w:tcMar>
          </w:tcPr>
          <w:p>
            <w:pPr>
              <w:pStyle w:val="BDOITable"/>
            </w:pPr>
            <w:r>
              <w:rPr>
                <w:sz w:val="16"/>
              </w:rPr>
              <w:t>brokerverse-backend</w:t>
            </w:r>
          </w:p>
        </w:tc>
        <w:tc>
          <w:tcPr>
            <w:tcW w:type="dxa" w:w="567"/>
            <w:tcMar>
              <w:top w:w="50" w:type="dxa"/>
              <w:bottom w:w="50" w:type="dxa"/>
              <w:left w:w="90" w:type="dxa"/>
              <w:right w:w="90" w:type="dxa"/>
            </w:tcMar>
          </w:tcPr>
          <w:p>
            <w:pPr>
              <w:pStyle w:val="BDOITable"/>
            </w:pPr>
            <w:r>
              <w:rPr>
                <w:sz w:val="16"/>
              </w:rPr>
              <w:t>2</w:t>
            </w:r>
          </w:p>
        </w:tc>
        <w:tc>
          <w:tcPr>
            <w:tcW w:type="dxa" w:w="567"/>
            <w:tcMar>
              <w:top w:w="50" w:type="dxa"/>
              <w:bottom w:w="50" w:type="dxa"/>
              <w:left w:w="90" w:type="dxa"/>
              <w:right w:w="90" w:type="dxa"/>
            </w:tcMar>
          </w:tcPr>
          <w:p>
            <w:pPr>
              <w:pStyle w:val="BDOITable"/>
            </w:pPr>
            <w:r>
              <w:rPr>
                <w:sz w:val="16"/>
              </w:rPr>
              <w:t>3</w:t>
            </w:r>
          </w:p>
        </w:tc>
        <w:tc>
          <w:tcPr>
            <w:tcW w:type="dxa" w:w="1473"/>
            <w:tcMar>
              <w:top w:w="50" w:type="dxa"/>
              <w:bottom w:w="50" w:type="dxa"/>
              <w:left w:w="90" w:type="dxa"/>
              <w:right w:w="90" w:type="dxa"/>
            </w:tcMar>
          </w:tcPr>
          <w:p>
            <w:pPr>
              <w:pStyle w:val="BDOITable"/>
            </w:pPr>
            <w:r>
              <w:rPr>
                <w:sz w:val="16"/>
              </w:rPr>
              <w:t>500m / 1.5 Gi</w:t>
            </w:r>
          </w:p>
        </w:tc>
        <w:tc>
          <w:tcPr>
            <w:tcW w:type="dxa" w:w="1473"/>
            <w:tcMar>
              <w:top w:w="50" w:type="dxa"/>
              <w:bottom w:w="50" w:type="dxa"/>
              <w:left w:w="90" w:type="dxa"/>
              <w:right w:w="90" w:type="dxa"/>
            </w:tcMar>
          </w:tcPr>
          <w:p>
            <w:pPr>
              <w:pStyle w:val="BDOITable"/>
            </w:pPr>
            <w:r>
              <w:rPr>
                <w:sz w:val="16"/>
              </w:rPr>
              <w:t>2 / 3 Gi</w:t>
            </w:r>
          </w:p>
        </w:tc>
        <w:tc>
          <w:tcPr>
            <w:tcW w:type="dxa" w:w="2946"/>
            <w:tcMar>
              <w:top w:w="50" w:type="dxa"/>
              <w:bottom w:w="50" w:type="dxa"/>
              <w:left w:w="90" w:type="dxa"/>
              <w:right w:w="90" w:type="dxa"/>
            </w:tcMar>
          </w:tcPr>
          <w:p>
            <w:pPr>
              <w:pStyle w:val="BDOITable"/>
            </w:pPr>
            <w:r>
              <w:rPr>
                <w:sz w:val="16"/>
              </w:rPr>
              <w:t>Two pods to test the Redis job lock and cache eviction across pods</w:t>
            </w:r>
          </w:p>
        </w:tc>
      </w:tr>
      <w:tr>
        <w:trPr>
          <w:cantSplit w:val="true"/>
        </w:trPr>
        <w:tc>
          <w:tcPr>
            <w:tcW w:type="dxa" w:w="1133"/>
            <w:tcMar>
              <w:top w:w="50" w:type="dxa"/>
              <w:bottom w:w="50" w:type="dxa"/>
              <w:left w:w="90" w:type="dxa"/>
              <w:right w:w="90" w:type="dxa"/>
            </w:tcMar>
            <w:shd w:val="clear" w:color="auto" w:fill="E5F5FF"/>
          </w:tcPr>
          <w:p>
            <w:pPr>
              <w:pStyle w:val="BDOITable"/>
            </w:pPr>
            <w:r>
              <w:rPr>
                <w:b/>
                <w:sz w:val="16"/>
              </w:rPr>
              <w:t>SIT</w:t>
            </w:r>
          </w:p>
        </w:tc>
        <w:tc>
          <w:tcPr>
            <w:tcW w:type="dxa" w:w="1813"/>
            <w:tcMar>
              <w:top w:w="50" w:type="dxa"/>
              <w:bottom w:w="50" w:type="dxa"/>
              <w:left w:w="90" w:type="dxa"/>
              <w:right w:w="90" w:type="dxa"/>
            </w:tcMar>
            <w:shd w:val="clear" w:color="auto" w:fill="E5F5FF"/>
          </w:tcPr>
          <w:p>
            <w:pPr>
              <w:pStyle w:val="BDOITable"/>
            </w:pPr>
            <w:r>
              <w:rPr>
                <w:sz w:val="16"/>
              </w:rPr>
              <w:t>brokerverse-frontend</w:t>
            </w:r>
          </w:p>
        </w:tc>
        <w:tc>
          <w:tcPr>
            <w:tcW w:type="dxa" w:w="567"/>
            <w:tcMar>
              <w:top w:w="50" w:type="dxa"/>
              <w:bottom w:w="50" w:type="dxa"/>
              <w:left w:w="90" w:type="dxa"/>
              <w:right w:w="90" w:type="dxa"/>
            </w:tcMar>
            <w:shd w:val="clear" w:color="auto" w:fill="E5F5FF"/>
          </w:tcPr>
          <w:p>
            <w:pPr>
              <w:pStyle w:val="BDOITable"/>
            </w:pPr>
            <w:r>
              <w:rPr>
                <w:sz w:val="16"/>
              </w:rPr>
              <w:t>2</w:t>
            </w:r>
          </w:p>
        </w:tc>
        <w:tc>
          <w:tcPr>
            <w:tcW w:type="dxa" w:w="567"/>
            <w:tcMar>
              <w:top w:w="50" w:type="dxa"/>
              <w:bottom w:w="50" w:type="dxa"/>
              <w:left w:w="90" w:type="dxa"/>
              <w:right w:w="90" w:type="dxa"/>
            </w:tcMar>
            <w:shd w:val="clear" w:color="auto" w:fill="E5F5FF"/>
          </w:tcPr>
          <w:p>
            <w:pPr>
              <w:pStyle w:val="BDOITable"/>
            </w:pPr>
            <w:r>
              <w:rPr>
                <w:sz w:val="16"/>
              </w:rPr>
              <w:t>2</w:t>
            </w:r>
          </w:p>
        </w:tc>
        <w:tc>
          <w:tcPr>
            <w:tcW w:type="dxa" w:w="1473"/>
            <w:tcMar>
              <w:top w:w="50" w:type="dxa"/>
              <w:bottom w:w="50" w:type="dxa"/>
              <w:left w:w="90" w:type="dxa"/>
              <w:right w:w="90" w:type="dxa"/>
            </w:tcMar>
            <w:shd w:val="clear" w:color="auto" w:fill="E5F5FF"/>
          </w:tcPr>
          <w:p>
            <w:pPr>
              <w:pStyle w:val="BDOITable"/>
            </w:pPr>
            <w:r>
              <w:rPr>
                <w:sz w:val="16"/>
              </w:rPr>
              <w:t>50m / 64 Mi</w:t>
            </w:r>
          </w:p>
        </w:tc>
        <w:tc>
          <w:tcPr>
            <w:tcW w:type="dxa" w:w="1473"/>
            <w:tcMar>
              <w:top w:w="50" w:type="dxa"/>
              <w:bottom w:w="50" w:type="dxa"/>
              <w:left w:w="90" w:type="dxa"/>
              <w:right w:w="90" w:type="dxa"/>
            </w:tcMar>
            <w:shd w:val="clear" w:color="auto" w:fill="E5F5FF"/>
          </w:tcPr>
          <w:p>
            <w:pPr>
              <w:pStyle w:val="BDOITable"/>
            </w:pPr>
            <w:r>
              <w:rPr>
                <w:sz w:val="16"/>
              </w:rPr>
              <w:t>500m / 256 Mi</w:t>
            </w:r>
          </w:p>
        </w:tc>
        <w:tc>
          <w:tcPr>
            <w:tcW w:type="dxa" w:w="2946"/>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133"/>
            <w:tcMar>
              <w:top w:w="50" w:type="dxa"/>
              <w:bottom w:w="50" w:type="dxa"/>
              <w:left w:w="90" w:type="dxa"/>
              <w:right w:w="90" w:type="dxa"/>
            </w:tcMar>
          </w:tcPr>
          <w:p>
            <w:pPr>
              <w:pStyle w:val="BDOITable"/>
            </w:pPr>
            <w:r>
              <w:rPr>
                <w:b/>
                <w:sz w:val="16"/>
              </w:rPr>
              <w:t>UAT</w:t>
            </w:r>
          </w:p>
        </w:tc>
        <w:tc>
          <w:tcPr>
            <w:tcW w:type="dxa" w:w="1813"/>
            <w:tcMar>
              <w:top w:w="50" w:type="dxa"/>
              <w:bottom w:w="50" w:type="dxa"/>
              <w:left w:w="90" w:type="dxa"/>
              <w:right w:w="90" w:type="dxa"/>
            </w:tcMar>
          </w:tcPr>
          <w:p>
            <w:pPr>
              <w:pStyle w:val="BDOITable"/>
            </w:pPr>
            <w:r>
              <w:rPr>
                <w:sz w:val="16"/>
              </w:rPr>
              <w:t>brokerverse-backend</w:t>
            </w:r>
          </w:p>
        </w:tc>
        <w:tc>
          <w:tcPr>
            <w:tcW w:type="dxa" w:w="567"/>
            <w:tcMar>
              <w:top w:w="50" w:type="dxa"/>
              <w:bottom w:w="50" w:type="dxa"/>
              <w:left w:w="90" w:type="dxa"/>
              <w:right w:w="90" w:type="dxa"/>
            </w:tcMar>
          </w:tcPr>
          <w:p>
            <w:pPr>
              <w:pStyle w:val="BDOITable"/>
            </w:pPr>
            <w:r>
              <w:rPr>
                <w:sz w:val="16"/>
              </w:rPr>
              <w:t>2</w:t>
            </w:r>
          </w:p>
        </w:tc>
        <w:tc>
          <w:tcPr>
            <w:tcW w:type="dxa" w:w="567"/>
            <w:tcMar>
              <w:top w:w="50" w:type="dxa"/>
              <w:bottom w:w="50" w:type="dxa"/>
              <w:left w:w="90" w:type="dxa"/>
              <w:right w:w="90" w:type="dxa"/>
            </w:tcMar>
          </w:tcPr>
          <w:p>
            <w:pPr>
              <w:pStyle w:val="BDOITable"/>
            </w:pPr>
            <w:r>
              <w:rPr>
                <w:sz w:val="16"/>
              </w:rPr>
              <w:t>4</w:t>
            </w:r>
          </w:p>
        </w:tc>
        <w:tc>
          <w:tcPr>
            <w:tcW w:type="dxa" w:w="1473"/>
            <w:tcMar>
              <w:top w:w="50" w:type="dxa"/>
              <w:bottom w:w="50" w:type="dxa"/>
              <w:left w:w="90" w:type="dxa"/>
              <w:right w:w="90" w:type="dxa"/>
            </w:tcMar>
          </w:tcPr>
          <w:p>
            <w:pPr>
              <w:pStyle w:val="BDOITable"/>
            </w:pPr>
            <w:r>
              <w:rPr>
                <w:sz w:val="16"/>
              </w:rPr>
              <w:t>1 / 2 Gi</w:t>
            </w:r>
          </w:p>
        </w:tc>
        <w:tc>
          <w:tcPr>
            <w:tcW w:type="dxa" w:w="1473"/>
            <w:tcMar>
              <w:top w:w="50" w:type="dxa"/>
              <w:bottom w:w="50" w:type="dxa"/>
              <w:left w:w="90" w:type="dxa"/>
              <w:right w:w="90" w:type="dxa"/>
            </w:tcMar>
          </w:tcPr>
          <w:p>
            <w:pPr>
              <w:pStyle w:val="BDOITable"/>
            </w:pPr>
            <w:r>
              <w:rPr>
                <w:sz w:val="16"/>
              </w:rPr>
              <w:t>2 / 4 Gi</w:t>
            </w:r>
          </w:p>
        </w:tc>
        <w:tc>
          <w:tcPr>
            <w:tcW w:type="dxa" w:w="2946"/>
            <w:tcMar>
              <w:top w:w="50" w:type="dxa"/>
              <w:bottom w:w="50" w:type="dxa"/>
              <w:left w:w="90" w:type="dxa"/>
              <w:right w:w="90" w:type="dxa"/>
            </w:tcMar>
          </w:tcPr>
          <w:p>
            <w:pPr>
              <w:pStyle w:val="BDOITable"/>
            </w:pPr>
            <w:r>
              <w:rPr>
                <w:sz w:val="16"/>
              </w:rPr>
              <w:t>Migration mock loads run here (Mock 3)</w:t>
            </w:r>
          </w:p>
        </w:tc>
      </w:tr>
      <w:tr>
        <w:trPr>
          <w:cantSplit w:val="true"/>
        </w:trPr>
        <w:tc>
          <w:tcPr>
            <w:tcW w:type="dxa" w:w="1133"/>
            <w:tcMar>
              <w:top w:w="50" w:type="dxa"/>
              <w:bottom w:w="50" w:type="dxa"/>
              <w:left w:w="90" w:type="dxa"/>
              <w:right w:w="90" w:type="dxa"/>
            </w:tcMar>
            <w:shd w:val="clear" w:color="auto" w:fill="E5F5FF"/>
          </w:tcPr>
          <w:p>
            <w:pPr>
              <w:pStyle w:val="BDOITable"/>
            </w:pPr>
            <w:r>
              <w:rPr>
                <w:b/>
                <w:sz w:val="16"/>
              </w:rPr>
              <w:t>UAT</w:t>
            </w:r>
          </w:p>
        </w:tc>
        <w:tc>
          <w:tcPr>
            <w:tcW w:type="dxa" w:w="1813"/>
            <w:tcMar>
              <w:top w:w="50" w:type="dxa"/>
              <w:bottom w:w="50" w:type="dxa"/>
              <w:left w:w="90" w:type="dxa"/>
              <w:right w:w="90" w:type="dxa"/>
            </w:tcMar>
            <w:shd w:val="clear" w:color="auto" w:fill="E5F5FF"/>
          </w:tcPr>
          <w:p>
            <w:pPr>
              <w:pStyle w:val="BDOITable"/>
            </w:pPr>
            <w:r>
              <w:rPr>
                <w:sz w:val="16"/>
              </w:rPr>
              <w:t>brokerverse-frontend</w:t>
            </w:r>
          </w:p>
        </w:tc>
        <w:tc>
          <w:tcPr>
            <w:tcW w:type="dxa" w:w="567"/>
            <w:tcMar>
              <w:top w:w="50" w:type="dxa"/>
              <w:bottom w:w="50" w:type="dxa"/>
              <w:left w:w="90" w:type="dxa"/>
              <w:right w:w="90" w:type="dxa"/>
            </w:tcMar>
            <w:shd w:val="clear" w:color="auto" w:fill="E5F5FF"/>
          </w:tcPr>
          <w:p>
            <w:pPr>
              <w:pStyle w:val="BDOITable"/>
            </w:pPr>
            <w:r>
              <w:rPr>
                <w:sz w:val="16"/>
              </w:rPr>
              <w:t>2</w:t>
            </w:r>
          </w:p>
        </w:tc>
        <w:tc>
          <w:tcPr>
            <w:tcW w:type="dxa" w:w="567"/>
            <w:tcMar>
              <w:top w:w="50" w:type="dxa"/>
              <w:bottom w:w="50" w:type="dxa"/>
              <w:left w:w="90" w:type="dxa"/>
              <w:right w:w="90" w:type="dxa"/>
            </w:tcMar>
            <w:shd w:val="clear" w:color="auto" w:fill="E5F5FF"/>
          </w:tcPr>
          <w:p>
            <w:pPr>
              <w:pStyle w:val="BDOITable"/>
            </w:pPr>
            <w:r>
              <w:rPr>
                <w:sz w:val="16"/>
              </w:rPr>
              <w:t>3</w:t>
            </w:r>
          </w:p>
        </w:tc>
        <w:tc>
          <w:tcPr>
            <w:tcW w:type="dxa" w:w="1473"/>
            <w:tcMar>
              <w:top w:w="50" w:type="dxa"/>
              <w:bottom w:w="50" w:type="dxa"/>
              <w:left w:w="90" w:type="dxa"/>
              <w:right w:w="90" w:type="dxa"/>
            </w:tcMar>
            <w:shd w:val="clear" w:color="auto" w:fill="E5F5FF"/>
          </w:tcPr>
          <w:p>
            <w:pPr>
              <w:pStyle w:val="BDOITable"/>
            </w:pPr>
            <w:r>
              <w:rPr>
                <w:sz w:val="16"/>
              </w:rPr>
              <w:t>50m / 64 Mi</w:t>
            </w:r>
          </w:p>
        </w:tc>
        <w:tc>
          <w:tcPr>
            <w:tcW w:type="dxa" w:w="1473"/>
            <w:tcMar>
              <w:top w:w="50" w:type="dxa"/>
              <w:bottom w:w="50" w:type="dxa"/>
              <w:left w:w="90" w:type="dxa"/>
              <w:right w:w="90" w:type="dxa"/>
            </w:tcMar>
            <w:shd w:val="clear" w:color="auto" w:fill="E5F5FF"/>
          </w:tcPr>
          <w:p>
            <w:pPr>
              <w:pStyle w:val="BDOITable"/>
            </w:pPr>
            <w:r>
              <w:rPr>
                <w:sz w:val="16"/>
              </w:rPr>
              <w:t>500m / 256 Mi</w:t>
            </w:r>
          </w:p>
        </w:tc>
        <w:tc>
          <w:tcPr>
            <w:tcW w:type="dxa" w:w="2946"/>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133"/>
            <w:tcMar>
              <w:top w:w="50" w:type="dxa"/>
              <w:bottom w:w="50" w:type="dxa"/>
              <w:left w:w="90" w:type="dxa"/>
              <w:right w:w="90" w:type="dxa"/>
            </w:tcMar>
          </w:tcPr>
          <w:p>
            <w:pPr>
              <w:pStyle w:val="BDOITable"/>
            </w:pPr>
            <w:r>
              <w:rPr>
                <w:b/>
                <w:sz w:val="16"/>
              </w:rPr>
              <w:t>Pre-Prod</w:t>
            </w:r>
          </w:p>
        </w:tc>
        <w:tc>
          <w:tcPr>
            <w:tcW w:type="dxa" w:w="1813"/>
            <w:tcMar>
              <w:top w:w="50" w:type="dxa"/>
              <w:bottom w:w="50" w:type="dxa"/>
              <w:left w:w="90" w:type="dxa"/>
              <w:right w:w="90" w:type="dxa"/>
            </w:tcMar>
          </w:tcPr>
          <w:p>
            <w:pPr>
              <w:pStyle w:val="BDOITable"/>
            </w:pPr>
            <w:r>
              <w:rPr>
                <w:sz w:val="16"/>
              </w:rPr>
              <w:t>brokerverse-backend</w:t>
            </w:r>
          </w:p>
        </w:tc>
        <w:tc>
          <w:tcPr>
            <w:tcW w:type="dxa" w:w="567"/>
            <w:tcMar>
              <w:top w:w="50" w:type="dxa"/>
              <w:bottom w:w="50" w:type="dxa"/>
              <w:left w:w="90" w:type="dxa"/>
              <w:right w:w="90" w:type="dxa"/>
            </w:tcMar>
          </w:tcPr>
          <w:p>
            <w:pPr>
              <w:pStyle w:val="BDOITable"/>
            </w:pPr>
            <w:r>
              <w:rPr>
                <w:sz w:val="16"/>
              </w:rPr>
              <w:t>3</w:t>
            </w:r>
          </w:p>
        </w:tc>
        <w:tc>
          <w:tcPr>
            <w:tcW w:type="dxa" w:w="567"/>
            <w:tcMar>
              <w:top w:w="50" w:type="dxa"/>
              <w:bottom w:w="50" w:type="dxa"/>
              <w:left w:w="90" w:type="dxa"/>
              <w:right w:w="90" w:type="dxa"/>
            </w:tcMar>
          </w:tcPr>
          <w:p>
            <w:pPr>
              <w:pStyle w:val="BDOITable"/>
            </w:pPr>
            <w:r>
              <w:rPr>
                <w:sz w:val="16"/>
              </w:rPr>
              <w:t>6</w:t>
            </w:r>
          </w:p>
        </w:tc>
        <w:tc>
          <w:tcPr>
            <w:tcW w:type="dxa" w:w="1473"/>
            <w:tcMar>
              <w:top w:w="50" w:type="dxa"/>
              <w:bottom w:w="50" w:type="dxa"/>
              <w:left w:w="90" w:type="dxa"/>
              <w:right w:w="90" w:type="dxa"/>
            </w:tcMar>
          </w:tcPr>
          <w:p>
            <w:pPr>
              <w:pStyle w:val="BDOITable"/>
            </w:pPr>
            <w:r>
              <w:rPr>
                <w:sz w:val="16"/>
              </w:rPr>
              <w:t>1 / 2 Gi</w:t>
            </w:r>
          </w:p>
        </w:tc>
        <w:tc>
          <w:tcPr>
            <w:tcW w:type="dxa" w:w="1473"/>
            <w:tcMar>
              <w:top w:w="50" w:type="dxa"/>
              <w:bottom w:w="50" w:type="dxa"/>
              <w:left w:w="90" w:type="dxa"/>
              <w:right w:w="90" w:type="dxa"/>
            </w:tcMar>
          </w:tcPr>
          <w:p>
            <w:pPr>
              <w:pStyle w:val="BDOITable"/>
            </w:pPr>
            <w:r>
              <w:rPr>
                <w:sz w:val="16"/>
              </w:rPr>
              <w:t>2 / 4 Gi</w:t>
            </w:r>
          </w:p>
        </w:tc>
        <w:tc>
          <w:tcPr>
            <w:tcW w:type="dxa" w:w="2946"/>
            <w:tcMar>
              <w:top w:w="50" w:type="dxa"/>
              <w:bottom w:w="50" w:type="dxa"/>
              <w:left w:w="90" w:type="dxa"/>
              <w:right w:w="90" w:type="dxa"/>
            </w:tcMar>
          </w:tcPr>
          <w:p>
            <w:pPr>
              <w:pStyle w:val="BDOITable"/>
            </w:pPr>
            <w:r>
              <w:rPr>
                <w:sz w:val="16"/>
              </w:rPr>
              <w:t>Production-sized; performance test and dress rehearsal</w:t>
            </w:r>
          </w:p>
        </w:tc>
      </w:tr>
      <w:tr>
        <w:trPr>
          <w:cantSplit w:val="true"/>
        </w:trPr>
        <w:tc>
          <w:tcPr>
            <w:tcW w:type="dxa" w:w="1133"/>
            <w:tcMar>
              <w:top w:w="50" w:type="dxa"/>
              <w:bottom w:w="50" w:type="dxa"/>
              <w:left w:w="90" w:type="dxa"/>
              <w:right w:w="90" w:type="dxa"/>
            </w:tcMar>
            <w:shd w:val="clear" w:color="auto" w:fill="E5F5FF"/>
          </w:tcPr>
          <w:p>
            <w:pPr>
              <w:pStyle w:val="BDOITable"/>
            </w:pPr>
            <w:r>
              <w:rPr>
                <w:b/>
                <w:sz w:val="16"/>
              </w:rPr>
              <w:t>Pre-Prod</w:t>
            </w:r>
          </w:p>
        </w:tc>
        <w:tc>
          <w:tcPr>
            <w:tcW w:type="dxa" w:w="1813"/>
            <w:tcMar>
              <w:top w:w="50" w:type="dxa"/>
              <w:bottom w:w="50" w:type="dxa"/>
              <w:left w:w="90" w:type="dxa"/>
              <w:right w:w="90" w:type="dxa"/>
            </w:tcMar>
            <w:shd w:val="clear" w:color="auto" w:fill="E5F5FF"/>
          </w:tcPr>
          <w:p>
            <w:pPr>
              <w:pStyle w:val="BDOITable"/>
            </w:pPr>
            <w:r>
              <w:rPr>
                <w:sz w:val="16"/>
              </w:rPr>
              <w:t>brokerverse-frontend</w:t>
            </w:r>
          </w:p>
        </w:tc>
        <w:tc>
          <w:tcPr>
            <w:tcW w:type="dxa" w:w="567"/>
            <w:tcMar>
              <w:top w:w="50" w:type="dxa"/>
              <w:bottom w:w="50" w:type="dxa"/>
              <w:left w:w="90" w:type="dxa"/>
              <w:right w:w="90" w:type="dxa"/>
            </w:tcMar>
            <w:shd w:val="clear" w:color="auto" w:fill="E5F5FF"/>
          </w:tcPr>
          <w:p>
            <w:pPr>
              <w:pStyle w:val="BDOITable"/>
            </w:pPr>
            <w:r>
              <w:rPr>
                <w:sz w:val="16"/>
              </w:rPr>
              <w:t>2</w:t>
            </w:r>
          </w:p>
        </w:tc>
        <w:tc>
          <w:tcPr>
            <w:tcW w:type="dxa" w:w="567"/>
            <w:tcMar>
              <w:top w:w="50" w:type="dxa"/>
              <w:bottom w:w="50" w:type="dxa"/>
              <w:left w:w="90" w:type="dxa"/>
              <w:right w:w="90" w:type="dxa"/>
            </w:tcMar>
            <w:shd w:val="clear" w:color="auto" w:fill="E5F5FF"/>
          </w:tcPr>
          <w:p>
            <w:pPr>
              <w:pStyle w:val="BDOITable"/>
            </w:pPr>
            <w:r>
              <w:rPr>
                <w:sz w:val="16"/>
              </w:rPr>
              <w:t>4</w:t>
            </w:r>
          </w:p>
        </w:tc>
        <w:tc>
          <w:tcPr>
            <w:tcW w:type="dxa" w:w="1473"/>
            <w:tcMar>
              <w:top w:w="50" w:type="dxa"/>
              <w:bottom w:w="50" w:type="dxa"/>
              <w:left w:w="90" w:type="dxa"/>
              <w:right w:w="90" w:type="dxa"/>
            </w:tcMar>
            <w:shd w:val="clear" w:color="auto" w:fill="E5F5FF"/>
          </w:tcPr>
          <w:p>
            <w:pPr>
              <w:pStyle w:val="BDOITable"/>
            </w:pPr>
            <w:r>
              <w:rPr>
                <w:sz w:val="16"/>
              </w:rPr>
              <w:t>50m / 64 Mi</w:t>
            </w:r>
          </w:p>
        </w:tc>
        <w:tc>
          <w:tcPr>
            <w:tcW w:type="dxa" w:w="1473"/>
            <w:tcMar>
              <w:top w:w="50" w:type="dxa"/>
              <w:bottom w:w="50" w:type="dxa"/>
              <w:left w:w="90" w:type="dxa"/>
              <w:right w:w="90" w:type="dxa"/>
            </w:tcMar>
            <w:shd w:val="clear" w:color="auto" w:fill="E5F5FF"/>
          </w:tcPr>
          <w:p>
            <w:pPr>
              <w:pStyle w:val="BDOITable"/>
            </w:pPr>
            <w:r>
              <w:rPr>
                <w:sz w:val="16"/>
              </w:rPr>
              <w:t>500m / 256 Mi</w:t>
            </w:r>
          </w:p>
        </w:tc>
        <w:tc>
          <w:tcPr>
            <w:tcW w:type="dxa" w:w="2946"/>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133"/>
            <w:tcMar>
              <w:top w:w="50" w:type="dxa"/>
              <w:bottom w:w="50" w:type="dxa"/>
              <w:left w:w="90" w:type="dxa"/>
              <w:right w:w="90" w:type="dxa"/>
            </w:tcMar>
          </w:tcPr>
          <w:p>
            <w:pPr>
              <w:pStyle w:val="BDOITable"/>
            </w:pPr>
            <w:r>
              <w:rPr>
                <w:b/>
                <w:sz w:val="16"/>
              </w:rPr>
              <w:t>PROD (Y1)</w:t>
            </w:r>
          </w:p>
        </w:tc>
        <w:tc>
          <w:tcPr>
            <w:tcW w:type="dxa" w:w="1813"/>
            <w:tcMar>
              <w:top w:w="50" w:type="dxa"/>
              <w:bottom w:w="50" w:type="dxa"/>
              <w:left w:w="90" w:type="dxa"/>
              <w:right w:w="90" w:type="dxa"/>
            </w:tcMar>
          </w:tcPr>
          <w:p>
            <w:pPr>
              <w:pStyle w:val="BDOITable"/>
            </w:pPr>
            <w:r>
              <w:rPr>
                <w:sz w:val="16"/>
              </w:rPr>
              <w:t>brokerverse-backend</w:t>
            </w:r>
          </w:p>
        </w:tc>
        <w:tc>
          <w:tcPr>
            <w:tcW w:type="dxa" w:w="567"/>
            <w:tcMar>
              <w:top w:w="50" w:type="dxa"/>
              <w:bottom w:w="50" w:type="dxa"/>
              <w:left w:w="90" w:type="dxa"/>
              <w:right w:w="90" w:type="dxa"/>
            </w:tcMar>
          </w:tcPr>
          <w:p>
            <w:pPr>
              <w:pStyle w:val="BDOITable"/>
            </w:pPr>
            <w:r>
              <w:rPr>
                <w:sz w:val="16"/>
              </w:rPr>
              <w:t>3</w:t>
            </w:r>
          </w:p>
        </w:tc>
        <w:tc>
          <w:tcPr>
            <w:tcW w:type="dxa" w:w="567"/>
            <w:tcMar>
              <w:top w:w="50" w:type="dxa"/>
              <w:bottom w:w="50" w:type="dxa"/>
              <w:left w:w="90" w:type="dxa"/>
              <w:right w:w="90" w:type="dxa"/>
            </w:tcMar>
          </w:tcPr>
          <w:p>
            <w:pPr>
              <w:pStyle w:val="BDOITable"/>
            </w:pPr>
            <w:r>
              <w:rPr>
                <w:sz w:val="16"/>
              </w:rPr>
              <w:t>6</w:t>
            </w:r>
          </w:p>
        </w:tc>
        <w:tc>
          <w:tcPr>
            <w:tcW w:type="dxa" w:w="1473"/>
            <w:tcMar>
              <w:top w:w="50" w:type="dxa"/>
              <w:bottom w:w="50" w:type="dxa"/>
              <w:left w:w="90" w:type="dxa"/>
              <w:right w:w="90" w:type="dxa"/>
            </w:tcMar>
          </w:tcPr>
          <w:p>
            <w:pPr>
              <w:pStyle w:val="BDOITable"/>
            </w:pPr>
            <w:r>
              <w:rPr>
                <w:sz w:val="16"/>
              </w:rPr>
              <w:t>1 / 2 Gi</w:t>
            </w:r>
          </w:p>
        </w:tc>
        <w:tc>
          <w:tcPr>
            <w:tcW w:type="dxa" w:w="1473"/>
            <w:tcMar>
              <w:top w:w="50" w:type="dxa"/>
              <w:bottom w:w="50" w:type="dxa"/>
              <w:left w:w="90" w:type="dxa"/>
              <w:right w:w="90" w:type="dxa"/>
            </w:tcMar>
          </w:tcPr>
          <w:p>
            <w:pPr>
              <w:pStyle w:val="BDOITable"/>
            </w:pPr>
            <w:r>
              <w:rPr>
                <w:sz w:val="16"/>
              </w:rPr>
              <w:t>2 / 4 Gi</w:t>
            </w:r>
          </w:p>
        </w:tc>
        <w:tc>
          <w:tcPr>
            <w:tcW w:type="dxa" w:w="2946"/>
            <w:tcMar>
              <w:top w:w="50" w:type="dxa"/>
              <w:bottom w:w="50" w:type="dxa"/>
              <w:left w:w="90" w:type="dxa"/>
              <w:right w:w="90" w:type="dxa"/>
            </w:tcMar>
          </w:tcPr>
          <w:p>
            <w:pPr>
              <w:pStyle w:val="BDOITable"/>
            </w:pPr>
            <w:r>
              <w:rPr>
                <w:sz w:val="16"/>
              </w:rPr>
              <w:t>HPA on CPU; PodDisruptionBudget minAvailable 2; spread over 3 AZs</w:t>
            </w:r>
          </w:p>
        </w:tc>
      </w:tr>
      <w:tr>
        <w:trPr>
          <w:cantSplit w:val="true"/>
        </w:trPr>
        <w:tc>
          <w:tcPr>
            <w:tcW w:type="dxa" w:w="1133"/>
            <w:tcMar>
              <w:top w:w="50" w:type="dxa"/>
              <w:bottom w:w="50" w:type="dxa"/>
              <w:left w:w="90" w:type="dxa"/>
              <w:right w:w="90" w:type="dxa"/>
            </w:tcMar>
            <w:shd w:val="clear" w:color="auto" w:fill="E5F5FF"/>
          </w:tcPr>
          <w:p>
            <w:pPr>
              <w:pStyle w:val="BDOITable"/>
            </w:pPr>
            <w:r>
              <w:rPr>
                <w:b/>
                <w:sz w:val="16"/>
              </w:rPr>
              <w:t>PROD (Y1)</w:t>
            </w:r>
          </w:p>
        </w:tc>
        <w:tc>
          <w:tcPr>
            <w:tcW w:type="dxa" w:w="1813"/>
            <w:tcMar>
              <w:top w:w="50" w:type="dxa"/>
              <w:bottom w:w="50" w:type="dxa"/>
              <w:left w:w="90" w:type="dxa"/>
              <w:right w:w="90" w:type="dxa"/>
            </w:tcMar>
            <w:shd w:val="clear" w:color="auto" w:fill="E5F5FF"/>
          </w:tcPr>
          <w:p>
            <w:pPr>
              <w:pStyle w:val="BDOITable"/>
            </w:pPr>
            <w:r>
              <w:rPr>
                <w:sz w:val="16"/>
              </w:rPr>
              <w:t>brokerverse-frontend</w:t>
            </w:r>
          </w:p>
        </w:tc>
        <w:tc>
          <w:tcPr>
            <w:tcW w:type="dxa" w:w="567"/>
            <w:tcMar>
              <w:top w:w="50" w:type="dxa"/>
              <w:bottom w:w="50" w:type="dxa"/>
              <w:left w:w="90" w:type="dxa"/>
              <w:right w:w="90" w:type="dxa"/>
            </w:tcMar>
            <w:shd w:val="clear" w:color="auto" w:fill="E5F5FF"/>
          </w:tcPr>
          <w:p>
            <w:pPr>
              <w:pStyle w:val="BDOITable"/>
            </w:pPr>
            <w:r>
              <w:rPr>
                <w:sz w:val="16"/>
              </w:rPr>
              <w:t>2</w:t>
            </w:r>
          </w:p>
        </w:tc>
        <w:tc>
          <w:tcPr>
            <w:tcW w:type="dxa" w:w="567"/>
            <w:tcMar>
              <w:top w:w="50" w:type="dxa"/>
              <w:bottom w:w="50" w:type="dxa"/>
              <w:left w:w="90" w:type="dxa"/>
              <w:right w:w="90" w:type="dxa"/>
            </w:tcMar>
            <w:shd w:val="clear" w:color="auto" w:fill="E5F5FF"/>
          </w:tcPr>
          <w:p>
            <w:pPr>
              <w:pStyle w:val="BDOITable"/>
            </w:pPr>
            <w:r>
              <w:rPr>
                <w:sz w:val="16"/>
              </w:rPr>
              <w:t>4</w:t>
            </w:r>
          </w:p>
        </w:tc>
        <w:tc>
          <w:tcPr>
            <w:tcW w:type="dxa" w:w="1473"/>
            <w:tcMar>
              <w:top w:w="50" w:type="dxa"/>
              <w:bottom w:w="50" w:type="dxa"/>
              <w:left w:w="90" w:type="dxa"/>
              <w:right w:w="90" w:type="dxa"/>
            </w:tcMar>
            <w:shd w:val="clear" w:color="auto" w:fill="E5F5FF"/>
          </w:tcPr>
          <w:p>
            <w:pPr>
              <w:pStyle w:val="BDOITable"/>
            </w:pPr>
            <w:r>
              <w:rPr>
                <w:sz w:val="16"/>
              </w:rPr>
              <w:t>50m / 64 Mi</w:t>
            </w:r>
          </w:p>
        </w:tc>
        <w:tc>
          <w:tcPr>
            <w:tcW w:type="dxa" w:w="1473"/>
            <w:tcMar>
              <w:top w:w="50" w:type="dxa"/>
              <w:bottom w:w="50" w:type="dxa"/>
              <w:left w:w="90" w:type="dxa"/>
              <w:right w:w="90" w:type="dxa"/>
            </w:tcMar>
            <w:shd w:val="clear" w:color="auto" w:fill="E5F5FF"/>
          </w:tcPr>
          <w:p>
            <w:pPr>
              <w:pStyle w:val="BDOITable"/>
            </w:pPr>
            <w:r>
              <w:rPr>
                <w:sz w:val="16"/>
              </w:rPr>
              <w:t>500m / 256 Mi</w:t>
            </w:r>
          </w:p>
        </w:tc>
        <w:tc>
          <w:tcPr>
            <w:tcW w:type="dxa" w:w="2946"/>
            <w:tcMar>
              <w:top w:w="50" w:type="dxa"/>
              <w:bottom w:w="50" w:type="dxa"/>
              <w:left w:w="90" w:type="dxa"/>
              <w:right w:w="90" w:type="dxa"/>
            </w:tcMar>
            <w:shd w:val="clear" w:color="auto" w:fill="E5F5FF"/>
          </w:tcPr>
          <w:p>
            <w:pPr>
              <w:pStyle w:val="BDOITable"/>
            </w:pPr>
            <w:r>
              <w:rPr>
                <w:sz w:val="16"/>
              </w:rPr>
              <w:t>PDB minAvailable 1</w:t>
            </w:r>
          </w:p>
        </w:tc>
      </w:tr>
      <w:tr>
        <w:trPr>
          <w:cantSplit w:val="true"/>
        </w:trPr>
        <w:tc>
          <w:tcPr>
            <w:tcW w:type="dxa" w:w="1133"/>
            <w:tcMar>
              <w:top w:w="50" w:type="dxa"/>
              <w:bottom w:w="50" w:type="dxa"/>
              <w:left w:w="90" w:type="dxa"/>
              <w:right w:w="90" w:type="dxa"/>
            </w:tcMar>
          </w:tcPr>
          <w:p>
            <w:pPr>
              <w:pStyle w:val="BDOITable"/>
            </w:pPr>
            <w:r>
              <w:rPr>
                <w:b/>
                <w:sz w:val="16"/>
              </w:rPr>
              <w:t>PROD (Y5)</w:t>
            </w:r>
          </w:p>
        </w:tc>
        <w:tc>
          <w:tcPr>
            <w:tcW w:type="dxa" w:w="1813"/>
            <w:tcMar>
              <w:top w:w="50" w:type="dxa"/>
              <w:bottom w:w="50" w:type="dxa"/>
              <w:left w:w="90" w:type="dxa"/>
              <w:right w:w="90" w:type="dxa"/>
            </w:tcMar>
          </w:tcPr>
          <w:p>
            <w:pPr>
              <w:pStyle w:val="BDOITable"/>
            </w:pPr>
            <w:r>
              <w:rPr>
                <w:sz w:val="16"/>
              </w:rPr>
              <w:t>brokerverse-backend</w:t>
            </w:r>
          </w:p>
        </w:tc>
        <w:tc>
          <w:tcPr>
            <w:tcW w:type="dxa" w:w="567"/>
            <w:tcMar>
              <w:top w:w="50" w:type="dxa"/>
              <w:bottom w:w="50" w:type="dxa"/>
              <w:left w:w="90" w:type="dxa"/>
              <w:right w:w="90" w:type="dxa"/>
            </w:tcMar>
          </w:tcPr>
          <w:p>
            <w:pPr>
              <w:pStyle w:val="BDOITable"/>
            </w:pPr>
            <w:r>
              <w:rPr>
                <w:sz w:val="16"/>
              </w:rPr>
              <w:t>4</w:t>
            </w:r>
          </w:p>
        </w:tc>
        <w:tc>
          <w:tcPr>
            <w:tcW w:type="dxa" w:w="567"/>
            <w:tcMar>
              <w:top w:w="50" w:type="dxa"/>
              <w:bottom w:w="50" w:type="dxa"/>
              <w:left w:w="90" w:type="dxa"/>
              <w:right w:w="90" w:type="dxa"/>
            </w:tcMar>
          </w:tcPr>
          <w:p>
            <w:pPr>
              <w:pStyle w:val="BDOITable"/>
            </w:pPr>
            <w:r>
              <w:rPr>
                <w:sz w:val="16"/>
              </w:rPr>
              <w:t>8</w:t>
            </w:r>
          </w:p>
        </w:tc>
        <w:tc>
          <w:tcPr>
            <w:tcW w:type="dxa" w:w="1473"/>
            <w:tcMar>
              <w:top w:w="50" w:type="dxa"/>
              <w:bottom w:w="50" w:type="dxa"/>
              <w:left w:w="90" w:type="dxa"/>
              <w:right w:w="90" w:type="dxa"/>
            </w:tcMar>
          </w:tcPr>
          <w:p>
            <w:pPr>
              <w:pStyle w:val="BDOITable"/>
            </w:pPr>
            <w:r>
              <w:rPr>
                <w:sz w:val="16"/>
              </w:rPr>
              <w:t>1 / 2 Gi</w:t>
            </w:r>
          </w:p>
        </w:tc>
        <w:tc>
          <w:tcPr>
            <w:tcW w:type="dxa" w:w="1473"/>
            <w:tcMar>
              <w:top w:w="50" w:type="dxa"/>
              <w:bottom w:w="50" w:type="dxa"/>
              <w:left w:w="90" w:type="dxa"/>
              <w:right w:w="90" w:type="dxa"/>
            </w:tcMar>
          </w:tcPr>
          <w:p>
            <w:pPr>
              <w:pStyle w:val="BDOITable"/>
            </w:pPr>
            <w:r>
              <w:rPr>
                <w:sz w:val="16"/>
              </w:rPr>
              <w:t>2 / 4 Gi</w:t>
            </w:r>
          </w:p>
        </w:tc>
        <w:tc>
          <w:tcPr>
            <w:tcW w:type="dxa" w:w="2946"/>
            <w:tcMar>
              <w:top w:w="50" w:type="dxa"/>
              <w:bottom w:w="50" w:type="dxa"/>
              <w:left w:w="90" w:type="dxa"/>
              <w:right w:w="90" w:type="dxa"/>
            </w:tcMar>
          </w:tcPr>
          <w:p>
            <w:pPr>
              <w:pStyle w:val="BDOITable"/>
            </w:pPr>
            <w:r>
              <w:rPr>
                <w:sz w:val="16"/>
              </w:rPr>
              <w:t>15 % growth a year; to be proved by the performance test</w:t>
            </w:r>
          </w:p>
        </w:tc>
      </w:tr>
      <w:tr>
        <w:trPr>
          <w:cantSplit w:val="true"/>
        </w:trPr>
        <w:tc>
          <w:tcPr>
            <w:tcW w:type="dxa" w:w="1133"/>
            <w:tcMar>
              <w:top w:w="50" w:type="dxa"/>
              <w:bottom w:w="50" w:type="dxa"/>
              <w:left w:w="90" w:type="dxa"/>
              <w:right w:w="90" w:type="dxa"/>
            </w:tcMar>
            <w:shd w:val="clear" w:color="auto" w:fill="E5F5FF"/>
          </w:tcPr>
          <w:p>
            <w:pPr>
              <w:pStyle w:val="BDOITable"/>
            </w:pPr>
            <w:r>
              <w:rPr>
                <w:b/>
                <w:sz w:val="16"/>
              </w:rPr>
              <w:t>DR</w:t>
            </w:r>
          </w:p>
        </w:tc>
        <w:tc>
          <w:tcPr>
            <w:tcW w:type="dxa" w:w="1813"/>
            <w:tcMar>
              <w:top w:w="50" w:type="dxa"/>
              <w:bottom w:w="50" w:type="dxa"/>
              <w:left w:w="90" w:type="dxa"/>
              <w:right w:w="90" w:type="dxa"/>
            </w:tcMar>
            <w:shd w:val="clear" w:color="auto" w:fill="E5F5FF"/>
          </w:tcPr>
          <w:p>
            <w:pPr>
              <w:pStyle w:val="BDOITable"/>
            </w:pPr>
            <w:r>
              <w:rPr>
                <w:sz w:val="16"/>
              </w:rPr>
              <w:t>brokerverse-backend</w:t>
            </w:r>
          </w:p>
        </w:tc>
        <w:tc>
          <w:tcPr>
            <w:tcW w:type="dxa" w:w="567"/>
            <w:tcMar>
              <w:top w:w="50" w:type="dxa"/>
              <w:bottom w:w="50" w:type="dxa"/>
              <w:left w:w="90" w:type="dxa"/>
              <w:right w:w="90" w:type="dxa"/>
            </w:tcMar>
            <w:shd w:val="clear" w:color="auto" w:fill="E5F5FF"/>
          </w:tcPr>
          <w:p>
            <w:pPr>
              <w:pStyle w:val="BDOITable"/>
            </w:pPr>
            <w:r>
              <w:rPr>
                <w:sz w:val="16"/>
              </w:rPr>
              <w:t>0</w:t>
            </w:r>
          </w:p>
        </w:tc>
        <w:tc>
          <w:tcPr>
            <w:tcW w:type="dxa" w:w="567"/>
            <w:tcMar>
              <w:top w:w="50" w:type="dxa"/>
              <w:bottom w:w="50" w:type="dxa"/>
              <w:left w:w="90" w:type="dxa"/>
              <w:right w:w="90" w:type="dxa"/>
            </w:tcMar>
            <w:shd w:val="clear" w:color="auto" w:fill="E5F5FF"/>
          </w:tcPr>
          <w:p>
            <w:pPr>
              <w:pStyle w:val="BDOITable"/>
            </w:pPr>
            <w:r>
              <w:rPr>
                <w:sz w:val="16"/>
              </w:rPr>
              <w:t>6</w:t>
            </w:r>
          </w:p>
        </w:tc>
        <w:tc>
          <w:tcPr>
            <w:tcW w:type="dxa" w:w="1473"/>
            <w:tcMar>
              <w:top w:w="50" w:type="dxa"/>
              <w:bottom w:w="50" w:type="dxa"/>
              <w:left w:w="90" w:type="dxa"/>
              <w:right w:w="90" w:type="dxa"/>
            </w:tcMar>
            <w:shd w:val="clear" w:color="auto" w:fill="E5F5FF"/>
          </w:tcPr>
          <w:p>
            <w:pPr>
              <w:pStyle w:val="BDOITable"/>
            </w:pPr>
            <w:r>
              <w:rPr>
                <w:sz w:val="16"/>
              </w:rPr>
              <w:t>1 / 2 Gi</w:t>
            </w:r>
          </w:p>
        </w:tc>
        <w:tc>
          <w:tcPr>
            <w:tcW w:type="dxa" w:w="1473"/>
            <w:tcMar>
              <w:top w:w="50" w:type="dxa"/>
              <w:bottom w:w="50" w:type="dxa"/>
              <w:left w:w="90" w:type="dxa"/>
              <w:right w:w="90" w:type="dxa"/>
            </w:tcMar>
            <w:shd w:val="clear" w:color="auto" w:fill="E5F5FF"/>
          </w:tcPr>
          <w:p>
            <w:pPr>
              <w:pStyle w:val="BDOITable"/>
            </w:pPr>
            <w:r>
              <w:rPr>
                <w:sz w:val="16"/>
              </w:rPr>
              <w:t>2 / 4 Gi</w:t>
            </w:r>
          </w:p>
        </w:tc>
        <w:tc>
          <w:tcPr>
            <w:tcW w:type="dxa" w:w="2946"/>
            <w:tcMar>
              <w:top w:w="50" w:type="dxa"/>
              <w:bottom w:w="50" w:type="dxa"/>
              <w:left w:w="90" w:type="dxa"/>
              <w:right w:w="90" w:type="dxa"/>
            </w:tcMar>
            <w:shd w:val="clear" w:color="auto" w:fill="E5F5FF"/>
          </w:tcPr>
          <w:p>
            <w:pPr>
              <w:pStyle w:val="BDOITable"/>
            </w:pPr>
            <w:r>
              <w:rPr>
                <w:sz w:val="16"/>
              </w:rPr>
              <w:t>Scaled up at failover (warm standby); images and configuration kept current</w:t>
            </w:r>
          </w:p>
        </w:tc>
      </w:tr>
    </w:tbl>
    <w:p>
      <w:pPr>
        <w:pStyle w:val="BDOISpacer"/>
      </w:pPr>
    </w:p>
    <w:p>
      <w:pPr>
        <w:pStyle w:val="Heading2"/>
      </w:pPr>
      <w:bookmarkStart w:id="129" w:name="_Toc000129"/>
      <w:r>
        <w:rPr/>
        <w:t>6.5 Environments, hours and disaster recovery</w:t>
      </w:r>
      <w:bookmarkEnd w:id="129"/>
    </w:p>
    <w:p>
      <w:pPr>
        <w:tabs>
          <w:tab w:pos="312" w:val="left"/>
        </w:tabs>
        <w:spacing w:after="40"/>
        <w:ind w:left="312" w:hanging="283"/>
      </w:pPr>
      <w:r>
        <w:rPr>
          <w:color w:val="004EA8"/>
        </w:rPr>
        <w:t>•</w:t>
        <w:tab/>
      </w:r>
      <w:r>
        <w:rPr>
          <w:b/>
        </w:rPr>
        <w:t>Six environments</w:t>
      </w:r>
      <w:r>
        <w:rPr/>
        <w:t xml:space="preserve"> are needed: DEV, SIT, UAT, Pre-Prod (dress rehearsal and performance test), PROD and DR. The IER has Kubernetes sheets for DEV, SIT, UAT and PROD only, and its Pre-Prod sheet is titled "UAT ENVIRONMENT" (IQ33).</w:t>
      </w:r>
    </w:p>
    <w:p>
      <w:pPr>
        <w:tabs>
          <w:tab w:pos="312" w:val="left"/>
        </w:tabs>
        <w:spacing w:after="40"/>
        <w:ind w:left="312" w:hanging="283"/>
      </w:pPr>
      <w:r>
        <w:rPr>
          <w:color w:val="004EA8"/>
        </w:rPr>
        <w:t>•</w:t>
        <w:tab/>
      </w:r>
      <w:r>
        <w:rPr>
          <w:b/>
        </w:rPr>
        <w:t>12 x 5 non-production hours</w:t>
      </w:r>
      <w:r>
        <w:rPr/>
        <w:t xml:space="preserve"> do not cover the BIBS night jobs (EOD booking and remittance extraction at 20:00, Collections files from 22:15 to 23:00, renewal extraction and screening at 01:00, application file at 05:00). In non-production the schedules are moved into the working window through their environment variables, and extended hours are booked for batch and month-end test cycles, migration mocks (weekend loads) and the dress rehearsal. MSK and ElastiCache cannot be stopped, so only the EKS nodes and RDS instances follow the 12 x 5 hours (IQ27).</w:t>
      </w:r>
    </w:p>
    <w:p>
      <w:pPr>
        <w:tabs>
          <w:tab w:pos="312" w:val="left"/>
        </w:tabs>
        <w:spacing w:after="40"/>
        <w:ind w:left="312" w:hanging="283"/>
      </w:pPr>
      <w:r>
        <w:rPr>
          <w:color w:val="004EA8"/>
        </w:rPr>
        <w:t>•</w:t>
        <w:tab/>
      </w:r>
      <w:r>
        <w:rPr>
          <w:b/>
        </w:rPr>
        <w:t>RPO 15 minutes and RTO 4 hours</w:t>
      </w:r>
      <w:r>
        <w:rPr/>
        <w:t xml:space="preserve"> answer register item DCR-135 (the register proposed the same values); RDS point-in-time recovery and the cross-region replica meet the RPO, and S3 replication with replication time control covers the documents.</w:t>
      </w:r>
    </w:p>
    <w:p>
      <w:pPr>
        <w:tabs>
          <w:tab w:pos="312" w:val="left"/>
        </w:tabs>
        <w:spacing w:after="120"/>
        <w:ind w:left="312" w:hanging="283"/>
      </w:pPr>
      <w:r>
        <w:rPr>
          <w:color w:val="004EA8"/>
        </w:rPr>
        <w:t>•</w:t>
        <w:tab/>
      </w:r>
      <w:r>
        <w:rPr>
          <w:b/>
        </w:rPr>
        <w:t>DR region.</w:t>
      </w:r>
      <w:r>
        <w:rPr/>
        <w:t xml:space="preserve"> The HW sheet names a cross-region read replica; the diagram names ap-southeast-1 with a warm standby; the hosting appendix places BIBS in ap-southeast-1 with access restricted to personnel in the Philippines. The DR region and data residency must be confirmed (IQ26). At failover the backend is scaled up in DR, Redis is rebuilt (caches refill; revoked tokens are lost until they expire, at most 8 hours) and MSK is recreated; events not yet delivered are resent from the database outbox.</w:t>
      </w:r>
    </w:p>
    <w:p>
      <w:pPr>
        <w:pStyle w:val="Heading2"/>
      </w:pPr>
      <w:bookmarkStart w:id="130" w:name="_Toc000130"/>
      <w:r>
        <w:rPr/>
        <w:t>6.6 Changes needed</w:t>
      </w:r>
      <w:bookmarkEnd w:id="130"/>
    </w:p>
    <w:p>
      <w:pPr>
        <w:pStyle w:val="Caption"/>
        <w:keepNext/>
        <w:spacing w:after="60"/>
      </w:pPr>
      <w:r>
        <w:rPr>
          <w:b/>
          <w:i w:val="0"/>
        </w:rPr>
        <w:t xml:space="preserve">Table 19: </w:t>
      </w:r>
      <w:r>
        <w:rPr/>
        <w:t>Changes needed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7"/>
        <w:gridCol w:w="6805"/>
        <w:gridCol w:w="1759"/>
      </w:tblGrid>
      <w:tr>
        <w:trPr>
          <w:tblHeader w:val="true"/>
          <w:cantSplit w:val="true"/>
        </w:trPr>
        <w:tc>
          <w:tcPr>
            <w:tcW w:type="dxa" w:w="1408"/>
            <w:shd w:val="clear" w:color="auto" w:fill="004EA8"/>
            <w:tcMar>
              <w:top w:w="50" w:type="dxa"/>
              <w:bottom w:w="50" w:type="dxa"/>
              <w:left w:w="90" w:type="dxa"/>
              <w:right w:w="90" w:type="dxa"/>
            </w:tcMar>
            <w:vAlign w:val="center"/>
          </w:tcPr>
          <w:p>
            <w:pPr>
              <w:pStyle w:val="BDOITableHeader"/>
            </w:pPr>
            <w:r>
              <w:rPr>
                <w:b/>
                <w:color w:val="FFFFFF"/>
                <w:sz w:val="17"/>
              </w:rPr>
              <w:t>Area</w:t>
            </w:r>
          </w:p>
        </w:tc>
        <w:tc>
          <w:tcPr>
            <w:tcW w:type="dxa" w:w="6804"/>
            <w:shd w:val="clear" w:color="auto" w:fill="004EA8"/>
            <w:tcMar>
              <w:top w:w="50" w:type="dxa"/>
              <w:bottom w:w="50" w:type="dxa"/>
              <w:left w:w="90" w:type="dxa"/>
              <w:right w:w="90" w:type="dxa"/>
            </w:tcMar>
            <w:vAlign w:val="center"/>
          </w:tcPr>
          <w:p>
            <w:pPr>
              <w:pStyle w:val="BDOITableHeader"/>
            </w:pPr>
            <w:r>
              <w:rPr>
                <w:b/>
                <w:color w:val="FFFFFF"/>
                <w:sz w:val="17"/>
              </w:rPr>
              <w:t>Change</w:t>
            </w:r>
          </w:p>
        </w:tc>
        <w:tc>
          <w:tcPr>
            <w:tcW w:type="dxa" w:w="1760"/>
            <w:shd w:val="clear" w:color="auto" w:fill="004EA8"/>
            <w:tcMar>
              <w:top w:w="50" w:type="dxa"/>
              <w:bottom w:w="50" w:type="dxa"/>
              <w:left w:w="90" w:type="dxa"/>
              <w:right w:w="90" w:type="dxa"/>
            </w:tcMar>
            <w:vAlign w:val="center"/>
          </w:tcPr>
          <w:p>
            <w:pPr>
              <w:pStyle w:val="BDOITableHeader"/>
            </w:pPr>
            <w:r>
              <w:rPr>
                <w:b/>
                <w:color w:val="FFFFFF"/>
                <w:sz w:val="17"/>
              </w:rPr>
              <w:t>Owner</w:t>
            </w:r>
          </w:p>
        </w:tc>
      </w:tr>
      <w:tr>
        <w:trPr>
          <w:cantSplit w:val="true"/>
        </w:trPr>
        <w:tc>
          <w:tcPr>
            <w:tcW w:type="dxa" w:w="1408"/>
            <w:tcMar>
              <w:top w:w="50" w:type="dxa"/>
              <w:bottom w:w="50" w:type="dxa"/>
              <w:left w:w="90" w:type="dxa"/>
              <w:right w:w="90" w:type="dxa"/>
            </w:tcMar>
          </w:tcPr>
          <w:p>
            <w:pPr>
              <w:pStyle w:val="BDOITable"/>
            </w:pPr>
            <w:r>
              <w:rPr>
                <w:b/>
                <w:sz w:val="17"/>
              </w:rPr>
              <w:t>IER</w:t>
            </w:r>
          </w:p>
        </w:tc>
        <w:tc>
          <w:tcPr>
            <w:tcW w:type="dxa" w:w="6804"/>
            <w:tcMar>
              <w:top w:w="50" w:type="dxa"/>
              <w:bottom w:w="50" w:type="dxa"/>
              <w:left w:w="90" w:type="dxa"/>
              <w:right w:w="90" w:type="dxa"/>
            </w:tcMar>
          </w:tcPr>
          <w:p>
            <w:pPr>
              <w:pStyle w:val="BDOITable"/>
            </w:pPr>
            <w:r>
              <w:rPr>
                <w:sz w:val="17"/>
              </w:rPr>
              <w:t>Replace the architecture diagrams with Figures 3 and 4; restate the Kubernetes sheets with the sizing of section 6.4; add Pre-Prod and DR cluster sheets; retitle the Pre-Prod sheet; replace the template rows of the environment cost sheets; remove EFS; add the S3, KMS, VPC endpoint, replication and malware-scanning rows; "RHEL 9.x" removed from the RDS rows; ElastiCache "cluster mode disabled"; VDI software list with Temurin 21, Maven 3.9 and Node 22</w:t>
            </w:r>
          </w:p>
        </w:tc>
        <w:tc>
          <w:tcPr>
            <w:tcW w:type="dxa" w:w="1760"/>
            <w:tcMar>
              <w:top w:w="50" w:type="dxa"/>
              <w:bottom w:w="50" w:type="dxa"/>
              <w:left w:w="90" w:type="dxa"/>
              <w:right w:w="90" w:type="dxa"/>
            </w:tcMar>
          </w:tcPr>
          <w:p>
            <w:pPr>
              <w:pStyle w:val="BDOITable"/>
            </w:pPr>
            <w:r>
              <w:rPr>
                <w:sz w:val="17"/>
              </w:rPr>
              <w:t>BDOI IT with iorta TechNXT</w:t>
            </w:r>
          </w:p>
        </w:tc>
      </w:tr>
      <w:tr>
        <w:trPr>
          <w:cantSplit w:val="true"/>
        </w:trPr>
        <w:tc>
          <w:tcPr>
            <w:tcW w:type="dxa" w:w="1408"/>
            <w:tcMar>
              <w:top w:w="50" w:type="dxa"/>
              <w:bottom w:w="50" w:type="dxa"/>
              <w:left w:w="90" w:type="dxa"/>
              <w:right w:w="90" w:type="dxa"/>
            </w:tcMar>
            <w:shd w:val="clear" w:color="auto" w:fill="E5F5FF"/>
          </w:tcPr>
          <w:p>
            <w:pPr>
              <w:pStyle w:val="BDOITable"/>
            </w:pPr>
            <w:r>
              <w:rPr>
                <w:b/>
                <w:sz w:val="17"/>
              </w:rPr>
              <w:t>BIBS code</w:t>
            </w:r>
          </w:p>
        </w:tc>
        <w:tc>
          <w:tcPr>
            <w:tcW w:type="dxa" w:w="6804"/>
            <w:tcMar>
              <w:top w:w="50" w:type="dxa"/>
              <w:bottom w:w="50" w:type="dxa"/>
              <w:left w:w="90" w:type="dxa"/>
              <w:right w:w="90" w:type="dxa"/>
            </w:tcMar>
            <w:shd w:val="clear" w:color="auto" w:fill="E5F5FF"/>
          </w:tcPr>
          <w:p>
            <w:pPr>
              <w:pStyle w:val="BDOITable"/>
            </w:pPr>
            <w:r>
              <w:rPr>
                <w:sz w:val="17"/>
              </w:rPr>
              <w:t>Storage port and module move (ST0, ST1); EIAM OIDC sign-in; UIDM-ISC provisioning API; bank channel files; EGL and EDP extracts; configurable non-production schedules (already by environment variable)</w:t>
            </w:r>
          </w:p>
        </w:tc>
        <w:tc>
          <w:tcPr>
            <w:tcW w:type="dxa" w:w="1760"/>
            <w:tcMar>
              <w:top w:w="50" w:type="dxa"/>
              <w:bottom w:w="50" w:type="dxa"/>
              <w:left w:w="90" w:type="dxa"/>
              <w:right w:w="90" w:type="dxa"/>
            </w:tcMar>
            <w:shd w:val="clear" w:color="auto" w:fill="E5F5FF"/>
          </w:tcPr>
          <w:p>
            <w:pPr>
              <w:pStyle w:val="BDOITable"/>
            </w:pPr>
            <w:r>
              <w:rPr>
                <w:sz w:val="17"/>
              </w:rPr>
              <w:t>iorta TechNXT</w:t>
            </w:r>
          </w:p>
        </w:tc>
      </w:tr>
      <w:tr>
        <w:trPr>
          <w:cantSplit w:val="true"/>
        </w:trPr>
        <w:tc>
          <w:tcPr>
            <w:tcW w:type="dxa" w:w="1408"/>
            <w:tcMar>
              <w:top w:w="50" w:type="dxa"/>
              <w:bottom w:w="50" w:type="dxa"/>
              <w:left w:w="90" w:type="dxa"/>
              <w:right w:w="90" w:type="dxa"/>
            </w:tcMar>
          </w:tcPr>
          <w:p>
            <w:pPr>
              <w:pStyle w:val="BDOITable"/>
            </w:pPr>
            <w:r>
              <w:rPr>
                <w:b/>
                <w:sz w:val="17"/>
              </w:rPr>
              <w:t>BIBS deployment</w:t>
            </w:r>
          </w:p>
        </w:tc>
        <w:tc>
          <w:tcPr>
            <w:tcW w:type="dxa" w:w="6804"/>
            <w:tcMar>
              <w:top w:w="50" w:type="dxa"/>
              <w:bottom w:w="50" w:type="dxa"/>
              <w:left w:w="90" w:type="dxa"/>
              <w:right w:w="90" w:type="dxa"/>
            </w:tcMar>
          </w:tcPr>
          <w:p>
            <w:pPr>
              <w:pStyle w:val="BDOITable"/>
            </w:pPr>
            <w:r>
              <w:rPr>
                <w:sz w:val="17"/>
              </w:rPr>
              <w:t>Helm chart or Kustomize overlays per environment (replicas, HPA, PDB, IRSA service account, topology spread); Kafka replication factor 2 on 2-broker MSK in DEV and SIT; pipeline on the BDO toolchain (IQ29)</w:t>
            </w:r>
          </w:p>
        </w:tc>
        <w:tc>
          <w:tcPr>
            <w:tcW w:type="dxa" w:w="1760"/>
            <w:tcMar>
              <w:top w:w="50" w:type="dxa"/>
              <w:bottom w:w="50" w:type="dxa"/>
              <w:left w:w="90" w:type="dxa"/>
              <w:right w:w="90" w:type="dxa"/>
            </w:tcMar>
          </w:tcPr>
          <w:p>
            <w:pPr>
              <w:pStyle w:val="BDOITable"/>
            </w:pPr>
            <w:r>
              <w:rPr>
                <w:sz w:val="17"/>
              </w:rPr>
              <w:t>iorta TechNXT</w:t>
            </w:r>
          </w:p>
        </w:tc>
      </w:tr>
      <w:tr>
        <w:trPr>
          <w:cantSplit w:val="true"/>
        </w:trPr>
        <w:tc>
          <w:tcPr>
            <w:tcW w:type="dxa" w:w="1408"/>
            <w:tcMar>
              <w:top w:w="50" w:type="dxa"/>
              <w:bottom w:w="50" w:type="dxa"/>
              <w:left w:w="90" w:type="dxa"/>
              <w:right w:w="90" w:type="dxa"/>
            </w:tcMar>
            <w:shd w:val="clear" w:color="auto" w:fill="E5F5FF"/>
          </w:tcPr>
          <w:p>
            <w:pPr>
              <w:pStyle w:val="BDOITable"/>
            </w:pPr>
            <w:r>
              <w:rPr>
                <w:b/>
                <w:sz w:val="17"/>
              </w:rPr>
              <w:t>Documents</w:t>
            </w:r>
          </w:p>
        </w:tc>
        <w:tc>
          <w:tcPr>
            <w:tcW w:type="dxa" w:w="6804"/>
            <w:tcMar>
              <w:top w:w="50" w:type="dxa"/>
              <w:bottom w:w="50" w:type="dxa"/>
              <w:left w:w="90" w:type="dxa"/>
              <w:right w:w="90" w:type="dxa"/>
            </w:tcMar>
            <w:shd w:val="clear" w:color="auto" w:fill="E5F5FF"/>
          </w:tcPr>
          <w:p>
            <w:pPr>
              <w:pStyle w:val="BDOITable"/>
            </w:pPr>
            <w:r>
              <w:rPr>
                <w:sz w:val="17"/>
              </w:rPr>
              <w:t>Bill of materials and deployment architecture (deliverables 4 and 12) from this chapter; security mapping (deliverable 26) with EIAM, UIDM-ISC and S3 encryption; DR runbook</w:t>
            </w:r>
          </w:p>
        </w:tc>
        <w:tc>
          <w:tcPr>
            <w:tcW w:type="dxa" w:w="1760"/>
            <w:tcMar>
              <w:top w:w="50" w:type="dxa"/>
              <w:bottom w:w="50" w:type="dxa"/>
              <w:left w:w="90" w:type="dxa"/>
              <w:right w:w="90" w:type="dxa"/>
            </w:tcMar>
            <w:shd w:val="clear" w:color="auto" w:fill="E5F5FF"/>
          </w:tcPr>
          <w:p>
            <w:pPr>
              <w:pStyle w:val="BDOITable"/>
            </w:pPr>
            <w:r>
              <w:rPr>
                <w:sz w:val="17"/>
              </w:rPr>
              <w:t>iorta TechNXT</w:t>
            </w:r>
          </w:p>
        </w:tc>
      </w:tr>
    </w:tbl>
    <w:p>
      <w:pPr>
        <w:pStyle w:val="BDOISpacer"/>
      </w:pPr>
    </w:p>
    <w:p>
      <w:pPr>
        <w:pStyle w:val="Heading1"/>
        <w:pageBreakBefore/>
        <w:pBdr>
          <w:bottom w:val="single" w:sz="4" w:space="4" w:color="99C1E7"/>
        </w:pBdr>
      </w:pPr>
      <w:bookmarkStart w:id="131" w:name="_Toc000131"/>
      <w:r>
        <w:rPr/>
        <w:t>7 Open questions for BDOI</w:t>
      </w:r>
      <w:bookmarkEnd w:id="131"/>
    </w:p>
    <w:p>
      <w:r>
        <w:rPr/>
        <w:t>Priority 1 questions change what is built and are needed by 16 October 2026; priority 2 by 30 November 2026; priority 3 before the build of the item concerned.</w:t>
      </w:r>
    </w:p>
    <w:p>
      <w:pPr>
        <w:pStyle w:val="Caption"/>
        <w:keepNext/>
        <w:spacing w:after="60"/>
      </w:pPr>
      <w:r>
        <w:rPr>
          <w:b/>
          <w:i w:val="0"/>
        </w:rPr>
        <w:t xml:space="preserve">Table 20: </w:t>
      </w:r>
      <w:r>
        <w:rPr/>
        <w:t>Open questions for BDOI, by priority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12"/>
        <w:gridCol w:w="668"/>
        <w:gridCol w:w="1448"/>
        <w:gridCol w:w="5571"/>
        <w:gridCol w:w="1671"/>
      </w:tblGrid>
      <w:tr>
        <w:trPr>
          <w:tblHeader w:val="true"/>
          <w:cantSplit w:val="true"/>
        </w:trPr>
        <w:tc>
          <w:tcPr>
            <w:tcW w:type="dxa" w:w="613"/>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669"/>
            <w:shd w:val="clear" w:color="auto" w:fill="004EA8"/>
            <w:tcMar>
              <w:top w:w="50" w:type="dxa"/>
              <w:bottom w:w="50" w:type="dxa"/>
              <w:left w:w="90" w:type="dxa"/>
              <w:right w:w="90" w:type="dxa"/>
            </w:tcMar>
            <w:vAlign w:val="center"/>
          </w:tcPr>
          <w:p>
            <w:pPr>
              <w:pStyle w:val="BDOITableHeader"/>
            </w:pPr>
            <w:r>
              <w:rPr>
                <w:b/>
                <w:color w:val="FFFFFF"/>
                <w:sz w:val="15"/>
              </w:rPr>
              <w:t>Prio.</w:t>
            </w:r>
          </w:p>
        </w:tc>
        <w:tc>
          <w:tcPr>
            <w:tcW w:type="dxa" w:w="1448"/>
            <w:shd w:val="clear" w:color="auto" w:fill="004EA8"/>
            <w:tcMar>
              <w:top w:w="50" w:type="dxa"/>
              <w:bottom w:w="50" w:type="dxa"/>
              <w:left w:w="90" w:type="dxa"/>
              <w:right w:w="90" w:type="dxa"/>
            </w:tcMar>
            <w:vAlign w:val="center"/>
          </w:tcPr>
          <w:p>
            <w:pPr>
              <w:pStyle w:val="BDOITableHeader"/>
            </w:pPr>
            <w:r>
              <w:rPr>
                <w:b/>
                <w:color w:val="FFFFFF"/>
                <w:sz w:val="15"/>
              </w:rPr>
              <w:t>Topic</w:t>
            </w:r>
          </w:p>
        </w:tc>
        <w:tc>
          <w:tcPr>
            <w:tcW w:type="dxa" w:w="5571"/>
            <w:shd w:val="clear" w:color="auto" w:fill="004EA8"/>
            <w:tcMar>
              <w:top w:w="50" w:type="dxa"/>
              <w:bottom w:w="50" w:type="dxa"/>
              <w:left w:w="90" w:type="dxa"/>
              <w:right w:w="90" w:type="dxa"/>
            </w:tcMar>
            <w:vAlign w:val="center"/>
          </w:tcPr>
          <w:p>
            <w:pPr>
              <w:pStyle w:val="BDOITableHeader"/>
            </w:pPr>
            <w:r>
              <w:rPr>
                <w:b/>
                <w:color w:val="FFFFFF"/>
                <w:sz w:val="15"/>
              </w:rPr>
              <w:t>Question</w:t>
            </w:r>
          </w:p>
        </w:tc>
        <w:tc>
          <w:tcPr>
            <w:tcW w:type="dxa" w:w="1671"/>
            <w:shd w:val="clear" w:color="auto" w:fill="004EA8"/>
            <w:tcMar>
              <w:top w:w="50" w:type="dxa"/>
              <w:bottom w:w="50" w:type="dxa"/>
              <w:left w:w="90" w:type="dxa"/>
              <w:right w:w="90" w:type="dxa"/>
            </w:tcMar>
            <w:vAlign w:val="center"/>
          </w:tcPr>
          <w:p>
            <w:pPr>
              <w:pStyle w:val="BDOITableHeader"/>
            </w:pPr>
            <w:r>
              <w:rPr>
                <w:b/>
                <w:color w:val="FFFFFF"/>
                <w:sz w:val="15"/>
              </w:rPr>
              <w:t>Source</w:t>
            </w:r>
          </w:p>
        </w:tc>
      </w:tr>
      <w:tr>
        <w:trPr>
          <w:cantSplit w:val="true"/>
        </w:trPr>
        <w:tc>
          <w:tcPr>
            <w:tcW w:type="dxa" w:w="613"/>
            <w:tcMar>
              <w:top w:w="50" w:type="dxa"/>
              <w:bottom w:w="50" w:type="dxa"/>
              <w:left w:w="90" w:type="dxa"/>
              <w:right w:w="90" w:type="dxa"/>
            </w:tcMar>
          </w:tcPr>
          <w:p>
            <w:pPr>
              <w:pStyle w:val="BDOITable"/>
            </w:pPr>
            <w:r>
              <w:rPr>
                <w:b/>
                <w:sz w:val="15"/>
              </w:rPr>
              <w:t>IQ01</w:t>
            </w:r>
          </w:p>
        </w:tc>
        <w:tc>
          <w:tcPr>
            <w:tcW w:type="dxa" w:w="669"/>
            <w:tcMar>
              <w:top w:w="50" w:type="dxa"/>
              <w:bottom w:w="50" w:type="dxa"/>
              <w:left w:w="90" w:type="dxa"/>
              <w:right w:w="90" w:type="dxa"/>
            </w:tcMar>
          </w:tcPr>
          <w:p>
            <w:pPr>
              <w:pStyle w:val="BDOITable"/>
            </w:pPr>
            <w:r>
              <w:rPr>
                <w:sz w:val="15"/>
              </w:rPr>
              <w:t>1</w:t>
            </w:r>
          </w:p>
        </w:tc>
        <w:tc>
          <w:tcPr>
            <w:tcW w:type="dxa" w:w="1448"/>
            <w:tcMar>
              <w:top w:w="50" w:type="dxa"/>
              <w:bottom w:w="50" w:type="dxa"/>
              <w:left w:w="90" w:type="dxa"/>
              <w:right w:w="90" w:type="dxa"/>
            </w:tcMar>
          </w:tcPr>
          <w:p>
            <w:pPr>
              <w:pStyle w:val="BDOITable"/>
            </w:pPr>
            <w:r>
              <w:rPr>
                <w:sz w:val="15"/>
              </w:rPr>
              <w:t>Go-live date</w:t>
            </w:r>
          </w:p>
        </w:tc>
        <w:tc>
          <w:tcPr>
            <w:tcW w:type="dxa" w:w="5571"/>
            <w:tcMar>
              <w:top w:w="50" w:type="dxa"/>
              <w:bottom w:w="50" w:type="dxa"/>
              <w:left w:w="90" w:type="dxa"/>
              <w:right w:w="90" w:type="dxa"/>
            </w:tcMar>
          </w:tcPr>
          <w:p>
            <w:pPr>
              <w:pStyle w:val="BDOITable"/>
            </w:pPr>
            <w:r>
              <w:rPr>
                <w:sz w:val="15"/>
              </w:rPr>
              <w:t>Which date in January 2028 is T? We propose Monday 3 January 2028, with the legacy freeze after the EOD of Wednesday 29 December 2027 and the legacy December / year-end close completed in legacy before the final extracts. If T is later in January, the migration rule "first business day of a month after a legacy month-end close" (DMQ25) no longer holds and the GL opening needs a January stub period.</w:t>
            </w:r>
          </w:p>
        </w:tc>
        <w:tc>
          <w:tcPr>
            <w:tcW w:type="dxa" w:w="1671"/>
            <w:tcMar>
              <w:top w:w="50" w:type="dxa"/>
              <w:bottom w:w="50" w:type="dxa"/>
              <w:left w:w="90" w:type="dxa"/>
              <w:right w:w="90" w:type="dxa"/>
            </w:tcMar>
          </w:tcPr>
          <w:p>
            <w:pPr>
              <w:pStyle w:val="BDOITable"/>
            </w:pPr>
            <w:r>
              <w:rPr>
                <w:sz w:val="15"/>
              </w:rPr>
              <w:t>Timeline slide; answer A1; DMQ25, DMQ18</w:t>
            </w:r>
          </w:p>
        </w:tc>
      </w:tr>
      <w:tr>
        <w:trPr>
          <w:cantSplit w:val="true"/>
        </w:trPr>
        <w:tc>
          <w:tcPr>
            <w:tcW w:type="dxa" w:w="613"/>
            <w:tcMar>
              <w:top w:w="50" w:type="dxa"/>
              <w:bottom w:w="50" w:type="dxa"/>
              <w:left w:w="90" w:type="dxa"/>
              <w:right w:w="90" w:type="dxa"/>
            </w:tcMar>
            <w:shd w:val="clear" w:color="auto" w:fill="E5F5FF"/>
          </w:tcPr>
          <w:p>
            <w:pPr>
              <w:pStyle w:val="BDOITable"/>
            </w:pPr>
            <w:r>
              <w:rPr>
                <w:b/>
                <w:sz w:val="15"/>
              </w:rPr>
              <w:t>IQ04</w:t>
            </w:r>
          </w:p>
        </w:tc>
        <w:tc>
          <w:tcPr>
            <w:tcW w:type="dxa" w:w="669"/>
            <w:tcMar>
              <w:top w:w="50" w:type="dxa"/>
              <w:bottom w:w="50" w:type="dxa"/>
              <w:left w:w="90" w:type="dxa"/>
              <w:right w:w="90" w:type="dxa"/>
            </w:tcMar>
            <w:shd w:val="clear" w:color="auto" w:fill="E5F5FF"/>
          </w:tcPr>
          <w:p>
            <w:pPr>
              <w:pStyle w:val="BDOITable"/>
            </w:pPr>
            <w:r>
              <w:rPr>
                <w:sz w:val="15"/>
              </w:rPr>
              <w:t>1</w:t>
            </w:r>
          </w:p>
        </w:tc>
        <w:tc>
          <w:tcPr>
            <w:tcW w:type="dxa" w:w="1448"/>
            <w:tcMar>
              <w:top w:w="50" w:type="dxa"/>
              <w:bottom w:w="50" w:type="dxa"/>
              <w:left w:w="90" w:type="dxa"/>
              <w:right w:w="90" w:type="dxa"/>
            </w:tcMar>
            <w:shd w:val="clear" w:color="auto" w:fill="E5F5FF"/>
          </w:tcPr>
          <w:p>
            <w:pPr>
              <w:pStyle w:val="BDOITable"/>
            </w:pPr>
            <w:r>
              <w:rPr>
                <w:sz w:val="15"/>
              </w:rPr>
              <w:t>EIAM (Entra ID)</w:t>
            </w:r>
          </w:p>
        </w:tc>
        <w:tc>
          <w:tcPr>
            <w:tcW w:type="dxa" w:w="5571"/>
            <w:tcMar>
              <w:top w:w="50" w:type="dxa"/>
              <w:bottom w:w="50" w:type="dxa"/>
              <w:left w:w="90" w:type="dxa"/>
              <w:right w:w="90" w:type="dxa"/>
            </w:tcMar>
            <w:shd w:val="clear" w:color="auto" w:fill="E5F5FF"/>
          </w:tcPr>
          <w:p>
            <w:pPr>
              <w:pStyle w:val="BDOITable"/>
            </w:pPr>
            <w:r>
              <w:rPr>
                <w:sz w:val="15"/>
              </w:rPr>
              <w:t>Please confirm OpenID Connect (authorisation code with PKCE) against Entra ID; the claim that identifies the user (UPN, Windows ID or employee number); MFA and conditional access; token and session lifetimes against the 30-minute inactivity rule; whether EIAM replaces EUA (DCR-143); how non-BDO users (if any) sign in; and whether a local break-glass administrator is allowed.</w:t>
            </w:r>
          </w:p>
        </w:tc>
        <w:tc>
          <w:tcPr>
            <w:tcW w:type="dxa" w:w="1671"/>
            <w:tcMar>
              <w:top w:w="50" w:type="dxa"/>
              <w:bottom w:w="50" w:type="dxa"/>
              <w:left w:w="90" w:type="dxa"/>
              <w:right w:w="90" w:type="dxa"/>
            </w:tcMar>
            <w:shd w:val="clear" w:color="auto" w:fill="E5F5FF"/>
          </w:tcPr>
          <w:p>
            <w:pPr>
              <w:pStyle w:val="BDOITable"/>
            </w:pPr>
            <w:r>
              <w:rPr>
                <w:sz w:val="15"/>
              </w:rPr>
              <w:t>Drop plan Drop 0; answer A2; UAM-NFR-11, 17, 19</w:t>
            </w:r>
          </w:p>
        </w:tc>
      </w:tr>
      <w:tr>
        <w:trPr>
          <w:cantSplit w:val="true"/>
        </w:trPr>
        <w:tc>
          <w:tcPr>
            <w:tcW w:type="dxa" w:w="613"/>
            <w:tcMar>
              <w:top w:w="50" w:type="dxa"/>
              <w:bottom w:w="50" w:type="dxa"/>
              <w:left w:w="90" w:type="dxa"/>
              <w:right w:w="90" w:type="dxa"/>
            </w:tcMar>
          </w:tcPr>
          <w:p>
            <w:pPr>
              <w:pStyle w:val="BDOITable"/>
            </w:pPr>
            <w:r>
              <w:rPr>
                <w:b/>
                <w:sz w:val="15"/>
              </w:rPr>
              <w:t>IQ05</w:t>
            </w:r>
          </w:p>
        </w:tc>
        <w:tc>
          <w:tcPr>
            <w:tcW w:type="dxa" w:w="669"/>
            <w:tcMar>
              <w:top w:w="50" w:type="dxa"/>
              <w:bottom w:w="50" w:type="dxa"/>
              <w:left w:w="90" w:type="dxa"/>
              <w:right w:w="90" w:type="dxa"/>
            </w:tcMar>
          </w:tcPr>
          <w:p>
            <w:pPr>
              <w:pStyle w:val="BDOITable"/>
            </w:pPr>
            <w:r>
              <w:rPr>
                <w:sz w:val="15"/>
              </w:rPr>
              <w:t>1</w:t>
            </w:r>
          </w:p>
        </w:tc>
        <w:tc>
          <w:tcPr>
            <w:tcW w:type="dxa" w:w="1448"/>
            <w:tcMar>
              <w:top w:w="50" w:type="dxa"/>
              <w:bottom w:w="50" w:type="dxa"/>
              <w:left w:w="90" w:type="dxa"/>
              <w:right w:w="90" w:type="dxa"/>
            </w:tcMar>
          </w:tcPr>
          <w:p>
            <w:pPr>
              <w:pStyle w:val="BDOITable"/>
            </w:pPr>
            <w:r>
              <w:rPr>
                <w:sz w:val="15"/>
              </w:rPr>
              <w:t>UIDM-ISC (IGA)</w:t>
            </w:r>
          </w:p>
        </w:tc>
        <w:tc>
          <w:tcPr>
            <w:tcW w:type="dxa" w:w="5571"/>
            <w:tcMar>
              <w:top w:w="50" w:type="dxa"/>
              <w:bottom w:w="50" w:type="dxa"/>
              <w:left w:w="90" w:type="dxa"/>
              <w:right w:w="90" w:type="dxa"/>
            </w:tcMar>
          </w:tcPr>
          <w:p>
            <w:pPr>
              <w:pStyle w:val="BDOITable"/>
            </w:pPr>
            <w:r>
              <w:rPr>
                <w:sz w:val="15"/>
              </w:rPr>
              <w:t>Does UIDM-ISC own access requests and approvals, replacing the BRD-11 request workflow in BIBS, or does it only provision approved changes? Which connector (SCIM 2.0, REST, flat file)? Are entitlements the BIBS group profiles (roles) only? Frequency of aggregation and certification; leaver timing.</w:t>
            </w:r>
          </w:p>
        </w:tc>
        <w:tc>
          <w:tcPr>
            <w:tcW w:type="dxa" w:w="1671"/>
            <w:tcMar>
              <w:top w:w="50" w:type="dxa"/>
              <w:bottom w:w="50" w:type="dxa"/>
              <w:left w:w="90" w:type="dxa"/>
              <w:right w:w="90" w:type="dxa"/>
            </w:tcMar>
          </w:tcPr>
          <w:p>
            <w:pPr>
              <w:pStyle w:val="BDOITable"/>
            </w:pPr>
            <w:r>
              <w:rPr>
                <w:sz w:val="15"/>
              </w:rPr>
              <w:t>Drop plan Drop 0; answer A2; BRD-11</w:t>
            </w:r>
          </w:p>
        </w:tc>
      </w:tr>
      <w:tr>
        <w:trPr>
          <w:cantSplit w:val="true"/>
        </w:trPr>
        <w:tc>
          <w:tcPr>
            <w:tcW w:type="dxa" w:w="613"/>
            <w:tcMar>
              <w:top w:w="50" w:type="dxa"/>
              <w:bottom w:w="50" w:type="dxa"/>
              <w:left w:w="90" w:type="dxa"/>
              <w:right w:w="90" w:type="dxa"/>
            </w:tcMar>
            <w:shd w:val="clear" w:color="auto" w:fill="E5F5FF"/>
          </w:tcPr>
          <w:p>
            <w:pPr>
              <w:pStyle w:val="BDOITable"/>
            </w:pPr>
            <w:r>
              <w:rPr>
                <w:b/>
                <w:sz w:val="15"/>
              </w:rPr>
              <w:t>IQ10</w:t>
            </w:r>
          </w:p>
        </w:tc>
        <w:tc>
          <w:tcPr>
            <w:tcW w:type="dxa" w:w="669"/>
            <w:tcMar>
              <w:top w:w="50" w:type="dxa"/>
              <w:bottom w:w="50" w:type="dxa"/>
              <w:left w:w="90" w:type="dxa"/>
              <w:right w:w="90" w:type="dxa"/>
            </w:tcMar>
            <w:shd w:val="clear" w:color="auto" w:fill="E5F5FF"/>
          </w:tcPr>
          <w:p>
            <w:pPr>
              <w:pStyle w:val="BDOITable"/>
            </w:pPr>
            <w:r>
              <w:rPr>
                <w:sz w:val="15"/>
              </w:rPr>
              <w:t>1</w:t>
            </w:r>
          </w:p>
        </w:tc>
        <w:tc>
          <w:tcPr>
            <w:tcW w:type="dxa" w:w="1448"/>
            <w:tcMar>
              <w:top w:w="50" w:type="dxa"/>
              <w:bottom w:w="50" w:type="dxa"/>
              <w:left w:w="90" w:type="dxa"/>
              <w:right w:w="90" w:type="dxa"/>
            </w:tcMar>
            <w:shd w:val="clear" w:color="auto" w:fill="E5F5FF"/>
          </w:tcPr>
          <w:p>
            <w:pPr>
              <w:pStyle w:val="BDOITable"/>
            </w:pPr>
            <w:r>
              <w:rPr>
                <w:sz w:val="15"/>
              </w:rPr>
              <w:t>Bank channels</w:t>
            </w:r>
          </w:p>
        </w:tc>
        <w:tc>
          <w:tcPr>
            <w:tcW w:type="dxa" w:w="5571"/>
            <w:tcMar>
              <w:top w:w="50" w:type="dxa"/>
              <w:bottom w:w="50" w:type="dxa"/>
              <w:left w:w="90" w:type="dxa"/>
              <w:right w:w="90" w:type="dxa"/>
            </w:tcMar>
            <w:shd w:val="clear" w:color="auto" w:fill="E5F5FF"/>
          </w:tcPr>
          <w:p>
            <w:pPr>
              <w:pStyle w:val="BDOITable"/>
            </w:pPr>
            <w:r>
              <w:rPr>
                <w:sz w:val="15"/>
              </w:rPr>
              <w:t>For CMS / New BOB (outward payments), OBPCS (bills payment), Old BOB (SOA funds transfers) and AFTS: file layouts or APIs, host-to-host or user upload, cut-off times, status and debit confirmation. What is AFTS used for? Is ICBS out of scope (struck through)?</w:t>
            </w:r>
          </w:p>
        </w:tc>
        <w:tc>
          <w:tcPr>
            <w:tcW w:type="dxa" w:w="1671"/>
            <w:tcMar>
              <w:top w:w="50" w:type="dxa"/>
              <w:bottom w:w="50" w:type="dxa"/>
              <w:left w:w="90" w:type="dxa"/>
              <w:right w:w="90" w:type="dxa"/>
            </w:tcMar>
            <w:shd w:val="clear" w:color="auto" w:fill="E5F5FF"/>
          </w:tcPr>
          <w:p>
            <w:pPr>
              <w:pStyle w:val="BDOITable"/>
            </w:pPr>
            <w:r>
              <w:rPr>
                <w:sz w:val="15"/>
              </w:rPr>
              <w:t>Drop plan Drop 0; answer A2; AQ09, OQ03</w:t>
            </w:r>
          </w:p>
        </w:tc>
      </w:tr>
      <w:tr>
        <w:trPr>
          <w:cantSplit w:val="true"/>
        </w:trPr>
        <w:tc>
          <w:tcPr>
            <w:tcW w:type="dxa" w:w="613"/>
            <w:tcMar>
              <w:top w:w="50" w:type="dxa"/>
              <w:bottom w:w="50" w:type="dxa"/>
              <w:left w:w="90" w:type="dxa"/>
              <w:right w:w="90" w:type="dxa"/>
            </w:tcMar>
          </w:tcPr>
          <w:p>
            <w:pPr>
              <w:pStyle w:val="BDOITable"/>
            </w:pPr>
            <w:r>
              <w:rPr>
                <w:b/>
                <w:sz w:val="15"/>
              </w:rPr>
              <w:t>IQ15</w:t>
            </w:r>
          </w:p>
        </w:tc>
        <w:tc>
          <w:tcPr>
            <w:tcW w:type="dxa" w:w="669"/>
            <w:tcMar>
              <w:top w:w="50" w:type="dxa"/>
              <w:bottom w:w="50" w:type="dxa"/>
              <w:left w:w="90" w:type="dxa"/>
              <w:right w:w="90" w:type="dxa"/>
            </w:tcMar>
          </w:tcPr>
          <w:p>
            <w:pPr>
              <w:pStyle w:val="BDOITable"/>
            </w:pPr>
            <w:r>
              <w:rPr>
                <w:sz w:val="15"/>
              </w:rPr>
              <w:t>1</w:t>
            </w:r>
          </w:p>
        </w:tc>
        <w:tc>
          <w:tcPr>
            <w:tcW w:type="dxa" w:w="1448"/>
            <w:tcMar>
              <w:top w:w="50" w:type="dxa"/>
              <w:bottom w:w="50" w:type="dxa"/>
              <w:left w:w="90" w:type="dxa"/>
              <w:right w:w="90" w:type="dxa"/>
            </w:tcMar>
          </w:tcPr>
          <w:p>
            <w:pPr>
              <w:pStyle w:val="BDOITable"/>
            </w:pPr>
            <w:r>
              <w:rPr>
                <w:sz w:val="15"/>
              </w:rPr>
              <w:t>EDP (SD 11)</w:t>
            </w:r>
          </w:p>
        </w:tc>
        <w:tc>
          <w:tcPr>
            <w:tcW w:type="dxa" w:w="5571"/>
            <w:tcMar>
              <w:top w:w="50" w:type="dxa"/>
              <w:bottom w:w="50" w:type="dxa"/>
              <w:left w:w="90" w:type="dxa"/>
              <w:right w:w="90" w:type="dxa"/>
            </w:tcMar>
          </w:tcPr>
          <w:p>
            <w:pPr>
              <w:pStyle w:val="BDOITable"/>
            </w:pPr>
            <w:r>
              <w:rPr>
                <w:sz w:val="15"/>
              </w:rPr>
              <w:t>What is SD 11? Which BIBS data does EDP ingest, at what frequency and in which format (files to S3, change-data capture, events)? Masking of personal data?</w:t>
            </w:r>
          </w:p>
        </w:tc>
        <w:tc>
          <w:tcPr>
            <w:tcW w:type="dxa" w:w="1671"/>
            <w:tcMar>
              <w:top w:w="50" w:type="dxa"/>
              <w:bottom w:w="50" w:type="dxa"/>
              <w:left w:w="90" w:type="dxa"/>
              <w:right w:w="90" w:type="dxa"/>
            </w:tcMar>
          </w:tcPr>
          <w:p>
            <w:pPr>
              <w:pStyle w:val="BDOITable"/>
            </w:pPr>
            <w:r>
              <w:rPr>
                <w:sz w:val="15"/>
              </w:rPr>
              <w:t>Drop plan Drop 2; answer A2</w:t>
            </w:r>
          </w:p>
        </w:tc>
      </w:tr>
      <w:tr>
        <w:trPr>
          <w:cantSplit w:val="true"/>
        </w:trPr>
        <w:tc>
          <w:tcPr>
            <w:tcW w:type="dxa" w:w="613"/>
            <w:tcMar>
              <w:top w:w="50" w:type="dxa"/>
              <w:bottom w:w="50" w:type="dxa"/>
              <w:left w:w="90" w:type="dxa"/>
              <w:right w:w="90" w:type="dxa"/>
            </w:tcMar>
            <w:shd w:val="clear" w:color="auto" w:fill="E5F5FF"/>
          </w:tcPr>
          <w:p>
            <w:pPr>
              <w:pStyle w:val="BDOITable"/>
            </w:pPr>
            <w:r>
              <w:rPr>
                <w:b/>
                <w:sz w:val="15"/>
              </w:rPr>
              <w:t>IQ16</w:t>
            </w:r>
          </w:p>
        </w:tc>
        <w:tc>
          <w:tcPr>
            <w:tcW w:type="dxa" w:w="669"/>
            <w:tcMar>
              <w:top w:w="50" w:type="dxa"/>
              <w:bottom w:w="50" w:type="dxa"/>
              <w:left w:w="90" w:type="dxa"/>
              <w:right w:w="90" w:type="dxa"/>
            </w:tcMar>
            <w:shd w:val="clear" w:color="auto" w:fill="E5F5FF"/>
          </w:tcPr>
          <w:p>
            <w:pPr>
              <w:pStyle w:val="BDOITable"/>
            </w:pPr>
            <w:r>
              <w:rPr>
                <w:sz w:val="15"/>
              </w:rPr>
              <w:t>1</w:t>
            </w:r>
          </w:p>
        </w:tc>
        <w:tc>
          <w:tcPr>
            <w:tcW w:type="dxa" w:w="1448"/>
            <w:tcMar>
              <w:top w:w="50" w:type="dxa"/>
              <w:bottom w:w="50" w:type="dxa"/>
              <w:left w:w="90" w:type="dxa"/>
              <w:right w:w="90" w:type="dxa"/>
            </w:tcMar>
            <w:shd w:val="clear" w:color="auto" w:fill="E5F5FF"/>
          </w:tcPr>
          <w:p>
            <w:pPr>
              <w:pStyle w:val="BDOITable"/>
            </w:pPr>
            <w:r>
              <w:rPr>
                <w:sz w:val="15"/>
              </w:rPr>
              <w:t>EGL</w:t>
            </w:r>
          </w:p>
        </w:tc>
        <w:tc>
          <w:tcPr>
            <w:tcW w:type="dxa" w:w="5571"/>
            <w:tcMar>
              <w:top w:w="50" w:type="dxa"/>
              <w:bottom w:w="50" w:type="dxa"/>
              <w:left w:w="90" w:type="dxa"/>
              <w:right w:w="90" w:type="dxa"/>
            </w:tcMar>
            <w:shd w:val="clear" w:color="auto" w:fill="E5F5FF"/>
          </w:tcPr>
          <w:p>
            <w:pPr>
              <w:pStyle w:val="BDOITable"/>
            </w:pPr>
            <w:r>
              <w:rPr>
                <w:sz w:val="15"/>
              </w:rPr>
              <w:t>Does EGL take journal detail or balances, daily or monthly? Mapping of the BIBS chart to EGL accounts and segments, currency handling, layout and transport, reconciliation owner; relation to the GARD submission (AQ31).</w:t>
            </w:r>
          </w:p>
        </w:tc>
        <w:tc>
          <w:tcPr>
            <w:tcW w:type="dxa" w:w="1671"/>
            <w:tcMar>
              <w:top w:w="50" w:type="dxa"/>
              <w:bottom w:w="50" w:type="dxa"/>
              <w:left w:w="90" w:type="dxa"/>
              <w:right w:w="90" w:type="dxa"/>
            </w:tcMar>
            <w:shd w:val="clear" w:color="auto" w:fill="E5F5FF"/>
          </w:tcPr>
          <w:p>
            <w:pPr>
              <w:pStyle w:val="BDOITable"/>
            </w:pPr>
            <w:r>
              <w:rPr>
                <w:sz w:val="15"/>
              </w:rPr>
              <w:t>Drop plan Drop 2; answer A2</w:t>
            </w:r>
          </w:p>
        </w:tc>
      </w:tr>
      <w:tr>
        <w:trPr>
          <w:cantSplit w:val="true"/>
        </w:trPr>
        <w:tc>
          <w:tcPr>
            <w:tcW w:type="dxa" w:w="613"/>
            <w:tcMar>
              <w:top w:w="50" w:type="dxa"/>
              <w:bottom w:w="50" w:type="dxa"/>
              <w:left w:w="90" w:type="dxa"/>
              <w:right w:w="90" w:type="dxa"/>
            </w:tcMar>
          </w:tcPr>
          <w:p>
            <w:pPr>
              <w:pStyle w:val="BDOITable"/>
            </w:pPr>
            <w:r>
              <w:rPr>
                <w:b/>
                <w:sz w:val="15"/>
              </w:rPr>
              <w:t>IQ20</w:t>
            </w:r>
          </w:p>
        </w:tc>
        <w:tc>
          <w:tcPr>
            <w:tcW w:type="dxa" w:w="669"/>
            <w:tcMar>
              <w:top w:w="50" w:type="dxa"/>
              <w:bottom w:w="50" w:type="dxa"/>
              <w:left w:w="90" w:type="dxa"/>
              <w:right w:w="90" w:type="dxa"/>
            </w:tcMar>
          </w:tcPr>
          <w:p>
            <w:pPr>
              <w:pStyle w:val="BDOITable"/>
            </w:pPr>
            <w:r>
              <w:rPr>
                <w:sz w:val="15"/>
              </w:rPr>
              <w:t>1</w:t>
            </w:r>
          </w:p>
        </w:tc>
        <w:tc>
          <w:tcPr>
            <w:tcW w:type="dxa" w:w="1448"/>
            <w:tcMar>
              <w:top w:w="50" w:type="dxa"/>
              <w:bottom w:w="50" w:type="dxa"/>
              <w:left w:w="90" w:type="dxa"/>
              <w:right w:w="90" w:type="dxa"/>
            </w:tcMar>
          </w:tcPr>
          <w:p>
            <w:pPr>
              <w:pStyle w:val="BDOITable"/>
            </w:pPr>
            <w:r>
              <w:rPr>
                <w:sz w:val="15"/>
              </w:rPr>
              <w:t>Reinsurance transactions in Remittance</w:t>
            </w:r>
          </w:p>
        </w:tc>
        <w:tc>
          <w:tcPr>
            <w:tcW w:type="dxa" w:w="5571"/>
            <w:tcMar>
              <w:top w:w="50" w:type="dxa"/>
              <w:bottom w:w="50" w:type="dxa"/>
              <w:left w:w="90" w:type="dxa"/>
              <w:right w:w="90" w:type="dxa"/>
            </w:tcMar>
          </w:tcPr>
          <w:p>
            <w:pPr>
              <w:pStyle w:val="BDOITable"/>
            </w:pPr>
            <w:r>
              <w:rPr>
                <w:sz w:val="15"/>
              </w:rPr>
              <w:t>Which reinsurance transactions does Remittance handle in Drop 1 (premium received from cedants and remitted to reinsurers, RI claims recoveries), with which accounting? Please send the "Operations BRD (Remittance Addendum)" and "(Cashiering Addendum)" named on the slide.</w:t>
            </w:r>
          </w:p>
        </w:tc>
        <w:tc>
          <w:tcPr>
            <w:tcW w:type="dxa" w:w="1671"/>
            <w:tcMar>
              <w:top w:w="50" w:type="dxa"/>
              <w:bottom w:w="50" w:type="dxa"/>
              <w:left w:w="90" w:type="dxa"/>
              <w:right w:w="90" w:type="dxa"/>
            </w:tcMar>
          </w:tcPr>
          <w:p>
            <w:pPr>
              <w:pStyle w:val="BDOITable"/>
            </w:pPr>
            <w:r>
              <w:rPr>
                <w:sz w:val="15"/>
              </w:rPr>
              <w:t>Drop plan 1.D2, 1.D3; answer A3</w:t>
            </w:r>
          </w:p>
        </w:tc>
      </w:tr>
      <w:tr>
        <w:trPr>
          <w:cantSplit w:val="true"/>
        </w:trPr>
        <w:tc>
          <w:tcPr>
            <w:tcW w:type="dxa" w:w="613"/>
            <w:tcMar>
              <w:top w:w="50" w:type="dxa"/>
              <w:bottom w:w="50" w:type="dxa"/>
              <w:left w:w="90" w:type="dxa"/>
              <w:right w:w="90" w:type="dxa"/>
            </w:tcMar>
            <w:shd w:val="clear" w:color="auto" w:fill="E5F5FF"/>
          </w:tcPr>
          <w:p>
            <w:pPr>
              <w:pStyle w:val="BDOITable"/>
            </w:pPr>
            <w:r>
              <w:rPr>
                <w:b/>
                <w:sz w:val="15"/>
              </w:rPr>
              <w:t>IQ22</w:t>
            </w:r>
          </w:p>
        </w:tc>
        <w:tc>
          <w:tcPr>
            <w:tcW w:type="dxa" w:w="669"/>
            <w:tcMar>
              <w:top w:w="50" w:type="dxa"/>
              <w:bottom w:w="50" w:type="dxa"/>
              <w:left w:w="90" w:type="dxa"/>
              <w:right w:w="90" w:type="dxa"/>
            </w:tcMar>
            <w:shd w:val="clear" w:color="auto" w:fill="E5F5FF"/>
          </w:tcPr>
          <w:p>
            <w:pPr>
              <w:pStyle w:val="BDOITable"/>
            </w:pPr>
            <w:r>
              <w:rPr>
                <w:sz w:val="15"/>
              </w:rPr>
              <w:t>1</w:t>
            </w:r>
          </w:p>
        </w:tc>
        <w:tc>
          <w:tcPr>
            <w:tcW w:type="dxa" w:w="1448"/>
            <w:tcMar>
              <w:top w:w="50" w:type="dxa"/>
              <w:bottom w:w="50" w:type="dxa"/>
              <w:left w:w="90" w:type="dxa"/>
              <w:right w:w="90" w:type="dxa"/>
            </w:tcMar>
            <w:shd w:val="clear" w:color="auto" w:fill="E5F5FF"/>
          </w:tcPr>
          <w:p>
            <w:pPr>
              <w:pStyle w:val="BDOITable"/>
            </w:pPr>
            <w:r>
              <w:rPr>
                <w:sz w:val="15"/>
              </w:rPr>
              <w:t>Employee Benefits without portal</w:t>
            </w:r>
          </w:p>
        </w:tc>
        <w:tc>
          <w:tcPr>
            <w:tcW w:type="dxa" w:w="5571"/>
            <w:tcMar>
              <w:top w:w="50" w:type="dxa"/>
              <w:bottom w:w="50" w:type="dxa"/>
              <w:left w:w="90" w:type="dxa"/>
              <w:right w:w="90" w:type="dxa"/>
            </w:tcMar>
            <w:shd w:val="clear" w:color="auto" w:fill="E5F5FF"/>
          </w:tcPr>
          <w:p>
            <w:pPr>
              <w:pStyle w:val="BDOITable"/>
            </w:pPr>
            <w:r>
              <w:rPr>
                <w:sz w:val="15"/>
              </w:rPr>
              <w:t>Please confirm that insurers and client HR send EB documents by e-mail and BDOI users upload them (BRID-005, 005.01, 014 changed), and that EB placement (Drop 1) uses the NB placement screens.</w:t>
            </w:r>
          </w:p>
        </w:tc>
        <w:tc>
          <w:tcPr>
            <w:tcW w:type="dxa" w:w="1671"/>
            <w:tcMar>
              <w:top w:w="50" w:type="dxa"/>
              <w:bottom w:w="50" w:type="dxa"/>
              <w:left w:w="90" w:type="dxa"/>
              <w:right w:w="90" w:type="dxa"/>
            </w:tcMar>
            <w:shd w:val="clear" w:color="auto" w:fill="E5F5FF"/>
          </w:tcPr>
          <w:p>
            <w:pPr>
              <w:pStyle w:val="BDOITable"/>
            </w:pPr>
            <w:r>
              <w:rPr>
                <w:sz w:val="15"/>
              </w:rPr>
              <w:t>Drop plan 2.4, 1.U6; BRD-8</w:t>
            </w:r>
          </w:p>
        </w:tc>
      </w:tr>
      <w:tr>
        <w:trPr>
          <w:cantSplit w:val="true"/>
        </w:trPr>
        <w:tc>
          <w:tcPr>
            <w:tcW w:type="dxa" w:w="613"/>
            <w:tcMar>
              <w:top w:w="50" w:type="dxa"/>
              <w:bottom w:w="50" w:type="dxa"/>
              <w:left w:w="90" w:type="dxa"/>
              <w:right w:w="90" w:type="dxa"/>
            </w:tcMar>
          </w:tcPr>
          <w:p>
            <w:pPr>
              <w:pStyle w:val="BDOITable"/>
            </w:pPr>
            <w:r>
              <w:rPr>
                <w:b/>
                <w:sz w:val="15"/>
              </w:rPr>
              <w:t>IQ25</w:t>
            </w:r>
          </w:p>
        </w:tc>
        <w:tc>
          <w:tcPr>
            <w:tcW w:type="dxa" w:w="669"/>
            <w:tcMar>
              <w:top w:w="50" w:type="dxa"/>
              <w:bottom w:w="50" w:type="dxa"/>
              <w:left w:w="90" w:type="dxa"/>
              <w:right w:w="90" w:type="dxa"/>
            </w:tcMar>
          </w:tcPr>
          <w:p>
            <w:pPr>
              <w:pStyle w:val="BDOITable"/>
            </w:pPr>
            <w:r>
              <w:rPr>
                <w:sz w:val="15"/>
              </w:rPr>
              <w:t>1</w:t>
            </w:r>
          </w:p>
        </w:tc>
        <w:tc>
          <w:tcPr>
            <w:tcW w:type="dxa" w:w="1448"/>
            <w:tcMar>
              <w:top w:w="50" w:type="dxa"/>
              <w:bottom w:w="50" w:type="dxa"/>
              <w:left w:w="90" w:type="dxa"/>
              <w:right w:w="90" w:type="dxa"/>
            </w:tcMar>
          </w:tcPr>
          <w:p>
            <w:pPr>
              <w:pStyle w:val="BDOITable"/>
            </w:pPr>
            <w:r>
              <w:rPr>
                <w:sz w:val="15"/>
              </w:rPr>
              <w:t>Architecture in the IER</w:t>
            </w:r>
          </w:p>
        </w:tc>
        <w:tc>
          <w:tcPr>
            <w:tcW w:type="dxa" w:w="5571"/>
            <w:tcMar>
              <w:top w:w="50" w:type="dxa"/>
              <w:bottom w:w="50" w:type="dxa"/>
              <w:left w:w="90" w:type="dxa"/>
              <w:right w:w="90" w:type="dxa"/>
            </w:tcMar>
          </w:tcPr>
          <w:p>
            <w:pPr>
              <w:pStyle w:val="BDOITable"/>
            </w:pPr>
            <w:r>
              <w:rPr>
                <w:sz w:val="15"/>
              </w:rPr>
              <w:t>Please confirm that the IER describes BIBS as built: one backend (modular monolith) and one frontend on EKS, RDS PostgreSQL 16, ElastiCache Redis 7, MSK Kafka, S3; not the ten bv-* microservices, Aurora / MongoDB, Istio / OPA or EventBridge. Which edge is the BDO standard: ALB + WAF, CloudFront, Apigee X?</w:t>
            </w:r>
          </w:p>
        </w:tc>
        <w:tc>
          <w:tcPr>
            <w:tcW w:type="dxa" w:w="1671"/>
            <w:tcMar>
              <w:top w:w="50" w:type="dxa"/>
              <w:bottom w:w="50" w:type="dxa"/>
              <w:left w:w="90" w:type="dxa"/>
              <w:right w:w="90" w:type="dxa"/>
            </w:tcMar>
          </w:tcPr>
          <w:p>
            <w:pPr>
              <w:pStyle w:val="BDOITable"/>
            </w:pPr>
            <w:r>
              <w:rPr>
                <w:sz w:val="15"/>
              </w:rPr>
              <w:t>IER Architecture Diagram, K8s sheets</w:t>
            </w:r>
          </w:p>
        </w:tc>
      </w:tr>
      <w:tr>
        <w:trPr>
          <w:cantSplit w:val="true"/>
        </w:trPr>
        <w:tc>
          <w:tcPr>
            <w:tcW w:type="dxa" w:w="613"/>
            <w:tcMar>
              <w:top w:w="50" w:type="dxa"/>
              <w:bottom w:w="50" w:type="dxa"/>
              <w:left w:w="90" w:type="dxa"/>
              <w:right w:w="90" w:type="dxa"/>
            </w:tcMar>
            <w:shd w:val="clear" w:color="auto" w:fill="E5F5FF"/>
          </w:tcPr>
          <w:p>
            <w:pPr>
              <w:pStyle w:val="BDOITable"/>
            </w:pPr>
            <w:r>
              <w:rPr>
                <w:b/>
                <w:sz w:val="15"/>
              </w:rPr>
              <w:t>IQ26</w:t>
            </w:r>
          </w:p>
        </w:tc>
        <w:tc>
          <w:tcPr>
            <w:tcW w:type="dxa" w:w="669"/>
            <w:tcMar>
              <w:top w:w="50" w:type="dxa"/>
              <w:bottom w:w="50" w:type="dxa"/>
              <w:left w:w="90" w:type="dxa"/>
              <w:right w:w="90" w:type="dxa"/>
            </w:tcMar>
            <w:shd w:val="clear" w:color="auto" w:fill="E5F5FF"/>
          </w:tcPr>
          <w:p>
            <w:pPr>
              <w:pStyle w:val="BDOITable"/>
            </w:pPr>
            <w:r>
              <w:rPr>
                <w:sz w:val="15"/>
              </w:rPr>
              <w:t>1</w:t>
            </w:r>
          </w:p>
        </w:tc>
        <w:tc>
          <w:tcPr>
            <w:tcW w:type="dxa" w:w="1448"/>
            <w:tcMar>
              <w:top w:w="50" w:type="dxa"/>
              <w:bottom w:w="50" w:type="dxa"/>
              <w:left w:w="90" w:type="dxa"/>
              <w:right w:w="90" w:type="dxa"/>
            </w:tcMar>
            <w:shd w:val="clear" w:color="auto" w:fill="E5F5FF"/>
          </w:tcPr>
          <w:p>
            <w:pPr>
              <w:pStyle w:val="BDOITable"/>
            </w:pPr>
            <w:r>
              <w:rPr>
                <w:sz w:val="15"/>
              </w:rPr>
              <w:t>Disaster recovery</w:t>
            </w:r>
          </w:p>
        </w:tc>
        <w:tc>
          <w:tcPr>
            <w:tcW w:type="dxa" w:w="5571"/>
            <w:tcMar>
              <w:top w:w="50" w:type="dxa"/>
              <w:bottom w:w="50" w:type="dxa"/>
              <w:left w:w="90" w:type="dxa"/>
              <w:right w:w="90" w:type="dxa"/>
            </w:tcMar>
            <w:shd w:val="clear" w:color="auto" w:fill="E5F5FF"/>
          </w:tcPr>
          <w:p>
            <w:pPr>
              <w:pStyle w:val="BDOITable"/>
            </w:pPr>
            <w:r>
              <w:rPr>
                <w:sz w:val="15"/>
              </w:rPr>
              <w:t>Which region hosts DR (the HW sheet says cross-region read replica; the diagram says ap-southeast-1 warm standby)? Does data residency allow a second region? DR drill frequency?</w:t>
            </w:r>
          </w:p>
        </w:tc>
        <w:tc>
          <w:tcPr>
            <w:tcW w:type="dxa" w:w="1671"/>
            <w:tcMar>
              <w:top w:w="50" w:type="dxa"/>
              <w:bottom w:w="50" w:type="dxa"/>
              <w:left w:w="90" w:type="dxa"/>
              <w:right w:w="90" w:type="dxa"/>
            </w:tcMar>
            <w:shd w:val="clear" w:color="auto" w:fill="E5F5FF"/>
          </w:tcPr>
          <w:p>
            <w:pPr>
              <w:pStyle w:val="BDOITable"/>
            </w:pPr>
            <w:r>
              <w:rPr>
                <w:sz w:val="15"/>
              </w:rPr>
              <w:t>IER HW &amp; SW Requirements; hosting appendix; DCR-135</w:t>
            </w:r>
          </w:p>
        </w:tc>
      </w:tr>
      <w:tr>
        <w:trPr>
          <w:cantSplit w:val="true"/>
        </w:trPr>
        <w:tc>
          <w:tcPr>
            <w:tcW w:type="dxa" w:w="613"/>
            <w:tcMar>
              <w:top w:w="50" w:type="dxa"/>
              <w:bottom w:w="50" w:type="dxa"/>
              <w:left w:w="90" w:type="dxa"/>
              <w:right w:w="90" w:type="dxa"/>
            </w:tcMar>
          </w:tcPr>
          <w:p>
            <w:pPr>
              <w:pStyle w:val="BDOITable"/>
            </w:pPr>
            <w:r>
              <w:rPr>
                <w:b/>
                <w:sz w:val="15"/>
              </w:rPr>
              <w:t>IQ31</w:t>
            </w:r>
          </w:p>
        </w:tc>
        <w:tc>
          <w:tcPr>
            <w:tcW w:type="dxa" w:w="669"/>
            <w:tcMar>
              <w:top w:w="50" w:type="dxa"/>
              <w:bottom w:w="50" w:type="dxa"/>
              <w:left w:w="90" w:type="dxa"/>
              <w:right w:w="90" w:type="dxa"/>
            </w:tcMar>
          </w:tcPr>
          <w:p>
            <w:pPr>
              <w:pStyle w:val="BDOITable"/>
            </w:pPr>
            <w:r>
              <w:rPr>
                <w:sz w:val="15"/>
              </w:rPr>
              <w:t>1</w:t>
            </w:r>
          </w:p>
        </w:tc>
        <w:tc>
          <w:tcPr>
            <w:tcW w:type="dxa" w:w="1448"/>
            <w:tcMar>
              <w:top w:w="50" w:type="dxa"/>
              <w:bottom w:w="50" w:type="dxa"/>
              <w:left w:w="90" w:type="dxa"/>
              <w:right w:w="90" w:type="dxa"/>
            </w:tcMar>
          </w:tcPr>
          <w:p>
            <w:pPr>
              <w:pStyle w:val="BDOITable"/>
            </w:pPr>
            <w:r>
              <w:rPr>
                <w:sz w:val="15"/>
              </w:rPr>
              <w:t>S3 document store</w:t>
            </w:r>
          </w:p>
        </w:tc>
        <w:tc>
          <w:tcPr>
            <w:tcW w:type="dxa" w:w="5571"/>
            <w:tcMar>
              <w:top w:w="50" w:type="dxa"/>
              <w:bottom w:w="50" w:type="dxa"/>
              <w:left w:w="90" w:type="dxa"/>
              <w:right w:w="90" w:type="dxa"/>
            </w:tcMar>
          </w:tcPr>
          <w:p>
            <w:pPr>
              <w:pStyle w:val="BDOITable"/>
            </w:pPr>
            <w:r>
              <w:rPr>
                <w:sz w:val="15"/>
              </w:rPr>
              <w:t>Please confirm the five decisions of DOCUMENT_STORAGE_DECISION.md section 5: option C with 5-minute presigned links (or option B, streaming through BIBS); the malware scanning service; Object Lock mode and the records under legal hold; KMS key ownership and rotation; whether ECM receives copies of any record class. Also the bucket account and the DR region for replication.</w:t>
            </w:r>
          </w:p>
        </w:tc>
        <w:tc>
          <w:tcPr>
            <w:tcW w:type="dxa" w:w="1671"/>
            <w:tcMar>
              <w:top w:w="50" w:type="dxa"/>
              <w:bottom w:w="50" w:type="dxa"/>
              <w:left w:w="90" w:type="dxa"/>
              <w:right w:w="90" w:type="dxa"/>
            </w:tcMar>
          </w:tcPr>
          <w:p>
            <w:pPr>
              <w:pStyle w:val="BDOITable"/>
            </w:pPr>
            <w:r>
              <w:rPr>
                <w:sz w:val="15"/>
              </w:rPr>
              <w:t>Answer A4; DOCUMENT_STORAGE_DECISION.md</w:t>
            </w:r>
          </w:p>
        </w:tc>
      </w:tr>
      <w:tr>
        <w:trPr>
          <w:cantSplit w:val="true"/>
        </w:trPr>
        <w:tc>
          <w:tcPr>
            <w:tcW w:type="dxa" w:w="613"/>
            <w:tcMar>
              <w:top w:w="50" w:type="dxa"/>
              <w:bottom w:w="50" w:type="dxa"/>
              <w:left w:w="90" w:type="dxa"/>
              <w:right w:w="90" w:type="dxa"/>
            </w:tcMar>
            <w:shd w:val="clear" w:color="auto" w:fill="E5F5FF"/>
          </w:tcPr>
          <w:p>
            <w:pPr>
              <w:pStyle w:val="BDOITable"/>
            </w:pPr>
            <w:r>
              <w:rPr>
                <w:b/>
                <w:sz w:val="15"/>
              </w:rPr>
              <w:t>IQ02</w:t>
            </w:r>
          </w:p>
        </w:tc>
        <w:tc>
          <w:tcPr>
            <w:tcW w:type="dxa" w:w="669"/>
            <w:tcMar>
              <w:top w:w="50" w:type="dxa"/>
              <w:bottom w:w="50" w:type="dxa"/>
              <w:left w:w="90" w:type="dxa"/>
              <w:right w:w="90" w:type="dxa"/>
            </w:tcMar>
            <w:shd w:val="clear" w:color="auto" w:fill="E5F5FF"/>
          </w:tcPr>
          <w:p>
            <w:pPr>
              <w:pStyle w:val="BDOITable"/>
            </w:pPr>
            <w:r>
              <w:rPr>
                <w:sz w:val="15"/>
              </w:rPr>
              <w:t>2</w:t>
            </w:r>
          </w:p>
        </w:tc>
        <w:tc>
          <w:tcPr>
            <w:tcW w:type="dxa" w:w="1448"/>
            <w:tcMar>
              <w:top w:w="50" w:type="dxa"/>
              <w:bottom w:w="50" w:type="dxa"/>
              <w:left w:w="90" w:type="dxa"/>
              <w:right w:w="90" w:type="dxa"/>
            </w:tcMar>
            <w:shd w:val="clear" w:color="auto" w:fill="E5F5FF"/>
          </w:tcPr>
          <w:p>
            <w:pPr>
              <w:pStyle w:val="BDOITable"/>
            </w:pPr>
            <w:r>
              <w:rPr>
                <w:sz w:val="15"/>
              </w:rPr>
              <w:t>Renewals around cut-over</w:t>
            </w:r>
          </w:p>
        </w:tc>
        <w:tc>
          <w:tcPr>
            <w:tcW w:type="dxa" w:w="5571"/>
            <w:tcMar>
              <w:top w:w="50" w:type="dxa"/>
              <w:bottom w:w="50" w:type="dxa"/>
              <w:left w:w="90" w:type="dxa"/>
              <w:right w:w="90" w:type="dxa"/>
            </w:tcMar>
            <w:shd w:val="clear" w:color="auto" w:fill="E5F5FF"/>
          </w:tcPr>
          <w:p>
            <w:pPr>
              <w:pStyle w:val="BDOITable"/>
            </w:pPr>
            <w:r>
              <w:rPr>
                <w:sz w:val="15"/>
              </w:rPr>
              <w:t>With the early renewal release withdrawn, please confirm that (a) legacy extracts, disposes, places and books all renewals up to T, (b) the RMEL cohorts expiring from T to T+140 days are carried forward into BIBS with their disposition (object P03), and (c) renewals expiring between the freeze and T are placed in legacy before the freeze or covered by hold covers.</w:t>
            </w:r>
          </w:p>
        </w:tc>
        <w:tc>
          <w:tcPr>
            <w:tcW w:type="dxa" w:w="1671"/>
            <w:tcMar>
              <w:top w:w="50" w:type="dxa"/>
              <w:bottom w:w="50" w:type="dxa"/>
              <w:left w:w="90" w:type="dxa"/>
              <w:right w:w="90" w:type="dxa"/>
            </w:tcMar>
            <w:shd w:val="clear" w:color="auto" w:fill="E5F5FF"/>
          </w:tcPr>
          <w:p>
            <w:pPr>
              <w:pStyle w:val="BDOITable"/>
            </w:pPr>
            <w:r>
              <w:rPr>
                <w:sz w:val="15"/>
              </w:rPr>
              <w:t>Concept paper (superseded); answer A1; DMQ26</w:t>
            </w:r>
          </w:p>
        </w:tc>
      </w:tr>
      <w:tr>
        <w:trPr>
          <w:cantSplit w:val="true"/>
        </w:trPr>
        <w:tc>
          <w:tcPr>
            <w:tcW w:type="dxa" w:w="613"/>
            <w:tcMar>
              <w:top w:w="50" w:type="dxa"/>
              <w:bottom w:w="50" w:type="dxa"/>
              <w:left w:w="90" w:type="dxa"/>
              <w:right w:w="90" w:type="dxa"/>
            </w:tcMar>
          </w:tcPr>
          <w:p>
            <w:pPr>
              <w:pStyle w:val="BDOITable"/>
            </w:pPr>
            <w:r>
              <w:rPr>
                <w:b/>
                <w:sz w:val="15"/>
              </w:rPr>
              <w:t>IQ03</w:t>
            </w:r>
          </w:p>
        </w:tc>
        <w:tc>
          <w:tcPr>
            <w:tcW w:type="dxa" w:w="669"/>
            <w:tcMar>
              <w:top w:w="50" w:type="dxa"/>
              <w:bottom w:w="50" w:type="dxa"/>
              <w:left w:w="90" w:type="dxa"/>
              <w:right w:w="90" w:type="dxa"/>
            </w:tcMar>
          </w:tcPr>
          <w:p>
            <w:pPr>
              <w:pStyle w:val="BDOITable"/>
            </w:pPr>
            <w:r>
              <w:rPr>
                <w:sz w:val="15"/>
              </w:rPr>
              <w:t>2</w:t>
            </w:r>
          </w:p>
        </w:tc>
        <w:tc>
          <w:tcPr>
            <w:tcW w:type="dxa" w:w="1448"/>
            <w:tcMar>
              <w:top w:w="50" w:type="dxa"/>
              <w:bottom w:w="50" w:type="dxa"/>
              <w:left w:w="90" w:type="dxa"/>
              <w:right w:w="90" w:type="dxa"/>
            </w:tcMar>
          </w:tcPr>
          <w:p>
            <w:pPr>
              <w:pStyle w:val="BDOITable"/>
            </w:pPr>
            <w:r>
              <w:rPr>
                <w:sz w:val="15"/>
              </w:rPr>
              <w:t>Package remapping</w:t>
            </w:r>
          </w:p>
        </w:tc>
        <w:tc>
          <w:tcPr>
            <w:tcW w:type="dxa" w:w="5571"/>
            <w:tcMar>
              <w:top w:w="50" w:type="dxa"/>
              <w:bottom w:w="50" w:type="dxa"/>
              <w:left w:w="90" w:type="dxa"/>
              <w:right w:w="90" w:type="dxa"/>
            </w:tcMar>
          </w:tcPr>
          <w:p>
            <w:pPr>
              <w:pStyle w:val="BDOITable"/>
            </w:pPr>
            <w:r>
              <w:rPr>
                <w:sz w:val="15"/>
              </w:rPr>
              <w:t>Who owns the remapping of legacy package names to BIBS packages, and where does it happen? We recommend a versioned PACKAGE code map applied at migration intake, plus a renewal sanitation check that sends unmapped or retired packages to Review for TSU.</w:t>
            </w:r>
          </w:p>
        </w:tc>
        <w:tc>
          <w:tcPr>
            <w:tcW w:type="dxa" w:w="1671"/>
            <w:tcMar>
              <w:top w:w="50" w:type="dxa"/>
              <w:bottom w:w="50" w:type="dxa"/>
              <w:left w:w="90" w:type="dxa"/>
              <w:right w:w="90" w:type="dxa"/>
            </w:tcMar>
          </w:tcPr>
          <w:p>
            <w:pPr>
              <w:pStyle w:val="BDOITable"/>
            </w:pPr>
            <w:r>
              <w:rPr>
                <w:sz w:val="15"/>
              </w:rPr>
              <w:t>Concept paper VII, VIII, Annex C</w:t>
            </w:r>
          </w:p>
        </w:tc>
      </w:tr>
      <w:tr>
        <w:trPr>
          <w:cantSplit w:val="true"/>
        </w:trPr>
        <w:tc>
          <w:tcPr>
            <w:tcW w:type="dxa" w:w="613"/>
            <w:tcMar>
              <w:top w:w="50" w:type="dxa"/>
              <w:bottom w:w="50" w:type="dxa"/>
              <w:left w:w="90" w:type="dxa"/>
              <w:right w:w="90" w:type="dxa"/>
            </w:tcMar>
            <w:shd w:val="clear" w:color="auto" w:fill="E5F5FF"/>
          </w:tcPr>
          <w:p>
            <w:pPr>
              <w:pStyle w:val="BDOITable"/>
            </w:pPr>
            <w:r>
              <w:rPr>
                <w:b/>
                <w:sz w:val="15"/>
              </w:rPr>
              <w:t>IQ06</w:t>
            </w:r>
          </w:p>
        </w:tc>
        <w:tc>
          <w:tcPr>
            <w:tcW w:type="dxa" w:w="669"/>
            <w:tcMar>
              <w:top w:w="50" w:type="dxa"/>
              <w:bottom w:w="50" w:type="dxa"/>
              <w:left w:w="90" w:type="dxa"/>
              <w:right w:w="90" w:type="dxa"/>
            </w:tcMar>
            <w:shd w:val="clear" w:color="auto" w:fill="E5F5FF"/>
          </w:tcPr>
          <w:p>
            <w:pPr>
              <w:pStyle w:val="BDOITable"/>
            </w:pPr>
            <w:r>
              <w:rPr>
                <w:sz w:val="15"/>
              </w:rPr>
              <w:t>2</w:t>
            </w:r>
          </w:p>
        </w:tc>
        <w:tc>
          <w:tcPr>
            <w:tcW w:type="dxa" w:w="1448"/>
            <w:tcMar>
              <w:top w:w="50" w:type="dxa"/>
              <w:bottom w:w="50" w:type="dxa"/>
              <w:left w:w="90" w:type="dxa"/>
              <w:right w:w="90" w:type="dxa"/>
            </w:tcMar>
            <w:shd w:val="clear" w:color="auto" w:fill="E5F5FF"/>
          </w:tcPr>
          <w:p>
            <w:pPr>
              <w:pStyle w:val="BDOITable"/>
            </w:pPr>
            <w:r>
              <w:rPr>
                <w:sz w:val="15"/>
              </w:rPr>
              <w:t>LMS</w:t>
            </w:r>
          </w:p>
        </w:tc>
        <w:tc>
          <w:tcPr>
            <w:tcW w:type="dxa" w:w="5571"/>
            <w:tcMar>
              <w:top w:w="50" w:type="dxa"/>
              <w:bottom w:w="50" w:type="dxa"/>
              <w:left w:w="90" w:type="dxa"/>
              <w:right w:w="90" w:type="dxa"/>
            </w:tcMar>
            <w:shd w:val="clear" w:color="auto" w:fill="E5F5FF"/>
          </w:tcPr>
          <w:p>
            <w:pPr>
              <w:pStyle w:val="BDOITable"/>
            </w:pPr>
            <w:r>
              <w:rPr>
                <w:sz w:val="15"/>
              </w:rPr>
              <w:t>Which LMS data does BIBS receive (paid-off and RMU loans for renewal, loan snapshot for Submitted Policies, CLPC loan credits), in which layout, how often and by which transport? Is LMS the system behind the LAMD reports?</w:t>
            </w:r>
          </w:p>
        </w:tc>
        <w:tc>
          <w:tcPr>
            <w:tcW w:type="dxa" w:w="1671"/>
            <w:tcMar>
              <w:top w:w="50" w:type="dxa"/>
              <w:bottom w:w="50" w:type="dxa"/>
              <w:left w:w="90" w:type="dxa"/>
              <w:right w:w="90" w:type="dxa"/>
            </w:tcMar>
            <w:shd w:val="clear" w:color="auto" w:fill="E5F5FF"/>
          </w:tcPr>
          <w:p>
            <w:pPr>
              <w:pStyle w:val="BDOITable"/>
            </w:pPr>
            <w:r>
              <w:rPr>
                <w:sz w:val="15"/>
              </w:rPr>
              <w:t>Answer A2; BRRN.029; SP-SQ06</w:t>
            </w:r>
          </w:p>
        </w:tc>
      </w:tr>
      <w:tr>
        <w:trPr>
          <w:cantSplit w:val="true"/>
        </w:trPr>
        <w:tc>
          <w:tcPr>
            <w:tcW w:type="dxa" w:w="613"/>
            <w:tcMar>
              <w:top w:w="50" w:type="dxa"/>
              <w:bottom w:w="50" w:type="dxa"/>
              <w:left w:w="90" w:type="dxa"/>
              <w:right w:w="90" w:type="dxa"/>
            </w:tcMar>
          </w:tcPr>
          <w:p>
            <w:pPr>
              <w:pStyle w:val="BDOITable"/>
            </w:pPr>
            <w:r>
              <w:rPr>
                <w:b/>
                <w:sz w:val="15"/>
              </w:rPr>
              <w:t>IQ07</w:t>
            </w:r>
          </w:p>
        </w:tc>
        <w:tc>
          <w:tcPr>
            <w:tcW w:type="dxa" w:w="669"/>
            <w:tcMar>
              <w:top w:w="50" w:type="dxa"/>
              <w:bottom w:w="50" w:type="dxa"/>
              <w:left w:w="90" w:type="dxa"/>
              <w:right w:w="90" w:type="dxa"/>
            </w:tcMar>
          </w:tcPr>
          <w:p>
            <w:pPr>
              <w:pStyle w:val="BDOITable"/>
            </w:pPr>
            <w:r>
              <w:rPr>
                <w:sz w:val="15"/>
              </w:rPr>
              <w:t>2</w:t>
            </w:r>
          </w:p>
        </w:tc>
        <w:tc>
          <w:tcPr>
            <w:tcW w:type="dxa" w:w="1448"/>
            <w:tcMar>
              <w:top w:w="50" w:type="dxa"/>
              <w:bottom w:w="50" w:type="dxa"/>
              <w:left w:w="90" w:type="dxa"/>
              <w:right w:w="90" w:type="dxa"/>
            </w:tcMar>
          </w:tcPr>
          <w:p>
            <w:pPr>
              <w:pStyle w:val="BDOITable"/>
            </w:pPr>
            <w:r>
              <w:rPr>
                <w:sz w:val="15"/>
              </w:rPr>
              <w:t>HL-LOAS</w:t>
            </w:r>
          </w:p>
        </w:tc>
        <w:tc>
          <w:tcPr>
            <w:tcW w:type="dxa" w:w="5571"/>
            <w:tcMar>
              <w:top w:w="50" w:type="dxa"/>
              <w:bottom w:w="50" w:type="dxa"/>
              <w:left w:w="90" w:type="dxa"/>
              <w:right w:w="90" w:type="dxa"/>
            </w:tcMar>
          </w:tcPr>
          <w:p>
            <w:pPr>
              <w:pStyle w:val="BDOITable"/>
            </w:pPr>
            <w:r>
              <w:rPr>
                <w:sz w:val="15"/>
              </w:rPr>
              <w:t>HLS (Drop 0) and LOAS (Drop 2) are one system: is there one interface or two (quotation requests, HLS insurance report, amortised loan data)? Formats, frequency and transport.</w:t>
            </w:r>
          </w:p>
        </w:tc>
        <w:tc>
          <w:tcPr>
            <w:tcW w:type="dxa" w:w="1671"/>
            <w:tcMar>
              <w:top w:w="50" w:type="dxa"/>
              <w:bottom w:w="50" w:type="dxa"/>
              <w:left w:w="90" w:type="dxa"/>
              <w:right w:w="90" w:type="dxa"/>
            </w:tcMar>
          </w:tcPr>
          <w:p>
            <w:pPr>
              <w:pStyle w:val="BDOITable"/>
            </w:pPr>
            <w:r>
              <w:rPr>
                <w:sz w:val="15"/>
              </w:rPr>
              <w:t>Drop plan; answer A2; Q11</w:t>
            </w:r>
          </w:p>
        </w:tc>
      </w:tr>
      <w:tr>
        <w:trPr>
          <w:cantSplit w:val="true"/>
        </w:trPr>
        <w:tc>
          <w:tcPr>
            <w:tcW w:type="dxa" w:w="613"/>
            <w:tcMar>
              <w:top w:w="50" w:type="dxa"/>
              <w:bottom w:w="50" w:type="dxa"/>
              <w:left w:w="90" w:type="dxa"/>
              <w:right w:w="90" w:type="dxa"/>
            </w:tcMar>
            <w:shd w:val="clear" w:color="auto" w:fill="E5F5FF"/>
          </w:tcPr>
          <w:p>
            <w:pPr>
              <w:pStyle w:val="BDOITable"/>
            </w:pPr>
            <w:r>
              <w:rPr>
                <w:b/>
                <w:sz w:val="15"/>
              </w:rPr>
              <w:t>IQ09</w:t>
            </w:r>
          </w:p>
        </w:tc>
        <w:tc>
          <w:tcPr>
            <w:tcW w:type="dxa" w:w="669"/>
            <w:tcMar>
              <w:top w:w="50" w:type="dxa"/>
              <w:bottom w:w="50" w:type="dxa"/>
              <w:left w:w="90" w:type="dxa"/>
              <w:right w:w="90" w:type="dxa"/>
            </w:tcMar>
            <w:shd w:val="clear" w:color="auto" w:fill="E5F5FF"/>
          </w:tcPr>
          <w:p>
            <w:pPr>
              <w:pStyle w:val="BDOITable"/>
            </w:pPr>
            <w:r>
              <w:rPr>
                <w:sz w:val="15"/>
              </w:rPr>
              <w:t>2</w:t>
            </w:r>
          </w:p>
        </w:tc>
        <w:tc>
          <w:tcPr>
            <w:tcW w:type="dxa" w:w="1448"/>
            <w:tcMar>
              <w:top w:w="50" w:type="dxa"/>
              <w:bottom w:w="50" w:type="dxa"/>
              <w:left w:w="90" w:type="dxa"/>
              <w:right w:w="90" w:type="dxa"/>
            </w:tcMar>
            <w:shd w:val="clear" w:color="auto" w:fill="E5F5FF"/>
          </w:tcPr>
          <w:p>
            <w:pPr>
              <w:pStyle w:val="BDOITable"/>
            </w:pPr>
            <w:r>
              <w:rPr>
                <w:sz w:val="15"/>
              </w:rPr>
              <w:t>PMS</w:t>
            </w:r>
          </w:p>
        </w:tc>
        <w:tc>
          <w:tcPr>
            <w:tcW w:type="dxa" w:w="5571"/>
            <w:tcMar>
              <w:top w:w="50" w:type="dxa"/>
              <w:bottom w:w="50" w:type="dxa"/>
              <w:left w:w="90" w:type="dxa"/>
              <w:right w:w="90" w:type="dxa"/>
            </w:tcMar>
            <w:shd w:val="clear" w:color="auto" w:fill="E5F5FF"/>
          </w:tcPr>
          <w:p>
            <w:pPr>
              <w:pStyle w:val="BDOITable"/>
            </w:pPr>
            <w:r>
              <w:rPr>
                <w:sz w:val="15"/>
              </w:rPr>
              <w:t>Layout of the daily PDC list from the PDC Management System; does BIBS also send PDC status (deposited, returned, pulled out) back to PMS? Frequency and transport.</w:t>
            </w:r>
          </w:p>
        </w:tc>
        <w:tc>
          <w:tcPr>
            <w:tcW w:type="dxa" w:w="1671"/>
            <w:tcMar>
              <w:top w:w="50" w:type="dxa"/>
              <w:bottom w:w="50" w:type="dxa"/>
              <w:left w:w="90" w:type="dxa"/>
              <w:right w:w="90" w:type="dxa"/>
            </w:tcMar>
            <w:shd w:val="clear" w:color="auto" w:fill="E5F5FF"/>
          </w:tcPr>
          <w:p>
            <w:pPr>
              <w:pStyle w:val="BDOITable"/>
            </w:pPr>
            <w:r>
              <w:rPr>
                <w:sz w:val="15"/>
              </w:rPr>
              <w:t>Answer A2; OQ03; CSHID.008</w:t>
            </w:r>
          </w:p>
        </w:tc>
      </w:tr>
      <w:tr>
        <w:trPr>
          <w:cantSplit w:val="true"/>
        </w:trPr>
        <w:tc>
          <w:tcPr>
            <w:tcW w:type="dxa" w:w="613"/>
            <w:tcMar>
              <w:top w:w="50" w:type="dxa"/>
              <w:bottom w:w="50" w:type="dxa"/>
              <w:left w:w="90" w:type="dxa"/>
              <w:right w:w="90" w:type="dxa"/>
            </w:tcMar>
          </w:tcPr>
          <w:p>
            <w:pPr>
              <w:pStyle w:val="BDOITable"/>
            </w:pPr>
            <w:r>
              <w:rPr>
                <w:b/>
                <w:sz w:val="15"/>
              </w:rPr>
              <w:t>IQ11</w:t>
            </w:r>
          </w:p>
        </w:tc>
        <w:tc>
          <w:tcPr>
            <w:tcW w:type="dxa" w:w="669"/>
            <w:tcMar>
              <w:top w:w="50" w:type="dxa"/>
              <w:bottom w:w="50" w:type="dxa"/>
              <w:left w:w="90" w:type="dxa"/>
              <w:right w:w="90" w:type="dxa"/>
            </w:tcMar>
          </w:tcPr>
          <w:p>
            <w:pPr>
              <w:pStyle w:val="BDOITable"/>
            </w:pPr>
            <w:r>
              <w:rPr>
                <w:sz w:val="15"/>
              </w:rPr>
              <w:t>2</w:t>
            </w:r>
          </w:p>
        </w:tc>
        <w:tc>
          <w:tcPr>
            <w:tcW w:type="dxa" w:w="1448"/>
            <w:tcMar>
              <w:top w:w="50" w:type="dxa"/>
              <w:bottom w:w="50" w:type="dxa"/>
              <w:left w:w="90" w:type="dxa"/>
              <w:right w:w="90" w:type="dxa"/>
            </w:tcMar>
          </w:tcPr>
          <w:p>
            <w:pPr>
              <w:pStyle w:val="BDOITable"/>
            </w:pPr>
            <w:r>
              <w:rPr>
                <w:sz w:val="15"/>
              </w:rPr>
              <w:t>CCM</w:t>
            </w:r>
          </w:p>
        </w:tc>
        <w:tc>
          <w:tcPr>
            <w:tcW w:type="dxa" w:w="5571"/>
            <w:tcMar>
              <w:top w:w="50" w:type="dxa"/>
              <w:bottom w:w="50" w:type="dxa"/>
              <w:left w:w="90" w:type="dxa"/>
              <w:right w:w="90" w:type="dxa"/>
            </w:tcMar>
          </w:tcPr>
          <w:p>
            <w:pPr>
              <w:pStyle w:val="BDOITable"/>
            </w:pPr>
            <w:r>
              <w:rPr>
                <w:sz w:val="15"/>
              </w:rPr>
              <w:t>Does BIBS send through CCM by SMTP relay or by API? Attachment size limit, password-protected PDFs, volume (renewal advice batches), delivery status and bounces, sender addresses.</w:t>
            </w:r>
          </w:p>
        </w:tc>
        <w:tc>
          <w:tcPr>
            <w:tcW w:type="dxa" w:w="1671"/>
            <w:tcMar>
              <w:top w:w="50" w:type="dxa"/>
              <w:bottom w:w="50" w:type="dxa"/>
              <w:left w:w="90" w:type="dxa"/>
              <w:right w:w="90" w:type="dxa"/>
            </w:tcMar>
          </w:tcPr>
          <w:p>
            <w:pPr>
              <w:pStyle w:val="BDOITable"/>
            </w:pPr>
            <w:r>
              <w:rPr>
                <w:sz w:val="15"/>
              </w:rPr>
              <w:t>Answer A2</w:t>
            </w:r>
          </w:p>
        </w:tc>
      </w:tr>
      <w:tr>
        <w:trPr>
          <w:cantSplit w:val="true"/>
        </w:trPr>
        <w:tc>
          <w:tcPr>
            <w:tcW w:type="dxa" w:w="613"/>
            <w:tcMar>
              <w:top w:w="50" w:type="dxa"/>
              <w:bottom w:w="50" w:type="dxa"/>
              <w:left w:w="90" w:type="dxa"/>
              <w:right w:w="90" w:type="dxa"/>
            </w:tcMar>
            <w:shd w:val="clear" w:color="auto" w:fill="E5F5FF"/>
          </w:tcPr>
          <w:p>
            <w:pPr>
              <w:pStyle w:val="BDOITable"/>
            </w:pPr>
            <w:r>
              <w:rPr>
                <w:b/>
                <w:sz w:val="15"/>
              </w:rPr>
              <w:t>IQ17</w:t>
            </w:r>
          </w:p>
        </w:tc>
        <w:tc>
          <w:tcPr>
            <w:tcW w:type="dxa" w:w="669"/>
            <w:tcMar>
              <w:top w:w="50" w:type="dxa"/>
              <w:bottom w:w="50" w:type="dxa"/>
              <w:left w:w="90" w:type="dxa"/>
              <w:right w:w="90" w:type="dxa"/>
            </w:tcMar>
            <w:shd w:val="clear" w:color="auto" w:fill="E5F5FF"/>
          </w:tcPr>
          <w:p>
            <w:pPr>
              <w:pStyle w:val="BDOITable"/>
            </w:pPr>
            <w:r>
              <w:rPr>
                <w:sz w:val="15"/>
              </w:rPr>
              <w:t>2</w:t>
            </w:r>
          </w:p>
        </w:tc>
        <w:tc>
          <w:tcPr>
            <w:tcW w:type="dxa" w:w="1448"/>
            <w:tcMar>
              <w:top w:w="50" w:type="dxa"/>
              <w:bottom w:w="50" w:type="dxa"/>
              <w:left w:w="90" w:type="dxa"/>
              <w:right w:w="90" w:type="dxa"/>
            </w:tcMar>
            <w:shd w:val="clear" w:color="auto" w:fill="E5F5FF"/>
          </w:tcPr>
          <w:p>
            <w:pPr>
              <w:pStyle w:val="BDOITable"/>
            </w:pPr>
            <w:r>
              <w:rPr>
                <w:sz w:val="15"/>
              </w:rPr>
              <w:t>CARMS</w:t>
            </w:r>
          </w:p>
        </w:tc>
        <w:tc>
          <w:tcPr>
            <w:tcW w:type="dxa" w:w="5571"/>
            <w:tcMar>
              <w:top w:w="50" w:type="dxa"/>
              <w:bottom w:w="50" w:type="dxa"/>
              <w:left w:w="90" w:type="dxa"/>
              <w:right w:w="90" w:type="dxa"/>
            </w:tcMar>
            <w:shd w:val="clear" w:color="auto" w:fill="E5F5FF"/>
          </w:tcPr>
          <w:p>
            <w:pPr>
              <w:pStyle w:val="BDOITable"/>
            </w:pPr>
            <w:r>
              <w:rPr>
                <w:sz w:val="15"/>
              </w:rPr>
              <w:t>What is CARMS, and which data flows between it and BIBS in which direction?</w:t>
            </w:r>
          </w:p>
        </w:tc>
        <w:tc>
          <w:tcPr>
            <w:tcW w:type="dxa" w:w="1671"/>
            <w:tcMar>
              <w:top w:w="50" w:type="dxa"/>
              <w:bottom w:w="50" w:type="dxa"/>
              <w:left w:w="90" w:type="dxa"/>
              <w:right w:w="90" w:type="dxa"/>
            </w:tcMar>
            <w:shd w:val="clear" w:color="auto" w:fill="E5F5FF"/>
          </w:tcPr>
          <w:p>
            <w:pPr>
              <w:pStyle w:val="BDOITable"/>
            </w:pPr>
            <w:r>
              <w:rPr>
                <w:sz w:val="15"/>
              </w:rPr>
              <w:t>Drop plan Drop 2</w:t>
            </w:r>
          </w:p>
        </w:tc>
      </w:tr>
      <w:tr>
        <w:trPr>
          <w:cantSplit w:val="true"/>
        </w:trPr>
        <w:tc>
          <w:tcPr>
            <w:tcW w:type="dxa" w:w="613"/>
            <w:tcMar>
              <w:top w:w="50" w:type="dxa"/>
              <w:bottom w:w="50" w:type="dxa"/>
              <w:left w:w="90" w:type="dxa"/>
              <w:right w:w="90" w:type="dxa"/>
            </w:tcMar>
          </w:tcPr>
          <w:p>
            <w:pPr>
              <w:pStyle w:val="BDOITable"/>
            </w:pPr>
            <w:r>
              <w:rPr>
                <w:b/>
                <w:sz w:val="15"/>
              </w:rPr>
              <w:t>IQ18</w:t>
            </w:r>
          </w:p>
        </w:tc>
        <w:tc>
          <w:tcPr>
            <w:tcW w:type="dxa" w:w="669"/>
            <w:tcMar>
              <w:top w:w="50" w:type="dxa"/>
              <w:bottom w:w="50" w:type="dxa"/>
              <w:left w:w="90" w:type="dxa"/>
              <w:right w:w="90" w:type="dxa"/>
            </w:tcMar>
          </w:tcPr>
          <w:p>
            <w:pPr>
              <w:pStyle w:val="BDOITable"/>
            </w:pPr>
            <w:r>
              <w:rPr>
                <w:sz w:val="15"/>
              </w:rPr>
              <w:t>2</w:t>
            </w:r>
          </w:p>
        </w:tc>
        <w:tc>
          <w:tcPr>
            <w:tcW w:type="dxa" w:w="1448"/>
            <w:tcMar>
              <w:top w:w="50" w:type="dxa"/>
              <w:bottom w:w="50" w:type="dxa"/>
              <w:left w:w="90" w:type="dxa"/>
              <w:right w:w="90" w:type="dxa"/>
            </w:tcMar>
          </w:tcPr>
          <w:p>
            <w:pPr>
              <w:pStyle w:val="BDOITable"/>
            </w:pPr>
            <w:r>
              <w:rPr>
                <w:sz w:val="15"/>
              </w:rPr>
              <w:t>Insurer System</w:t>
            </w:r>
          </w:p>
        </w:tc>
        <w:tc>
          <w:tcPr>
            <w:tcW w:type="dxa" w:w="5571"/>
            <w:tcMar>
              <w:top w:w="50" w:type="dxa"/>
              <w:bottom w:w="50" w:type="dxa"/>
              <w:left w:w="90" w:type="dxa"/>
              <w:right w:w="90" w:type="dxa"/>
            </w:tcMar>
          </w:tcPr>
          <w:p>
            <w:pPr>
              <w:pStyle w:val="BDOITable"/>
            </w:pPr>
            <w:r>
              <w:rPr>
                <w:sz w:val="15"/>
              </w:rPr>
              <w:t>Which insurers and which exchanges (production feedback, remittance ORs, DP billing responses, renewal responses, SOAs, e-policies, claims) are in scope, and by which channel (SFTP, API, e-mail)?</w:t>
            </w:r>
          </w:p>
        </w:tc>
        <w:tc>
          <w:tcPr>
            <w:tcW w:type="dxa" w:w="1671"/>
            <w:tcMar>
              <w:top w:w="50" w:type="dxa"/>
              <w:bottom w:w="50" w:type="dxa"/>
              <w:left w:w="90" w:type="dxa"/>
              <w:right w:w="90" w:type="dxa"/>
            </w:tcMar>
          </w:tcPr>
          <w:p>
            <w:pPr>
              <w:pStyle w:val="BDOITable"/>
            </w:pPr>
            <w:r>
              <w:rPr>
                <w:sz w:val="15"/>
              </w:rPr>
              <w:t>Drop plan Drop 2; Q06, OQ22</w:t>
            </w:r>
          </w:p>
        </w:tc>
      </w:tr>
      <w:tr>
        <w:trPr>
          <w:cantSplit w:val="true"/>
        </w:trPr>
        <w:tc>
          <w:tcPr>
            <w:tcW w:type="dxa" w:w="613"/>
            <w:tcMar>
              <w:top w:w="50" w:type="dxa"/>
              <w:bottom w:w="50" w:type="dxa"/>
              <w:left w:w="90" w:type="dxa"/>
              <w:right w:w="90" w:type="dxa"/>
            </w:tcMar>
            <w:shd w:val="clear" w:color="auto" w:fill="E5F5FF"/>
          </w:tcPr>
          <w:p>
            <w:pPr>
              <w:pStyle w:val="BDOITable"/>
            </w:pPr>
            <w:r>
              <w:rPr>
                <w:b/>
                <w:sz w:val="15"/>
              </w:rPr>
              <w:t>IQ21</w:t>
            </w:r>
          </w:p>
        </w:tc>
        <w:tc>
          <w:tcPr>
            <w:tcW w:type="dxa" w:w="669"/>
            <w:tcMar>
              <w:top w:w="50" w:type="dxa"/>
              <w:bottom w:w="50" w:type="dxa"/>
              <w:left w:w="90" w:type="dxa"/>
              <w:right w:w="90" w:type="dxa"/>
            </w:tcMar>
            <w:shd w:val="clear" w:color="auto" w:fill="E5F5FF"/>
          </w:tcPr>
          <w:p>
            <w:pPr>
              <w:pStyle w:val="BDOITable"/>
            </w:pPr>
            <w:r>
              <w:rPr>
                <w:sz w:val="15"/>
              </w:rPr>
              <w:t>2</w:t>
            </w:r>
          </w:p>
        </w:tc>
        <w:tc>
          <w:tcPr>
            <w:tcW w:type="dxa" w:w="1448"/>
            <w:tcMar>
              <w:top w:w="50" w:type="dxa"/>
              <w:bottom w:w="50" w:type="dxa"/>
              <w:left w:w="90" w:type="dxa"/>
              <w:right w:w="90" w:type="dxa"/>
            </w:tcMar>
            <w:shd w:val="clear" w:color="auto" w:fill="E5F5FF"/>
          </w:tcPr>
          <w:p>
            <w:pPr>
              <w:pStyle w:val="BDOITable"/>
            </w:pPr>
            <w:r>
              <w:rPr>
                <w:sz w:val="15"/>
              </w:rPr>
              <w:t>Marketing Collection (extraction)</w:t>
            </w:r>
          </w:p>
        </w:tc>
        <w:tc>
          <w:tcPr>
            <w:tcW w:type="dxa" w:w="5571"/>
            <w:tcMar>
              <w:top w:w="50" w:type="dxa"/>
              <w:bottom w:w="50" w:type="dxa"/>
              <w:left w:w="90" w:type="dxa"/>
              <w:right w:w="90" w:type="dxa"/>
            </w:tcMar>
            <w:shd w:val="clear" w:color="auto" w:fill="E5F5FF"/>
          </w:tcPr>
          <w:p>
            <w:pPr>
              <w:pStyle w:val="BDOITable"/>
            </w:pPr>
            <w:r>
              <w:rPr>
                <w:sz w:val="15"/>
              </w:rPr>
              <w:t>What is "Marketing Collection (extraction)" in Drop 2? BRD-4 Collections is a BIBS module fed by the Operations ledger; is a separate Collection Management System kept, with an extraction from BIBS?</w:t>
            </w:r>
          </w:p>
        </w:tc>
        <w:tc>
          <w:tcPr>
            <w:tcW w:type="dxa" w:w="1671"/>
            <w:tcMar>
              <w:top w:w="50" w:type="dxa"/>
              <w:bottom w:w="50" w:type="dxa"/>
              <w:left w:w="90" w:type="dxa"/>
              <w:right w:w="90" w:type="dxa"/>
            </w:tcMar>
            <w:shd w:val="clear" w:color="auto" w:fill="E5F5FF"/>
          </w:tcPr>
          <w:p>
            <w:pPr>
              <w:pStyle w:val="BDOITable"/>
            </w:pPr>
            <w:r>
              <w:rPr>
                <w:sz w:val="15"/>
              </w:rPr>
              <w:t>Drop plan 2.1; BRD-4</w:t>
            </w:r>
          </w:p>
        </w:tc>
      </w:tr>
      <w:tr>
        <w:trPr>
          <w:cantSplit w:val="true"/>
        </w:trPr>
        <w:tc>
          <w:tcPr>
            <w:tcW w:type="dxa" w:w="613"/>
            <w:tcMar>
              <w:top w:w="50" w:type="dxa"/>
              <w:bottom w:w="50" w:type="dxa"/>
              <w:left w:w="90" w:type="dxa"/>
              <w:right w:w="90" w:type="dxa"/>
            </w:tcMar>
          </w:tcPr>
          <w:p>
            <w:pPr>
              <w:pStyle w:val="BDOITable"/>
            </w:pPr>
            <w:r>
              <w:rPr>
                <w:b/>
                <w:sz w:val="15"/>
              </w:rPr>
              <w:t>IQ23</w:t>
            </w:r>
          </w:p>
        </w:tc>
        <w:tc>
          <w:tcPr>
            <w:tcW w:type="dxa" w:w="669"/>
            <w:tcMar>
              <w:top w:w="50" w:type="dxa"/>
              <w:bottom w:w="50" w:type="dxa"/>
              <w:left w:w="90" w:type="dxa"/>
              <w:right w:w="90" w:type="dxa"/>
            </w:tcMar>
          </w:tcPr>
          <w:p>
            <w:pPr>
              <w:pStyle w:val="BDOITable"/>
            </w:pPr>
            <w:r>
              <w:rPr>
                <w:sz w:val="15"/>
              </w:rPr>
              <w:t>2</w:t>
            </w:r>
          </w:p>
        </w:tc>
        <w:tc>
          <w:tcPr>
            <w:tcW w:type="dxa" w:w="1448"/>
            <w:tcMar>
              <w:top w:w="50" w:type="dxa"/>
              <w:bottom w:w="50" w:type="dxa"/>
              <w:left w:w="90" w:type="dxa"/>
              <w:right w:w="90" w:type="dxa"/>
            </w:tcMar>
          </w:tcPr>
          <w:p>
            <w:pPr>
              <w:pStyle w:val="BDOITable"/>
            </w:pPr>
            <w:r>
              <w:rPr>
                <w:sz w:val="15"/>
              </w:rPr>
              <w:t>Unplaced BRDs</w:t>
            </w:r>
          </w:p>
        </w:tc>
        <w:tc>
          <w:tcPr>
            <w:tcW w:type="dxa" w:w="5571"/>
            <w:tcMar>
              <w:top w:w="50" w:type="dxa"/>
              <w:bottom w:w="50" w:type="dxa"/>
              <w:left w:w="90" w:type="dxa"/>
              <w:right w:w="90" w:type="dxa"/>
            </w:tcMar>
          </w:tcPr>
          <w:p>
            <w:pPr>
              <w:pStyle w:val="BDOITable"/>
            </w:pPr>
            <w:r>
              <w:rPr>
                <w:sz w:val="15"/>
              </w:rPr>
              <w:t>In which drop are BRD-10 Sanction Screening (we propose Drop 1 with Client Onboarding) and the CSF service-request functions (we propose Drop 2)?</w:t>
            </w:r>
          </w:p>
        </w:tc>
        <w:tc>
          <w:tcPr>
            <w:tcW w:type="dxa" w:w="1671"/>
            <w:tcMar>
              <w:top w:w="50" w:type="dxa"/>
              <w:bottom w:w="50" w:type="dxa"/>
              <w:left w:w="90" w:type="dxa"/>
              <w:right w:w="90" w:type="dxa"/>
            </w:tcMar>
          </w:tcPr>
          <w:p>
            <w:pPr>
              <w:pStyle w:val="BDOITable"/>
            </w:pPr>
            <w:r>
              <w:rPr>
                <w:sz w:val="15"/>
              </w:rPr>
              <w:t>Drop plan</w:t>
            </w:r>
          </w:p>
        </w:tc>
      </w:tr>
      <w:tr>
        <w:trPr>
          <w:cantSplit w:val="true"/>
        </w:trPr>
        <w:tc>
          <w:tcPr>
            <w:tcW w:type="dxa" w:w="613"/>
            <w:tcMar>
              <w:top w:w="50" w:type="dxa"/>
              <w:bottom w:w="50" w:type="dxa"/>
              <w:left w:w="90" w:type="dxa"/>
              <w:right w:w="90" w:type="dxa"/>
            </w:tcMar>
            <w:shd w:val="clear" w:color="auto" w:fill="E5F5FF"/>
          </w:tcPr>
          <w:p>
            <w:pPr>
              <w:pStyle w:val="BDOITable"/>
            </w:pPr>
            <w:r>
              <w:rPr>
                <w:b/>
                <w:sz w:val="15"/>
              </w:rPr>
              <w:t>IQ24</w:t>
            </w:r>
          </w:p>
        </w:tc>
        <w:tc>
          <w:tcPr>
            <w:tcW w:type="dxa" w:w="669"/>
            <w:tcMar>
              <w:top w:w="50" w:type="dxa"/>
              <w:bottom w:w="50" w:type="dxa"/>
              <w:left w:w="90" w:type="dxa"/>
              <w:right w:w="90" w:type="dxa"/>
            </w:tcMar>
            <w:shd w:val="clear" w:color="auto" w:fill="E5F5FF"/>
          </w:tcPr>
          <w:p>
            <w:pPr>
              <w:pStyle w:val="BDOITable"/>
            </w:pPr>
            <w:r>
              <w:rPr>
                <w:sz w:val="15"/>
              </w:rPr>
              <w:t>2</w:t>
            </w:r>
          </w:p>
        </w:tc>
        <w:tc>
          <w:tcPr>
            <w:tcW w:type="dxa" w:w="1448"/>
            <w:tcMar>
              <w:top w:w="50" w:type="dxa"/>
              <w:bottom w:w="50" w:type="dxa"/>
              <w:left w:w="90" w:type="dxa"/>
              <w:right w:w="90" w:type="dxa"/>
            </w:tcMar>
            <w:shd w:val="clear" w:color="auto" w:fill="E5F5FF"/>
          </w:tcPr>
          <w:p>
            <w:pPr>
              <w:pStyle w:val="BDOITable"/>
            </w:pPr>
            <w:r>
              <w:rPr>
                <w:sz w:val="15"/>
              </w:rPr>
              <w:t>Drop 0 items without a BRD</w:t>
            </w:r>
          </w:p>
        </w:tc>
        <w:tc>
          <w:tcPr>
            <w:tcW w:type="dxa" w:w="5571"/>
            <w:tcMar>
              <w:top w:w="50" w:type="dxa"/>
              <w:bottom w:w="50" w:type="dxa"/>
              <w:left w:w="90" w:type="dxa"/>
              <w:right w:w="90" w:type="dxa"/>
            </w:tcMar>
            <w:shd w:val="clear" w:color="auto" w:fill="E5F5FF"/>
          </w:tcPr>
          <w:p>
            <w:pPr>
              <w:pStyle w:val="BDOITable"/>
            </w:pPr>
            <w:r>
              <w:rPr>
                <w:sz w:val="15"/>
              </w:rPr>
              <w:t>Which requirements govern Drop 0 items 1 (Accessibility &amp; Login: sign-in, or WCAG accessibility, or both), 4 (Data Management) and 5 (Workflow)? We propose BRD-11 + EIAM, CORE-17 of the umbrella BRD, and the workflows of each BRD.</w:t>
            </w:r>
          </w:p>
        </w:tc>
        <w:tc>
          <w:tcPr>
            <w:tcW w:type="dxa" w:w="1671"/>
            <w:tcMar>
              <w:top w:w="50" w:type="dxa"/>
              <w:bottom w:w="50" w:type="dxa"/>
              <w:left w:w="90" w:type="dxa"/>
              <w:right w:w="90" w:type="dxa"/>
            </w:tcMar>
            <w:shd w:val="clear" w:color="auto" w:fill="E5F5FF"/>
          </w:tcPr>
          <w:p>
            <w:pPr>
              <w:pStyle w:val="BDOITable"/>
            </w:pPr>
            <w:r>
              <w:rPr>
                <w:sz w:val="15"/>
              </w:rPr>
              <w:t>Drop plan Drop 0</w:t>
            </w:r>
          </w:p>
        </w:tc>
      </w:tr>
      <w:tr>
        <w:trPr>
          <w:cantSplit w:val="true"/>
        </w:trPr>
        <w:tc>
          <w:tcPr>
            <w:tcW w:type="dxa" w:w="613"/>
            <w:tcMar>
              <w:top w:w="50" w:type="dxa"/>
              <w:bottom w:w="50" w:type="dxa"/>
              <w:left w:w="90" w:type="dxa"/>
              <w:right w:w="90" w:type="dxa"/>
            </w:tcMar>
          </w:tcPr>
          <w:p>
            <w:pPr>
              <w:pStyle w:val="BDOITable"/>
            </w:pPr>
            <w:r>
              <w:rPr>
                <w:b/>
                <w:sz w:val="15"/>
              </w:rPr>
              <w:t>IQ27</w:t>
            </w:r>
          </w:p>
        </w:tc>
        <w:tc>
          <w:tcPr>
            <w:tcW w:type="dxa" w:w="669"/>
            <w:tcMar>
              <w:top w:w="50" w:type="dxa"/>
              <w:bottom w:w="50" w:type="dxa"/>
              <w:left w:w="90" w:type="dxa"/>
              <w:right w:w="90" w:type="dxa"/>
            </w:tcMar>
          </w:tcPr>
          <w:p>
            <w:pPr>
              <w:pStyle w:val="BDOITable"/>
            </w:pPr>
            <w:r>
              <w:rPr>
                <w:sz w:val="15"/>
              </w:rPr>
              <w:t>2</w:t>
            </w:r>
          </w:p>
        </w:tc>
        <w:tc>
          <w:tcPr>
            <w:tcW w:type="dxa" w:w="1448"/>
            <w:tcMar>
              <w:top w:w="50" w:type="dxa"/>
              <w:bottom w:w="50" w:type="dxa"/>
              <w:left w:w="90" w:type="dxa"/>
              <w:right w:w="90" w:type="dxa"/>
            </w:tcMar>
          </w:tcPr>
          <w:p>
            <w:pPr>
              <w:pStyle w:val="BDOITable"/>
            </w:pPr>
            <w:r>
              <w:rPr>
                <w:sz w:val="15"/>
              </w:rPr>
              <w:t>Non-production hours</w:t>
            </w:r>
          </w:p>
        </w:tc>
        <w:tc>
          <w:tcPr>
            <w:tcW w:type="dxa" w:w="5571"/>
            <w:tcMar>
              <w:top w:w="50" w:type="dxa"/>
              <w:bottom w:w="50" w:type="dxa"/>
              <w:left w:w="90" w:type="dxa"/>
              <w:right w:w="90" w:type="dxa"/>
            </w:tcMar>
          </w:tcPr>
          <w:p>
            <w:pPr>
              <w:pStyle w:val="BDOITable"/>
            </w:pPr>
            <w:r>
              <w:rPr>
                <w:sz w:val="15"/>
              </w:rPr>
              <w:t>What are the 12 x 5 hours? We need extended hours for batch and month-end test cycles, weekend migration mocks and the dress rehearsal; MSK and ElastiCache cannot be stopped.</w:t>
            </w:r>
          </w:p>
        </w:tc>
        <w:tc>
          <w:tcPr>
            <w:tcW w:type="dxa" w:w="1671"/>
            <w:tcMar>
              <w:top w:w="50" w:type="dxa"/>
              <w:bottom w:w="50" w:type="dxa"/>
              <w:left w:w="90" w:type="dxa"/>
              <w:right w:w="90" w:type="dxa"/>
            </w:tcMar>
          </w:tcPr>
          <w:p>
            <w:pPr>
              <w:pStyle w:val="BDOITable"/>
            </w:pPr>
            <w:r>
              <w:rPr>
                <w:sz w:val="15"/>
              </w:rPr>
              <w:t>IER Assumptions 3</w:t>
            </w:r>
          </w:p>
        </w:tc>
      </w:tr>
      <w:tr>
        <w:trPr>
          <w:cantSplit w:val="true"/>
        </w:trPr>
        <w:tc>
          <w:tcPr>
            <w:tcW w:type="dxa" w:w="613"/>
            <w:tcMar>
              <w:top w:w="50" w:type="dxa"/>
              <w:bottom w:w="50" w:type="dxa"/>
              <w:left w:w="90" w:type="dxa"/>
              <w:right w:w="90" w:type="dxa"/>
            </w:tcMar>
            <w:shd w:val="clear" w:color="auto" w:fill="E5F5FF"/>
          </w:tcPr>
          <w:p>
            <w:pPr>
              <w:pStyle w:val="BDOITable"/>
            </w:pPr>
            <w:r>
              <w:rPr>
                <w:b/>
                <w:sz w:val="15"/>
              </w:rPr>
              <w:t>IQ28</w:t>
            </w:r>
          </w:p>
        </w:tc>
        <w:tc>
          <w:tcPr>
            <w:tcW w:type="dxa" w:w="669"/>
            <w:tcMar>
              <w:top w:w="50" w:type="dxa"/>
              <w:bottom w:w="50" w:type="dxa"/>
              <w:left w:w="90" w:type="dxa"/>
              <w:right w:w="90" w:type="dxa"/>
            </w:tcMar>
            <w:shd w:val="clear" w:color="auto" w:fill="E5F5FF"/>
          </w:tcPr>
          <w:p>
            <w:pPr>
              <w:pStyle w:val="BDOITable"/>
            </w:pPr>
            <w:r>
              <w:rPr>
                <w:sz w:val="15"/>
              </w:rPr>
              <w:t>2</w:t>
            </w:r>
          </w:p>
        </w:tc>
        <w:tc>
          <w:tcPr>
            <w:tcW w:type="dxa" w:w="1448"/>
            <w:tcMar>
              <w:top w:w="50" w:type="dxa"/>
              <w:bottom w:w="50" w:type="dxa"/>
              <w:left w:w="90" w:type="dxa"/>
              <w:right w:w="90" w:type="dxa"/>
            </w:tcMar>
            <w:shd w:val="clear" w:color="auto" w:fill="E5F5FF"/>
          </w:tcPr>
          <w:p>
            <w:pPr>
              <w:pStyle w:val="BDOITable"/>
            </w:pPr>
            <w:r>
              <w:rPr>
                <w:sz w:val="15"/>
              </w:rPr>
              <w:t>VDI and access</w:t>
            </w:r>
          </w:p>
        </w:tc>
        <w:tc>
          <w:tcPr>
            <w:tcW w:type="dxa" w:w="5571"/>
            <w:tcMar>
              <w:top w:w="50" w:type="dxa"/>
              <w:bottom w:w="50" w:type="dxa"/>
              <w:left w:w="90" w:type="dxa"/>
              <w:right w:w="90" w:type="dxa"/>
            </w:tcMar>
            <w:shd w:val="clear" w:color="auto" w:fill="E5F5FF"/>
          </w:tcPr>
          <w:p>
            <w:pPr>
              <w:pStyle w:val="BDOITable"/>
            </w:pPr>
            <w:r>
              <w:rPr>
                <w:sz w:val="15"/>
              </w:rPr>
              <w:t>Does "access restricted to personnel in the Philippines" apply to DEV and SIT with masked data? Which vendor staff need VDI? Software list: Temurin 21, Maven 3.9, Node 22 (not JDK 17, Node 20, Angular).</w:t>
            </w:r>
          </w:p>
        </w:tc>
        <w:tc>
          <w:tcPr>
            <w:tcW w:type="dxa" w:w="1671"/>
            <w:tcMar>
              <w:top w:w="50" w:type="dxa"/>
              <w:bottom w:w="50" w:type="dxa"/>
              <w:left w:w="90" w:type="dxa"/>
              <w:right w:w="90" w:type="dxa"/>
            </w:tcMar>
            <w:shd w:val="clear" w:color="auto" w:fill="E5F5FF"/>
          </w:tcPr>
          <w:p>
            <w:pPr>
              <w:pStyle w:val="BDOITable"/>
            </w:pPr>
            <w:r>
              <w:rPr>
                <w:sz w:val="15"/>
              </w:rPr>
              <w:t>IER VDI Requirements; hosting appendix</w:t>
            </w:r>
          </w:p>
        </w:tc>
      </w:tr>
      <w:tr>
        <w:trPr>
          <w:cantSplit w:val="true"/>
        </w:trPr>
        <w:tc>
          <w:tcPr>
            <w:tcW w:type="dxa" w:w="613"/>
            <w:tcMar>
              <w:top w:w="50" w:type="dxa"/>
              <w:bottom w:w="50" w:type="dxa"/>
              <w:left w:w="90" w:type="dxa"/>
              <w:right w:w="90" w:type="dxa"/>
            </w:tcMar>
          </w:tcPr>
          <w:p>
            <w:pPr>
              <w:pStyle w:val="BDOITable"/>
            </w:pPr>
            <w:r>
              <w:rPr>
                <w:b/>
                <w:sz w:val="15"/>
              </w:rPr>
              <w:t>IQ29</w:t>
            </w:r>
          </w:p>
        </w:tc>
        <w:tc>
          <w:tcPr>
            <w:tcW w:type="dxa" w:w="669"/>
            <w:tcMar>
              <w:top w:w="50" w:type="dxa"/>
              <w:bottom w:w="50" w:type="dxa"/>
              <w:left w:w="90" w:type="dxa"/>
              <w:right w:w="90" w:type="dxa"/>
            </w:tcMar>
          </w:tcPr>
          <w:p>
            <w:pPr>
              <w:pStyle w:val="BDOITable"/>
            </w:pPr>
            <w:r>
              <w:rPr>
                <w:sz w:val="15"/>
              </w:rPr>
              <w:t>2</w:t>
            </w:r>
          </w:p>
        </w:tc>
        <w:tc>
          <w:tcPr>
            <w:tcW w:type="dxa" w:w="1448"/>
            <w:tcMar>
              <w:top w:w="50" w:type="dxa"/>
              <w:bottom w:w="50" w:type="dxa"/>
              <w:left w:w="90" w:type="dxa"/>
              <w:right w:w="90" w:type="dxa"/>
            </w:tcMar>
          </w:tcPr>
          <w:p>
            <w:pPr>
              <w:pStyle w:val="BDOITable"/>
            </w:pPr>
            <w:r>
              <w:rPr>
                <w:sz w:val="15"/>
              </w:rPr>
              <w:t>CI / CD toolchain</w:t>
            </w:r>
          </w:p>
        </w:tc>
        <w:tc>
          <w:tcPr>
            <w:tcW w:type="dxa" w:w="5571"/>
            <w:tcMar>
              <w:top w:w="50" w:type="dxa"/>
              <w:bottom w:w="50" w:type="dxa"/>
              <w:left w:w="90" w:type="dxa"/>
              <w:right w:w="90" w:type="dxa"/>
            </w:tcMar>
          </w:tcPr>
          <w:p>
            <w:pPr>
              <w:pStyle w:val="BDOITable"/>
            </w:pPr>
            <w:r>
              <w:rPr>
                <w:sz w:val="15"/>
              </w:rPr>
              <w:t>Which toolchain applies: GitLab (HW sheet), GitHub + Jenkins (infra diagram) or ArgoCD + Helm (diagram)? Container registry, image base (RHEL UBI or Alpine), SonarQube instance.</w:t>
            </w:r>
          </w:p>
        </w:tc>
        <w:tc>
          <w:tcPr>
            <w:tcW w:type="dxa" w:w="1671"/>
            <w:tcMar>
              <w:top w:w="50" w:type="dxa"/>
              <w:bottom w:w="50" w:type="dxa"/>
              <w:left w:w="90" w:type="dxa"/>
              <w:right w:w="90" w:type="dxa"/>
            </w:tcMar>
          </w:tcPr>
          <w:p>
            <w:pPr>
              <w:pStyle w:val="BDOITable"/>
            </w:pPr>
            <w:r>
              <w:rPr>
                <w:sz w:val="15"/>
              </w:rPr>
              <w:t>IER sheets</w:t>
            </w:r>
          </w:p>
        </w:tc>
      </w:tr>
      <w:tr>
        <w:trPr>
          <w:cantSplit w:val="true"/>
        </w:trPr>
        <w:tc>
          <w:tcPr>
            <w:tcW w:type="dxa" w:w="613"/>
            <w:tcMar>
              <w:top w:w="50" w:type="dxa"/>
              <w:bottom w:w="50" w:type="dxa"/>
              <w:left w:w="90" w:type="dxa"/>
              <w:right w:w="90" w:type="dxa"/>
            </w:tcMar>
            <w:shd w:val="clear" w:color="auto" w:fill="E5F5FF"/>
          </w:tcPr>
          <w:p>
            <w:pPr>
              <w:pStyle w:val="BDOITable"/>
            </w:pPr>
            <w:r>
              <w:rPr>
                <w:b/>
                <w:sz w:val="15"/>
              </w:rPr>
              <w:t>IQ32</w:t>
            </w:r>
          </w:p>
        </w:tc>
        <w:tc>
          <w:tcPr>
            <w:tcW w:type="dxa" w:w="669"/>
            <w:tcMar>
              <w:top w:w="50" w:type="dxa"/>
              <w:bottom w:w="50" w:type="dxa"/>
              <w:left w:w="90" w:type="dxa"/>
              <w:right w:w="90" w:type="dxa"/>
            </w:tcMar>
            <w:shd w:val="clear" w:color="auto" w:fill="E5F5FF"/>
          </w:tcPr>
          <w:p>
            <w:pPr>
              <w:pStyle w:val="BDOITable"/>
            </w:pPr>
            <w:r>
              <w:rPr>
                <w:sz w:val="15"/>
              </w:rPr>
              <w:t>2</w:t>
            </w:r>
          </w:p>
        </w:tc>
        <w:tc>
          <w:tcPr>
            <w:tcW w:type="dxa" w:w="1448"/>
            <w:tcMar>
              <w:top w:w="50" w:type="dxa"/>
              <w:bottom w:w="50" w:type="dxa"/>
              <w:left w:w="90" w:type="dxa"/>
              <w:right w:w="90" w:type="dxa"/>
            </w:tcMar>
            <w:shd w:val="clear" w:color="auto" w:fill="E5F5FF"/>
          </w:tcPr>
          <w:p>
            <w:pPr>
              <w:pStyle w:val="BDOITable"/>
            </w:pPr>
            <w:r>
              <w:rPr>
                <w:sz w:val="15"/>
              </w:rPr>
              <w:t>Sizing basis</w:t>
            </w:r>
          </w:p>
        </w:tc>
        <w:tc>
          <w:tcPr>
            <w:tcW w:type="dxa" w:w="5571"/>
            <w:tcMar>
              <w:top w:w="50" w:type="dxa"/>
              <w:bottom w:w="50" w:type="dxa"/>
              <w:left w:w="90" w:type="dxa"/>
              <w:right w:w="90" w:type="dxa"/>
            </w:tcMar>
            <w:shd w:val="clear" w:color="auto" w:fill="E5F5FF"/>
          </w:tcPr>
          <w:p>
            <w:pPr>
              <w:pStyle w:val="BDOITable"/>
            </w:pPr>
            <w:r>
              <w:rPr>
                <w:sz w:val="15"/>
              </w:rPr>
              <w:t>Which user figures size the platform: 1,200 internal users (IER diagram) or 1,344 named / 429 concurrent (umbrella BRD p.42)? Transactions per second per year (IER K8s guideline 3).</w:t>
            </w:r>
          </w:p>
        </w:tc>
        <w:tc>
          <w:tcPr>
            <w:tcW w:type="dxa" w:w="1671"/>
            <w:tcMar>
              <w:top w:w="50" w:type="dxa"/>
              <w:bottom w:w="50" w:type="dxa"/>
              <w:left w:w="90" w:type="dxa"/>
              <w:right w:w="90" w:type="dxa"/>
            </w:tcMar>
            <w:shd w:val="clear" w:color="auto" w:fill="E5F5FF"/>
          </w:tcPr>
          <w:p>
            <w:pPr>
              <w:pStyle w:val="BDOITable"/>
            </w:pPr>
            <w:r>
              <w:rPr>
                <w:sz w:val="15"/>
              </w:rPr>
              <w:t>IER; DCR-166</w:t>
            </w:r>
          </w:p>
        </w:tc>
      </w:tr>
      <w:tr>
        <w:trPr>
          <w:cantSplit w:val="true"/>
        </w:trPr>
        <w:tc>
          <w:tcPr>
            <w:tcW w:type="dxa" w:w="613"/>
            <w:tcMar>
              <w:top w:w="50" w:type="dxa"/>
              <w:bottom w:w="50" w:type="dxa"/>
              <w:left w:w="90" w:type="dxa"/>
              <w:right w:w="90" w:type="dxa"/>
            </w:tcMar>
          </w:tcPr>
          <w:p>
            <w:pPr>
              <w:pStyle w:val="BDOITable"/>
            </w:pPr>
            <w:r>
              <w:rPr>
                <w:b/>
                <w:sz w:val="15"/>
              </w:rPr>
              <w:t>IQ33</w:t>
            </w:r>
          </w:p>
        </w:tc>
        <w:tc>
          <w:tcPr>
            <w:tcW w:type="dxa" w:w="669"/>
            <w:tcMar>
              <w:top w:w="50" w:type="dxa"/>
              <w:bottom w:w="50" w:type="dxa"/>
              <w:left w:w="90" w:type="dxa"/>
              <w:right w:w="90" w:type="dxa"/>
            </w:tcMar>
          </w:tcPr>
          <w:p>
            <w:pPr>
              <w:pStyle w:val="BDOITable"/>
            </w:pPr>
            <w:r>
              <w:rPr>
                <w:sz w:val="15"/>
              </w:rPr>
              <w:t>2</w:t>
            </w:r>
          </w:p>
        </w:tc>
        <w:tc>
          <w:tcPr>
            <w:tcW w:type="dxa" w:w="1448"/>
            <w:tcMar>
              <w:top w:w="50" w:type="dxa"/>
              <w:bottom w:w="50" w:type="dxa"/>
              <w:left w:w="90" w:type="dxa"/>
              <w:right w:w="90" w:type="dxa"/>
            </w:tcMar>
          </w:tcPr>
          <w:p>
            <w:pPr>
              <w:pStyle w:val="BDOITable"/>
            </w:pPr>
            <w:r>
              <w:rPr>
                <w:sz w:val="15"/>
              </w:rPr>
              <w:t>IER completeness</w:t>
            </w:r>
          </w:p>
        </w:tc>
        <w:tc>
          <w:tcPr>
            <w:tcW w:type="dxa" w:w="5571"/>
            <w:tcMar>
              <w:top w:w="50" w:type="dxa"/>
              <w:bottom w:w="50" w:type="dxa"/>
              <w:left w:w="90" w:type="dxa"/>
              <w:right w:w="90" w:type="dxa"/>
            </w:tcMar>
          </w:tcPr>
          <w:p>
            <w:pPr>
              <w:pStyle w:val="BDOITable"/>
            </w:pPr>
            <w:r>
              <w:rPr>
                <w:sz w:val="15"/>
              </w:rPr>
              <w:t>Will BDOI IT add the Pre-Prod and DR cluster sheets, retitle the Pre-Prod sheet (it reads "UAT ENVIRONMENT") and replace the template rows of the environment cost sheets with the sizing of this document?</w:t>
            </w:r>
          </w:p>
        </w:tc>
        <w:tc>
          <w:tcPr>
            <w:tcW w:type="dxa" w:w="1671"/>
            <w:tcMar>
              <w:top w:w="50" w:type="dxa"/>
              <w:bottom w:w="50" w:type="dxa"/>
              <w:left w:w="90" w:type="dxa"/>
              <w:right w:w="90" w:type="dxa"/>
            </w:tcMar>
          </w:tcPr>
          <w:p>
            <w:pPr>
              <w:pStyle w:val="BDOITable"/>
            </w:pPr>
            <w:r>
              <w:rPr>
                <w:sz w:val="15"/>
              </w:rPr>
              <w:t>IER Pre-Prod, K8s sheets</w:t>
            </w:r>
          </w:p>
        </w:tc>
      </w:tr>
      <w:tr>
        <w:trPr>
          <w:cantSplit w:val="true"/>
        </w:trPr>
        <w:tc>
          <w:tcPr>
            <w:tcW w:type="dxa" w:w="613"/>
            <w:tcMar>
              <w:top w:w="50" w:type="dxa"/>
              <w:bottom w:w="50" w:type="dxa"/>
              <w:left w:w="90" w:type="dxa"/>
              <w:right w:w="90" w:type="dxa"/>
            </w:tcMar>
            <w:shd w:val="clear" w:color="auto" w:fill="E5F5FF"/>
          </w:tcPr>
          <w:p>
            <w:pPr>
              <w:pStyle w:val="BDOITable"/>
            </w:pPr>
            <w:r>
              <w:rPr>
                <w:b/>
                <w:sz w:val="15"/>
              </w:rPr>
              <w:t>IQ35</w:t>
            </w:r>
          </w:p>
        </w:tc>
        <w:tc>
          <w:tcPr>
            <w:tcW w:type="dxa" w:w="669"/>
            <w:tcMar>
              <w:top w:w="50" w:type="dxa"/>
              <w:bottom w:w="50" w:type="dxa"/>
              <w:left w:w="90" w:type="dxa"/>
              <w:right w:w="90" w:type="dxa"/>
            </w:tcMar>
            <w:shd w:val="clear" w:color="auto" w:fill="E5F5FF"/>
          </w:tcPr>
          <w:p>
            <w:pPr>
              <w:pStyle w:val="BDOITable"/>
            </w:pPr>
            <w:r>
              <w:rPr>
                <w:sz w:val="15"/>
              </w:rPr>
              <w:t>2</w:t>
            </w:r>
          </w:p>
        </w:tc>
        <w:tc>
          <w:tcPr>
            <w:tcW w:type="dxa" w:w="1448"/>
            <w:tcMar>
              <w:top w:w="50" w:type="dxa"/>
              <w:bottom w:w="50" w:type="dxa"/>
              <w:left w:w="90" w:type="dxa"/>
              <w:right w:w="90" w:type="dxa"/>
            </w:tcMar>
            <w:shd w:val="clear" w:color="auto" w:fill="E5F5FF"/>
          </w:tcPr>
          <w:p>
            <w:pPr>
              <w:pStyle w:val="BDOITable"/>
            </w:pPr>
            <w:r>
              <w:rPr>
                <w:sz w:val="15"/>
              </w:rPr>
              <w:t>Security testing</w:t>
            </w:r>
          </w:p>
        </w:tc>
        <w:tc>
          <w:tcPr>
            <w:tcW w:type="dxa" w:w="5571"/>
            <w:tcMar>
              <w:top w:w="50" w:type="dxa"/>
              <w:bottom w:w="50" w:type="dxa"/>
              <w:left w:w="90" w:type="dxa"/>
              <w:right w:w="90" w:type="dxa"/>
            </w:tcMar>
            <w:shd w:val="clear" w:color="auto" w:fill="E5F5FF"/>
          </w:tcPr>
          <w:p>
            <w:pPr>
              <w:pStyle w:val="BDOITable"/>
            </w:pPr>
            <w:r>
              <w:rPr>
                <w:sz w:val="15"/>
              </w:rPr>
              <w:t>Who runs the performance and penetration tests of Nov - Dec 2027, and may an earlier scan run in SIT in June 2027?</w:t>
            </w:r>
          </w:p>
        </w:tc>
        <w:tc>
          <w:tcPr>
            <w:tcW w:type="dxa" w:w="1671"/>
            <w:tcMar>
              <w:top w:w="50" w:type="dxa"/>
              <w:bottom w:w="50" w:type="dxa"/>
              <w:left w:w="90" w:type="dxa"/>
              <w:right w:w="90" w:type="dxa"/>
            </w:tcMar>
            <w:shd w:val="clear" w:color="auto" w:fill="E5F5FF"/>
          </w:tcPr>
          <w:p>
            <w:pPr>
              <w:pStyle w:val="BDOITable"/>
            </w:pPr>
            <w:r>
              <w:rPr>
                <w:sz w:val="15"/>
              </w:rPr>
              <w:t>Timeline slide</w:t>
            </w:r>
          </w:p>
        </w:tc>
      </w:tr>
      <w:tr>
        <w:trPr>
          <w:cantSplit w:val="true"/>
        </w:trPr>
        <w:tc>
          <w:tcPr>
            <w:tcW w:type="dxa" w:w="613"/>
            <w:tcMar>
              <w:top w:w="50" w:type="dxa"/>
              <w:bottom w:w="50" w:type="dxa"/>
              <w:left w:w="90" w:type="dxa"/>
              <w:right w:w="90" w:type="dxa"/>
            </w:tcMar>
          </w:tcPr>
          <w:p>
            <w:pPr>
              <w:pStyle w:val="BDOITable"/>
            </w:pPr>
            <w:r>
              <w:rPr>
                <w:b/>
                <w:sz w:val="15"/>
              </w:rPr>
              <w:t>IQ08</w:t>
            </w:r>
          </w:p>
        </w:tc>
        <w:tc>
          <w:tcPr>
            <w:tcW w:type="dxa" w:w="669"/>
            <w:tcMar>
              <w:top w:w="50" w:type="dxa"/>
              <w:bottom w:w="50" w:type="dxa"/>
              <w:left w:w="90" w:type="dxa"/>
              <w:right w:w="90" w:type="dxa"/>
            </w:tcMar>
          </w:tcPr>
          <w:p>
            <w:pPr>
              <w:pStyle w:val="BDOITable"/>
            </w:pPr>
            <w:r>
              <w:rPr>
                <w:sz w:val="15"/>
              </w:rPr>
              <w:t>3</w:t>
            </w:r>
          </w:p>
        </w:tc>
        <w:tc>
          <w:tcPr>
            <w:tcW w:type="dxa" w:w="1448"/>
            <w:tcMar>
              <w:top w:w="50" w:type="dxa"/>
              <w:bottom w:w="50" w:type="dxa"/>
              <w:left w:w="90" w:type="dxa"/>
              <w:right w:w="90" w:type="dxa"/>
            </w:tcMar>
          </w:tcPr>
          <w:p>
            <w:pPr>
              <w:pStyle w:val="BDOITable"/>
            </w:pPr>
            <w:r>
              <w:rPr>
                <w:sz w:val="15"/>
              </w:rPr>
              <w:t>LFS SaaS</w:t>
            </w:r>
          </w:p>
        </w:tc>
        <w:tc>
          <w:tcPr>
            <w:tcW w:type="dxa" w:w="5571"/>
            <w:tcMar>
              <w:top w:w="50" w:type="dxa"/>
              <w:bottom w:w="50" w:type="dxa"/>
              <w:left w:w="90" w:type="dxa"/>
              <w:right w:w="90" w:type="dxa"/>
            </w:tcMar>
          </w:tcPr>
          <w:p>
            <w:pPr>
              <w:pStyle w:val="BDOITable"/>
            </w:pPr>
            <w:r>
              <w:rPr>
                <w:sz w:val="15"/>
              </w:rPr>
              <w:t>In which drop is the LFS interface, and what is its layout and transport?</w:t>
            </w:r>
          </w:p>
        </w:tc>
        <w:tc>
          <w:tcPr>
            <w:tcW w:type="dxa" w:w="1671"/>
            <w:tcMar>
              <w:top w:w="50" w:type="dxa"/>
              <w:bottom w:w="50" w:type="dxa"/>
              <w:left w:w="90" w:type="dxa"/>
              <w:right w:w="90" w:type="dxa"/>
            </w:tcMar>
          </w:tcPr>
          <w:p>
            <w:pPr>
              <w:pStyle w:val="BDOITable"/>
            </w:pPr>
            <w:r>
              <w:rPr>
                <w:sz w:val="15"/>
              </w:rPr>
              <w:t>Answer A2; BRD-12 p.4-5</w:t>
            </w:r>
          </w:p>
        </w:tc>
      </w:tr>
      <w:tr>
        <w:trPr>
          <w:cantSplit w:val="true"/>
        </w:trPr>
        <w:tc>
          <w:tcPr>
            <w:tcW w:type="dxa" w:w="613"/>
            <w:tcMar>
              <w:top w:w="50" w:type="dxa"/>
              <w:bottom w:w="50" w:type="dxa"/>
              <w:left w:w="90" w:type="dxa"/>
              <w:right w:w="90" w:type="dxa"/>
            </w:tcMar>
            <w:shd w:val="clear" w:color="auto" w:fill="E5F5FF"/>
          </w:tcPr>
          <w:p>
            <w:pPr>
              <w:pStyle w:val="BDOITable"/>
            </w:pPr>
            <w:r>
              <w:rPr>
                <w:b/>
                <w:sz w:val="15"/>
              </w:rPr>
              <w:t>IQ12</w:t>
            </w:r>
          </w:p>
        </w:tc>
        <w:tc>
          <w:tcPr>
            <w:tcW w:type="dxa" w:w="669"/>
            <w:tcMar>
              <w:top w:w="50" w:type="dxa"/>
              <w:bottom w:w="50" w:type="dxa"/>
              <w:left w:w="90" w:type="dxa"/>
              <w:right w:w="90" w:type="dxa"/>
            </w:tcMar>
            <w:shd w:val="clear" w:color="auto" w:fill="E5F5FF"/>
          </w:tcPr>
          <w:p>
            <w:pPr>
              <w:pStyle w:val="BDOITable"/>
            </w:pPr>
            <w:r>
              <w:rPr>
                <w:sz w:val="15"/>
              </w:rPr>
              <w:t>3</w:t>
            </w:r>
          </w:p>
        </w:tc>
        <w:tc>
          <w:tcPr>
            <w:tcW w:type="dxa" w:w="1448"/>
            <w:tcMar>
              <w:top w:w="50" w:type="dxa"/>
              <w:bottom w:w="50" w:type="dxa"/>
              <w:left w:w="90" w:type="dxa"/>
              <w:right w:w="90" w:type="dxa"/>
            </w:tcMar>
            <w:shd w:val="clear" w:color="auto" w:fill="E5F5FF"/>
          </w:tcPr>
          <w:p>
            <w:pPr>
              <w:pStyle w:val="BDOITable"/>
            </w:pPr>
            <w:r>
              <w:rPr>
                <w:sz w:val="15"/>
              </w:rPr>
              <w:t>M365 Exchange</w:t>
            </w:r>
          </w:p>
        </w:tc>
        <w:tc>
          <w:tcPr>
            <w:tcW w:type="dxa" w:w="5571"/>
            <w:tcMar>
              <w:top w:w="50" w:type="dxa"/>
              <w:bottom w:w="50" w:type="dxa"/>
              <w:left w:w="90" w:type="dxa"/>
              <w:right w:w="90" w:type="dxa"/>
            </w:tcMar>
            <w:shd w:val="clear" w:color="auto" w:fill="E5F5FF"/>
          </w:tcPr>
          <w:p>
            <w:pPr>
              <w:pStyle w:val="BDOITable"/>
            </w:pPr>
            <w:r>
              <w:rPr>
                <w:sz w:val="15"/>
              </w:rPr>
              <w:t>What does BIBS do with M365 Exchange that CCM does not cover (read the mailboxes of e-mailed quotation requests or insurer replies through Microsoft Graph)?</w:t>
            </w:r>
          </w:p>
        </w:tc>
        <w:tc>
          <w:tcPr>
            <w:tcW w:type="dxa" w:w="1671"/>
            <w:tcMar>
              <w:top w:w="50" w:type="dxa"/>
              <w:bottom w:w="50" w:type="dxa"/>
              <w:left w:w="90" w:type="dxa"/>
              <w:right w:w="90" w:type="dxa"/>
            </w:tcMar>
            <w:shd w:val="clear" w:color="auto" w:fill="E5F5FF"/>
          </w:tcPr>
          <w:p>
            <w:pPr>
              <w:pStyle w:val="BDOITable"/>
            </w:pPr>
            <w:r>
              <w:rPr>
                <w:sz w:val="15"/>
              </w:rPr>
              <w:t>Answer A2; Q12</w:t>
            </w:r>
          </w:p>
        </w:tc>
      </w:tr>
      <w:tr>
        <w:trPr>
          <w:cantSplit w:val="true"/>
        </w:trPr>
        <w:tc>
          <w:tcPr>
            <w:tcW w:type="dxa" w:w="613"/>
            <w:tcMar>
              <w:top w:w="50" w:type="dxa"/>
              <w:bottom w:w="50" w:type="dxa"/>
              <w:left w:w="90" w:type="dxa"/>
              <w:right w:w="90" w:type="dxa"/>
            </w:tcMar>
          </w:tcPr>
          <w:p>
            <w:pPr>
              <w:pStyle w:val="BDOITable"/>
            </w:pPr>
            <w:r>
              <w:rPr>
                <w:b/>
                <w:sz w:val="15"/>
              </w:rPr>
              <w:t>IQ13</w:t>
            </w:r>
          </w:p>
        </w:tc>
        <w:tc>
          <w:tcPr>
            <w:tcW w:type="dxa" w:w="669"/>
            <w:tcMar>
              <w:top w:w="50" w:type="dxa"/>
              <w:bottom w:w="50" w:type="dxa"/>
              <w:left w:w="90" w:type="dxa"/>
              <w:right w:w="90" w:type="dxa"/>
            </w:tcMar>
          </w:tcPr>
          <w:p>
            <w:pPr>
              <w:pStyle w:val="BDOITable"/>
            </w:pPr>
            <w:r>
              <w:rPr>
                <w:sz w:val="15"/>
              </w:rPr>
              <w:t>3</w:t>
            </w:r>
          </w:p>
        </w:tc>
        <w:tc>
          <w:tcPr>
            <w:tcW w:type="dxa" w:w="1448"/>
            <w:tcMar>
              <w:top w:w="50" w:type="dxa"/>
              <w:bottom w:w="50" w:type="dxa"/>
              <w:left w:w="90" w:type="dxa"/>
              <w:right w:w="90" w:type="dxa"/>
            </w:tcMar>
          </w:tcPr>
          <w:p>
            <w:pPr>
              <w:pStyle w:val="BDOITable"/>
            </w:pPr>
            <w:r>
              <w:rPr>
                <w:sz w:val="15"/>
              </w:rPr>
              <w:t>ECM</w:t>
            </w:r>
          </w:p>
        </w:tc>
        <w:tc>
          <w:tcPr>
            <w:tcW w:type="dxa" w:w="5571"/>
            <w:tcMar>
              <w:top w:w="50" w:type="dxa"/>
              <w:bottom w:w="50" w:type="dxa"/>
              <w:left w:w="90" w:type="dxa"/>
              <w:right w:w="90" w:type="dxa"/>
            </w:tcMar>
          </w:tcPr>
          <w:p>
            <w:pPr>
              <w:pStyle w:val="BDOITable"/>
            </w:pPr>
            <w:r>
              <w:rPr>
                <w:sz w:val="15"/>
              </w:rPr>
              <w:t>With documents in S3 only, is there any ECM touch-point left (source of legacy documents for the archive, transfer of records at the end of retention)?</w:t>
            </w:r>
          </w:p>
        </w:tc>
        <w:tc>
          <w:tcPr>
            <w:tcW w:type="dxa" w:w="1671"/>
            <w:tcMar>
              <w:top w:w="50" w:type="dxa"/>
              <w:bottom w:w="50" w:type="dxa"/>
              <w:left w:w="90" w:type="dxa"/>
              <w:right w:w="90" w:type="dxa"/>
            </w:tcMar>
          </w:tcPr>
          <w:p>
            <w:pPr>
              <w:pStyle w:val="BDOITable"/>
            </w:pPr>
            <w:r>
              <w:rPr>
                <w:sz w:val="15"/>
              </w:rPr>
              <w:t>Answers A2, A4</w:t>
            </w:r>
          </w:p>
        </w:tc>
      </w:tr>
      <w:tr>
        <w:trPr>
          <w:cantSplit w:val="true"/>
        </w:trPr>
        <w:tc>
          <w:tcPr>
            <w:tcW w:type="dxa" w:w="613"/>
            <w:tcMar>
              <w:top w:w="50" w:type="dxa"/>
              <w:bottom w:w="50" w:type="dxa"/>
              <w:left w:w="90" w:type="dxa"/>
              <w:right w:w="90" w:type="dxa"/>
            </w:tcMar>
            <w:shd w:val="clear" w:color="auto" w:fill="E5F5FF"/>
          </w:tcPr>
          <w:p>
            <w:pPr>
              <w:pStyle w:val="BDOITable"/>
            </w:pPr>
            <w:r>
              <w:rPr>
                <w:b/>
                <w:sz w:val="15"/>
              </w:rPr>
              <w:t>IQ14</w:t>
            </w:r>
          </w:p>
        </w:tc>
        <w:tc>
          <w:tcPr>
            <w:tcW w:type="dxa" w:w="669"/>
            <w:tcMar>
              <w:top w:w="50" w:type="dxa"/>
              <w:bottom w:w="50" w:type="dxa"/>
              <w:left w:w="90" w:type="dxa"/>
              <w:right w:w="90" w:type="dxa"/>
            </w:tcMar>
            <w:shd w:val="clear" w:color="auto" w:fill="E5F5FF"/>
          </w:tcPr>
          <w:p>
            <w:pPr>
              <w:pStyle w:val="BDOITable"/>
            </w:pPr>
            <w:r>
              <w:rPr>
                <w:sz w:val="15"/>
              </w:rPr>
              <w:t>3</w:t>
            </w:r>
          </w:p>
        </w:tc>
        <w:tc>
          <w:tcPr>
            <w:tcW w:type="dxa" w:w="1448"/>
            <w:tcMar>
              <w:top w:w="50" w:type="dxa"/>
              <w:bottom w:w="50" w:type="dxa"/>
              <w:left w:w="90" w:type="dxa"/>
              <w:right w:w="90" w:type="dxa"/>
            </w:tcMar>
            <w:shd w:val="clear" w:color="auto" w:fill="E5F5FF"/>
          </w:tcPr>
          <w:p>
            <w:pPr>
              <w:pStyle w:val="BDOITable"/>
            </w:pPr>
            <w:r>
              <w:rPr>
                <w:sz w:val="15"/>
              </w:rPr>
              <w:t>TFS</w:t>
            </w:r>
          </w:p>
        </w:tc>
        <w:tc>
          <w:tcPr>
            <w:tcW w:type="dxa" w:w="5571"/>
            <w:tcMar>
              <w:top w:w="50" w:type="dxa"/>
              <w:bottom w:w="50" w:type="dxa"/>
              <w:left w:w="90" w:type="dxa"/>
              <w:right w:w="90" w:type="dxa"/>
            </w:tcMar>
            <w:shd w:val="clear" w:color="auto" w:fill="E5F5FF"/>
          </w:tcPr>
          <w:p>
            <w:pPr>
              <w:pStyle w:val="BDOITable"/>
            </w:pPr>
            <w:r>
              <w:rPr>
                <w:sz w:val="15"/>
              </w:rPr>
              <w:t>Which client onboarding data comes from TFS, and what is the layout of the Trade payment file uploaded to Cashiering?</w:t>
            </w:r>
          </w:p>
        </w:tc>
        <w:tc>
          <w:tcPr>
            <w:tcW w:type="dxa" w:w="1671"/>
            <w:tcMar>
              <w:top w:w="50" w:type="dxa"/>
              <w:bottom w:w="50" w:type="dxa"/>
              <w:left w:w="90" w:type="dxa"/>
              <w:right w:w="90" w:type="dxa"/>
            </w:tcMar>
            <w:shd w:val="clear" w:color="auto" w:fill="E5F5FF"/>
          </w:tcPr>
          <w:p>
            <w:pPr>
              <w:pStyle w:val="BDOITable"/>
            </w:pPr>
            <w:r>
              <w:rPr>
                <w:sz w:val="15"/>
              </w:rPr>
              <w:t>Answer A2; CSHID.008</w:t>
            </w:r>
          </w:p>
        </w:tc>
      </w:tr>
      <w:tr>
        <w:trPr>
          <w:cantSplit w:val="true"/>
        </w:trPr>
        <w:tc>
          <w:tcPr>
            <w:tcW w:type="dxa" w:w="613"/>
            <w:tcMar>
              <w:top w:w="50" w:type="dxa"/>
              <w:bottom w:w="50" w:type="dxa"/>
              <w:left w:w="90" w:type="dxa"/>
              <w:right w:w="90" w:type="dxa"/>
            </w:tcMar>
          </w:tcPr>
          <w:p>
            <w:pPr>
              <w:pStyle w:val="BDOITable"/>
            </w:pPr>
            <w:r>
              <w:rPr>
                <w:b/>
                <w:sz w:val="15"/>
              </w:rPr>
              <w:t>IQ19</w:t>
            </w:r>
          </w:p>
        </w:tc>
        <w:tc>
          <w:tcPr>
            <w:tcW w:type="dxa" w:w="669"/>
            <w:tcMar>
              <w:top w:w="50" w:type="dxa"/>
              <w:bottom w:w="50" w:type="dxa"/>
              <w:left w:w="90" w:type="dxa"/>
              <w:right w:w="90" w:type="dxa"/>
            </w:tcMar>
          </w:tcPr>
          <w:p>
            <w:pPr>
              <w:pStyle w:val="BDOITable"/>
            </w:pPr>
            <w:r>
              <w:rPr>
                <w:sz w:val="15"/>
              </w:rPr>
              <w:t>3</w:t>
            </w:r>
          </w:p>
        </w:tc>
        <w:tc>
          <w:tcPr>
            <w:tcW w:type="dxa" w:w="1448"/>
            <w:tcMar>
              <w:top w:w="50" w:type="dxa"/>
              <w:bottom w:w="50" w:type="dxa"/>
              <w:left w:w="90" w:type="dxa"/>
              <w:right w:w="90" w:type="dxa"/>
            </w:tcMar>
          </w:tcPr>
          <w:p>
            <w:pPr>
              <w:pStyle w:val="BDOITable"/>
            </w:pPr>
            <w:r>
              <w:rPr>
                <w:sz w:val="15"/>
              </w:rPr>
              <w:t>Bridger Insight XG</w:t>
            </w:r>
          </w:p>
        </w:tc>
        <w:tc>
          <w:tcPr>
            <w:tcW w:type="dxa" w:w="5571"/>
            <w:tcMar>
              <w:top w:w="50" w:type="dxa"/>
              <w:bottom w:w="50" w:type="dxa"/>
              <w:left w:w="90" w:type="dxa"/>
              <w:right w:w="90" w:type="dxa"/>
            </w:tcMar>
          </w:tcPr>
          <w:p>
            <w:pPr>
              <w:pStyle w:val="BDOITable"/>
            </w:pPr>
            <w:r>
              <w:rPr>
                <w:sz w:val="15"/>
              </w:rPr>
              <w:t>Is Bridger the screening engine (BIBS records its results) or a second check next to BIBS list matching (SNSRP-201, 301)? Is a batch export of clients for Bridger needed?</w:t>
            </w:r>
          </w:p>
        </w:tc>
        <w:tc>
          <w:tcPr>
            <w:tcW w:type="dxa" w:w="1671"/>
            <w:tcMar>
              <w:top w:w="50" w:type="dxa"/>
              <w:bottom w:w="50" w:type="dxa"/>
              <w:left w:w="90" w:type="dxa"/>
              <w:right w:w="90" w:type="dxa"/>
            </w:tcMar>
          </w:tcPr>
          <w:p>
            <w:pPr>
              <w:pStyle w:val="BDOITable"/>
            </w:pPr>
            <w:r>
              <w:rPr>
                <w:sz w:val="15"/>
              </w:rPr>
              <w:t>Drop plan Drop 2; answer A2; SQ01</w:t>
            </w:r>
          </w:p>
        </w:tc>
      </w:tr>
      <w:tr>
        <w:trPr>
          <w:cantSplit w:val="true"/>
        </w:trPr>
        <w:tc>
          <w:tcPr>
            <w:tcW w:type="dxa" w:w="613"/>
            <w:tcMar>
              <w:top w:w="50" w:type="dxa"/>
              <w:bottom w:w="50" w:type="dxa"/>
              <w:left w:w="90" w:type="dxa"/>
              <w:right w:w="90" w:type="dxa"/>
            </w:tcMar>
            <w:shd w:val="clear" w:color="auto" w:fill="E5F5FF"/>
          </w:tcPr>
          <w:p>
            <w:pPr>
              <w:pStyle w:val="BDOITable"/>
            </w:pPr>
            <w:r>
              <w:rPr>
                <w:b/>
                <w:sz w:val="15"/>
              </w:rPr>
              <w:t>IQ30</w:t>
            </w:r>
          </w:p>
        </w:tc>
        <w:tc>
          <w:tcPr>
            <w:tcW w:type="dxa" w:w="669"/>
            <w:tcMar>
              <w:top w:w="50" w:type="dxa"/>
              <w:bottom w:w="50" w:type="dxa"/>
              <w:left w:w="90" w:type="dxa"/>
              <w:right w:w="90" w:type="dxa"/>
            </w:tcMar>
            <w:shd w:val="clear" w:color="auto" w:fill="E5F5FF"/>
          </w:tcPr>
          <w:p>
            <w:pPr>
              <w:pStyle w:val="BDOITable"/>
            </w:pPr>
            <w:r>
              <w:rPr>
                <w:sz w:val="15"/>
              </w:rPr>
              <w:t>3</w:t>
            </w:r>
          </w:p>
        </w:tc>
        <w:tc>
          <w:tcPr>
            <w:tcW w:type="dxa" w:w="1448"/>
            <w:tcMar>
              <w:top w:w="50" w:type="dxa"/>
              <w:bottom w:w="50" w:type="dxa"/>
              <w:left w:w="90" w:type="dxa"/>
              <w:right w:w="90" w:type="dxa"/>
            </w:tcMar>
            <w:shd w:val="clear" w:color="auto" w:fill="E5F5FF"/>
          </w:tcPr>
          <w:p>
            <w:pPr>
              <w:pStyle w:val="BDOITable"/>
            </w:pPr>
            <w:r>
              <w:rPr>
                <w:sz w:val="15"/>
              </w:rPr>
              <w:t>Observability</w:t>
            </w:r>
          </w:p>
        </w:tc>
        <w:tc>
          <w:tcPr>
            <w:tcW w:type="dxa" w:w="5571"/>
            <w:tcMar>
              <w:top w:w="50" w:type="dxa"/>
              <w:bottom w:w="50" w:type="dxa"/>
              <w:left w:w="90" w:type="dxa"/>
              <w:right w:w="90" w:type="dxa"/>
            </w:tcMar>
            <w:shd w:val="clear" w:color="auto" w:fill="E5F5FF"/>
          </w:tcPr>
          <w:p>
            <w:pPr>
              <w:pStyle w:val="BDOITable"/>
            </w:pPr>
            <w:r>
              <w:rPr>
                <w:sz w:val="15"/>
              </w:rPr>
              <w:t>Dynatrace (VDI, K8s sheets) or CloudWatch, X-Ray, Prometheus, Loki, Grafana (diagram)? Log platform and alert routing.</w:t>
            </w:r>
          </w:p>
        </w:tc>
        <w:tc>
          <w:tcPr>
            <w:tcW w:type="dxa" w:w="1671"/>
            <w:tcMar>
              <w:top w:w="50" w:type="dxa"/>
              <w:bottom w:w="50" w:type="dxa"/>
              <w:left w:w="90" w:type="dxa"/>
              <w:right w:w="90" w:type="dxa"/>
            </w:tcMar>
            <w:shd w:val="clear" w:color="auto" w:fill="E5F5FF"/>
          </w:tcPr>
          <w:p>
            <w:pPr>
              <w:pStyle w:val="BDOITable"/>
            </w:pPr>
            <w:r>
              <w:rPr>
                <w:sz w:val="15"/>
              </w:rPr>
              <w:t>IER sheets</w:t>
            </w:r>
          </w:p>
        </w:tc>
      </w:tr>
      <w:tr>
        <w:trPr>
          <w:cantSplit w:val="true"/>
        </w:trPr>
        <w:tc>
          <w:tcPr>
            <w:tcW w:type="dxa" w:w="613"/>
            <w:tcMar>
              <w:top w:w="50" w:type="dxa"/>
              <w:bottom w:w="50" w:type="dxa"/>
              <w:left w:w="90" w:type="dxa"/>
              <w:right w:w="90" w:type="dxa"/>
            </w:tcMar>
          </w:tcPr>
          <w:p>
            <w:pPr>
              <w:pStyle w:val="BDOITable"/>
            </w:pPr>
            <w:r>
              <w:rPr>
                <w:b/>
                <w:sz w:val="15"/>
              </w:rPr>
              <w:t>IQ34</w:t>
            </w:r>
          </w:p>
        </w:tc>
        <w:tc>
          <w:tcPr>
            <w:tcW w:type="dxa" w:w="669"/>
            <w:tcMar>
              <w:top w:w="50" w:type="dxa"/>
              <w:bottom w:w="50" w:type="dxa"/>
              <w:left w:w="90" w:type="dxa"/>
              <w:right w:w="90" w:type="dxa"/>
            </w:tcMar>
          </w:tcPr>
          <w:p>
            <w:pPr>
              <w:pStyle w:val="BDOITable"/>
            </w:pPr>
            <w:r>
              <w:rPr>
                <w:sz w:val="15"/>
              </w:rPr>
              <w:t>3</w:t>
            </w:r>
          </w:p>
        </w:tc>
        <w:tc>
          <w:tcPr>
            <w:tcW w:type="dxa" w:w="1448"/>
            <w:tcMar>
              <w:top w:w="50" w:type="dxa"/>
              <w:bottom w:w="50" w:type="dxa"/>
              <w:left w:w="90" w:type="dxa"/>
              <w:right w:w="90" w:type="dxa"/>
            </w:tcMar>
          </w:tcPr>
          <w:p>
            <w:pPr>
              <w:pStyle w:val="BDOITable"/>
            </w:pPr>
            <w:r>
              <w:rPr>
                <w:sz w:val="15"/>
              </w:rPr>
              <w:t>ElastiCache mode</w:t>
            </w:r>
          </w:p>
        </w:tc>
        <w:tc>
          <w:tcPr>
            <w:tcW w:type="dxa" w:w="5571"/>
            <w:tcMar>
              <w:top w:w="50" w:type="dxa"/>
              <w:bottom w:w="50" w:type="dxa"/>
              <w:left w:w="90" w:type="dxa"/>
              <w:right w:w="90" w:type="dxa"/>
            </w:tcMar>
          </w:tcPr>
          <w:p>
            <w:pPr>
              <w:pStyle w:val="BDOITable"/>
            </w:pPr>
            <w:r>
              <w:rPr>
                <w:sz w:val="15"/>
              </w:rPr>
              <w:t>Please confirm cluster mode disabled (one shard, Multi-AZ replica) for Pre-Prod and PROD; "cluster" in the HW sheet would need a code change.</w:t>
            </w:r>
          </w:p>
        </w:tc>
        <w:tc>
          <w:tcPr>
            <w:tcW w:type="dxa" w:w="1671"/>
            <w:tcMar>
              <w:top w:w="50" w:type="dxa"/>
              <w:bottom w:w="50" w:type="dxa"/>
              <w:left w:w="90" w:type="dxa"/>
              <w:right w:w="90" w:type="dxa"/>
            </w:tcMar>
          </w:tcPr>
          <w:p>
            <w:pPr>
              <w:pStyle w:val="BDOITable"/>
            </w:pPr>
            <w:r>
              <w:rPr>
                <w:sz w:val="15"/>
              </w:rPr>
              <w:t>IER HW &amp; SW Requirements</w:t>
            </w:r>
          </w:p>
        </w:tc>
      </w:tr>
    </w:tbl>
    <w:p>
      <w:pPr>
        <w:pStyle w:val="BDOISpacer"/>
      </w:pPr>
    </w:p>
    <w:p>
      <w:pPr>
        <w:pStyle w:val="Heading1"/>
        <w:pageBreakBefore/>
        <w:pBdr>
          <w:bottom w:val="single" w:sz="4" w:space="4" w:color="99C1E7"/>
        </w:pBdr>
      </w:pPr>
      <w:bookmarkStart w:id="132" w:name="_Toc000132"/>
      <w:r>
        <w:rPr/>
        <w:t>Glossary</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BIBS</w:t>
            </w:r>
          </w:p>
        </w:tc>
        <w:tc>
          <w:tcPr>
            <w:tcW w:type="dxa" w:w="7932"/>
            <w:tcMar>
              <w:top w:w="50" w:type="dxa"/>
              <w:bottom w:w="50" w:type="dxa"/>
              <w:left w:w="90" w:type="dxa"/>
              <w:right w:w="90" w:type="dxa"/>
            </w:tcMar>
          </w:tcPr>
          <w:p>
            <w:pPr>
              <w:pStyle w:val="BDOITable"/>
            </w:pPr>
            <w:r>
              <w:rPr>
                <w:sz w:val="18"/>
              </w:rPr>
              <w:t>BDOI Broker System, built on iNXT BrokerVerse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CCM</w:t>
            </w:r>
          </w:p>
        </w:tc>
        <w:tc>
          <w:tcPr>
            <w:tcW w:type="dxa" w:w="7932"/>
            <w:tcMar>
              <w:top w:w="50" w:type="dxa"/>
              <w:bottom w:w="50" w:type="dxa"/>
              <w:left w:w="90" w:type="dxa"/>
              <w:right w:w="90" w:type="dxa"/>
            </w:tcMar>
            <w:shd w:val="clear" w:color="auto" w:fill="E5F5FF"/>
          </w:tcPr>
          <w:p>
            <w:pPr>
              <w:pStyle w:val="BDOITable"/>
            </w:pPr>
            <w:r>
              <w:rPr>
                <w:sz w:val="18"/>
              </w:rPr>
              <w:t>Centralized Communications Management (e-mail sending)</w:t>
            </w:r>
          </w:p>
        </w:tc>
      </w:tr>
      <w:tr>
        <w:trPr>
          <w:cantSplit w:val="true"/>
        </w:trPr>
        <w:tc>
          <w:tcPr>
            <w:tcW w:type="dxa" w:w="2040"/>
            <w:tcMar>
              <w:top w:w="50" w:type="dxa"/>
              <w:bottom w:w="50" w:type="dxa"/>
              <w:left w:w="90" w:type="dxa"/>
              <w:right w:w="90" w:type="dxa"/>
            </w:tcMar>
          </w:tcPr>
          <w:p>
            <w:pPr>
              <w:pStyle w:val="BDOITable"/>
            </w:pPr>
            <w:r>
              <w:rPr>
                <w:b/>
                <w:sz w:val="18"/>
              </w:rPr>
              <w:t>CMS / New BOB</w:t>
            </w:r>
          </w:p>
        </w:tc>
        <w:tc>
          <w:tcPr>
            <w:tcW w:type="dxa" w:w="7932"/>
            <w:tcMar>
              <w:top w:w="50" w:type="dxa"/>
              <w:bottom w:w="50" w:type="dxa"/>
              <w:left w:w="90" w:type="dxa"/>
              <w:right w:w="90" w:type="dxa"/>
            </w:tcMar>
          </w:tcPr>
          <w:p>
            <w:pPr>
              <w:pStyle w:val="BDOITable"/>
            </w:pPr>
            <w:r>
              <w:rPr>
                <w:sz w:val="18"/>
              </w:rPr>
              <w:t>Cash Management System, outward payments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DR</w:t>
            </w:r>
          </w:p>
        </w:tc>
        <w:tc>
          <w:tcPr>
            <w:tcW w:type="dxa" w:w="7932"/>
            <w:tcMar>
              <w:top w:w="50" w:type="dxa"/>
              <w:bottom w:w="50" w:type="dxa"/>
              <w:left w:w="90" w:type="dxa"/>
              <w:right w:w="90" w:type="dxa"/>
            </w:tcMar>
            <w:shd w:val="clear" w:color="auto" w:fill="E5F5FF"/>
          </w:tcPr>
          <w:p>
            <w:pPr>
              <w:pStyle w:val="BDOITable"/>
            </w:pPr>
            <w:r>
              <w:rPr>
                <w:sz w:val="18"/>
              </w:rPr>
              <w:t>Disaster recovery</w:t>
            </w:r>
          </w:p>
        </w:tc>
      </w:tr>
      <w:tr>
        <w:trPr>
          <w:cantSplit w:val="true"/>
        </w:trPr>
        <w:tc>
          <w:tcPr>
            <w:tcW w:type="dxa" w:w="2040"/>
            <w:tcMar>
              <w:top w:w="50" w:type="dxa"/>
              <w:bottom w:w="50" w:type="dxa"/>
              <w:left w:w="90" w:type="dxa"/>
              <w:right w:w="90" w:type="dxa"/>
            </w:tcMar>
          </w:tcPr>
          <w:p>
            <w:pPr>
              <w:pStyle w:val="BDOITable"/>
            </w:pPr>
            <w:r>
              <w:rPr>
                <w:b/>
                <w:sz w:val="18"/>
              </w:rPr>
              <w:t>EDP</w:t>
            </w:r>
          </w:p>
        </w:tc>
        <w:tc>
          <w:tcPr>
            <w:tcW w:type="dxa" w:w="7932"/>
            <w:tcMar>
              <w:top w:w="50" w:type="dxa"/>
              <w:bottom w:w="50" w:type="dxa"/>
              <w:left w:w="90" w:type="dxa"/>
              <w:right w:w="90" w:type="dxa"/>
            </w:tcMar>
          </w:tcPr>
          <w:p>
            <w:pPr>
              <w:pStyle w:val="BDOITable"/>
            </w:pPr>
            <w:r>
              <w:rPr>
                <w:sz w:val="18"/>
              </w:rPr>
              <w:t>Enterprise Data Platform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EGL</w:t>
            </w:r>
          </w:p>
        </w:tc>
        <w:tc>
          <w:tcPr>
            <w:tcW w:type="dxa" w:w="7932"/>
            <w:tcMar>
              <w:top w:w="50" w:type="dxa"/>
              <w:bottom w:w="50" w:type="dxa"/>
              <w:left w:w="90" w:type="dxa"/>
              <w:right w:w="90" w:type="dxa"/>
            </w:tcMar>
            <w:shd w:val="clear" w:color="auto" w:fill="E5F5FF"/>
          </w:tcPr>
          <w:p>
            <w:pPr>
              <w:pStyle w:val="BDOITable"/>
            </w:pPr>
            <w:r>
              <w:rPr>
                <w:sz w:val="18"/>
              </w:rPr>
              <w:t>Enterprise General Ledger</w:t>
            </w:r>
          </w:p>
        </w:tc>
      </w:tr>
      <w:tr>
        <w:trPr>
          <w:cantSplit w:val="true"/>
        </w:trPr>
        <w:tc>
          <w:tcPr>
            <w:tcW w:type="dxa" w:w="2040"/>
            <w:tcMar>
              <w:top w:w="50" w:type="dxa"/>
              <w:bottom w:w="50" w:type="dxa"/>
              <w:left w:w="90" w:type="dxa"/>
              <w:right w:w="90" w:type="dxa"/>
            </w:tcMar>
          </w:tcPr>
          <w:p>
            <w:pPr>
              <w:pStyle w:val="BDOITable"/>
            </w:pPr>
            <w:r>
              <w:rPr>
                <w:b/>
                <w:sz w:val="18"/>
              </w:rPr>
              <w:t>EIAM</w:t>
            </w:r>
          </w:p>
        </w:tc>
        <w:tc>
          <w:tcPr>
            <w:tcW w:type="dxa" w:w="7932"/>
            <w:tcMar>
              <w:top w:w="50" w:type="dxa"/>
              <w:bottom w:w="50" w:type="dxa"/>
              <w:left w:w="90" w:type="dxa"/>
              <w:right w:w="90" w:type="dxa"/>
            </w:tcMar>
          </w:tcPr>
          <w:p>
            <w:pPr>
              <w:pStyle w:val="BDOITable"/>
            </w:pPr>
            <w:r>
              <w:rPr>
                <w:sz w:val="18"/>
              </w:rPr>
              <w:t>Enterprise Identity Access Management (Entra ID)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EKS</w:t>
            </w:r>
          </w:p>
        </w:tc>
        <w:tc>
          <w:tcPr>
            <w:tcW w:type="dxa" w:w="7932"/>
            <w:tcMar>
              <w:top w:w="50" w:type="dxa"/>
              <w:bottom w:w="50" w:type="dxa"/>
              <w:left w:w="90" w:type="dxa"/>
              <w:right w:w="90" w:type="dxa"/>
            </w:tcMar>
            <w:shd w:val="clear" w:color="auto" w:fill="E5F5FF"/>
          </w:tcPr>
          <w:p>
            <w:pPr>
              <w:pStyle w:val="BDOITable"/>
            </w:pPr>
            <w:r>
              <w:rPr>
                <w:sz w:val="18"/>
              </w:rPr>
              <w:t>Amazon Elastic Kubernetes Service</w:t>
            </w:r>
          </w:p>
        </w:tc>
      </w:tr>
      <w:tr>
        <w:trPr>
          <w:cantSplit w:val="true"/>
        </w:trPr>
        <w:tc>
          <w:tcPr>
            <w:tcW w:type="dxa" w:w="2040"/>
            <w:tcMar>
              <w:top w:w="50" w:type="dxa"/>
              <w:bottom w:w="50" w:type="dxa"/>
              <w:left w:w="90" w:type="dxa"/>
              <w:right w:w="90" w:type="dxa"/>
            </w:tcMar>
          </w:tcPr>
          <w:p>
            <w:pPr>
              <w:pStyle w:val="BDOITable"/>
            </w:pPr>
            <w:r>
              <w:rPr>
                <w:b/>
                <w:sz w:val="18"/>
              </w:rPr>
              <w:t>FFY</w:t>
            </w:r>
          </w:p>
        </w:tc>
        <w:tc>
          <w:tcPr>
            <w:tcW w:type="dxa" w:w="7932"/>
            <w:tcMar>
              <w:top w:w="50" w:type="dxa"/>
              <w:bottom w:w="50" w:type="dxa"/>
              <w:left w:w="90" w:type="dxa"/>
              <w:right w:w="90" w:type="dxa"/>
            </w:tcMar>
          </w:tcPr>
          <w:p>
            <w:pPr>
              <w:pStyle w:val="BDOITable"/>
            </w:pPr>
            <w:r>
              <w:rPr>
                <w:sz w:val="18"/>
              </w:rPr>
              <w:t>Free First Year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HL-LOAS</w:t>
            </w:r>
          </w:p>
        </w:tc>
        <w:tc>
          <w:tcPr>
            <w:tcW w:type="dxa" w:w="7932"/>
            <w:tcMar>
              <w:top w:w="50" w:type="dxa"/>
              <w:bottom w:w="50" w:type="dxa"/>
              <w:left w:w="90" w:type="dxa"/>
              <w:right w:w="90" w:type="dxa"/>
            </w:tcMar>
            <w:shd w:val="clear" w:color="auto" w:fill="E5F5FF"/>
          </w:tcPr>
          <w:p>
            <w:pPr>
              <w:pStyle w:val="BDOITable"/>
            </w:pPr>
            <w:r>
              <w:rPr>
                <w:sz w:val="18"/>
              </w:rPr>
              <w:t>Home Loan System (Loan Origination and Admin)</w:t>
            </w:r>
          </w:p>
        </w:tc>
      </w:tr>
      <w:tr>
        <w:trPr>
          <w:cantSplit w:val="true"/>
        </w:trPr>
        <w:tc>
          <w:tcPr>
            <w:tcW w:type="dxa" w:w="2040"/>
            <w:tcMar>
              <w:top w:w="50" w:type="dxa"/>
              <w:bottom w:w="50" w:type="dxa"/>
              <w:left w:w="90" w:type="dxa"/>
              <w:right w:w="90" w:type="dxa"/>
            </w:tcMar>
          </w:tcPr>
          <w:p>
            <w:pPr>
              <w:pStyle w:val="BDOITable"/>
            </w:pPr>
            <w:r>
              <w:rPr>
                <w:b/>
                <w:sz w:val="18"/>
              </w:rPr>
              <w:t>IER</w:t>
            </w:r>
          </w:p>
        </w:tc>
        <w:tc>
          <w:tcPr>
            <w:tcW w:type="dxa" w:w="7932"/>
            <w:tcMar>
              <w:top w:w="50" w:type="dxa"/>
              <w:bottom w:w="50" w:type="dxa"/>
              <w:left w:w="90" w:type="dxa"/>
              <w:right w:w="90" w:type="dxa"/>
            </w:tcMar>
          </w:tcPr>
          <w:p>
            <w:pPr>
              <w:pStyle w:val="BDOITable"/>
            </w:pPr>
            <w:r>
              <w:rPr>
                <w:sz w:val="18"/>
              </w:rPr>
              <w:t>Infrastructure Estimation and Recommendation workbook</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IRSA</w:t>
            </w:r>
          </w:p>
        </w:tc>
        <w:tc>
          <w:tcPr>
            <w:tcW w:type="dxa" w:w="7932"/>
            <w:tcMar>
              <w:top w:w="50" w:type="dxa"/>
              <w:bottom w:w="50" w:type="dxa"/>
              <w:left w:w="90" w:type="dxa"/>
              <w:right w:w="90" w:type="dxa"/>
            </w:tcMar>
            <w:shd w:val="clear" w:color="auto" w:fill="E5F5FF"/>
          </w:tcPr>
          <w:p>
            <w:pPr>
              <w:pStyle w:val="BDOITable"/>
            </w:pPr>
            <w:r>
              <w:rPr>
                <w:sz w:val="18"/>
              </w:rPr>
              <w:t>IAM Roles for Service Accounts (EKS)</w:t>
            </w:r>
          </w:p>
        </w:tc>
      </w:tr>
      <w:tr>
        <w:trPr>
          <w:cantSplit w:val="true"/>
        </w:trPr>
        <w:tc>
          <w:tcPr>
            <w:tcW w:type="dxa" w:w="2040"/>
            <w:tcMar>
              <w:top w:w="50" w:type="dxa"/>
              <w:bottom w:w="50" w:type="dxa"/>
              <w:left w:w="90" w:type="dxa"/>
              <w:right w:w="90" w:type="dxa"/>
            </w:tcMar>
          </w:tcPr>
          <w:p>
            <w:pPr>
              <w:pStyle w:val="BDOITable"/>
            </w:pPr>
            <w:r>
              <w:rPr>
                <w:b/>
                <w:sz w:val="18"/>
              </w:rPr>
              <w:t>LFS SaaS</w:t>
            </w:r>
          </w:p>
        </w:tc>
        <w:tc>
          <w:tcPr>
            <w:tcW w:type="dxa" w:w="7932"/>
            <w:tcMar>
              <w:top w:w="50" w:type="dxa"/>
              <w:bottom w:w="50" w:type="dxa"/>
              <w:left w:w="90" w:type="dxa"/>
              <w:right w:w="90" w:type="dxa"/>
            </w:tcMar>
          </w:tcPr>
          <w:p>
            <w:pPr>
              <w:pStyle w:val="BDOITable"/>
            </w:pPr>
            <w:r>
              <w:rPr>
                <w:sz w:val="18"/>
              </w:rPr>
              <w:t>Loan Front-End System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LMS</w:t>
            </w:r>
          </w:p>
        </w:tc>
        <w:tc>
          <w:tcPr>
            <w:tcW w:type="dxa" w:w="7932"/>
            <w:tcMar>
              <w:top w:w="50" w:type="dxa"/>
              <w:bottom w:w="50" w:type="dxa"/>
              <w:left w:w="90" w:type="dxa"/>
              <w:right w:w="90" w:type="dxa"/>
            </w:tcMar>
            <w:shd w:val="clear" w:color="auto" w:fill="E5F5FF"/>
          </w:tcPr>
          <w:p>
            <w:pPr>
              <w:pStyle w:val="BDOITable"/>
            </w:pPr>
            <w:r>
              <w:rPr>
                <w:sz w:val="18"/>
              </w:rPr>
              <w:t>Loans Management System</w:t>
            </w:r>
          </w:p>
        </w:tc>
      </w:tr>
      <w:tr>
        <w:trPr>
          <w:cantSplit w:val="true"/>
        </w:trPr>
        <w:tc>
          <w:tcPr>
            <w:tcW w:type="dxa" w:w="2040"/>
            <w:tcMar>
              <w:top w:w="50" w:type="dxa"/>
              <w:bottom w:w="50" w:type="dxa"/>
              <w:left w:w="90" w:type="dxa"/>
              <w:right w:w="90" w:type="dxa"/>
            </w:tcMar>
          </w:tcPr>
          <w:p>
            <w:pPr>
              <w:pStyle w:val="BDOITable"/>
            </w:pPr>
            <w:r>
              <w:rPr>
                <w:b/>
                <w:sz w:val="18"/>
              </w:rPr>
              <w:t>MSK</w:t>
            </w:r>
          </w:p>
        </w:tc>
        <w:tc>
          <w:tcPr>
            <w:tcW w:type="dxa" w:w="7932"/>
            <w:tcMar>
              <w:top w:w="50" w:type="dxa"/>
              <w:bottom w:w="50" w:type="dxa"/>
              <w:left w:w="90" w:type="dxa"/>
              <w:right w:w="90" w:type="dxa"/>
            </w:tcMar>
          </w:tcPr>
          <w:p>
            <w:pPr>
              <w:pStyle w:val="BDOITable"/>
            </w:pPr>
            <w:r>
              <w:rPr>
                <w:sz w:val="18"/>
              </w:rPr>
              <w:t>Amazon Managed Streaming for Apache Kafka</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OBPCS</w:t>
            </w:r>
          </w:p>
        </w:tc>
        <w:tc>
          <w:tcPr>
            <w:tcW w:type="dxa" w:w="7932"/>
            <w:tcMar>
              <w:top w:w="50" w:type="dxa"/>
              <w:bottom w:w="50" w:type="dxa"/>
              <w:left w:w="90" w:type="dxa"/>
              <w:right w:w="90" w:type="dxa"/>
            </w:tcMar>
            <w:shd w:val="clear" w:color="auto" w:fill="E5F5FF"/>
          </w:tcPr>
          <w:p>
            <w:pPr>
              <w:pStyle w:val="BDOITable"/>
            </w:pPr>
            <w:r>
              <w:rPr>
                <w:sz w:val="18"/>
              </w:rPr>
              <w:t>Online Bills Payment Consolidation System</w:t>
            </w:r>
          </w:p>
        </w:tc>
      </w:tr>
      <w:tr>
        <w:trPr>
          <w:cantSplit w:val="true"/>
        </w:trPr>
        <w:tc>
          <w:tcPr>
            <w:tcW w:type="dxa" w:w="2040"/>
            <w:tcMar>
              <w:top w:w="50" w:type="dxa"/>
              <w:bottom w:w="50" w:type="dxa"/>
              <w:left w:w="90" w:type="dxa"/>
              <w:right w:w="90" w:type="dxa"/>
            </w:tcMar>
          </w:tcPr>
          <w:p>
            <w:pPr>
              <w:pStyle w:val="BDOITable"/>
            </w:pPr>
            <w:r>
              <w:rPr>
                <w:b/>
                <w:sz w:val="18"/>
              </w:rPr>
              <w:t>Old BOB</w:t>
            </w:r>
          </w:p>
        </w:tc>
        <w:tc>
          <w:tcPr>
            <w:tcW w:type="dxa" w:w="7932"/>
            <w:tcMar>
              <w:top w:w="50" w:type="dxa"/>
              <w:bottom w:w="50" w:type="dxa"/>
              <w:left w:w="90" w:type="dxa"/>
              <w:right w:w="90" w:type="dxa"/>
            </w:tcMar>
          </w:tcPr>
          <w:p>
            <w:pPr>
              <w:pStyle w:val="BDOITable"/>
            </w:pPr>
            <w:r>
              <w:rPr>
                <w:sz w:val="18"/>
              </w:rPr>
              <w:t>Old Business Online Banking Collection System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ORR / PRR</w:t>
            </w:r>
          </w:p>
        </w:tc>
        <w:tc>
          <w:tcPr>
            <w:tcW w:type="dxa" w:w="7932"/>
            <w:tcMar>
              <w:top w:w="50" w:type="dxa"/>
              <w:bottom w:w="50" w:type="dxa"/>
              <w:left w:w="90" w:type="dxa"/>
              <w:right w:w="90" w:type="dxa"/>
            </w:tcMar>
            <w:shd w:val="clear" w:color="auto" w:fill="E5F5FF"/>
          </w:tcPr>
          <w:p>
            <w:pPr>
              <w:pStyle w:val="BDOITable"/>
            </w:pPr>
            <w:r>
              <w:rPr>
                <w:sz w:val="18"/>
              </w:rPr>
              <w:t>Operational / production readiness review</w:t>
            </w:r>
          </w:p>
        </w:tc>
      </w:tr>
      <w:tr>
        <w:trPr>
          <w:cantSplit w:val="true"/>
        </w:trPr>
        <w:tc>
          <w:tcPr>
            <w:tcW w:type="dxa" w:w="2040"/>
            <w:tcMar>
              <w:top w:w="50" w:type="dxa"/>
              <w:bottom w:w="50" w:type="dxa"/>
              <w:left w:w="90" w:type="dxa"/>
              <w:right w:w="90" w:type="dxa"/>
            </w:tcMar>
          </w:tcPr>
          <w:p>
            <w:pPr>
              <w:pStyle w:val="BDOITable"/>
            </w:pPr>
            <w:r>
              <w:rPr>
                <w:b/>
                <w:sz w:val="18"/>
              </w:rPr>
              <w:t>PMS</w:t>
            </w:r>
          </w:p>
        </w:tc>
        <w:tc>
          <w:tcPr>
            <w:tcW w:type="dxa" w:w="7932"/>
            <w:tcMar>
              <w:top w:w="50" w:type="dxa"/>
              <w:bottom w:w="50" w:type="dxa"/>
              <w:left w:w="90" w:type="dxa"/>
              <w:right w:w="90" w:type="dxa"/>
            </w:tcMar>
          </w:tcPr>
          <w:p>
            <w:pPr>
              <w:pStyle w:val="BDOITable"/>
            </w:pPr>
            <w:r>
              <w:rPr>
                <w:sz w:val="18"/>
              </w:rPr>
              <w:t>PDC Management System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RMEL</w:t>
            </w:r>
          </w:p>
        </w:tc>
        <w:tc>
          <w:tcPr>
            <w:tcW w:type="dxa" w:w="7932"/>
            <w:tcMar>
              <w:top w:w="50" w:type="dxa"/>
              <w:bottom w:w="50" w:type="dxa"/>
              <w:left w:w="90" w:type="dxa"/>
              <w:right w:w="90" w:type="dxa"/>
            </w:tcMar>
            <w:shd w:val="clear" w:color="auto" w:fill="E5F5FF"/>
          </w:tcPr>
          <w:p>
            <w:pPr>
              <w:pStyle w:val="BDOITable"/>
            </w:pPr>
            <w:r>
              <w:rPr>
                <w:sz w:val="18"/>
              </w:rPr>
              <w:t>The expiring-policy list extracted for renewal</w:t>
            </w:r>
          </w:p>
        </w:tc>
      </w:tr>
      <w:tr>
        <w:trPr>
          <w:cantSplit w:val="true"/>
        </w:trPr>
        <w:tc>
          <w:tcPr>
            <w:tcW w:type="dxa" w:w="2040"/>
            <w:tcMar>
              <w:top w:w="50" w:type="dxa"/>
              <w:bottom w:w="50" w:type="dxa"/>
              <w:left w:w="90" w:type="dxa"/>
              <w:right w:w="90" w:type="dxa"/>
            </w:tcMar>
          </w:tcPr>
          <w:p>
            <w:pPr>
              <w:pStyle w:val="BDOITable"/>
            </w:pPr>
            <w:r>
              <w:rPr>
                <w:b/>
                <w:sz w:val="18"/>
              </w:rPr>
              <w:t>RPO / RTO</w:t>
            </w:r>
          </w:p>
        </w:tc>
        <w:tc>
          <w:tcPr>
            <w:tcW w:type="dxa" w:w="7932"/>
            <w:tcMar>
              <w:top w:w="50" w:type="dxa"/>
              <w:bottom w:w="50" w:type="dxa"/>
              <w:left w:w="90" w:type="dxa"/>
              <w:right w:w="90" w:type="dxa"/>
            </w:tcMar>
          </w:tcPr>
          <w:p>
            <w:pPr>
              <w:pStyle w:val="BDOITable"/>
            </w:pPr>
            <w:r>
              <w:rPr>
                <w:sz w:val="18"/>
              </w:rPr>
              <w:t>Recovery point objective / recovery time objective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TFS</w:t>
            </w:r>
          </w:p>
        </w:tc>
        <w:tc>
          <w:tcPr>
            <w:tcW w:type="dxa" w:w="7932"/>
            <w:tcMar>
              <w:top w:w="50" w:type="dxa"/>
              <w:bottom w:w="50" w:type="dxa"/>
              <w:left w:w="90" w:type="dxa"/>
              <w:right w:w="90" w:type="dxa"/>
            </w:tcMar>
            <w:shd w:val="clear" w:color="auto" w:fill="E5F5FF"/>
          </w:tcPr>
          <w:p>
            <w:pPr>
              <w:pStyle w:val="BDOITable"/>
            </w:pPr>
            <w:r>
              <w:rPr>
                <w:sz w:val="18"/>
              </w:rPr>
              <w:t>Trade Finance System</w:t>
            </w:r>
          </w:p>
        </w:tc>
      </w:tr>
      <w:tr>
        <w:trPr>
          <w:cantSplit w:val="true"/>
        </w:trPr>
        <w:tc>
          <w:tcPr>
            <w:tcW w:type="dxa" w:w="2040"/>
            <w:tcMar>
              <w:top w:w="50" w:type="dxa"/>
              <w:bottom w:w="50" w:type="dxa"/>
              <w:left w:w="90" w:type="dxa"/>
              <w:right w:w="90" w:type="dxa"/>
            </w:tcMar>
          </w:tcPr>
          <w:p>
            <w:pPr>
              <w:pStyle w:val="BDOITable"/>
            </w:pPr>
            <w:r>
              <w:rPr>
                <w:b/>
                <w:sz w:val="18"/>
              </w:rPr>
              <w:t>UIDM-ISC</w:t>
            </w:r>
          </w:p>
        </w:tc>
        <w:tc>
          <w:tcPr>
            <w:tcW w:type="dxa" w:w="7932"/>
            <w:tcMar>
              <w:top w:w="50" w:type="dxa"/>
              <w:bottom w:w="50" w:type="dxa"/>
              <w:left w:w="90" w:type="dxa"/>
              <w:right w:w="90" w:type="dxa"/>
            </w:tcMar>
          </w:tcPr>
          <w:p>
            <w:pPr>
              <w:pStyle w:val="BDOITable"/>
            </w:pPr>
            <w:r>
              <w:rPr>
                <w:sz w:val="18"/>
              </w:rPr>
              <w:t>User ID Maintenance - Identity Security Cloud (IGA)</w:t>
            </w:r>
          </w:p>
        </w:tc>
      </w:tr>
    </w:tbl>
    <w:p>
      <w:pPr>
        <w:pStyle w:val="BDOISpacer"/>
      </w:pPr>
    </w:p>
    <w:sectPr w:rsidR="00FC693F" w:rsidRPr="0006063C" w:rsidSect="00034616">
      <w:headerReference w:type="default" r:id="rId39"/>
      <w:footerReference w:type="default" r:id="rId40"/>
      <w:headerReference w:type="first" r:id="rId41"/>
      <w:footerReference w:type="first" r:id="rId42"/>
      <w:pgSz w:w="12240" w:h="15840"/>
      <w:pgMar w:top="1417" w:right="1134" w:bottom="1247" w:left="113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Programme Alignment - Drops, Integrations, Infrastructure</w:t>
    </w:r>
    <w:r>
      <w:rPr>
        <w:color w:val="656565"/>
        <w:sz w:val="16"/>
      </w:rPr>
      <w:t xml:space="preserve">   Programme Alignment</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Programme Alignment - Drops, Integrations, Infrastructure</w:t>
    </w:r>
    <w:r>
      <w:rPr>
        <w:color w:val="656565"/>
        <w:sz w:val="16"/>
      </w:rPr>
      <w:t xml:space="preserve">   Programme Alignment</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Programme Alignment - Drops, Integrations, Infrastructure</w:t>
    </w:r>
    <w:r>
      <w:rPr>
        <w:color w:val="656565"/>
        <w:sz w:val="16"/>
      </w:rPr>
      <w:t xml:space="preserve">   Programme Alignment</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Programme Alignment - Drops, Integrations, Infrastructure</w:t>
    </w:r>
    <w:r>
      <w:rPr>
        <w:color w:val="656565"/>
        <w:sz w:val="16"/>
      </w:rPr>
      <w:t xml:space="preserve">   Programme Alignment</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Programme Alignment - Drops, Integrations, Infrastructure</w:t>
    </w:r>
    <w:r>
      <w:rPr>
        <w:color w:val="656565"/>
        <w:sz w:val="16"/>
      </w:rPr>
      <w:t xml:space="preserve">   Programme Alignment</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Programme Alignment - Drops, Integrations, Infrastructure</w:t>
    </w:r>
    <w:r>
      <w:rPr>
        <w:color w:val="656565"/>
        <w:sz w:val="16"/>
      </w:rPr>
      <w:t xml:space="preserve">   Programme Alignment</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Programme Alignment - Drops, Integrations, Infrastructure</w:t>
    </w:r>
    <w:r>
      <w:rPr>
        <w:color w:val="656565"/>
        <w:sz w:val="16"/>
      </w:rPr>
      <w:t xml:space="preserve">   Programme Alignment</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header" Target="header6.xml"/><Relationship Id="rId23" Type="http://schemas.openxmlformats.org/officeDocument/2006/relationships/footer" Target="footer6.xml"/><Relationship Id="rId24" Type="http://schemas.openxmlformats.org/officeDocument/2006/relationships/image" Target="media/image4.png"/><Relationship Id="rId25" Type="http://schemas.openxmlformats.org/officeDocument/2006/relationships/header" Target="header7.xml"/><Relationship Id="rId26" Type="http://schemas.openxmlformats.org/officeDocument/2006/relationships/footer" Target="footer7.xml"/><Relationship Id="rId27" Type="http://schemas.openxmlformats.org/officeDocument/2006/relationships/header" Target="header8.xml"/><Relationship Id="rId28" Type="http://schemas.openxmlformats.org/officeDocument/2006/relationships/footer" Target="footer8.xml"/><Relationship Id="rId29" Type="http://schemas.openxmlformats.org/officeDocument/2006/relationships/header" Target="header9.xml"/><Relationship Id="rId30" Type="http://schemas.openxmlformats.org/officeDocument/2006/relationships/footer" Target="footer9.xml"/><Relationship Id="rId31" Type="http://schemas.openxmlformats.org/officeDocument/2006/relationships/header" Target="header10.xml"/><Relationship Id="rId32" Type="http://schemas.openxmlformats.org/officeDocument/2006/relationships/footer" Target="footer10.xml"/><Relationship Id="rId33" Type="http://schemas.openxmlformats.org/officeDocument/2006/relationships/header" Target="header11.xml"/><Relationship Id="rId34" Type="http://schemas.openxmlformats.org/officeDocument/2006/relationships/footer" Target="footer11.xml"/><Relationship Id="rId35" Type="http://schemas.openxmlformats.org/officeDocument/2006/relationships/header" Target="header12.xml"/><Relationship Id="rId36" Type="http://schemas.openxmlformats.org/officeDocument/2006/relationships/footer" Target="footer12.xml"/><Relationship Id="rId37" Type="http://schemas.openxmlformats.org/officeDocument/2006/relationships/image" Target="media/image5.png"/><Relationship Id="rId38" Type="http://schemas.openxmlformats.org/officeDocument/2006/relationships/image" Target="media/image6.png"/><Relationship Id="rId39" Type="http://schemas.openxmlformats.org/officeDocument/2006/relationships/header" Target="header13.xml"/><Relationship Id="rId40" Type="http://schemas.openxmlformats.org/officeDocument/2006/relationships/footer" Target="footer13.xml"/><Relationship Id="rId41" Type="http://schemas.openxmlformats.org/officeDocument/2006/relationships/header" Target="header14.xml"/><Relationship Id="rId42" Type="http://schemas.openxmlformats.org/officeDocument/2006/relationships/footer" Target="footer1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Programme Alignment Programme Alignment - Drops, Integrations and Infrastructure</dc:title>
  <dc:subject>BIBS – BDOI Broker System</dc:subject>
  <dc:creator>iorta TechNXT</dc:creator>
  <cp:keywords>Alignment, BRD-00,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