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STRATEGY AND APPROACH</w:t>
      </w:r>
    </w:p>
    <w:p>
      <w:pPr>
        <w:spacing w:after="80" w:line="240" w:lineRule="auto"/>
      </w:pPr>
      <w:r>
        <w:rPr>
          <w:b/>
          <w:color w:val="004EA8"/>
          <w:sz w:val="56"/>
        </w:rPr>
        <w:t>Data Migration Strategy and Approach</w:t>
      </w:r>
    </w:p>
    <w:p>
      <w:pPr>
        <w:spacing w:after="40"/>
      </w:pPr>
      <w:r>
        <w:rPr>
          <w:color w:val="2E2E2E"/>
          <w:sz w:val="28"/>
        </w:rPr>
        <w:t>BRD-13 Data Migration - what is migrated, how it gets into BIBS, and how cutover is run and proven</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BIBS-DMS-BRD-13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25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BRD-13 baseline, the build design and FRS BRD-13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Data Requirements Workbook, the extract templates, the Cutover Runbook and the Reconciliation Approach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owner of the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Open items, GL opening, legacy sub-ledgers, reconciliation</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and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 Heads of Retail and Corporate Marketing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protection, archive, access logging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legacy read-only and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rehearsals, cutover, hypercare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 and basis</w:t>
        </w:r>
        <w:r>
          <w:t xml:space="preserve">	</w:t>
        </w:r>
        <w:r>
          <w:t xml:space="preserve">6</w:t>
        </w:r>
      </w:hyperlink>
    </w:p>
    <w:p>
      <w:pPr>
        <w:pStyle w:val="toc2"/>
      </w:pPr>
      <w:hyperlink w:anchor="_Toc000104" w:history="1">
        <w:r>
          <w:t xml:space="preserve">1.3 The Data Migration document set</w:t>
        </w:r>
        <w:r>
          <w:t xml:space="preserve">	</w:t>
        </w:r>
        <w:r>
          <w:t xml:space="preserve">6</w:t>
        </w:r>
      </w:hyperlink>
    </w:p>
    <w:p>
      <w:pPr>
        <w:pStyle w:val="toc2"/>
      </w:pPr>
      <w:hyperlink w:anchor="_Toc000105" w:history="1">
        <w:r>
          <w:t xml:space="preserve">1.4 References</w:t>
        </w:r>
        <w:r>
          <w:t xml:space="preserve">	</w:t>
        </w:r>
        <w:r>
          <w:t xml:space="preserve">7</w:t>
        </w:r>
      </w:hyperlink>
    </w:p>
    <w:p>
      <w:pPr>
        <w:pStyle w:val="toc1"/>
      </w:pPr>
      <w:hyperlink w:anchor="_Toc000106" w:history="1">
        <w:r>
          <w:t xml:space="preserve">2 Objectives and principles</w:t>
        </w:r>
        <w:r>
          <w:t xml:space="preserve">	</w:t>
        </w:r>
        <w:r>
          <w:t xml:space="preserve">8</w:t>
        </w:r>
      </w:hyperlink>
    </w:p>
    <w:p>
      <w:pPr>
        <w:pStyle w:val="toc2"/>
      </w:pPr>
      <w:hyperlink w:anchor="_Toc000107" w:history="1">
        <w:r>
          <w:t xml:space="preserve">2.1 Objectives</w:t>
        </w:r>
        <w:r>
          <w:t xml:space="preserve">	</w:t>
        </w:r>
        <w:r>
          <w:t xml:space="preserve">8</w:t>
        </w:r>
      </w:hyperlink>
    </w:p>
    <w:p>
      <w:pPr>
        <w:pStyle w:val="toc2"/>
      </w:pPr>
      <w:hyperlink w:anchor="_Toc000108" w:history="1">
        <w:r>
          <w:t xml:space="preserve">2.2 Principles</w:t>
        </w:r>
        <w:r>
          <w:t xml:space="preserve">	</w:t>
        </w:r>
        <w:r>
          <w:t xml:space="preserve">8</w:t>
        </w:r>
      </w:hyperlink>
    </w:p>
    <w:p>
      <w:pPr>
        <w:pStyle w:val="toc2"/>
      </w:pPr>
      <w:hyperlink w:anchor="_Toc000109" w:history="1">
        <w:r>
          <w:t xml:space="preserve">2.3 What this migration does not do</w:t>
        </w:r>
        <w:r>
          <w:t xml:space="preserve">	</w:t>
        </w:r>
        <w:r>
          <w:t xml:space="preserve">9</w:t>
        </w:r>
      </w:hyperlink>
    </w:p>
    <w:p>
      <w:pPr>
        <w:pStyle w:val="toc1"/>
      </w:pPr>
      <w:hyperlink w:anchor="_Toc000110" w:history="1">
        <w:r>
          <w:t xml:space="preserve">3 Scope and decisions per data object</w:t>
        </w:r>
        <w:r>
          <w:t xml:space="preserve">	</w:t>
        </w:r>
        <w:r>
          <w:t xml:space="preserve">10</w:t>
        </w:r>
      </w:hyperlink>
    </w:p>
    <w:p>
      <w:pPr>
        <w:pStyle w:val="toc2"/>
      </w:pPr>
      <w:hyperlink w:anchor="_Toc000111" w:history="1">
        <w:r>
          <w:t xml:space="preserve">3.1 The decision gate</w:t>
        </w:r>
        <w:r>
          <w:t xml:space="preserve">	</w:t>
        </w:r>
        <w:r>
          <w:t xml:space="preserve">10</w:t>
        </w:r>
      </w:hyperlink>
    </w:p>
    <w:p>
      <w:pPr>
        <w:pStyle w:val="toc2"/>
      </w:pPr>
      <w:hyperlink w:anchor="_Toc000112" w:history="1">
        <w:r>
          <w:t xml:space="preserve">3.2 Data object register</w:t>
        </w:r>
        <w:r>
          <w:t xml:space="preserve">	</w:t>
        </w:r>
        <w:r>
          <w:t xml:space="preserve">10</w:t>
        </w:r>
      </w:hyperlink>
    </w:p>
    <w:p>
      <w:pPr>
        <w:pStyle w:val="toc2"/>
      </w:pPr>
      <w:hyperlink w:anchor="_Toc000113" w:history="1">
        <w:r>
          <w:t xml:space="preserve">3.3 Depth, delta and due dates</w:t>
        </w:r>
        <w:r>
          <w:t xml:space="preserve">	</w:t>
        </w:r>
        <w:r>
          <w:t xml:space="preserve">12</w:t>
        </w:r>
      </w:hyperlink>
    </w:p>
    <w:p>
      <w:pPr>
        <w:pStyle w:val="toc2"/>
      </w:pPr>
      <w:hyperlink w:anchor="_Toc000114" w:history="1">
        <w:r>
          <w:t xml:space="preserve">3.4 Business owners and data stewards</w:t>
        </w:r>
        <w:r>
          <w:t xml:space="preserve">	</w:t>
        </w:r>
        <w:r>
          <w:t xml:space="preserve">13</w:t>
        </w:r>
      </w:hyperlink>
    </w:p>
    <w:p>
      <w:pPr>
        <w:pStyle w:val="toc2"/>
      </w:pPr>
      <w:hyperlink w:anchor="_Toc000115" w:history="1">
        <w:r>
          <w:t xml:space="preserve">3.5 Client migration "2020 to present" and daily client batches</w:t>
        </w:r>
        <w:r>
          <w:t xml:space="preserve">	</w:t>
        </w:r>
        <w:r>
          <w:t xml:space="preserve">14</w:t>
        </w:r>
      </w:hyperlink>
    </w:p>
    <w:p>
      <w:pPr>
        <w:pStyle w:val="toc1"/>
      </w:pPr>
      <w:hyperlink w:anchor="_Toc000116" w:history="1">
        <w:r>
          <w:t xml:space="preserve">4 Source systems</w:t>
        </w:r>
        <w:r>
          <w:t xml:space="preserve">	</w:t>
        </w:r>
        <w:r>
          <w:t xml:space="preserve">15</w:t>
        </w:r>
      </w:hyperlink>
    </w:p>
    <w:p>
      <w:pPr>
        <w:pStyle w:val="toc2"/>
      </w:pPr>
      <w:hyperlink w:anchor="_Toc000117" w:history="1">
        <w:r>
          <w:t xml:space="preserve">4.1 Legacy systems in scope</w:t>
        </w:r>
        <w:r>
          <w:t xml:space="preserve">	</w:t>
        </w:r>
        <w:r>
          <w:t xml:space="preserve">15</w:t>
        </w:r>
      </w:hyperlink>
    </w:p>
    <w:p>
      <w:pPr>
        <w:pStyle w:val="toc2"/>
      </w:pPr>
      <w:hyperlink w:anchor="_Toc000118" w:history="1">
        <w:r>
          <w:t xml:space="preserve">4.2 Source per object</w:t>
        </w:r>
        <w:r>
          <w:t xml:space="preserve">	</w:t>
        </w:r>
        <w:r>
          <w:t xml:space="preserve">15</w:t>
        </w:r>
      </w:hyperlink>
    </w:p>
    <w:p>
      <w:pPr>
        <w:pStyle w:val="toc1"/>
      </w:pPr>
      <w:hyperlink w:anchor="_Toc000119" w:history="1">
        <w:r>
          <w:t xml:space="preserve">5 Target in BIBS</w:t>
        </w:r>
        <w:r>
          <w:t xml:space="preserve">	</w:t>
        </w:r>
        <w:r>
          <w:t xml:space="preserve">17</w:t>
        </w:r>
      </w:hyperlink>
    </w:p>
    <w:p>
      <w:pPr>
        <w:pStyle w:val="toc2"/>
      </w:pPr>
      <w:hyperlink w:anchor="_Toc000120" w:history="1">
        <w:r>
          <w:t xml:space="preserve">5.1 Target per object and load order</w:t>
        </w:r>
        <w:r>
          <w:t xml:space="preserve">	</w:t>
        </w:r>
        <w:r>
          <w:t xml:space="preserve">17</w:t>
        </w:r>
      </w:hyperlink>
    </w:p>
    <w:p>
      <w:pPr>
        <w:pStyle w:val="toc2"/>
      </w:pPr>
      <w:hyperlink w:anchor="_Toc000121" w:history="1">
        <w:r>
          <w:t xml:space="preserve">5.2 How migrated records are marked</w:t>
        </w:r>
        <w:r>
          <w:t xml:space="preserve">	</w:t>
        </w:r>
        <w:r>
          <w:t xml:space="preserve">18</w:t>
        </w:r>
      </w:hyperlink>
    </w:p>
    <w:p>
      <w:pPr>
        <w:pStyle w:val="toc1"/>
      </w:pPr>
      <w:hyperlink w:anchor="_Toc000122" w:history="1">
        <w:r>
          <w:t xml:space="preserve">6 Migration approach</w:t>
        </w:r>
        <w:r>
          <w:t xml:space="preserve">	</w:t>
        </w:r>
        <w:r>
          <w:t xml:space="preserve">19</w:t>
        </w:r>
      </w:hyperlink>
    </w:p>
    <w:p>
      <w:pPr>
        <w:pStyle w:val="toc2"/>
      </w:pPr>
      <w:hyperlink w:anchor="_Toc000123" w:history="1">
        <w:r>
          <w:t xml:space="preserve">6.1 End-to-end process</w:t>
        </w:r>
        <w:r>
          <w:t xml:space="preserve">	</w:t>
        </w:r>
        <w:r>
          <w:t xml:space="preserve">19</w:t>
        </w:r>
      </w:hyperlink>
    </w:p>
    <w:p>
      <w:pPr>
        <w:pStyle w:val="toc2"/>
      </w:pPr>
      <w:hyperlink w:anchor="_Toc000124" w:history="1">
        <w:r>
          <w:t xml:space="preserve">6.2 Extract templates</w:t>
        </w:r>
        <w:r>
          <w:t xml:space="preserve">	</w:t>
        </w:r>
        <w:r>
          <w:t xml:space="preserve">20</w:t>
        </w:r>
      </w:hyperlink>
    </w:p>
    <w:p>
      <w:pPr>
        <w:pStyle w:val="toc2"/>
      </w:pPr>
      <w:hyperlink w:anchor="_Toc000125" w:history="1">
        <w:r>
          <w:t xml:space="preserve">6.3 Secure transfer and staging</w:t>
        </w:r>
        <w:r>
          <w:t xml:space="preserve">	</w:t>
        </w:r>
        <w:r>
          <w:t xml:space="preserve">23</w:t>
        </w:r>
      </w:hyperlink>
    </w:p>
    <w:p>
      <w:pPr>
        <w:pStyle w:val="toc2"/>
      </w:pPr>
      <w:hyperlink w:anchor="_Toc000126" w:history="1">
        <w:r>
          <w:t xml:space="preserve">6.4 Profiling</w:t>
        </w:r>
        <w:r>
          <w:t xml:space="preserve">	</w:t>
        </w:r>
        <w:r>
          <w:t xml:space="preserve">23</w:t>
        </w:r>
      </w:hyperlink>
    </w:p>
    <w:p>
      <w:pPr>
        <w:pStyle w:val="toc2"/>
      </w:pPr>
      <w:hyperlink w:anchor="_Toc000127" w:history="1">
        <w:r>
          <w:t xml:space="preserve">6.5 Cleansing: who fixes what</w:t>
        </w:r>
        <w:r>
          <w:t xml:space="preserve">	</w:t>
        </w:r>
        <w:r>
          <w:t xml:space="preserve">23</w:t>
        </w:r>
      </w:hyperlink>
    </w:p>
    <w:p>
      <w:pPr>
        <w:pStyle w:val="toc2"/>
      </w:pPr>
      <w:hyperlink w:anchor="_Toc000128" w:history="1">
        <w:r>
          <w:t xml:space="preserve">6.6 Mapping and code maps</w:t>
        </w:r>
        <w:r>
          <w:t xml:space="preserve">	</w:t>
        </w:r>
        <w:r>
          <w:t xml:space="preserve">24</w:t>
        </w:r>
      </w:hyperlink>
    </w:p>
    <w:p>
      <w:pPr>
        <w:pStyle w:val="toc2"/>
      </w:pPr>
      <w:hyperlink w:anchor="_Toc000129" w:history="1">
        <w:r>
          <w:t xml:space="preserve">6.7 Validation</w:t>
        </w:r>
        <w:r>
          <w:t xml:space="preserve">	</w:t>
        </w:r>
        <w:r>
          <w:t xml:space="preserve">25</w:t>
        </w:r>
      </w:hyperlink>
    </w:p>
    <w:p>
      <w:pPr>
        <w:pStyle w:val="toc2"/>
      </w:pPr>
      <w:hyperlink w:anchor="_Toc000130" w:history="1">
        <w:r>
          <w:t xml:space="preserve">6.8 Client matching and survivorship</w:t>
        </w:r>
        <w:r>
          <w:t xml:space="preserve">	</w:t>
        </w:r>
        <w:r>
          <w:t xml:space="preserve">26</w:t>
        </w:r>
      </w:hyperlink>
    </w:p>
    <w:p>
      <w:pPr>
        <w:pStyle w:val="toc2"/>
      </w:pPr>
      <w:hyperlink w:anchor="_Toc000131" w:history="1">
        <w:r>
          <w:t xml:space="preserve">6.9 Load through the BIBS services</w:t>
        </w:r>
        <w:r>
          <w:t xml:space="preserve">	</w:t>
        </w:r>
        <w:r>
          <w:t xml:space="preserve">26</w:t>
        </w:r>
      </w:hyperlink>
    </w:p>
    <w:p>
      <w:pPr>
        <w:pStyle w:val="toc2"/>
      </w:pPr>
      <w:hyperlink w:anchor="_Toc000132" w:history="1">
        <w:r>
          <w:t xml:space="preserve">6.10 Reconciliation and sign-off</w:t>
        </w:r>
        <w:r>
          <w:t xml:space="preserve">	</w:t>
        </w:r>
        <w:r>
          <w:t xml:space="preserve">26</w:t>
        </w:r>
      </w:hyperlink>
    </w:p>
    <w:p>
      <w:pPr>
        <w:pStyle w:val="toc1"/>
      </w:pPr>
      <w:hyperlink w:anchor="_Toc000133" w:history="1">
        <w:r>
          <w:t xml:space="preserve">7 Legacy invoices after go-live</w:t>
        </w:r>
        <w:r>
          <w:t xml:space="preserve">	</w:t>
        </w:r>
        <w:r>
          <w:t xml:space="preserve">28</w:t>
        </w:r>
      </w:hyperlink>
    </w:p>
    <w:p>
      <w:pPr>
        <w:pStyle w:val="toc2"/>
      </w:pPr>
      <w:hyperlink w:anchor="_Toc000134" w:history="1">
        <w:r>
          <w:t xml:space="preserve">7.1 What a legacy invoice is</w:t>
        </w:r>
        <w:r>
          <w:t xml:space="preserve">	</w:t>
        </w:r>
        <w:r>
          <w:t xml:space="preserve">28</w:t>
        </w:r>
      </w:hyperlink>
    </w:p>
    <w:p>
      <w:pPr>
        <w:pStyle w:val="toc2"/>
      </w:pPr>
      <w:hyperlink w:anchor="_Toc000135" w:history="1">
        <w:r>
          <w:t xml:space="preserve">7.2 Legacy sub-ledgers</w:t>
        </w:r>
        <w:r>
          <w:t xml:space="preserve">	</w:t>
        </w:r>
        <w:r>
          <w:t xml:space="preserve">29</w:t>
        </w:r>
      </w:hyperlink>
    </w:p>
    <w:p>
      <w:pPr>
        <w:pStyle w:val="toc2"/>
      </w:pPr>
      <w:hyperlink w:anchor="_Toc000136" w:history="1">
        <w:r>
          <w:t xml:space="preserve">7.3 Worked example: one legacy invoice from load to remittance</w:t>
        </w:r>
        <w:r>
          <w:t xml:space="preserve">	</w:t>
        </w:r>
        <w:r>
          <w:t xml:space="preserve">29</w:t>
        </w:r>
      </w:hyperlink>
    </w:p>
    <w:p>
      <w:pPr>
        <w:pStyle w:val="toc2"/>
      </w:pPr>
      <w:hyperlink w:anchor="_Toc000137" w:history="1">
        <w:r>
          <w:t xml:space="preserve">7.4 Unapplied premium payments (UPP)</w:t>
        </w:r>
        <w:r>
          <w:t xml:space="preserve">	</w:t>
        </w:r>
        <w:r>
          <w:t xml:space="preserve">30</w:t>
        </w:r>
      </w:hyperlink>
    </w:p>
    <w:p>
      <w:pPr>
        <w:pStyle w:val="toc2"/>
      </w:pPr>
      <w:hyperlink w:anchor="_Toc000138" w:history="1">
        <w:r>
          <w:t xml:space="preserve">7.5 Payments, reversals, remittance, endorsements and Prod Recon</w:t>
        </w:r>
        <w:r>
          <w:t xml:space="preserve">	</w:t>
        </w:r>
        <w:r>
          <w:t xml:space="preserve">31</w:t>
        </w:r>
      </w:hyperlink>
    </w:p>
    <w:p>
      <w:pPr>
        <w:pStyle w:val="toc2"/>
      </w:pPr>
      <w:hyperlink w:anchor="_Toc000139" w:history="1">
        <w:r>
          <w:t xml:space="preserve">7.6 When the legacy context closes</w:t>
        </w:r>
        <w:r>
          <w:t xml:space="preserve">	</w:t>
        </w:r>
        <w:r>
          <w:t xml:space="preserve">31</w:t>
        </w:r>
      </w:hyperlink>
    </w:p>
    <w:p>
      <w:pPr>
        <w:pStyle w:val="toc1"/>
      </w:pPr>
      <w:hyperlink w:anchor="_Toc000140" w:history="1">
        <w:r>
          <w:t xml:space="preserve">8 In-force policies and the renewal-driven transition</w:t>
        </w:r>
        <w:r>
          <w:t xml:space="preserve">	</w:t>
        </w:r>
        <w:r>
          <w:t xml:space="preserve">32</w:t>
        </w:r>
      </w:hyperlink>
    </w:p>
    <w:p>
      <w:pPr>
        <w:pStyle w:val="toc2"/>
      </w:pPr>
      <w:hyperlink w:anchor="_Toc000141" w:history="1">
        <w:r>
          <w:t xml:space="preserve">8.1 In-force policy headers</w:t>
        </w:r>
        <w:r>
          <w:t xml:space="preserve">	</w:t>
        </w:r>
        <w:r>
          <w:t xml:space="preserve">32</w:t>
        </w:r>
      </w:hyperlink>
    </w:p>
    <w:p>
      <w:pPr>
        <w:pStyle w:val="toc2"/>
      </w:pPr>
      <w:hyperlink w:anchor="_Toc000142" w:history="1">
        <w:r>
          <w:t xml:space="preserve">8.2 Renewal by RMEL cohort</w:t>
        </w:r>
        <w:r>
          <w:t xml:space="preserve">	</w:t>
        </w:r>
        <w:r>
          <w:t xml:space="preserve">32</w:t>
        </w:r>
      </w:hyperlink>
    </w:p>
    <w:p>
      <w:pPr>
        <w:pStyle w:val="toc1"/>
      </w:pPr>
      <w:hyperlink w:anchor="_Toc000143" w:history="1">
        <w:r>
          <w:t xml:space="preserve">9 History, archive and read-only access</w:t>
        </w:r>
        <w:r>
          <w:t xml:space="preserve">	</w:t>
        </w:r>
        <w:r>
          <w:t xml:space="preserve">33</w:t>
        </w:r>
      </w:hyperlink>
    </w:p>
    <w:p>
      <w:pPr>
        <w:pStyle w:val="toc1"/>
      </w:pPr>
      <w:hyperlink w:anchor="_Toc000144" w:history="1">
        <w:r>
          <w:t xml:space="preserve">10 Migration cycles</w:t>
        </w:r>
        <w:r>
          <w:t xml:space="preserve">	</w:t>
        </w:r>
        <w:r>
          <w:t xml:space="preserve">34</w:t>
        </w:r>
      </w:hyperlink>
    </w:p>
    <w:p>
      <w:pPr>
        <w:pStyle w:val="toc2"/>
      </w:pPr>
      <w:hyperlink w:anchor="_Toc000145" w:history="1">
        <w:r>
          <w:t xml:space="preserve">10.1 Mocks, dress rehearsal and production</w:t>
        </w:r>
        <w:r>
          <w:t xml:space="preserve">	</w:t>
        </w:r>
        <w:r>
          <w:t xml:space="preserve">34</w:t>
        </w:r>
      </w:hyperlink>
    </w:p>
    <w:p>
      <w:pPr>
        <w:pStyle w:val="toc2"/>
      </w:pPr>
      <w:hyperlink w:anchor="_Toc000146" w:history="1">
        <w:r>
          <w:t xml:space="preserve">10.2 Test data and masking</w:t>
        </w:r>
        <w:r>
          <w:t xml:space="preserve">	</w:t>
        </w:r>
        <w:r>
          <w:t xml:space="preserve">35</w:t>
        </w:r>
      </w:hyperlink>
    </w:p>
    <w:p>
      <w:pPr>
        <w:pStyle w:val="toc1"/>
      </w:pPr>
      <w:hyperlink w:anchor="_Toc000147" w:history="1">
        <w:r>
          <w:t xml:space="preserve">11 Cutover strategy</w:t>
        </w:r>
        <w:r>
          <w:t xml:space="preserve">	</w:t>
        </w:r>
        <w:r>
          <w:t xml:space="preserve">36</w:t>
        </w:r>
      </w:hyperlink>
    </w:p>
    <w:p>
      <w:pPr>
        <w:pStyle w:val="toc2"/>
      </w:pPr>
      <w:hyperlink w:anchor="_Toc000148" w:history="1">
        <w:r>
          <w:t xml:space="preserve">11.1 Approach</w:t>
        </w:r>
        <w:r>
          <w:t xml:space="preserve">	</w:t>
        </w:r>
        <w:r>
          <w:t xml:space="preserve">36</w:t>
        </w:r>
      </w:hyperlink>
    </w:p>
    <w:p>
      <w:pPr>
        <w:pStyle w:val="toc2"/>
      </w:pPr>
      <w:hyperlink w:anchor="_Toc000149" w:history="1">
        <w:r>
          <w:t xml:space="preserve">11.2 Freeze windows</w:t>
        </w:r>
        <w:r>
          <w:t xml:space="preserve">	</w:t>
        </w:r>
        <w:r>
          <w:t xml:space="preserve">36</w:t>
        </w:r>
      </w:hyperlink>
    </w:p>
    <w:p>
      <w:pPr>
        <w:pStyle w:val="toc2"/>
      </w:pPr>
      <w:hyperlink w:anchor="_Toc000150" w:history="1">
        <w:r>
          <w:t xml:space="preserve">11.3 Parallel run</w:t>
        </w:r>
        <w:r>
          <w:t xml:space="preserve">	</w:t>
        </w:r>
        <w:r>
          <w:t xml:space="preserve">36</w:t>
        </w:r>
      </w:hyperlink>
    </w:p>
    <w:p>
      <w:pPr>
        <w:pStyle w:val="toc2"/>
      </w:pPr>
      <w:hyperlink w:anchor="_Toc000151" w:history="1">
        <w:r>
          <w:t xml:space="preserve">11.4 Go / no-go</w:t>
        </w:r>
        <w:r>
          <w:t xml:space="preserve">	</w:t>
        </w:r>
        <w:r>
          <w:t xml:space="preserve">36</w:t>
        </w:r>
      </w:hyperlink>
    </w:p>
    <w:p>
      <w:pPr>
        <w:pStyle w:val="toc2"/>
      </w:pPr>
      <w:hyperlink w:anchor="_Toc000152" w:history="1">
        <w:r>
          <w:t xml:space="preserve">11.5 Rollback</w:t>
        </w:r>
        <w:r>
          <w:t xml:space="preserve">	</w:t>
        </w:r>
        <w:r>
          <w:t xml:space="preserve">37</w:t>
        </w:r>
      </w:hyperlink>
    </w:p>
    <w:p>
      <w:pPr>
        <w:pStyle w:val="toc2"/>
      </w:pPr>
      <w:hyperlink w:anchor="_Toc000153" w:history="1">
        <w:r>
          <w:t xml:space="preserve">11.6 Hypercare</w:t>
        </w:r>
        <w:r>
          <w:t xml:space="preserve">	</w:t>
        </w:r>
        <w:r>
          <w:t xml:space="preserve">37</w:t>
        </w:r>
      </w:hyperlink>
    </w:p>
    <w:p>
      <w:pPr>
        <w:pStyle w:val="toc2"/>
      </w:pPr>
      <w:hyperlink w:anchor="_Toc000154" w:history="1">
        <w:r>
          <w:t xml:space="preserve">11.7 In-flight items at the freeze</w:t>
        </w:r>
        <w:r>
          <w:t xml:space="preserve">	</w:t>
        </w:r>
        <w:r>
          <w:t xml:space="preserve">37</w:t>
        </w:r>
      </w:hyperlink>
    </w:p>
    <w:p>
      <w:pPr>
        <w:pStyle w:val="toc2"/>
      </w:pPr>
      <w:hyperlink w:anchor="_Toc000155" w:history="1">
        <w:r>
          <w:t xml:space="preserve">11.8 Decommissioning</w:t>
        </w:r>
        <w:r>
          <w:t xml:space="preserve">	</w:t>
        </w:r>
        <w:r>
          <w:t xml:space="preserve">37</w:t>
        </w:r>
      </w:hyperlink>
    </w:p>
    <w:p>
      <w:pPr>
        <w:pStyle w:val="toc1"/>
      </w:pPr>
      <w:hyperlink w:anchor="_Toc000156" w:history="1">
        <w:r>
          <w:t xml:space="preserve">12 Data security</w:t>
        </w:r>
        <w:r>
          <w:t xml:space="preserve">	</w:t>
        </w:r>
        <w:r>
          <w:t xml:space="preserve">38</w:t>
        </w:r>
      </w:hyperlink>
    </w:p>
    <w:p>
      <w:pPr>
        <w:pStyle w:val="toc1"/>
      </w:pPr>
      <w:hyperlink w:anchor="_Toc000157" w:history="1">
        <w:r>
          <w:t xml:space="preserve">13 Roles and responsibilities</w:t>
        </w:r>
        <w:r>
          <w:t xml:space="preserve">	</w:t>
        </w:r>
        <w:r>
          <w:t xml:space="preserve">39</w:t>
        </w:r>
      </w:hyperlink>
    </w:p>
    <w:p>
      <w:pPr>
        <w:pStyle w:val="toc2"/>
      </w:pPr>
      <w:hyperlink w:anchor="_Toc000158" w:history="1">
        <w:r>
          <w:t xml:space="preserve">13.1 Migration organisation</w:t>
        </w:r>
        <w:r>
          <w:t xml:space="preserve">	</w:t>
        </w:r>
        <w:r>
          <w:t xml:space="preserve">39</w:t>
        </w:r>
      </w:hyperlink>
    </w:p>
    <w:p>
      <w:pPr>
        <w:pStyle w:val="toc2"/>
      </w:pPr>
      <w:hyperlink w:anchor="_Toc000159" w:history="1">
        <w:r>
          <w:t xml:space="preserve">13.2 RACI</w:t>
        </w:r>
        <w:r>
          <w:t xml:space="preserve">	</w:t>
        </w:r>
        <w:r>
          <w:t xml:space="preserve">39</w:t>
        </w:r>
      </w:hyperlink>
    </w:p>
    <w:p>
      <w:pPr>
        <w:pStyle w:val="toc1"/>
      </w:pPr>
      <w:hyperlink w:anchor="_Toc000160" w:history="1">
        <w:r>
          <w:t xml:space="preserve">14 Risks and mitigations</w:t>
        </w:r>
        <w:r>
          <w:t xml:space="preserve">	</w:t>
        </w:r>
        <w:r>
          <w:t xml:space="preserve">41</w:t>
        </w:r>
      </w:hyperlink>
    </w:p>
    <w:p>
      <w:pPr>
        <w:pStyle w:val="toc1"/>
      </w:pPr>
      <w:hyperlink w:anchor="_Toc000161" w:history="1">
        <w:r>
          <w:t xml:space="preserve">15 Dependencies and open decisions</w:t>
        </w:r>
        <w:r>
          <w:t xml:space="preserve">	</w:t>
        </w:r>
        <w:r>
          <w:t xml:space="preserve">42</w:t>
        </w:r>
      </w:hyperlink>
    </w:p>
    <w:p>
      <w:pPr>
        <w:pStyle w:val="toc2"/>
      </w:pPr>
      <w:hyperlink w:anchor="_Toc000162" w:history="1">
        <w:r>
          <w:t xml:space="preserve">15.1 Dependencies</w:t>
        </w:r>
        <w:r>
          <w:t xml:space="preserve">	</w:t>
        </w:r>
        <w:r>
          <w:t xml:space="preserve">42</w:t>
        </w:r>
      </w:hyperlink>
    </w:p>
    <w:p>
      <w:pPr>
        <w:pStyle w:val="toc2"/>
      </w:pPr>
      <w:hyperlink w:anchor="_Toc000163" w:history="1">
        <w:r>
          <w:t xml:space="preserve">15.2 Open decisions and the date each is needed by</w:t>
        </w:r>
        <w:r>
          <w:t xml:space="preserve">	</w:t>
        </w:r>
        <w:r>
          <w:t xml:space="preserve">42</w:t>
        </w:r>
      </w:hyperlink>
    </w:p>
    <w:p>
      <w:pPr>
        <w:pStyle w:val="toc1"/>
      </w:pPr>
      <w:hyperlink w:anchor="_Toc000164" w:history="1">
        <w:r>
          <w:t xml:space="preserve">16 Timeline</w:t>
        </w:r>
        <w:r>
          <w:t xml:space="preserve">	</w:t>
        </w:r>
        <w:r>
          <w:t xml:space="preserve">45</w:t>
        </w:r>
      </w:hyperlink>
    </w:p>
    <w:p>
      <w:pPr>
        <w:pStyle w:val="toc2"/>
      </w:pPr>
      <w:hyperlink w:anchor="_Toc000165" w:history="1">
        <w:r>
          <w:t xml:space="preserve">16.1 Alignment with the build and the UAT readiness programme</w:t>
        </w:r>
        <w:r>
          <w:t xml:space="preserve">	</w:t>
        </w:r>
        <w:r>
          <w:t xml:space="preserve">45</w:t>
        </w:r>
      </w:hyperlink>
    </w:p>
    <w:p>
      <w:pPr>
        <w:pStyle w:val="toc1"/>
      </w:pPr>
      <w:hyperlink w:anchor="_Toc000166" w:history="1">
        <w:r>
          <w:t xml:space="preserve">Glossary</w:t>
        </w:r>
        <w:r>
          <w:t xml:space="preserve">	</w:t>
        </w:r>
        <w:r>
          <w:t xml:space="preserve">46</w:t>
        </w:r>
      </w:hyperlink>
    </w:p>
    <w:p>
      <w:pPr>
        <w:pStyle w:val="toc1"/>
      </w:pPr>
      <w:hyperlink w:anchor="_Toc000167" w:history="1">
        <w:r>
          <w:t xml:space="preserve">Sign-off</w:t>
        </w:r>
        <w:r>
          <w:t xml:space="preserve">	</w:t>
        </w:r>
        <w:r>
          <w:t xml:space="preserve">47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sets out how BDO Insurance and Reinsurance Brokers, Inc. (BDOI) moves from its legacy systems to BIBS (BDOI Broker System, on iNXT BrokerVerse). It answers four questions for the BDOI departments and BDOI IT:</w:t>
      </w:r>
    </w:p>
    <w:p>
      <w:pPr>
        <w:tabs>
          <w:tab w:pos="312" w:val="left"/>
        </w:tabs>
        <w:spacing w:after="40"/>
        <w:ind w:left="312" w:hanging="283"/>
      </w:pPr>
      <w:r>
        <w:rPr>
          <w:color w:val="004EA8"/>
        </w:rPr>
        <w:t>1.</w:t>
        <w:tab/>
      </w:r>
      <w:r>
        <w:rPr>
          <w:b/>
        </w:rPr>
        <w:t>What data moves</w:t>
      </w:r>
      <w:r>
        <w:rPr/>
        <w:t>, object by object, and what stays behind (Migrate, Carry forward, Archive, Excluded).</w:t>
      </w:r>
    </w:p>
    <w:p>
      <w:pPr>
        <w:tabs>
          <w:tab w:pos="312" w:val="left"/>
        </w:tabs>
        <w:spacing w:after="40"/>
        <w:ind w:left="312" w:hanging="283"/>
      </w:pPr>
      <w:r>
        <w:rPr>
          <w:color w:val="004EA8"/>
        </w:rPr>
        <w:t>2.</w:t>
        <w:tab/>
      </w:r>
      <w:r>
        <w:rPr>
          <w:b/>
        </w:rPr>
        <w:t>What BDOI provides</w:t>
      </w:r>
      <w:r>
        <w:rPr/>
        <w:t>, in which form and by when (the Data Requirements Workbook and the extract templates).</w:t>
      </w:r>
    </w:p>
    <w:p>
      <w:pPr>
        <w:tabs>
          <w:tab w:pos="312" w:val="left"/>
        </w:tabs>
        <w:spacing w:after="40"/>
        <w:ind w:left="312" w:hanging="283"/>
      </w:pPr>
      <w:r>
        <w:rPr>
          <w:color w:val="004EA8"/>
        </w:rPr>
        <w:t>3.</w:t>
        <w:tab/>
      </w:r>
      <w:r>
        <w:rPr>
          <w:b/>
        </w:rPr>
        <w:t>How the data gets into BIBS</w:t>
      </w:r>
      <w:r>
        <w:rPr/>
        <w:t>: transfer, staging, cleansing, code mapping, validation, load and reconciliation, and who does each step.</w:t>
      </w:r>
    </w:p>
    <w:p>
      <w:pPr>
        <w:tabs>
          <w:tab w:pos="312" w:val="left"/>
        </w:tabs>
        <w:spacing w:after="120"/>
        <w:ind w:left="312" w:hanging="283"/>
      </w:pPr>
      <w:r>
        <w:rPr>
          <w:color w:val="004EA8"/>
        </w:rPr>
        <w:t>4.</w:t>
        <w:tab/>
      </w:r>
      <w:r>
        <w:rPr>
          <w:b/>
        </w:rPr>
        <w:t>How the cutover is run and proven</w:t>
      </w:r>
      <w:r>
        <w:rPr/>
        <w:t>: rehearsals, freeze, go / no-go, rollback, hypercare and decommissioning of the legacy systems.</w:t>
      </w:r>
    </w:p>
    <w:p>
      <w:r>
        <w:rPr/>
        <w:t>It also explains, for business readers, how legacy invoices and unapplied payments that are still open at cutover are processed in BIBS after go-live.</w:t>
      </w:r>
    </w:p>
    <w:p>
      <w:pPr>
        <w:pStyle w:val="Heading2"/>
      </w:pPr>
      <w:bookmarkStart w:id="103" w:name="_Toc000103"/>
      <w:r>
        <w:rPr/>
        <w:t>1.2 Scope and basis</w:t>
      </w:r>
      <w:bookmarkEnd w:id="103"/>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document follows that approach and fills the gaps the BRD leaves with proposals, each tied to an open decision (DMQ##) that BDOI confirms.</w:t>
      </w:r>
    </w:p>
    <w:p>
      <w:r>
        <w:rPr/>
        <w:t xml:space="preserve">Data Migration is </w:t>
      </w:r>
      <w:r>
        <w:rPr>
          <w:b/>
        </w:rPr>
        <w:t>designed and not yet built</w:t>
      </w:r>
      <w:r>
        <w:rPr/>
        <w:t xml:space="preserve"> in BIBS. The mechanisms named here (Migration Console, loaders, reconciliation, legacy invoice processing) are those of the build design (R3) and the FRS (R4).</w:t>
      </w:r>
    </w:p>
    <w:p>
      <w:pPr>
        <w:pStyle w:val="Heading2"/>
      </w:pPr>
      <w:bookmarkStart w:id="104" w:name="_Toc000104"/>
      <w:r>
        <w:rPr/>
        <w:t>1.3 The Data Migration document set</w:t>
      </w:r>
      <w:bookmarkEnd w:id="104"/>
    </w:p>
    <w:p>
      <w:pPr>
        <w:pStyle w:val="Caption"/>
        <w:keepNext/>
        <w:spacing w:after="60"/>
      </w:pPr>
      <w:r>
        <w:rPr>
          <w:b/>
          <w:i w:val="0"/>
        </w:rPr>
        <w:t xml:space="preserve">Table 1: </w:t>
      </w:r>
      <w:r>
        <w:rPr/>
        <w:t>Documents of this set (version 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1922"/>
        <w:gridCol w:w="4926"/>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8"/>
              </w:rPr>
              <w:t>Format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124"/>
            <w:tcMar>
              <w:top w:w="50" w:type="dxa"/>
              <w:bottom w:w="50" w:type="dxa"/>
              <w:left w:w="90" w:type="dxa"/>
              <w:right w:w="90" w:type="dxa"/>
            </w:tcMar>
          </w:tcPr>
          <w:p>
            <w:pPr>
              <w:pStyle w:val="BDOITable"/>
            </w:pPr>
            <w:r>
              <w:rPr>
                <w:sz w:val="18"/>
              </w:rPr>
              <w:t>Data Migration Strategy and Approach (this document)</w:t>
            </w:r>
          </w:p>
        </w:tc>
        <w:tc>
          <w:tcPr>
            <w:tcW w:type="dxa" w:w="1922"/>
            <w:tcMar>
              <w:top w:w="50" w:type="dxa"/>
              <w:bottom w:w="50" w:type="dxa"/>
              <w:left w:w="90" w:type="dxa"/>
              <w:right w:w="90" w:type="dxa"/>
            </w:tcMar>
          </w:tcPr>
          <w:p>
            <w:pPr>
              <w:pStyle w:val="BDOITable"/>
            </w:pPr>
            <w:r>
              <w:rPr>
                <w:sz w:val="18"/>
              </w:rPr>
              <w:t>Word</w:t>
            </w:r>
          </w:p>
        </w:tc>
        <w:tc>
          <w:tcPr>
            <w:tcW w:type="dxa" w:w="4926"/>
            <w:tcMar>
              <w:top w:w="50" w:type="dxa"/>
              <w:bottom w:w="50" w:type="dxa"/>
              <w:left w:w="90" w:type="dxa"/>
              <w:right w:w="90" w:type="dxa"/>
            </w:tcMar>
          </w:tcPr>
          <w:p>
            <w:pPr>
              <w:pStyle w:val="BDOITable"/>
            </w:pPr>
            <w:r>
              <w:rPr>
                <w:sz w:val="18"/>
              </w:rPr>
              <w:t>Decisions, approach, responsibilities, timeline; for approval</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BDOI Data Requirements Workbook</w:t>
            </w:r>
          </w:p>
        </w:tc>
        <w:tc>
          <w:tcPr>
            <w:tcW w:type="dxa" w:w="1922"/>
            <w:tcMar>
              <w:top w:w="50" w:type="dxa"/>
              <w:bottom w:w="50" w:type="dxa"/>
              <w:left w:w="90" w:type="dxa"/>
              <w:right w:w="90" w:type="dxa"/>
            </w:tcMar>
            <w:shd w:val="clear" w:color="auto" w:fill="E5F5FF"/>
          </w:tcPr>
          <w:p>
            <w:pPr>
              <w:pStyle w:val="BDOITable"/>
            </w:pPr>
            <w:r>
              <w:rPr>
                <w:sz w:val="18"/>
              </w:rPr>
              <w:t>Excel</w:t>
            </w:r>
          </w:p>
        </w:tc>
        <w:tc>
          <w:tcPr>
            <w:tcW w:type="dxa" w:w="4926"/>
            <w:tcMar>
              <w:top w:w="50" w:type="dxa"/>
              <w:bottom w:w="50" w:type="dxa"/>
              <w:left w:w="90" w:type="dxa"/>
              <w:right w:w="90" w:type="dxa"/>
            </w:tcMar>
            <w:shd w:val="clear" w:color="auto" w:fill="E5F5FF"/>
          </w:tcPr>
          <w:p>
            <w:pPr>
              <w:pStyle w:val="BDOITable"/>
            </w:pPr>
            <w:r>
              <w:rPr>
                <w:sz w:val="18"/>
              </w:rPr>
              <w:t>One sheet per extract layout (fields, formats, rules, BIBS target), object register, code map templates, control totals, data-quality rules, open decisions; for BDOI IT and data stewards</w:t>
            </w:r>
          </w:p>
        </w:tc>
      </w:tr>
      <w:tr>
        <w:trPr>
          <w:cantSplit w:val="true"/>
        </w:trPr>
        <w:tc>
          <w:tcPr>
            <w:tcW w:type="dxa" w:w="3124"/>
            <w:tcMar>
              <w:top w:w="50" w:type="dxa"/>
              <w:bottom w:w="50" w:type="dxa"/>
              <w:left w:w="90" w:type="dxa"/>
              <w:right w:w="90" w:type="dxa"/>
            </w:tcMar>
          </w:tcPr>
          <w:p>
            <w:pPr>
              <w:pStyle w:val="BDOITable"/>
            </w:pPr>
            <w:r>
              <w:rPr>
                <w:sz w:val="18"/>
              </w:rPr>
              <w:t>Extract templates (</w:t>
            </w:r>
            <w:r>
              <w:rPr>
                <w:rFonts w:ascii="Courier New" w:hAnsi="Courier New" w:cs="Courier New" w:eastAsia="Courier New"/>
                <w:color w:val="2E2E2E"/>
                <w:sz w:val="16"/>
              </w:rPr>
              <w:t>templates/</w:t>
            </w:r>
            <w:r>
              <w:rPr>
                <w:sz w:val="18"/>
              </w:rPr>
              <w:t>)</w:t>
            </w:r>
          </w:p>
        </w:tc>
        <w:tc>
          <w:tcPr>
            <w:tcW w:type="dxa" w:w="1922"/>
            <w:tcMar>
              <w:top w:w="50" w:type="dxa"/>
              <w:bottom w:w="50" w:type="dxa"/>
              <w:left w:w="90" w:type="dxa"/>
              <w:right w:w="90" w:type="dxa"/>
            </w:tcMar>
          </w:tcPr>
          <w:p>
            <w:pPr>
              <w:pStyle w:val="BDOITable"/>
            </w:pPr>
            <w:r>
              <w:rPr>
                <w:sz w:val="18"/>
              </w:rPr>
              <w:t>CSV + README</w:t>
            </w:r>
          </w:p>
        </w:tc>
        <w:tc>
          <w:tcPr>
            <w:tcW w:type="dxa" w:w="4926"/>
            <w:tcMar>
              <w:top w:w="50" w:type="dxa"/>
              <w:bottom w:w="50" w:type="dxa"/>
              <w:left w:w="90" w:type="dxa"/>
              <w:right w:w="90" w:type="dxa"/>
            </w:tcMar>
          </w:tcPr>
          <w:p>
            <w:pPr>
              <w:pStyle w:val="BDOITable"/>
            </w:pPr>
            <w:r>
              <w:rPr>
                <w:sz w:val="18"/>
              </w:rPr>
              <w:t>One header-only CSV per layout and the control-file template (deliverable 20)</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Reconciliation Approach and Sign-off</w:t>
            </w:r>
          </w:p>
        </w:tc>
        <w:tc>
          <w:tcPr>
            <w:tcW w:type="dxa" w:w="1922"/>
            <w:tcMar>
              <w:top w:w="50" w:type="dxa"/>
              <w:bottom w:w="50" w:type="dxa"/>
              <w:left w:w="90" w:type="dxa"/>
              <w:right w:w="90" w:type="dxa"/>
            </w:tcMar>
            <w:shd w:val="clear" w:color="auto" w:fill="E5F5FF"/>
          </w:tcPr>
          <w:p>
            <w:pPr>
              <w:pStyle w:val="BDOITable"/>
            </w:pPr>
            <w:r>
              <w:rPr>
                <w:sz w:val="18"/>
              </w:rPr>
              <w:t>Word</w:t>
            </w:r>
          </w:p>
        </w:tc>
        <w:tc>
          <w:tcPr>
            <w:tcW w:type="dxa" w:w="4926"/>
            <w:tcMar>
              <w:top w:w="50" w:type="dxa"/>
              <w:bottom w:w="50" w:type="dxa"/>
              <w:left w:w="90" w:type="dxa"/>
              <w:right w:w="90" w:type="dxa"/>
            </w:tcMar>
            <w:shd w:val="clear" w:color="auto" w:fill="E5F5FF"/>
          </w:tcPr>
          <w:p>
            <w:pPr>
              <w:pStyle w:val="BDOITable"/>
            </w:pPr>
            <w:r>
              <w:rPr>
                <w:sz w:val="18"/>
              </w:rPr>
              <w:t>Reconciliation per object, sampling, evidence and the sign-off forms</w:t>
            </w:r>
          </w:p>
        </w:tc>
      </w:tr>
      <w:tr>
        <w:trPr>
          <w:cantSplit w:val="true"/>
        </w:trPr>
        <w:tc>
          <w:tcPr>
            <w:tcW w:type="dxa" w:w="3124"/>
            <w:tcMar>
              <w:top w:w="50" w:type="dxa"/>
              <w:bottom w:w="50" w:type="dxa"/>
              <w:left w:w="90" w:type="dxa"/>
              <w:right w:w="90" w:type="dxa"/>
            </w:tcMar>
          </w:tcPr>
          <w:p>
            <w:pPr>
              <w:pStyle w:val="BDOITable"/>
            </w:pPr>
            <w:r>
              <w:rPr>
                <w:sz w:val="18"/>
              </w:rPr>
              <w:t>Cutover Runbook</w:t>
            </w:r>
          </w:p>
        </w:tc>
        <w:tc>
          <w:tcPr>
            <w:tcW w:type="dxa" w:w="1922"/>
            <w:tcMar>
              <w:top w:w="50" w:type="dxa"/>
              <w:bottom w:w="50" w:type="dxa"/>
              <w:left w:w="90" w:type="dxa"/>
              <w:right w:w="90" w:type="dxa"/>
            </w:tcMar>
          </w:tcPr>
          <w:p>
            <w:pPr>
              <w:pStyle w:val="BDOITable"/>
            </w:pPr>
            <w:r>
              <w:rPr>
                <w:sz w:val="18"/>
              </w:rPr>
              <w:t>Word</w:t>
            </w:r>
          </w:p>
        </w:tc>
        <w:tc>
          <w:tcPr>
            <w:tcW w:type="dxa" w:w="4926"/>
            <w:tcMar>
              <w:top w:w="50" w:type="dxa"/>
              <w:bottom w:w="50" w:type="dxa"/>
              <w:left w:w="90" w:type="dxa"/>
              <w:right w:w="90" w:type="dxa"/>
            </w:tcMar>
          </w:tcPr>
          <w:p>
            <w:pPr>
              <w:pStyle w:val="BDOITable"/>
            </w:pPr>
            <w:r>
              <w:rPr>
                <w:sz w:val="18"/>
              </w:rPr>
              <w:t>Cutover organisation, T-30 to hypercare exit, checkpoints, rollback, communication, decommissioning</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Cutover Task Plan</w:t>
            </w:r>
          </w:p>
        </w:tc>
        <w:tc>
          <w:tcPr>
            <w:tcW w:type="dxa" w:w="1922"/>
            <w:tcMar>
              <w:top w:w="50" w:type="dxa"/>
              <w:bottom w:w="50" w:type="dxa"/>
              <w:left w:w="90" w:type="dxa"/>
              <w:right w:w="90" w:type="dxa"/>
            </w:tcMar>
            <w:shd w:val="clear" w:color="auto" w:fill="E5F5FF"/>
          </w:tcPr>
          <w:p>
            <w:pPr>
              <w:pStyle w:val="BDOITable"/>
            </w:pPr>
            <w:r>
              <w:rPr>
                <w:sz w:val="18"/>
              </w:rPr>
              <w:t>Excel</w:t>
            </w:r>
          </w:p>
        </w:tc>
        <w:tc>
          <w:tcPr>
            <w:tcW w:type="dxa" w:w="4926"/>
            <w:tcMar>
              <w:top w:w="50" w:type="dxa"/>
              <w:bottom w:w="50" w:type="dxa"/>
              <w:left w:w="90" w:type="dxa"/>
              <w:right w:w="90" w:type="dxa"/>
            </w:tcMar>
            <w:shd w:val="clear" w:color="auto" w:fill="E5F5FF"/>
          </w:tcPr>
          <w:p>
            <w:pPr>
              <w:pStyle w:val="BDOITable"/>
            </w:pPr>
            <w:r>
              <w:rPr>
                <w:sz w:val="18"/>
              </w:rPr>
              <w:t>The runbook tasks with owner, duration, predecessors and verification, for execution</w:t>
            </w:r>
          </w:p>
        </w:tc>
      </w:tr>
      <w:tr>
        <w:trPr>
          <w:cantSplit w:val="true"/>
        </w:trPr>
        <w:tc>
          <w:tcPr>
            <w:tcW w:type="dxa" w:w="3124"/>
            <w:tcMar>
              <w:top w:w="50" w:type="dxa"/>
              <w:bottom w:w="50" w:type="dxa"/>
              <w:left w:w="90" w:type="dxa"/>
              <w:right w:w="90" w:type="dxa"/>
            </w:tcMar>
          </w:tcPr>
          <w:p>
            <w:pPr>
              <w:pStyle w:val="BDOITable"/>
            </w:pPr>
            <w:r>
              <w:rPr>
                <w:sz w:val="18"/>
              </w:rPr>
              <w:t>Migration Test Plan BRD-13</w:t>
            </w:r>
          </w:p>
        </w:tc>
        <w:tc>
          <w:tcPr>
            <w:tcW w:type="dxa" w:w="1922"/>
            <w:tcMar>
              <w:top w:w="50" w:type="dxa"/>
              <w:bottom w:w="50" w:type="dxa"/>
              <w:left w:w="90" w:type="dxa"/>
              <w:right w:w="90" w:type="dxa"/>
            </w:tcMar>
          </w:tcPr>
          <w:p>
            <w:pPr>
              <w:pStyle w:val="BDOITable"/>
            </w:pPr>
            <w:r>
              <w:rPr>
                <w:sz w:val="18"/>
              </w:rPr>
              <w:t>Excel + Word</w:t>
            </w:r>
          </w:p>
        </w:tc>
        <w:tc>
          <w:tcPr>
            <w:tcW w:type="dxa" w:w="4926"/>
            <w:tcMar>
              <w:top w:w="50" w:type="dxa"/>
              <w:bottom w:w="50" w:type="dxa"/>
              <w:left w:w="90" w:type="dxa"/>
              <w:right w:w="90" w:type="dxa"/>
            </w:tcMar>
          </w:tcPr>
          <w:p>
            <w:pPr>
              <w:pStyle w:val="BDOITable"/>
            </w:pPr>
            <w:r>
              <w:rPr>
                <w:sz w:val="18"/>
              </w:rPr>
              <w:t>Test conditions and cases of every Data Migration FR (deliverable 3)</w:t>
            </w:r>
          </w:p>
        </w:tc>
      </w:tr>
    </w:tbl>
    <w:p>
      <w:pPr>
        <w:pStyle w:val="BDOISpacer"/>
      </w:pPr>
    </w:p>
    <w:p>
      <w:pPr>
        <w:pStyle w:val="Heading2"/>
      </w:pPr>
      <w:bookmarkStart w:id="105" w:name="_Toc000105"/>
      <w:r>
        <w:rPr/>
        <w:t>1.4 References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4603"/>
        <w:gridCol w:w="1753"/>
        <w:gridCol w:w="2959"/>
      </w:tblGrid>
      <w:tr>
        <w:trPr>
          <w:tblHeader w:val="true"/>
          <w:cantSplit w:val="true"/>
        </w:trPr>
        <w:tc>
          <w:tcPr>
            <w:tcW w:type="dxa" w:w="657"/>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7"/>
              </w:rPr>
              <w:t>Version</w:t>
            </w:r>
          </w:p>
        </w:tc>
        <w:tc>
          <w:tcPr>
            <w:tcW w:type="dxa" w:w="2959"/>
            <w:shd w:val="clear" w:color="auto" w:fill="004EA8"/>
            <w:tcMar>
              <w:top w:w="50" w:type="dxa"/>
              <w:bottom w:w="50" w:type="dxa"/>
              <w:left w:w="90" w:type="dxa"/>
              <w:right w:w="90" w:type="dxa"/>
            </w:tcMar>
            <w:vAlign w:val="center"/>
          </w:tcPr>
          <w:p>
            <w:pPr>
              <w:pStyle w:val="BDOITableHeader"/>
            </w:pPr>
            <w:r>
              <w:rPr>
                <w:b/>
                <w:color w:val="FFFFFF"/>
                <w:sz w:val="17"/>
              </w:rPr>
              <w:t>Location</w:t>
            </w:r>
          </w:p>
        </w:tc>
      </w:tr>
      <w:tr>
        <w:trPr>
          <w:cantSplit w:val="true"/>
        </w:trPr>
        <w:tc>
          <w:tcPr>
            <w:tcW w:type="dxa" w:w="657"/>
            <w:tcMar>
              <w:top w:w="50" w:type="dxa"/>
              <w:bottom w:w="50" w:type="dxa"/>
              <w:left w:w="90" w:type="dxa"/>
              <w:right w:w="90" w:type="dxa"/>
            </w:tcMar>
          </w:tcPr>
          <w:p>
            <w:pPr>
              <w:pStyle w:val="BDOITable"/>
            </w:pPr>
            <w:r>
              <w:rPr>
                <w:sz w:val="17"/>
              </w:rPr>
              <w:t>R1</w:t>
            </w:r>
          </w:p>
        </w:tc>
        <w:tc>
          <w:tcPr>
            <w:tcW w:type="dxa" w:w="4602"/>
            <w:tcMar>
              <w:top w:w="50" w:type="dxa"/>
              <w:bottom w:w="50" w:type="dxa"/>
              <w:left w:w="90" w:type="dxa"/>
              <w:right w:w="90" w:type="dxa"/>
            </w:tcMar>
          </w:tcPr>
          <w:p>
            <w:pPr>
              <w:pStyle w:val="BDOITable"/>
            </w:pPr>
            <w:r>
              <w:rPr>
                <w:sz w:val="17"/>
              </w:rPr>
              <w:t>BDO Insure Core Modernization - Data Migration BRD</w:t>
            </w:r>
          </w:p>
        </w:tc>
        <w:tc>
          <w:tcPr>
            <w:tcW w:type="dxa" w:w="1753"/>
            <w:tcMar>
              <w:top w:w="50" w:type="dxa"/>
              <w:bottom w:w="50" w:type="dxa"/>
              <w:left w:w="90" w:type="dxa"/>
              <w:right w:w="90" w:type="dxa"/>
            </w:tcMar>
          </w:tcPr>
          <w:p>
            <w:pPr>
              <w:pStyle w:val="BDOITable"/>
            </w:pPr>
            <w:r>
              <w:rPr>
                <w:sz w:val="17"/>
              </w:rPr>
              <w:t>draft v0.01, 14-Apr-2026</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docs/source-documents/BRD - Data Migration - draft V0.01.pdf</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R2</w:t>
            </w:r>
          </w:p>
        </w:tc>
        <w:tc>
          <w:tcPr>
            <w:tcW w:type="dxa" w:w="4602"/>
            <w:tcMar>
              <w:top w:w="50" w:type="dxa"/>
              <w:bottom w:w="50" w:type="dxa"/>
              <w:left w:w="90" w:type="dxa"/>
              <w:right w:w="90" w:type="dxa"/>
            </w:tcMar>
            <w:shd w:val="clear" w:color="auto" w:fill="E5F5FF"/>
          </w:tcPr>
          <w:p>
            <w:pPr>
              <w:pStyle w:val="BDOITable"/>
            </w:pPr>
            <w:r>
              <w:rPr>
                <w:sz w:val="17"/>
              </w:rPr>
              <w:t>Data Migration (BRD-13) requirements baseline and fit/gap</w:t>
            </w:r>
          </w:p>
        </w:tc>
        <w:tc>
          <w:tcPr>
            <w:tcW w:type="dxa" w:w="1753"/>
            <w:tcMar>
              <w:top w:w="50" w:type="dxa"/>
              <w:bottom w:w="50" w:type="dxa"/>
              <w:left w:w="90" w:type="dxa"/>
              <w:right w:w="90" w:type="dxa"/>
            </w:tcMar>
            <w:shd w:val="clear" w:color="auto" w:fill="E5F5FF"/>
          </w:tcPr>
          <w:p>
            <w:pPr>
              <w:pStyle w:val="BDOITable"/>
            </w:pPr>
            <w:r>
              <w:rPr>
                <w:sz w:val="17"/>
              </w:rPr>
              <w:t>current</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docs/requirements/BDOI_DM_BRD_SPEC.md</w:t>
            </w:r>
          </w:p>
        </w:tc>
      </w:tr>
      <w:tr>
        <w:trPr>
          <w:cantSplit w:val="true"/>
        </w:trPr>
        <w:tc>
          <w:tcPr>
            <w:tcW w:type="dxa" w:w="657"/>
            <w:tcMar>
              <w:top w:w="50" w:type="dxa"/>
              <w:bottom w:w="50" w:type="dxa"/>
              <w:left w:w="90" w:type="dxa"/>
              <w:right w:w="90" w:type="dxa"/>
            </w:tcMar>
          </w:tcPr>
          <w:p>
            <w:pPr>
              <w:pStyle w:val="BDOITable"/>
            </w:pPr>
            <w:r>
              <w:rPr>
                <w:sz w:val="17"/>
              </w:rPr>
              <w:t>R3</w:t>
            </w:r>
          </w:p>
        </w:tc>
        <w:tc>
          <w:tcPr>
            <w:tcW w:type="dxa" w:w="4602"/>
            <w:tcMar>
              <w:top w:w="50" w:type="dxa"/>
              <w:bottom w:w="50" w:type="dxa"/>
              <w:left w:w="90" w:type="dxa"/>
              <w:right w:w="90" w:type="dxa"/>
            </w:tcMar>
          </w:tcPr>
          <w:p>
            <w:pPr>
              <w:pStyle w:val="BDOITable"/>
            </w:pPr>
            <w:r>
              <w:rPr>
                <w:sz w:val="17"/>
              </w:rPr>
              <w:t>Data Migration build design</w:t>
            </w:r>
          </w:p>
        </w:tc>
        <w:tc>
          <w:tcPr>
            <w:tcW w:type="dxa" w:w="1753"/>
            <w:tcMar>
              <w:top w:w="50" w:type="dxa"/>
              <w:bottom w:w="50" w:type="dxa"/>
              <w:left w:w="90" w:type="dxa"/>
              <w:right w:w="90" w:type="dxa"/>
            </w:tcMar>
          </w:tcPr>
          <w:p>
            <w:pPr>
              <w:pStyle w:val="BDOITable"/>
            </w:pPr>
            <w:r>
              <w:rPr>
                <w:sz w:val="17"/>
              </w:rPr>
              <w:t>current</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docs/architecture/DATA_MIGRATION_DESIGN.md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R4</w:t>
            </w:r>
          </w:p>
        </w:tc>
        <w:tc>
          <w:tcPr>
            <w:tcW w:type="dxa" w:w="4602"/>
            <w:tcMar>
              <w:top w:w="50" w:type="dxa"/>
              <w:bottom w:w="50" w:type="dxa"/>
              <w:left w:w="90" w:type="dxa"/>
              <w:right w:w="90" w:type="dxa"/>
            </w:tcMar>
            <w:shd w:val="clear" w:color="auto" w:fill="E5F5FF"/>
          </w:tcPr>
          <w:p>
            <w:pPr>
              <w:pStyle w:val="BDOITable"/>
            </w:pPr>
            <w:r>
              <w:rPr>
                <w:sz w:val="17"/>
              </w:rPr>
              <w:t>Functional Requirements Specification BRD-13 Data Migration</w:t>
            </w:r>
          </w:p>
        </w:tc>
        <w:tc>
          <w:tcPr>
            <w:tcW w:type="dxa" w:w="1753"/>
            <w:tcMar>
              <w:top w:w="50" w:type="dxa"/>
              <w:bottom w:w="50" w:type="dxa"/>
              <w:left w:w="90" w:type="dxa"/>
              <w:right w:w="90" w:type="dxa"/>
            </w:tcMar>
            <w:shd w:val="clear" w:color="auto" w:fill="E5F5FF"/>
          </w:tcPr>
          <w:p>
            <w:pPr>
              <w:pStyle w:val="BDOITable"/>
            </w:pPr>
            <w:r>
              <w:rPr>
                <w:sz w:val="17"/>
              </w:rPr>
              <w:t>1.0</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BIBS_FRS_BRD-13_Data_Migration_v1.0.docx</w:t>
            </w:r>
          </w:p>
        </w:tc>
      </w:tr>
      <w:tr>
        <w:trPr>
          <w:cantSplit w:val="true"/>
        </w:trPr>
        <w:tc>
          <w:tcPr>
            <w:tcW w:type="dxa" w:w="657"/>
            <w:tcMar>
              <w:top w:w="50" w:type="dxa"/>
              <w:bottom w:w="50" w:type="dxa"/>
              <w:left w:w="90" w:type="dxa"/>
              <w:right w:w="90" w:type="dxa"/>
            </w:tcMar>
          </w:tcPr>
          <w:p>
            <w:pPr>
              <w:pStyle w:val="BDOITable"/>
            </w:pPr>
            <w:r>
              <w:rPr>
                <w:sz w:val="17"/>
              </w:rPr>
              <w:t>R5</w:t>
            </w:r>
          </w:p>
        </w:tc>
        <w:tc>
          <w:tcPr>
            <w:tcW w:type="dxa" w:w="4602"/>
            <w:tcMar>
              <w:top w:w="50" w:type="dxa"/>
              <w:bottom w:w="50" w:type="dxa"/>
              <w:left w:w="90" w:type="dxa"/>
              <w:right w:w="90" w:type="dxa"/>
            </w:tcMar>
          </w:tcPr>
          <w:p>
            <w:pPr>
              <w:pStyle w:val="BDOITable"/>
            </w:pPr>
            <w:r>
              <w:rPr>
                <w:sz w:val="17"/>
              </w:rPr>
              <w:t>BRD BDOI Core Replacement (umbrella BRD) and its analysis</w:t>
            </w:r>
          </w:p>
        </w:tc>
        <w:tc>
          <w:tcPr>
            <w:tcW w:type="dxa" w:w="1753"/>
            <w:tcMar>
              <w:top w:w="50" w:type="dxa"/>
              <w:bottom w:w="50" w:type="dxa"/>
              <w:left w:w="90" w:type="dxa"/>
              <w:right w:w="90" w:type="dxa"/>
            </w:tcMar>
          </w:tcPr>
          <w:p>
            <w:pPr>
              <w:pStyle w:val="BDOITable"/>
            </w:pPr>
            <w:r>
              <w:rPr>
                <w:sz w:val="17"/>
              </w:rPr>
              <w:t>v01</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docs/source-documents/00 - BRD BDOI Core Replacement v01.pdf</w:t>
            </w:r>
            <w:r>
              <w:rPr>
                <w:sz w:val="17"/>
              </w:rPr>
              <w:t xml:space="preserve">; </w:t>
            </w:r>
            <w:r>
              <w:rPr>
                <w:rFonts w:ascii="Courier New" w:hAnsi="Courier New" w:cs="Courier New" w:eastAsia="Courier New"/>
                <w:color w:val="2E2E2E"/>
                <w:sz w:val="15"/>
              </w:rPr>
              <w:t>BDOI_CORE_BRD_SPEC.md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R6</w:t>
            </w:r>
          </w:p>
        </w:tc>
        <w:tc>
          <w:tcPr>
            <w:tcW w:type="dxa" w:w="4602"/>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1753"/>
            <w:tcMar>
              <w:top w:w="50" w:type="dxa"/>
              <w:bottom w:w="50" w:type="dxa"/>
              <w:left w:w="90" w:type="dxa"/>
              <w:right w:w="90" w:type="dxa"/>
            </w:tcMar>
            <w:shd w:val="clear" w:color="auto" w:fill="E5F5FF"/>
          </w:tcPr>
          <w:p>
            <w:pPr>
              <w:pStyle w:val="BDOITable"/>
            </w:pPr>
            <w:r>
              <w:rPr>
                <w:sz w:val="17"/>
              </w:rPr>
              <w:t>1.1</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BIBS_Register_BRD-00_Discrepancies_and_Clarifications_v1.1.xlsx</w:t>
            </w:r>
          </w:p>
        </w:tc>
      </w:tr>
      <w:tr>
        <w:trPr>
          <w:cantSplit w:val="true"/>
        </w:trPr>
        <w:tc>
          <w:tcPr>
            <w:tcW w:type="dxa" w:w="657"/>
            <w:tcMar>
              <w:top w:w="50" w:type="dxa"/>
              <w:bottom w:w="50" w:type="dxa"/>
              <w:left w:w="90" w:type="dxa"/>
              <w:right w:w="90" w:type="dxa"/>
            </w:tcMar>
          </w:tcPr>
          <w:p>
            <w:pPr>
              <w:pStyle w:val="BDOITable"/>
            </w:pPr>
            <w:r>
              <w:rPr>
                <w:sz w:val="17"/>
              </w:rPr>
              <w:t>R7</w:t>
            </w:r>
          </w:p>
        </w:tc>
        <w:tc>
          <w:tcPr>
            <w:tcW w:type="dxa" w:w="4602"/>
            <w:tcMar>
              <w:top w:w="50" w:type="dxa"/>
              <w:bottom w:w="50" w:type="dxa"/>
              <w:left w:w="90" w:type="dxa"/>
              <w:right w:w="90" w:type="dxa"/>
            </w:tcMar>
          </w:tcPr>
          <w:p>
            <w:pPr>
              <w:pStyle w:val="BDOITable"/>
            </w:pPr>
            <w:r>
              <w:rPr>
                <w:sz w:val="17"/>
              </w:rPr>
              <w:t>Deliverables plan, UAT readiness programme and hosting appendix</w:t>
            </w:r>
          </w:p>
        </w:tc>
        <w:tc>
          <w:tcPr>
            <w:tcW w:type="dxa" w:w="1753"/>
            <w:tcMar>
              <w:top w:w="50" w:type="dxa"/>
              <w:bottom w:w="50" w:type="dxa"/>
              <w:left w:w="90" w:type="dxa"/>
              <w:right w:w="90" w:type="dxa"/>
            </w:tcMar>
          </w:tcPr>
          <w:p>
            <w:pPr>
              <w:pStyle w:val="BDOITable"/>
            </w:pPr>
            <w:r>
              <w:rPr>
                <w:sz w:val="17"/>
              </w:rPr>
              <w:t>current</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docs/deliverables/README.md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R8</w:t>
            </w:r>
          </w:p>
        </w:tc>
        <w:tc>
          <w:tcPr>
            <w:tcW w:type="dxa" w:w="4602"/>
            <w:tcMar>
              <w:top w:w="50" w:type="dxa"/>
              <w:bottom w:w="50" w:type="dxa"/>
              <w:left w:w="90" w:type="dxa"/>
              <w:right w:w="90" w:type="dxa"/>
            </w:tcMar>
            <w:shd w:val="clear" w:color="auto" w:fill="E5F5FF"/>
          </w:tcPr>
          <w:p>
            <w:pPr>
              <w:pStyle w:val="BDOITable"/>
            </w:pPr>
            <w:r>
              <w:rPr>
                <w:sz w:val="17"/>
              </w:rPr>
              <w:t>Operations, Collections, Accounting / ACSL and Renewal designs</w:t>
            </w:r>
          </w:p>
        </w:tc>
        <w:tc>
          <w:tcPr>
            <w:tcW w:type="dxa" w:w="1753"/>
            <w:tcMar>
              <w:top w:w="50" w:type="dxa"/>
              <w:bottom w:w="50" w:type="dxa"/>
              <w:left w:w="90" w:type="dxa"/>
              <w:right w:w="90" w:type="dxa"/>
            </w:tcMar>
            <w:shd w:val="clear" w:color="auto" w:fill="E5F5FF"/>
          </w:tcPr>
          <w:p>
            <w:pPr>
              <w:pStyle w:val="BDOITable"/>
            </w:pPr>
            <w:r>
              <w:rPr>
                <w:sz w:val="17"/>
              </w:rPr>
              <w:t>current</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docs/architecture/</w:t>
            </w:r>
          </w:p>
        </w:tc>
      </w:tr>
    </w:tbl>
    <w:p>
      <w:pPr>
        <w:pStyle w:val="BDOISpacer"/>
      </w:pPr>
    </w:p>
    <w:p>
      <w:pPr>
        <w:pStyle w:val="Heading1"/>
        <w:pageBreakBefore/>
        <w:pBdr>
          <w:bottom w:val="single" w:sz="4" w:space="4" w:color="99C1E7"/>
        </w:pBdr>
      </w:pPr>
      <w:bookmarkStart w:id="106" w:name="_Toc000106"/>
      <w:r>
        <w:rPr/>
        <w:t>2 Objectives and principles</w:t>
      </w:r>
      <w:bookmarkEnd w:id="106"/>
    </w:p>
    <w:p>
      <w:pPr>
        <w:pStyle w:val="Heading2"/>
      </w:pPr>
      <w:bookmarkStart w:id="107" w:name="_Toc000107"/>
      <w:r>
        <w:rPr/>
        <w:t>2.1 Objectives</w:t>
      </w:r>
      <w:bookmarkEnd w:id="107"/>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3: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Carried RMEL cohorts visible in BIBS Renewal; later cohorts extracted by BIBS</w:t>
            </w:r>
          </w:p>
        </w:tc>
      </w:tr>
    </w:tbl>
    <w:p>
      <w:pPr>
        <w:pStyle w:val="BDOISpacer"/>
      </w:pPr>
    </w:p>
    <w:p>
      <w:pPr>
        <w:pStyle w:val="Heading2"/>
      </w:pPr>
      <w:bookmarkStart w:id="108" w:name="_Toc000108"/>
      <w:r>
        <w:rPr/>
        <w:t>2.2 Principles</w:t>
      </w:r>
      <w:bookmarkEnd w:id="108"/>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renewal in progress,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Three mocks and a dress rehearsal run the full cutover with masked data and measured timings.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09" w:name="_Toc000109"/>
      <w:r>
        <w:rPr/>
        <w:t>2.3 What this migration does not do</w:t>
      </w:r>
      <w:bookmarkEnd w:id="109"/>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(section 11.3).</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0" w:name="_Toc000110"/>
      <w:r>
        <w:rPr/>
        <w:t>3 Scope and decisions per data object</w:t>
      </w:r>
      <w:bookmarkEnd w:id="110"/>
    </w:p>
    <w:p>
      <w:pPr>
        <w:pStyle w:val="Heading2"/>
      </w:pPr>
      <w:bookmarkStart w:id="111" w:name="_Toc000111"/>
      <w:r>
        <w:rPr/>
        <w:t>3.1 The decision gate</w:t>
      </w:r>
      <w:bookmarkEnd w:id="111"/>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4: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 RMEL renewals in progress</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rebuilt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2" w:name="_Toc000112"/>
      <w:r>
        <w:rPr/>
        <w:t>3.2 Data object register</w:t>
      </w:r>
      <w:bookmarkEnd w:id="112"/>
    </w:p>
    <w:p>
      <w:r>
        <w:rPr/>
        <w:t>The register below is the proposal for gate G1 (R3 section 2; DMQ01, DCR-195). The workbook sheet "Object Register" holds the same rows with the columns BDOI fills in (volumes, named owners and stewards, status).</w:t>
      </w:r>
    </w:p>
    <w:p>
      <w:pPr>
        <w:pStyle w:val="Caption"/>
        <w:keepNext/>
        <w:spacing w:after="60"/>
      </w:pPr>
      <w:r>
        <w:rPr>
          <w:b/>
          <w:i w:val="0"/>
        </w:rPr>
        <w:t xml:space="preserve">Table 5: </w:t>
      </w:r>
      <w:r>
        <w:rPr/>
        <w:t>Data objects and proposed decisions (BDOI confirms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1321"/>
        <w:gridCol w:w="48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48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(regions, departments, teams, unit heads, account officers)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 and insurer branches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3004"/>
            <w:tcMar>
              <w:top w:w="50" w:type="dxa"/>
              <w:bottom w:w="50" w:type="dxa"/>
              <w:left w:w="90" w:type="dxa"/>
              <w:right w:w="90" w:type="dxa"/>
            </w:tcMar>
          </w:tcPr>
          <w:p>
            <w:pPr>
              <w:pStyle w:val="BDOITable"/>
            </w:pPr>
            <w:r>
              <w:rPr>
                <w:sz w:val="16"/>
              </w:rPr>
              <w:t>Product lines, cover types, products and risk codes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3004"/>
            <w:tcMar>
              <w:top w:w="50" w:type="dxa"/>
              <w:bottom w:w="50" w:type="dxa"/>
              <w:left w:w="90" w:type="dxa"/>
              <w:right w:w="90" w:type="dxa"/>
            </w:tcMar>
            <w:shd w:val="clear" w:color="auto" w:fill="E5F5FF"/>
          </w:tcPr>
          <w:p>
            <w:pPr>
              <w:pStyle w:val="BDOITable"/>
            </w:pPr>
            <w:r>
              <w:rPr>
                <w:sz w:val="16"/>
              </w:rPr>
              <w:t>Packages (active package versions)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Renewals of packaged policies need the active package version (BRD-3).</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3004"/>
            <w:tcMar>
              <w:top w:w="50" w:type="dxa"/>
              <w:bottom w:w="50" w:type="dxa"/>
              <w:left w:w="90" w:type="dxa"/>
              <w:right w:w="90" w:type="dxa"/>
            </w:tcMar>
          </w:tcPr>
          <w:p>
            <w:pPr>
              <w:pStyle w:val="BDOITable"/>
            </w:pPr>
            <w:r>
              <w:rPr>
                <w:sz w:val="16"/>
              </w:rPr>
              <w:t>Commission rates by insurer and product</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Endorsements and renewals of legacy policies compute commission from the rate table.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300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3004"/>
            <w:tcMar>
              <w:top w:w="50" w:type="dxa"/>
              <w:bottom w:w="50" w:type="dxa"/>
              <w:left w:w="90" w:type="dxa"/>
              <w:right w:w="90" w:type="dxa"/>
            </w:tcMar>
          </w:tcPr>
          <w:p>
            <w:pPr>
              <w:pStyle w:val="BDOITable"/>
            </w:pPr>
            <w:r>
              <w:rPr>
                <w:sz w:val="16"/>
              </w:rPr>
              <w:t>Payees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The payee migration handler exists (DISB_PAYEE_MIGRATION); in scope if BDOI confirms (AQ11, DMQ30).</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R10</w:t>
            </w:r>
          </w:p>
        </w:tc>
        <w:tc>
          <w:tcPr>
            <w:tcW w:type="dxa" w:w="3004"/>
            <w:tcMar>
              <w:top w:w="50" w:type="dxa"/>
              <w:bottom w:w="50" w:type="dxa"/>
              <w:left w:w="90" w:type="dxa"/>
              <w:right w:w="90" w:type="dxa"/>
            </w:tcMar>
            <w:shd w:val="clear" w:color="auto" w:fill="E5F5FF"/>
          </w:tcPr>
          <w:p>
            <w:pPr>
              <w:pStyle w:val="BDOITable"/>
            </w:pPr>
            <w:r>
              <w:rPr>
                <w:sz w:val="16"/>
              </w:rPr>
              <w:t>Users and roles</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48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(map set USER) so AO, handler and collector fields resolve.</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 (AR and OR, ATP and next number)</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rPr>
          <w:cantSplit w:val="true"/>
        </w:trPr>
        <w:tc>
          <w:tcPr>
            <w:tcW w:type="dxa" w:w="781"/>
            <w:tcMar>
              <w:top w:w="50" w:type="dxa"/>
              <w:bottom w:w="50" w:type="dxa"/>
              <w:left w:w="90" w:type="dxa"/>
              <w:right w:w="90" w:type="dxa"/>
            </w:tcMar>
          </w:tcPr>
          <w:p>
            <w:pPr>
              <w:pStyle w:val="BDOITable"/>
            </w:pPr>
            <w:r>
              <w:rPr>
                <w:b/>
                <w:sz w:val="16"/>
              </w:rPr>
              <w:t>C03</w:t>
            </w:r>
          </w:p>
        </w:tc>
        <w:tc>
          <w:tcPr>
            <w:tcW w:type="dxa" w:w="3004"/>
            <w:tcMar>
              <w:top w:w="50" w:type="dxa"/>
              <w:bottom w:w="50" w:type="dxa"/>
              <w:left w:w="90" w:type="dxa"/>
              <w:right w:w="90" w:type="dxa"/>
            </w:tcMar>
          </w:tcPr>
          <w:p>
            <w:pPr>
              <w:pStyle w:val="BDOITable"/>
            </w:pPr>
            <w:r>
              <w:rPr>
                <w:sz w:val="16"/>
              </w:rPr>
              <w:t>Client payout accounts (for refunds)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Refunds of legacy UPP (BRID 5.4) need the client's payout account.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C04</w:t>
            </w:r>
          </w:p>
        </w:tc>
        <w:tc>
          <w:tcPr>
            <w:tcW w:type="dxa" w:w="3004"/>
            <w:tcMar>
              <w:top w:w="50" w:type="dxa"/>
              <w:bottom w:w="50" w:type="dxa"/>
              <w:left w:w="90" w:type="dxa"/>
              <w:right w:w="90" w:type="dxa"/>
            </w:tcMar>
            <w:shd w:val="clear" w:color="auto" w:fill="E5F5FF"/>
          </w:tcPr>
          <w:p>
            <w:pPr>
              <w:pStyle w:val="BDOITable"/>
            </w:pPr>
            <w:r>
              <w:rPr>
                <w:sz w:val="16"/>
              </w:rPr>
              <w:t>KYC documents and IDs</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48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rPr>
          <w:cantSplit w:val="true"/>
        </w:trPr>
        <w:tc>
          <w:tcPr>
            <w:tcW w:type="dxa" w:w="781"/>
            <w:tcMar>
              <w:top w:w="50" w:type="dxa"/>
              <w:bottom w:w="50" w:type="dxa"/>
              <w:left w:w="90" w:type="dxa"/>
              <w:right w:w="90" w:type="dxa"/>
            </w:tcMar>
          </w:tcPr>
          <w:p>
            <w:pPr>
              <w:pStyle w:val="BDOITable"/>
            </w:pPr>
            <w:r>
              <w:rPr>
                <w:b/>
                <w:sz w:val="16"/>
              </w:rPr>
              <w:t>C05</w:t>
            </w:r>
          </w:p>
        </w:tc>
        <w:tc>
          <w:tcPr>
            <w:tcW w:type="dxa" w:w="3004"/>
            <w:tcMar>
              <w:top w:w="50" w:type="dxa"/>
              <w:bottom w:w="50" w:type="dxa"/>
              <w:left w:w="90" w:type="dxa"/>
              <w:right w:w="90" w:type="dxa"/>
            </w:tcMar>
          </w:tcPr>
          <w:p>
            <w:pPr>
              <w:pStyle w:val="BDOITable"/>
            </w:pPr>
            <w:r>
              <w:rPr>
                <w:sz w:val="16"/>
              </w:rPr>
              <w:t>Screening results and risk ratings</w:t>
            </w:r>
          </w:p>
        </w:tc>
        <w:tc>
          <w:tcPr>
            <w:tcW w:type="dxa" w:w="1322"/>
            <w:tcMar>
              <w:top w:w="50" w:type="dxa"/>
              <w:bottom w:w="50" w:type="dxa"/>
              <w:left w:w="90" w:type="dxa"/>
              <w:right w:w="90" w:type="dxa"/>
            </w:tcMar>
          </w:tcPr>
          <w:p>
            <w:pPr>
              <w:pStyle w:val="BDOITable"/>
            </w:pPr>
            <w:r>
              <w:rPr>
                <w:sz w:val="16"/>
              </w:rPr>
              <w:t>Excluded</w:t>
            </w:r>
          </w:p>
        </w:tc>
        <w:tc>
          <w:tcPr>
            <w:tcW w:type="dxa" w:w="48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3004"/>
            <w:tcMar>
              <w:top w:w="50" w:type="dxa"/>
              <w:bottom w:w="50" w:type="dxa"/>
              <w:left w:w="90" w:type="dxa"/>
              <w:right w:w="90" w:type="dxa"/>
            </w:tcMar>
            <w:shd w:val="clear" w:color="auto" w:fill="E5F5FF"/>
          </w:tcPr>
          <w:p>
            <w:pPr>
              <w:pStyle w:val="BDOITable"/>
            </w:pPr>
            <w:r>
              <w:rPr>
                <w:sz w:val="16"/>
              </w:rPr>
              <w:t>In-force policy headers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3004"/>
            <w:tcMar>
              <w:top w:w="50" w:type="dxa"/>
              <w:bottom w:w="50" w:type="dxa"/>
              <w:left w:w="90" w:type="dxa"/>
              <w:right w:w="90" w:type="dxa"/>
            </w:tcMar>
          </w:tcPr>
          <w:p>
            <w:pPr>
              <w:pStyle w:val="BDOITable"/>
            </w:pPr>
            <w:r>
              <w:rPr>
                <w:sz w:val="16"/>
              </w:rPr>
              <w:t>Expired policies and policy history</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History is not converted (BRD p.3); kept for inquiry.</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3004"/>
            <w:tcMar>
              <w:top w:w="50" w:type="dxa"/>
              <w:bottom w:w="50" w:type="dxa"/>
              <w:left w:w="90" w:type="dxa"/>
              <w:right w:w="90" w:type="dxa"/>
            </w:tcMar>
            <w:shd w:val="clear" w:color="auto" w:fill="E5F5FF"/>
          </w:tcPr>
          <w:p>
            <w:pPr>
              <w:pStyle w:val="BDOITable"/>
            </w:pPr>
            <w:r>
              <w:rPr>
                <w:sz w:val="16"/>
              </w:rPr>
              <w:t>RMEL cohorts already extracted in legacy (renewal candidates in disposition)</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4866"/>
            <w:tcMar>
              <w:top w:w="50" w:type="dxa"/>
              <w:bottom w:w="50" w:type="dxa"/>
              <w:left w:w="90" w:type="dxa"/>
              <w:right w:w="90" w:type="dxa"/>
            </w:tcMar>
            <w:shd w:val="clear" w:color="auto" w:fill="E5F5FF"/>
          </w:tcPr>
          <w:p>
            <w:pPr>
              <w:pStyle w:val="BDOITable"/>
            </w:pPr>
            <w:r>
              <w:rPr>
                <w:sz w:val="16"/>
              </w:rPr>
              <w:t>Policies expiring in the 140 days after go-live were already extracted by legacy RMEL; they continue in BIBS Renewal with their disposition (BRID 12.1; DMQ26).</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3004"/>
            <w:tcMar>
              <w:top w:w="50" w:type="dxa"/>
              <w:bottom w:w="50" w:type="dxa"/>
              <w:left w:w="90" w:type="dxa"/>
              <w:right w:w="90" w:type="dxa"/>
            </w:tcMar>
          </w:tcPr>
          <w:p>
            <w:pPr>
              <w:pStyle w:val="BDOITable"/>
            </w:pPr>
            <w:r>
              <w:rPr>
                <w:sz w:val="16"/>
              </w:rPr>
              <w:t>Submitted-policy masterlists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Loaded through the Submitted Policies migration handler (SBM_MIGRATION) if BDOI confirms (SP SQ16, DMQ30); layout issued with that module.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3004"/>
            <w:tcMar>
              <w:top w:w="50" w:type="dxa"/>
              <w:bottom w:w="50" w:type="dxa"/>
              <w:left w:w="90" w:type="dxa"/>
              <w:right w:w="90" w:type="dxa"/>
            </w:tcMar>
            <w:shd w:val="clear" w:color="auto" w:fill="E5F5FF"/>
          </w:tcPr>
          <w:p>
            <w:pPr>
              <w:pStyle w:val="BDOITable"/>
            </w:pPr>
            <w:r>
              <w:rPr>
                <w:sz w:val="16"/>
              </w:rPr>
              <w:t>Employee Benefits programmes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Loaded through EB_PROGRAMME_LOAD if BDOI confirms (DMQ30); layout issued with the EB module.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300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300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48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300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300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3004"/>
            <w:tcMar>
              <w:top w:w="50" w:type="dxa"/>
              <w:bottom w:w="50" w:type="dxa"/>
              <w:left w:w="90" w:type="dxa"/>
              <w:right w:w="90" w:type="dxa"/>
            </w:tcMar>
          </w:tcPr>
          <w:p>
            <w:pPr>
              <w:pStyle w:val="BDOITable"/>
            </w:pPr>
            <w:r>
              <w:rPr>
                <w:sz w:val="16"/>
              </w:rPr>
              <w:t>DP billing in process and DP commission receivable</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3004"/>
            <w:tcMar>
              <w:top w:w="50" w:type="dxa"/>
              <w:bottom w:w="50" w:type="dxa"/>
              <w:left w:w="90" w:type="dxa"/>
              <w:right w:w="90" w:type="dxa"/>
            </w:tcMar>
          </w:tcPr>
          <w:p>
            <w:pPr>
              <w:pStyle w:val="BDOITable"/>
            </w:pPr>
            <w:r>
              <w:rPr>
                <w:sz w:val="16"/>
              </w:rPr>
              <w:t>Open claims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Loaded through the Claims migration (BCL_CLAIM_MIGRATION, V1025 held) if BDOI decides (CLQ14, DMQ30); closed claims are archived.</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3004"/>
            <w:tcMar>
              <w:top w:w="50" w:type="dxa"/>
              <w:bottom w:w="50" w:type="dxa"/>
              <w:left w:w="90" w:type="dxa"/>
              <w:right w:w="90" w:type="dxa"/>
            </w:tcMar>
            <w:shd w:val="clear" w:color="auto" w:fill="E5F5FF"/>
          </w:tcPr>
          <w:p>
            <w:pPr>
              <w:pStyle w:val="BDOITable"/>
            </w:pPr>
            <w:r>
              <w:rPr>
                <w:sz w:val="16"/>
              </w:rPr>
              <w:t>GL opening trial balance per account, branch and currency</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BIBS GL starts from the legacy closing balances; the legacy control-account lines go to Migration Clearing, which the F01 and F02 opening entries clear to 0.00.</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3004"/>
            <w:tcMar>
              <w:top w:w="50" w:type="dxa"/>
              <w:bottom w:w="50" w:type="dxa"/>
              <w:left w:w="90" w:type="dxa"/>
              <w:right w:w="90" w:type="dxa"/>
            </w:tcMar>
          </w:tcPr>
          <w:p>
            <w:pPr>
              <w:pStyle w:val="BDOITable"/>
            </w:pPr>
            <w:r>
              <w:rPr>
                <w:sz w:val="16"/>
              </w:rPr>
              <w:t>GL history (journals and balances before cutover)</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Kept for audit; BIBS starts from the opening trial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Closed transactions (paid and remitted invoices, receipts, remittances, endorsements, claims, renewal advices, letters)</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4866"/>
            <w:tcMar>
              <w:top w:w="50" w:type="dxa"/>
              <w:bottom w:w="50" w:type="dxa"/>
              <w:left w:w="90" w:type="dxa"/>
              <w:right w:w="90" w:type="dxa"/>
            </w:tcMar>
            <w:shd w:val="clear" w:color="auto" w:fill="E5F5FF"/>
          </w:tcPr>
          <w:p>
            <w:pPr>
              <w:pStyle w:val="BDOITable"/>
            </w:pPr>
            <w:r>
              <w:rPr>
                <w:sz w:val="16"/>
              </w:rPr>
              <w:t>History stays in read-only legacy or the BIBS archive with logged access (BRID 11.1).</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Legacy documents (policies, SOAs, ORs, certificates, letters)</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Documents are kept with their archive record and a checksum.</w:t>
            </w:r>
          </w:p>
        </w:tc>
      </w:tr>
    </w:tbl>
    <w:p>
      <w:pPr>
        <w:pStyle w:val="BDOISpacer"/>
      </w:pPr>
    </w:p>
    <w:p>
      <w:pPr>
        <w:pStyle w:val="Heading2"/>
      </w:pPr>
      <w:bookmarkStart w:id="113" w:name="_Toc000113"/>
      <w:r>
        <w:rPr/>
        <w:t>3.3 Depth, delta and due dates</w:t>
      </w:r>
      <w:bookmarkEnd w:id="113"/>
    </w:p>
    <w:p>
      <w:pPr>
        <w:pStyle w:val="Caption"/>
        <w:keepNext/>
        <w:spacing w:after="60"/>
      </w:pPr>
      <w:r>
        <w:rPr>
          <w:b/>
          <w:i w:val="0"/>
        </w:rPr>
        <w:t xml:space="preserve">Table 6: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441"/>
        <w:gridCol w:w="186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Active versions only</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 final at T-3</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 deltas daily from T-14 days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 index plus files</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Cohorts with expiry from T to T+140 days</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XLSX</w:t>
            </w:r>
          </w:p>
        </w:tc>
        <w:tc>
          <w:tcPr>
            <w:tcW w:type="dxa" w:w="1862"/>
            <w:tcMar>
              <w:top w:w="50" w:type="dxa"/>
              <w:bottom w:w="50" w:type="dxa"/>
              <w:left w:w="90" w:type="dxa"/>
              <w:right w:w="90" w:type="dxa"/>
            </w:tcMar>
          </w:tcPr>
          <w:p>
            <w:pPr>
              <w:pStyle w:val="BDOITable"/>
            </w:pPr>
            <w:r>
              <w:rPr>
                <w:sz w:val="16"/>
              </w:rPr>
              <w:t>M4 (T-14 weeks) if in scope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w:t>
            </w:r>
          </w:p>
        </w:tc>
        <w:tc>
          <w:tcPr>
            <w:tcW w:type="dxa" w:w="1862"/>
            <w:tcMar>
              <w:top w:w="50" w:type="dxa"/>
              <w:bottom w:w="50" w:type="dxa"/>
              <w:left w:w="90" w:type="dxa"/>
              <w:right w:w="90" w:type="dxa"/>
            </w:tcMar>
            <w:shd w:val="clear" w:color="auto" w:fill="E5F5FF"/>
          </w:tcPr>
          <w:p>
            <w:pPr>
              <w:pStyle w:val="BDOITable"/>
            </w:pPr>
            <w:r>
              <w:rPr>
                <w:sz w:val="16"/>
              </w:rPr>
              <w:t>M4 (T-14 weeks) if in scope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 with control file</w:t>
            </w:r>
          </w:p>
        </w:tc>
        <w:tc>
          <w:tcPr>
            <w:tcW w:type="dxa" w:w="1862"/>
            <w:tcMar>
              <w:top w:w="50" w:type="dxa"/>
              <w:bottom w:w="50" w:type="dxa"/>
              <w:left w:w="90" w:type="dxa"/>
              <w:right w:w="90" w:type="dxa"/>
            </w:tcMar>
          </w:tcPr>
          <w:p>
            <w:pPr>
              <w:pStyle w:val="BDOITable"/>
            </w:pPr>
            <w:r>
              <w:rPr>
                <w:sz w:val="16"/>
              </w:rPr>
              <w:t>M4 (T-14 weeks); final at 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 with control file</w:t>
            </w:r>
          </w:p>
        </w:tc>
        <w:tc>
          <w:tcPr>
            <w:tcW w:type="dxa" w:w="18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 final at 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442"/>
            <w:tcMar>
              <w:top w:w="50" w:type="dxa"/>
              <w:bottom w:w="50" w:type="dxa"/>
              <w:left w:w="90" w:type="dxa"/>
              <w:right w:w="90" w:type="dxa"/>
            </w:tcMar>
          </w:tcPr>
          <w:p>
            <w:pPr>
              <w:pStyle w:val="BDOITable"/>
            </w:pPr>
            <w:r>
              <w:rPr>
                <w:sz w:val="16"/>
              </w:rPr>
              <w:t>In F01</w:t>
            </w:r>
          </w:p>
        </w:tc>
        <w:tc>
          <w:tcPr>
            <w:tcW w:type="dxa" w:w="1862"/>
            <w:tcMar>
              <w:top w:w="50" w:type="dxa"/>
              <w:bottom w:w="50" w:type="dxa"/>
              <w:left w:w="90" w:type="dxa"/>
              <w:right w:w="90" w:type="dxa"/>
            </w:tcMar>
          </w:tcPr>
          <w:p>
            <w:pPr>
              <w:pStyle w:val="BDOITable"/>
            </w:pPr>
            <w:r>
              <w:rPr>
                <w:sz w:val="16"/>
              </w:rPr>
              <w:t>With F01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M4 (T-14 weeks) if in scope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Balances at the last legacy EOD before T (after month-end close)</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XLSX or CSV with control file</w:t>
            </w:r>
          </w:p>
        </w:tc>
        <w:tc>
          <w:tcPr>
            <w:tcW w:type="dxa" w:w="18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3124"/>
            <w:tcMar>
              <w:top w:w="50" w:type="dxa"/>
              <w:bottom w:w="50" w:type="dxa"/>
              <w:left w:w="90" w:type="dxa"/>
              <w:right w:w="90" w:type="dxa"/>
            </w:tcMar>
            <w:shd w:val="clear" w:color="auto" w:fill="E5F5FF"/>
          </w:tcPr>
          <w:p>
            <w:pPr>
              <w:pStyle w:val="BDOITable"/>
            </w:pPr>
            <w:r>
              <w:rPr>
                <w:sz w:val="16"/>
              </w:rPr>
              <w:t>Per retention (5 years online, 15 years archive, umbrella p.45)</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Before decommissioning</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 index plus files</w:t>
            </w:r>
          </w:p>
        </w:tc>
        <w:tc>
          <w:tcPr>
            <w:tcW w:type="dxa" w:w="1862"/>
            <w:tcMar>
              <w:top w:w="50" w:type="dxa"/>
              <w:bottom w:w="50" w:type="dxa"/>
              <w:left w:w="90" w:type="dxa"/>
              <w:right w:w="90" w:type="dxa"/>
            </w:tcMar>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7: </w:t>
      </w:r>
      <w:r>
        <w:rPr/>
        <w:t>Milestones of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488"/>
        <w:gridCol w:w="240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081"/>
            <w:tcMar>
              <w:top w:w="50" w:type="dxa"/>
              <w:bottom w:w="50" w:type="dxa"/>
              <w:left w:w="90" w:type="dxa"/>
              <w:right w:w="90" w:type="dxa"/>
            </w:tcMar>
          </w:tcPr>
          <w:p>
            <w:pPr>
              <w:pStyle w:val="BDOITable"/>
            </w:pPr>
            <w:r>
              <w:rPr>
                <w:b/>
                <w:sz w:val="18"/>
              </w:rPr>
              <w:t>M0</w:t>
            </w:r>
          </w:p>
        </w:tc>
        <w:tc>
          <w:tcPr>
            <w:tcW w:type="dxa" w:w="6488"/>
            <w:tcMar>
              <w:top w:w="50" w:type="dxa"/>
              <w:bottom w:w="50" w:type="dxa"/>
              <w:left w:w="90" w:type="dxa"/>
              <w:right w:w="90" w:type="dxa"/>
            </w:tcMar>
          </w:tcPr>
          <w:p>
            <w:pPr>
              <w:pStyle w:val="BDOITable"/>
            </w:pPr>
            <w:r>
              <w:rPr>
                <w:sz w:val="18"/>
              </w:rPr>
              <w:t>Pack issued to BDOI</w:t>
            </w:r>
          </w:p>
        </w:tc>
        <w:tc>
          <w:tcPr>
            <w:tcW w:type="dxa" w:w="2403"/>
            <w:tcMar>
              <w:top w:w="50" w:type="dxa"/>
              <w:bottom w:w="50" w:type="dxa"/>
              <w:left w:w="90" w:type="dxa"/>
              <w:right w:w="90" w:type="dxa"/>
            </w:tcMar>
          </w:tcPr>
          <w:p>
            <w:pPr>
              <w:pStyle w:val="BDOITable"/>
            </w:pPr>
            <w:r>
              <w:rPr>
                <w:sz w:val="18"/>
              </w:rPr>
              <w:t>26 Sep 2026</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M1</w:t>
            </w:r>
          </w:p>
        </w:tc>
        <w:tc>
          <w:tcPr>
            <w:tcW w:type="dxa" w:w="6488"/>
            <w:tcMar>
              <w:top w:w="50" w:type="dxa"/>
              <w:bottom w:w="50" w:type="dxa"/>
              <w:left w:w="90" w:type="dxa"/>
              <w:right w:w="90" w:type="dxa"/>
            </w:tcMar>
            <w:shd w:val="clear" w:color="auto" w:fill="E5F5FF"/>
          </w:tcPr>
          <w:p>
            <w:pPr>
              <w:pStyle w:val="BDOITable"/>
            </w:pPr>
            <w:r>
              <w:rPr>
                <w:sz w:val="18"/>
              </w:rPr>
              <w:t>Build-shaping decisions (answers that change what is built)</w:t>
            </w:r>
          </w:p>
        </w:tc>
        <w:tc>
          <w:tcPr>
            <w:tcW w:type="dxa" w:w="2403"/>
            <w:tcMar>
              <w:top w:w="50" w:type="dxa"/>
              <w:bottom w:w="50" w:type="dxa"/>
              <w:left w:w="90" w:type="dxa"/>
              <w:right w:w="90" w:type="dxa"/>
            </w:tcMar>
            <w:shd w:val="clear" w:color="auto" w:fill="E5F5FF"/>
          </w:tcPr>
          <w:p>
            <w:pPr>
              <w:pStyle w:val="BDOITable"/>
            </w:pPr>
            <w:r>
              <w:rPr>
                <w:sz w:val="18"/>
              </w:rPr>
              <w:t>16 Oct 2026</w:t>
            </w:r>
          </w:p>
        </w:tc>
      </w:tr>
      <w:tr>
        <w:trPr>
          <w:cantSplit w:val="true"/>
        </w:trPr>
        <w:tc>
          <w:tcPr>
            <w:tcW w:type="dxa" w:w="1081"/>
            <w:tcMar>
              <w:top w:w="50" w:type="dxa"/>
              <w:bottom w:w="50" w:type="dxa"/>
              <w:left w:w="90" w:type="dxa"/>
              <w:right w:w="90" w:type="dxa"/>
            </w:tcMar>
          </w:tcPr>
          <w:p>
            <w:pPr>
              <w:pStyle w:val="BDOITable"/>
            </w:pPr>
            <w:r>
              <w:rPr>
                <w:b/>
                <w:sz w:val="18"/>
              </w:rPr>
              <w:t>M2</w:t>
            </w:r>
          </w:p>
        </w:tc>
        <w:tc>
          <w:tcPr>
            <w:tcW w:type="dxa" w:w="6488"/>
            <w:tcMar>
              <w:top w:w="50" w:type="dxa"/>
              <w:bottom w:w="50" w:type="dxa"/>
              <w:left w:w="90" w:type="dxa"/>
              <w:right w:w="90" w:type="dxa"/>
            </w:tcMar>
          </w:tcPr>
          <w:p>
            <w:pPr>
              <w:pStyle w:val="BDOITable"/>
            </w:pPr>
            <w:r>
              <w:rPr>
                <w:sz w:val="18"/>
              </w:rPr>
              <w:t>Owners, stewards, keys and remaining business rules</w:t>
            </w:r>
          </w:p>
        </w:tc>
        <w:tc>
          <w:tcPr>
            <w:tcW w:type="dxa" w:w="2403"/>
            <w:tcMar>
              <w:top w:w="50" w:type="dxa"/>
              <w:bottom w:w="50" w:type="dxa"/>
              <w:left w:w="90" w:type="dxa"/>
              <w:right w:w="90" w:type="dxa"/>
            </w:tcMar>
          </w:tcPr>
          <w:p>
            <w:pPr>
              <w:pStyle w:val="BDOITable"/>
            </w:pPr>
            <w:r>
              <w:rPr>
                <w:sz w:val="18"/>
              </w:rPr>
              <w:t>6 Nov 2026</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M3</w:t>
            </w:r>
          </w:p>
        </w:tc>
        <w:tc>
          <w:tcPr>
            <w:tcW w:type="dxa" w:w="6488"/>
            <w:tcMar>
              <w:top w:w="50" w:type="dxa"/>
              <w:bottom w:w="50" w:type="dxa"/>
              <w:left w:w="90" w:type="dxa"/>
              <w:right w:w="90" w:type="dxa"/>
            </w:tcMar>
            <w:shd w:val="clear" w:color="auto" w:fill="E5F5FF"/>
          </w:tcPr>
          <w:p>
            <w:pPr>
              <w:pStyle w:val="BDOITable"/>
            </w:pPr>
            <w:r>
              <w:rPr>
                <w:sz w:val="18"/>
              </w:rPr>
              <w:t>Object decisions signed (gate G1); layouts frozen (G2 part 1)</w:t>
            </w:r>
          </w:p>
        </w:tc>
        <w:tc>
          <w:tcPr>
            <w:tcW w:type="dxa" w:w="2403"/>
            <w:tcMar>
              <w:top w:w="50" w:type="dxa"/>
              <w:bottom w:w="50" w:type="dxa"/>
              <w:left w:w="90" w:type="dxa"/>
              <w:right w:w="90" w:type="dxa"/>
            </w:tcMar>
            <w:shd w:val="clear" w:color="auto" w:fill="E5F5FF"/>
          </w:tcPr>
          <w:p>
            <w:pPr>
              <w:pStyle w:val="BDOITable"/>
            </w:pPr>
            <w:r>
              <w:rPr>
                <w:sz w:val="18"/>
              </w:rPr>
              <w:t>T-16 weeks</w:t>
            </w:r>
          </w:p>
        </w:tc>
      </w:tr>
      <w:tr>
        <w:trPr>
          <w:cantSplit w:val="true"/>
        </w:trPr>
        <w:tc>
          <w:tcPr>
            <w:tcW w:type="dxa" w:w="1081"/>
            <w:tcMar>
              <w:top w:w="50" w:type="dxa"/>
              <w:bottom w:w="50" w:type="dxa"/>
              <w:left w:w="90" w:type="dxa"/>
              <w:right w:w="90" w:type="dxa"/>
            </w:tcMar>
          </w:tcPr>
          <w:p>
            <w:pPr>
              <w:pStyle w:val="BDOITable"/>
            </w:pPr>
            <w:r>
              <w:rPr>
                <w:b/>
                <w:sz w:val="18"/>
              </w:rPr>
              <w:t>M4</w:t>
            </w:r>
          </w:p>
        </w:tc>
        <w:tc>
          <w:tcPr>
            <w:tcW w:type="dxa" w:w="6488"/>
            <w:tcMar>
              <w:top w:w="50" w:type="dxa"/>
              <w:bottom w:w="50" w:type="dxa"/>
              <w:left w:w="90" w:type="dxa"/>
              <w:right w:w="90" w:type="dxa"/>
            </w:tcMar>
          </w:tcPr>
          <w:p>
            <w:pPr>
              <w:pStyle w:val="BDOITable"/>
            </w:pPr>
            <w:r>
              <w:rPr>
                <w:sz w:val="18"/>
              </w:rPr>
              <w:t>First full extracts in the templates, with control files and volumes</w:t>
            </w:r>
          </w:p>
        </w:tc>
        <w:tc>
          <w:tcPr>
            <w:tcW w:type="dxa" w:w="2403"/>
            <w:tcMar>
              <w:top w:w="50" w:type="dxa"/>
              <w:bottom w:w="50" w:type="dxa"/>
              <w:left w:w="90" w:type="dxa"/>
              <w:right w:w="90" w:type="dxa"/>
            </w:tcMar>
          </w:tcPr>
          <w:p>
            <w:pPr>
              <w:pStyle w:val="BDOITable"/>
            </w:pPr>
            <w:r>
              <w:rPr>
                <w:sz w:val="18"/>
              </w:rPr>
              <w:t>T-14 weeks</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M5</w:t>
            </w:r>
          </w:p>
        </w:tc>
        <w:tc>
          <w:tcPr>
            <w:tcW w:type="dxa" w:w="6488"/>
            <w:tcMar>
              <w:top w:w="50" w:type="dxa"/>
              <w:bottom w:w="50" w:type="dxa"/>
              <w:left w:w="90" w:type="dxa"/>
              <w:right w:w="90" w:type="dxa"/>
            </w:tcMar>
            <w:shd w:val="clear" w:color="auto" w:fill="E5F5FF"/>
          </w:tcPr>
          <w:p>
            <w:pPr>
              <w:pStyle w:val="BDOITable"/>
            </w:pPr>
            <w:r>
              <w:rPr>
                <w:sz w:val="18"/>
              </w:rPr>
              <w:t>Code maps approved for Mock 2 (G2)</w:t>
            </w:r>
          </w:p>
        </w:tc>
        <w:tc>
          <w:tcPr>
            <w:tcW w:type="dxa" w:w="2403"/>
            <w:tcMar>
              <w:top w:w="50" w:type="dxa"/>
              <w:bottom w:w="50" w:type="dxa"/>
              <w:left w:w="90" w:type="dxa"/>
              <w:right w:w="90" w:type="dxa"/>
            </w:tcMar>
            <w:shd w:val="clear" w:color="auto" w:fill="E5F5FF"/>
          </w:tcPr>
          <w:p>
            <w:pPr>
              <w:pStyle w:val="BDOITable"/>
            </w:pPr>
            <w:r>
              <w:rPr>
                <w:sz w:val="18"/>
              </w:rPr>
              <w:t>T-10 weeks</w:t>
            </w:r>
          </w:p>
        </w:tc>
      </w:tr>
      <w:tr>
        <w:trPr>
          <w:cantSplit w:val="true"/>
        </w:trPr>
        <w:tc>
          <w:tcPr>
            <w:tcW w:type="dxa" w:w="1081"/>
            <w:tcMar>
              <w:top w:w="50" w:type="dxa"/>
              <w:bottom w:w="50" w:type="dxa"/>
              <w:left w:w="90" w:type="dxa"/>
              <w:right w:w="90" w:type="dxa"/>
            </w:tcMar>
          </w:tcPr>
          <w:p>
            <w:pPr>
              <w:pStyle w:val="BDOITable"/>
            </w:pPr>
            <w:r>
              <w:rPr>
                <w:b/>
                <w:sz w:val="18"/>
              </w:rPr>
              <w:t>M6</w:t>
            </w:r>
          </w:p>
        </w:tc>
        <w:tc>
          <w:tcPr>
            <w:tcW w:type="dxa" w:w="6488"/>
            <w:tcMar>
              <w:top w:w="50" w:type="dxa"/>
              <w:bottom w:w="50" w:type="dxa"/>
              <w:left w:w="90" w:type="dxa"/>
              <w:right w:w="90" w:type="dxa"/>
            </w:tcMar>
          </w:tcPr>
          <w:p>
            <w:pPr>
              <w:pStyle w:val="BDOITable"/>
            </w:pPr>
            <w:r>
              <w:rPr>
                <w:sz w:val="18"/>
              </w:rPr>
              <w:t>Cutover calendar, fallback and decommissioning criteria agreed</w:t>
            </w:r>
          </w:p>
        </w:tc>
        <w:tc>
          <w:tcPr>
            <w:tcW w:type="dxa" w:w="2403"/>
            <w:tcMar>
              <w:top w:w="50" w:type="dxa"/>
              <w:bottom w:w="50" w:type="dxa"/>
              <w:left w:w="90" w:type="dxa"/>
              <w:right w:w="90" w:type="dxa"/>
            </w:tcMar>
          </w:tcPr>
          <w:p>
            <w:pPr>
              <w:pStyle w:val="BDOITable"/>
            </w:pPr>
            <w:r>
              <w:rPr>
                <w:sz w:val="18"/>
              </w:rPr>
              <w:t>T-6 weeks</w:t>
            </w:r>
          </w:p>
        </w:tc>
      </w:tr>
    </w:tbl>
    <w:p>
      <w:pPr>
        <w:pStyle w:val="BDOISpacer"/>
      </w:pPr>
    </w:p>
    <w:p>
      <w:pPr>
        <w:pStyle w:val="Heading2"/>
      </w:pPr>
      <w:bookmarkStart w:id="114" w:name="_Toc000114"/>
      <w:r>
        <w:rPr/>
        <w:t>3.4 Business owners and data stewards</w:t>
      </w:r>
      <w:bookmarkEnd w:id="114"/>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8: </w:t>
      </w:r>
      <w:r>
        <w:rPr/>
        <w:t>Business owner and data steward per object (proposal;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986"/>
        <w:gridCol w:w="4205"/>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6"/>
              </w:rPr>
              <w:t>Business owner (signs G1, G2, G6)</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4986"/>
            <w:tcMar>
              <w:top w:w="50" w:type="dxa"/>
              <w:bottom w:w="50" w:type="dxa"/>
              <w:left w:w="90" w:type="dxa"/>
              <w:right w:w="90" w:type="dxa"/>
            </w:tcMar>
          </w:tcPr>
          <w:p>
            <w:pPr>
              <w:pStyle w:val="BDOITable"/>
            </w:pPr>
            <w:r>
              <w:rPr>
                <w:sz w:val="16"/>
              </w:rPr>
              <w:t>Product Owner, Marketing Business System (MBS)</w:t>
            </w:r>
          </w:p>
        </w:tc>
        <w:tc>
          <w:tcPr>
            <w:tcW w:type="dxa" w:w="4205"/>
            <w:tcMar>
              <w:top w:w="50" w:type="dxa"/>
              <w:bottom w:w="50" w:type="dxa"/>
              <w:left w:w="90" w:type="dxa"/>
              <w:right w:w="90" w:type="dxa"/>
            </w:tcMar>
          </w:tcPr>
          <w:p>
            <w:pPr>
              <w:pStyle w:val="BDOITable"/>
            </w:pPr>
            <w:r>
              <w:rPr>
                <w:sz w:val="16"/>
              </w:rPr>
              <w:t>MBS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4986"/>
            <w:tcMar>
              <w:top w:w="50" w:type="dxa"/>
              <w:bottom w:w="50" w:type="dxa"/>
              <w:left w:w="90" w:type="dxa"/>
              <w:right w:w="90" w:type="dxa"/>
            </w:tcMar>
          </w:tcPr>
          <w:p>
            <w:pPr>
              <w:pStyle w:val="BDOITable"/>
            </w:pPr>
            <w:r>
              <w:rPr>
                <w:sz w:val="16"/>
              </w:rPr>
              <w:t>Heads, Retail and Corporate Marketing</w:t>
            </w:r>
          </w:p>
        </w:tc>
        <w:tc>
          <w:tcPr>
            <w:tcW w:type="dxa" w:w="4205"/>
            <w:tcMar>
              <w:top w:w="50" w:type="dxa"/>
              <w:bottom w:w="50" w:type="dxa"/>
              <w:left w:w="90" w:type="dxa"/>
              <w:right w:w="90" w:type="dxa"/>
            </w:tcMar>
          </w:tcPr>
          <w:p>
            <w:pPr>
              <w:pStyle w:val="BDOITable"/>
            </w:pPr>
            <w:r>
              <w:rPr>
                <w:sz w:val="16"/>
              </w:rPr>
              <w:t>Marketing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4986"/>
            <w:tcMar>
              <w:top w:w="50" w:type="dxa"/>
              <w:bottom w:w="50" w:type="dxa"/>
              <w:left w:w="90" w:type="dxa"/>
              <w:right w:w="90" w:type="dxa"/>
            </w:tcMar>
            <w:shd w:val="clear" w:color="auto" w:fill="E5F5FF"/>
          </w:tcPr>
          <w:p>
            <w:pPr>
              <w:pStyle w:val="BDOITable"/>
            </w:pPr>
            <w:r>
              <w:rPr>
                <w:sz w:val="16"/>
              </w:rPr>
              <w:t>Head, Operations</w:t>
            </w:r>
          </w:p>
        </w:tc>
        <w:tc>
          <w:tcPr>
            <w:tcW w:type="dxa" w:w="4205"/>
            <w:tcMar>
              <w:top w:w="50" w:type="dxa"/>
              <w:bottom w:w="50" w:type="dxa"/>
              <w:left w:w="90" w:type="dxa"/>
              <w:right w:w="90" w:type="dxa"/>
            </w:tcMar>
            <w:shd w:val="clear" w:color="auto" w:fill="E5F5FF"/>
          </w:tcPr>
          <w:p>
            <w:pPr>
              <w:pStyle w:val="BDOITable"/>
            </w:pPr>
            <w:r>
              <w:rPr>
                <w:sz w:val="16"/>
              </w:rPr>
              <w:t>Operations data steward (to name)</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4986"/>
            <w:tcMar>
              <w:top w:w="50" w:type="dxa"/>
              <w:bottom w:w="50" w:type="dxa"/>
              <w:left w:w="90" w:type="dxa"/>
              <w:right w:w="90" w:type="dxa"/>
            </w:tcMar>
          </w:tcPr>
          <w:p>
            <w:pPr>
              <w:pStyle w:val="BDOITable"/>
            </w:pPr>
            <w:r>
              <w:rPr>
                <w:sz w:val="16"/>
              </w:rPr>
              <w:t>Product Owner, MBS</w:t>
            </w:r>
          </w:p>
        </w:tc>
        <w:tc>
          <w:tcPr>
            <w:tcW w:type="dxa" w:w="4205"/>
            <w:tcMar>
              <w:top w:w="50" w:type="dxa"/>
              <w:bottom w:w="50" w:type="dxa"/>
              <w:left w:w="90" w:type="dxa"/>
              <w:right w:w="90" w:type="dxa"/>
            </w:tcMar>
          </w:tcPr>
          <w:p>
            <w:pPr>
              <w:pStyle w:val="BDOITable"/>
            </w:pPr>
            <w:r>
              <w:rPr>
                <w:sz w:val="16"/>
              </w:rPr>
              <w:t>MBS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4986"/>
            <w:tcMar>
              <w:top w:w="50" w:type="dxa"/>
              <w:bottom w:w="50" w:type="dxa"/>
              <w:left w:w="90" w:type="dxa"/>
              <w:right w:w="90" w:type="dxa"/>
            </w:tcMar>
            <w:shd w:val="clear" w:color="auto" w:fill="E5F5FF"/>
          </w:tcPr>
          <w:p>
            <w:pPr>
              <w:pStyle w:val="BDOITable"/>
            </w:pPr>
            <w:r>
              <w:rPr>
                <w:sz w:val="16"/>
              </w:rPr>
              <w:t>Product Owner, MBS; TSU</w:t>
            </w:r>
          </w:p>
        </w:tc>
        <w:tc>
          <w:tcPr>
            <w:tcW w:type="dxa" w:w="4205"/>
            <w:tcMar>
              <w:top w:w="50" w:type="dxa"/>
              <w:bottom w:w="50" w:type="dxa"/>
              <w:left w:w="90" w:type="dxa"/>
              <w:right w:w="90" w:type="dxa"/>
            </w:tcMar>
            <w:shd w:val="clear" w:color="auto" w:fill="E5F5FF"/>
          </w:tcPr>
          <w:p>
            <w:pPr>
              <w:pStyle w:val="BDOITable"/>
            </w:pPr>
            <w:r>
              <w:rPr>
                <w:sz w:val="16"/>
              </w:rPr>
              <w:t>MBS data steward (to name)</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4986"/>
            <w:tcMar>
              <w:top w:w="50" w:type="dxa"/>
              <w:bottom w:w="50" w:type="dxa"/>
              <w:left w:w="90" w:type="dxa"/>
              <w:right w:w="90" w:type="dxa"/>
            </w:tcMar>
          </w:tcPr>
          <w:p>
            <w:pPr>
              <w:pStyle w:val="BDOITable"/>
            </w:pPr>
            <w:r>
              <w:rPr>
                <w:sz w:val="16"/>
              </w:rPr>
              <w:t>Head, Operations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4986"/>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4986"/>
            <w:tcMar>
              <w:top w:w="50" w:type="dxa"/>
              <w:bottom w:w="50" w:type="dxa"/>
              <w:left w:w="90" w:type="dxa"/>
              <w:right w:w="90" w:type="dxa"/>
            </w:tcMar>
          </w:tcPr>
          <w:p>
            <w:pPr>
              <w:pStyle w:val="BDOITable"/>
            </w:pPr>
            <w:r>
              <w:rPr>
                <w:sz w:val="16"/>
              </w:rPr>
              <w:t>Product Owner, Comptrollership - Disbursement</w:t>
            </w:r>
          </w:p>
        </w:tc>
        <w:tc>
          <w:tcPr>
            <w:tcW w:type="dxa" w:w="4205"/>
            <w:tcMar>
              <w:top w:w="50" w:type="dxa"/>
              <w:bottom w:w="50" w:type="dxa"/>
              <w:left w:w="90" w:type="dxa"/>
              <w:right w:w="90" w:type="dxa"/>
            </w:tcMar>
          </w:tcPr>
          <w:p>
            <w:pPr>
              <w:pStyle w:val="BDOITable"/>
            </w:pPr>
            <w:r>
              <w:rPr>
                <w:sz w:val="16"/>
              </w:rPr>
              <w:t>Disbursement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4986"/>
            <w:tcMar>
              <w:top w:w="50" w:type="dxa"/>
              <w:bottom w:w="50" w:type="dxa"/>
              <w:left w:w="90" w:type="dxa"/>
              <w:right w:w="90" w:type="dxa"/>
            </w:tcMar>
            <w:shd w:val="clear" w:color="auto" w:fill="E5F5FF"/>
          </w:tcPr>
          <w:p>
            <w:pPr>
              <w:pStyle w:val="BDOITable"/>
            </w:pPr>
            <w:r>
              <w:rPr>
                <w:sz w:val="16"/>
              </w:rPr>
              <w:t>Operations - Financial Transactions</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4986"/>
            <w:tcMar>
              <w:top w:w="50" w:type="dxa"/>
              <w:bottom w:w="50" w:type="dxa"/>
              <w:left w:w="90" w:type="dxa"/>
              <w:right w:w="90" w:type="dxa"/>
            </w:tcMar>
          </w:tcPr>
          <w:p>
            <w:pPr>
              <w:pStyle w:val="BDOITable"/>
            </w:pPr>
            <w:r>
              <w:rPr>
                <w:sz w:val="16"/>
              </w:rPr>
              <w:t>Product Owner, MBS; Heads, Retail and Corporate Marketing</w:t>
            </w:r>
          </w:p>
        </w:tc>
        <w:tc>
          <w:tcPr>
            <w:tcW w:type="dxa" w:w="4205"/>
            <w:tcMar>
              <w:top w:w="50" w:type="dxa"/>
              <w:bottom w:w="50" w:type="dxa"/>
              <w:left w:w="90" w:type="dxa"/>
              <w:right w:w="90" w:type="dxa"/>
            </w:tcMar>
          </w:tcPr>
          <w:p>
            <w:pPr>
              <w:pStyle w:val="BDOITable"/>
            </w:pPr>
            <w:r>
              <w:rPr>
                <w:sz w:val="16"/>
              </w:rPr>
              <w:t>Marketing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4986"/>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4205"/>
            <w:tcMar>
              <w:top w:w="50" w:type="dxa"/>
              <w:bottom w:w="50" w:type="dxa"/>
              <w:left w:w="90" w:type="dxa"/>
              <w:right w:w="90" w:type="dxa"/>
            </w:tcMar>
            <w:shd w:val="clear" w:color="auto" w:fill="E5F5FF"/>
          </w:tcPr>
          <w:p>
            <w:pPr>
              <w:pStyle w:val="BDOITable"/>
            </w:pPr>
            <w:r>
              <w:rPr>
                <w:sz w:val="16"/>
              </w:rPr>
              <w:t>Disbursement data steward (to name)</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4986"/>
            <w:tcMar>
              <w:top w:w="50" w:type="dxa"/>
              <w:bottom w:w="50" w:type="dxa"/>
              <w:left w:w="90" w:type="dxa"/>
              <w:right w:w="90" w:type="dxa"/>
            </w:tcMar>
          </w:tcPr>
          <w:p>
            <w:pPr>
              <w:pStyle w:val="BDOITable"/>
            </w:pPr>
            <w:r>
              <w:rPr>
                <w:sz w:val="16"/>
              </w:rPr>
              <w:t>Compliance</w:t>
            </w:r>
          </w:p>
        </w:tc>
        <w:tc>
          <w:tcPr>
            <w:tcW w:type="dxa" w:w="4205"/>
            <w:tcMar>
              <w:top w:w="50" w:type="dxa"/>
              <w:bottom w:w="50" w:type="dxa"/>
              <w:left w:w="90" w:type="dxa"/>
              <w:right w:w="90" w:type="dxa"/>
            </w:tcMar>
          </w:tcPr>
          <w:p>
            <w:pPr>
              <w:pStyle w:val="BDOITable"/>
            </w:pPr>
            <w:r>
              <w:rPr>
                <w:sz w:val="16"/>
              </w:rPr>
              <w:t>Compliance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4986"/>
            <w:tcMar>
              <w:top w:w="50" w:type="dxa"/>
              <w:bottom w:w="50" w:type="dxa"/>
              <w:left w:w="90" w:type="dxa"/>
              <w:right w:w="90" w:type="dxa"/>
            </w:tcMar>
            <w:shd w:val="clear" w:color="auto" w:fill="E5F5FF"/>
          </w:tcPr>
          <w:p>
            <w:pPr>
              <w:pStyle w:val="BDOITable"/>
            </w:pPr>
            <w:r>
              <w:rPr>
                <w:sz w:val="16"/>
              </w:rPr>
              <w:t>Head, Operations</w:t>
            </w:r>
          </w:p>
        </w:tc>
        <w:tc>
          <w:tcPr>
            <w:tcW w:type="dxa" w:w="4205"/>
            <w:tcMar>
              <w:top w:w="50" w:type="dxa"/>
              <w:bottom w:w="50" w:type="dxa"/>
              <w:left w:w="90" w:type="dxa"/>
              <w:right w:w="90" w:type="dxa"/>
            </w:tcMar>
            <w:shd w:val="clear" w:color="auto" w:fill="E5F5FF"/>
          </w:tcPr>
          <w:p>
            <w:pPr>
              <w:pStyle w:val="BDOITable"/>
            </w:pPr>
            <w:r>
              <w:rPr>
                <w:sz w:val="16"/>
              </w:rPr>
              <w:t>Operations data steward (to name)</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4986"/>
            <w:tcMar>
              <w:top w:w="50" w:type="dxa"/>
              <w:bottom w:w="50" w:type="dxa"/>
              <w:left w:w="90" w:type="dxa"/>
              <w:right w:w="90" w:type="dxa"/>
            </w:tcMar>
          </w:tcPr>
          <w:p>
            <w:pPr>
              <w:pStyle w:val="BDOITable"/>
            </w:pPr>
            <w:r>
              <w:rPr>
                <w:sz w:val="16"/>
              </w:rPr>
              <w:t>Head, Operations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4986"/>
            <w:tcMar>
              <w:top w:w="50" w:type="dxa"/>
              <w:bottom w:w="50" w:type="dxa"/>
              <w:left w:w="90" w:type="dxa"/>
              <w:right w:w="90" w:type="dxa"/>
            </w:tcMar>
            <w:shd w:val="clear" w:color="auto" w:fill="E5F5FF"/>
          </w:tcPr>
          <w:p>
            <w:pPr>
              <w:pStyle w:val="BDOITable"/>
            </w:pPr>
            <w:r>
              <w:rPr>
                <w:sz w:val="16"/>
              </w:rPr>
              <w:t>Heads, Retail and Corporate Marketing (Renewal)</w:t>
            </w:r>
          </w:p>
        </w:tc>
        <w:tc>
          <w:tcPr>
            <w:tcW w:type="dxa" w:w="4205"/>
            <w:tcMar>
              <w:top w:w="50" w:type="dxa"/>
              <w:bottom w:w="50" w:type="dxa"/>
              <w:left w:w="90" w:type="dxa"/>
              <w:right w:w="90" w:type="dxa"/>
            </w:tcMar>
            <w:shd w:val="clear" w:color="auto" w:fill="E5F5FF"/>
          </w:tcPr>
          <w:p>
            <w:pPr>
              <w:pStyle w:val="BDOITable"/>
            </w:pPr>
            <w:r>
              <w:rPr>
                <w:sz w:val="16"/>
              </w:rPr>
              <w:t>Renewal data steward (to name)</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4986"/>
            <w:tcMar>
              <w:top w:w="50" w:type="dxa"/>
              <w:bottom w:w="50" w:type="dxa"/>
              <w:left w:w="90" w:type="dxa"/>
              <w:right w:w="90" w:type="dxa"/>
            </w:tcMar>
          </w:tcPr>
          <w:p>
            <w:pPr>
              <w:pStyle w:val="BDOITable"/>
            </w:pPr>
            <w:r>
              <w:rPr>
                <w:sz w:val="16"/>
              </w:rPr>
              <w:t>CBG and Non-CBG Marketing (Submitted Policies)</w:t>
            </w:r>
          </w:p>
        </w:tc>
        <w:tc>
          <w:tcPr>
            <w:tcW w:type="dxa" w:w="4205"/>
            <w:tcMar>
              <w:top w:w="50" w:type="dxa"/>
              <w:bottom w:w="50" w:type="dxa"/>
              <w:left w:w="90" w:type="dxa"/>
              <w:right w:w="90" w:type="dxa"/>
            </w:tcMar>
          </w:tcPr>
          <w:p>
            <w:pPr>
              <w:pStyle w:val="BDOITable"/>
            </w:pPr>
            <w:r>
              <w:rPr>
                <w:sz w:val="16"/>
              </w:rPr>
              <w:t>Submitted Policies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4986"/>
            <w:tcMar>
              <w:top w:w="50" w:type="dxa"/>
              <w:bottom w:w="50" w:type="dxa"/>
              <w:left w:w="90" w:type="dxa"/>
              <w:right w:w="90" w:type="dxa"/>
            </w:tcMar>
            <w:shd w:val="clear" w:color="auto" w:fill="E5F5FF"/>
          </w:tcPr>
          <w:p>
            <w:pPr>
              <w:pStyle w:val="BDOITable"/>
            </w:pPr>
            <w:r>
              <w:rPr>
                <w:sz w:val="16"/>
              </w:rPr>
              <w:t>Head, Employee Benefits</w:t>
            </w:r>
          </w:p>
        </w:tc>
        <w:tc>
          <w:tcPr>
            <w:tcW w:type="dxa" w:w="4205"/>
            <w:tcMar>
              <w:top w:w="50" w:type="dxa"/>
              <w:bottom w:w="50" w:type="dxa"/>
              <w:left w:w="90" w:type="dxa"/>
              <w:right w:w="90" w:type="dxa"/>
            </w:tcMar>
            <w:shd w:val="clear" w:color="auto" w:fill="E5F5FF"/>
          </w:tcPr>
          <w:p>
            <w:pPr>
              <w:pStyle w:val="BDOITable"/>
            </w:pPr>
            <w:r>
              <w:rPr>
                <w:sz w:val="16"/>
              </w:rPr>
              <w:t>EB data steward (to name)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4986"/>
            <w:tcMar>
              <w:top w:w="50" w:type="dxa"/>
              <w:bottom w:w="50" w:type="dxa"/>
              <w:left w:w="90" w:type="dxa"/>
              <w:right w:w="90" w:type="dxa"/>
            </w:tcMar>
          </w:tcPr>
          <w:p>
            <w:pPr>
              <w:pStyle w:val="BDOITable"/>
            </w:pPr>
            <w:r>
              <w:rPr>
                <w:sz w:val="16"/>
              </w:rPr>
              <w:t>Operations - Financial Transactions; Head, Comptrollership</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4986"/>
            <w:tcMar>
              <w:top w:w="50" w:type="dxa"/>
              <w:bottom w:w="50" w:type="dxa"/>
              <w:left w:w="90" w:type="dxa"/>
              <w:right w:w="90" w:type="dxa"/>
            </w:tcMar>
            <w:shd w:val="clear" w:color="auto" w:fill="E5F5FF"/>
          </w:tcPr>
          <w:p>
            <w:pPr>
              <w:pStyle w:val="BDOITable"/>
            </w:pPr>
            <w:r>
              <w:rPr>
                <w:sz w:val="16"/>
              </w:rPr>
              <w:t>Operations - Financial Transactions</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4986"/>
            <w:tcMar>
              <w:top w:w="50" w:type="dxa"/>
              <w:bottom w:w="50" w:type="dxa"/>
              <w:left w:w="90" w:type="dxa"/>
              <w:right w:w="90" w:type="dxa"/>
            </w:tcMar>
          </w:tcPr>
          <w:p>
            <w:pPr>
              <w:pStyle w:val="BDOITable"/>
            </w:pPr>
            <w:r>
              <w:rPr>
                <w:sz w:val="16"/>
              </w:rPr>
              <w:t>Head, Operations (Collections)</w:t>
            </w:r>
          </w:p>
        </w:tc>
        <w:tc>
          <w:tcPr>
            <w:tcW w:type="dxa" w:w="4205"/>
            <w:tcMar>
              <w:top w:w="50" w:type="dxa"/>
              <w:bottom w:w="50" w:type="dxa"/>
              <w:left w:w="90" w:type="dxa"/>
              <w:right w:w="90" w:type="dxa"/>
            </w:tcMar>
          </w:tcPr>
          <w:p>
            <w:pPr>
              <w:pStyle w:val="BDOITable"/>
            </w:pPr>
            <w:r>
              <w:rPr>
                <w:sz w:val="16"/>
              </w:rPr>
              <w:t>Collections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4986"/>
            <w:tcMar>
              <w:top w:w="50" w:type="dxa"/>
              <w:bottom w:w="50" w:type="dxa"/>
              <w:left w:w="90" w:type="dxa"/>
              <w:right w:w="90" w:type="dxa"/>
            </w:tcMar>
            <w:shd w:val="clear" w:color="auto" w:fill="E5F5FF"/>
          </w:tcPr>
          <w:p>
            <w:pPr>
              <w:pStyle w:val="BDOITable"/>
            </w:pPr>
            <w:r>
              <w:rPr>
                <w:sz w:val="16"/>
              </w:rPr>
              <w:t>Operations - Remittance</w:t>
            </w:r>
          </w:p>
        </w:tc>
        <w:tc>
          <w:tcPr>
            <w:tcW w:type="dxa" w:w="4205"/>
            <w:tcMar>
              <w:top w:w="50" w:type="dxa"/>
              <w:bottom w:w="50" w:type="dxa"/>
              <w:left w:w="90" w:type="dxa"/>
              <w:right w:w="90" w:type="dxa"/>
            </w:tcMar>
            <w:shd w:val="clear" w:color="auto" w:fill="E5F5FF"/>
          </w:tcPr>
          <w:p>
            <w:pPr>
              <w:pStyle w:val="BDOITable"/>
            </w:pPr>
            <w:r>
              <w:rPr>
                <w:sz w:val="16"/>
              </w:rPr>
              <w:t>Remittance data steward (to name)</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4986"/>
            <w:tcMar>
              <w:top w:w="50" w:type="dxa"/>
              <w:bottom w:w="50" w:type="dxa"/>
              <w:left w:w="90" w:type="dxa"/>
              <w:right w:w="90" w:type="dxa"/>
            </w:tcMar>
          </w:tcPr>
          <w:p>
            <w:pPr>
              <w:pStyle w:val="BDOITable"/>
            </w:pPr>
            <w:r>
              <w:rPr>
                <w:sz w:val="16"/>
              </w:rPr>
              <w:t>Operations - Financial Transactions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4986"/>
            <w:tcMar>
              <w:top w:w="50" w:type="dxa"/>
              <w:bottom w:w="50" w:type="dxa"/>
              <w:left w:w="90" w:type="dxa"/>
              <w:right w:w="90" w:type="dxa"/>
            </w:tcMar>
            <w:shd w:val="clear" w:color="auto" w:fill="E5F5FF"/>
          </w:tcPr>
          <w:p>
            <w:pPr>
              <w:pStyle w:val="BDOITable"/>
            </w:pPr>
            <w:r>
              <w:rPr>
                <w:sz w:val="16"/>
              </w:rPr>
              <w:t>Operations - Cashiering</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4986"/>
            <w:tcMar>
              <w:top w:w="50" w:type="dxa"/>
              <w:bottom w:w="50" w:type="dxa"/>
              <w:left w:w="90" w:type="dxa"/>
              <w:right w:w="90" w:type="dxa"/>
            </w:tcMar>
          </w:tcPr>
          <w:p>
            <w:pPr>
              <w:pStyle w:val="BDOITable"/>
            </w:pPr>
            <w:r>
              <w:rPr>
                <w:sz w:val="16"/>
              </w:rPr>
              <w:t>Unit Head, Claims, RI and TU</w:t>
            </w:r>
          </w:p>
        </w:tc>
        <w:tc>
          <w:tcPr>
            <w:tcW w:type="dxa" w:w="4205"/>
            <w:tcMar>
              <w:top w:w="50" w:type="dxa"/>
              <w:bottom w:w="50" w:type="dxa"/>
              <w:left w:w="90" w:type="dxa"/>
              <w:right w:w="90" w:type="dxa"/>
            </w:tcMar>
          </w:tcPr>
          <w:p>
            <w:pPr>
              <w:pStyle w:val="BDOITable"/>
            </w:pPr>
            <w:r>
              <w:rPr>
                <w:sz w:val="16"/>
              </w:rPr>
              <w:t>Claims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4986"/>
            <w:tcMar>
              <w:top w:w="50" w:type="dxa"/>
              <w:bottom w:w="50" w:type="dxa"/>
              <w:left w:w="90" w:type="dxa"/>
              <w:right w:w="90" w:type="dxa"/>
            </w:tcMar>
          </w:tcPr>
          <w:p>
            <w:pPr>
              <w:pStyle w:val="BDOITable"/>
            </w:pPr>
            <w:r>
              <w:rPr>
                <w:sz w:val="16"/>
              </w:rPr>
              <w:t>Head, Comptrollership</w:t>
            </w:r>
          </w:p>
        </w:tc>
        <w:tc>
          <w:tcPr>
            <w:tcW w:type="dxa" w:w="4205"/>
            <w:tcMar>
              <w:top w:w="50" w:type="dxa"/>
              <w:bottom w:w="50" w:type="dxa"/>
              <w:left w:w="90" w:type="dxa"/>
              <w:right w:w="90" w:type="dxa"/>
            </w:tcMar>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4986"/>
            <w:tcMar>
              <w:top w:w="50" w:type="dxa"/>
              <w:bottom w:w="50" w:type="dxa"/>
              <w:left w:w="90" w:type="dxa"/>
              <w:right w:w="90" w:type="dxa"/>
            </w:tcMar>
            <w:shd w:val="clear" w:color="auto" w:fill="E5F5FF"/>
          </w:tcPr>
          <w:p>
            <w:pPr>
              <w:pStyle w:val="BDOITable"/>
            </w:pPr>
            <w:r>
              <w:rPr>
                <w:sz w:val="16"/>
              </w:rPr>
              <w:t>Audit / Compliance; legacy system owners</w:t>
            </w:r>
          </w:p>
        </w:tc>
        <w:tc>
          <w:tcPr>
            <w:tcW w:type="dxa" w:w="4205"/>
            <w:tcMar>
              <w:top w:w="50" w:type="dxa"/>
              <w:bottom w:w="50" w:type="dxa"/>
              <w:left w:w="90" w:type="dxa"/>
              <w:right w:w="90" w:type="dxa"/>
            </w:tcMar>
            <w:shd w:val="clear" w:color="auto" w:fill="E5F5FF"/>
          </w:tcPr>
          <w:p>
            <w:pPr>
              <w:pStyle w:val="BDOITable"/>
            </w:pPr>
            <w:r>
              <w:rPr>
                <w:sz w:val="16"/>
              </w:rPr>
              <w:t>Compliance data steward (to name)</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4986"/>
            <w:tcMar>
              <w:top w:w="50" w:type="dxa"/>
              <w:bottom w:w="50" w:type="dxa"/>
              <w:left w:w="90" w:type="dxa"/>
              <w:right w:w="90" w:type="dxa"/>
            </w:tcMar>
          </w:tcPr>
          <w:p>
            <w:pPr>
              <w:pStyle w:val="BDOITable"/>
            </w:pPr>
            <w:r>
              <w:rPr>
                <w:sz w:val="16"/>
              </w:rPr>
              <w:t>Audit / Compliance</w:t>
            </w:r>
          </w:p>
        </w:tc>
        <w:tc>
          <w:tcPr>
            <w:tcW w:type="dxa" w:w="4205"/>
            <w:tcMar>
              <w:top w:w="50" w:type="dxa"/>
              <w:bottom w:w="50" w:type="dxa"/>
              <w:left w:w="90" w:type="dxa"/>
              <w:right w:w="90" w:type="dxa"/>
            </w:tcMar>
          </w:tcPr>
          <w:p>
            <w:pPr>
              <w:pStyle w:val="BDOITable"/>
            </w:pPr>
            <w:r>
              <w:rPr>
                <w:sz w:val="16"/>
              </w:rPr>
              <w:t>Compliance data steward (to name)</w:t>
            </w:r>
          </w:p>
        </w:tc>
      </w:tr>
    </w:tbl>
    <w:p>
      <w:pPr>
        <w:pStyle w:val="BDOISpacer"/>
      </w:pPr>
    </w:p>
    <w:p>
      <w:pPr>
        <w:pStyle w:val="Heading2"/>
      </w:pPr>
      <w:bookmarkStart w:id="115" w:name="_Toc000115"/>
      <w:r>
        <w:rPr/>
        <w:t>3.5 Client migration "2020 to present" and daily client batches</w:t>
      </w:r>
      <w:bookmarkEnd w:id="115"/>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document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(job </w:t>
      </w:r>
      <w:r>
        <w:rPr>
          <w:rFonts w:ascii="Courier New" w:hAnsi="Courier New" w:cs="Courier New" w:eastAsia="Courier New"/>
          <w:color w:val="2E2E2E"/>
          <w:sz w:val="19"/>
        </w:rPr>
        <w:t>MIG_CLIENT_DELTA</w:t>
      </w:r>
      <w:r>
        <w:rPr/>
        <w:t>).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6" w:name="_Toc000116"/>
      <w:r>
        <w:rPr/>
        <w:t>4 Source systems</w:t>
      </w:r>
      <w:bookmarkEnd w:id="116"/>
    </w:p>
    <w:p>
      <w:pPr>
        <w:pStyle w:val="Heading2"/>
      </w:pPr>
      <w:bookmarkStart w:id="117" w:name="_Toc000117"/>
      <w:r>
        <w:rPr/>
        <w:t>4.1 Legacy systems in scope</w:t>
      </w:r>
      <w:bookmarkEnd w:id="117"/>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9: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18" w:name="_Toc000118"/>
      <w:r>
        <w:rPr/>
        <w:t>4.2 Source per object</w:t>
      </w:r>
      <w:bookmarkEnd w:id="118"/>
    </w:p>
    <w:p>
      <w:pPr>
        <w:pStyle w:val="Caption"/>
        <w:keepNext/>
        <w:spacing w:after="60"/>
      </w:pPr>
      <w:r>
        <w:rPr>
          <w:b/>
          <w:i w:val="0"/>
        </w:rPr>
        <w:t xml:space="preserve">Table 10: </w:t>
      </w:r>
      <w:r>
        <w:rPr/>
        <w:t>Source systems per data object (Y = holds the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Packages (active package versions)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RMEL cohorts already extracted in legacy (renewal candidates in disposition)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opening trial balance per account, branch and currency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4205"/>
            <w:tcMar>
              <w:top w:w="50" w:type="dxa"/>
              <w:bottom w:w="50" w:type="dxa"/>
              <w:left w:w="90" w:type="dxa"/>
              <w:right w:w="90" w:type="dxa"/>
            </w:tcMar>
            <w:shd w:val="clear" w:color="auto" w:fill="E5F5FF"/>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4205"/>
            <w:tcMar>
              <w:top w:w="50" w:type="dxa"/>
              <w:bottom w:w="50" w:type="dxa"/>
              <w:left w:w="90" w:type="dxa"/>
              <w:right w:w="90" w:type="dxa"/>
            </w:tcMar>
          </w:tcPr>
          <w:p>
            <w:pPr>
              <w:pStyle w:val="BDOITable"/>
            </w:pPr>
            <w:r>
              <w:rPr>
                <w:sz w:val="16"/>
              </w:rPr>
              <w:t>Legacy documents (policies, SOAs, ORs, certificates,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(section 6.8).</w:t>
      </w:r>
    </w:p>
    <w:p>
      <w:pPr>
        <w:pStyle w:val="Heading1"/>
        <w:pageBreakBefore/>
        <w:pBdr>
          <w:bottom w:val="single" w:sz="4" w:space="4" w:color="99C1E7"/>
        </w:pBdr>
      </w:pPr>
      <w:bookmarkStart w:id="119" w:name="_Toc000119"/>
      <w:r>
        <w:rPr/>
        <w:t>5 Target in BIBS</w:t>
      </w:r>
      <w:bookmarkEnd w:id="119"/>
    </w:p>
    <w:p>
      <w:pPr>
        <w:pStyle w:val="Heading2"/>
      </w:pPr>
      <w:bookmarkStart w:id="120" w:name="_Toc000120"/>
      <w:r>
        <w:rPr/>
        <w:t>5.1 Target per object and load order</w:t>
      </w:r>
      <w:bookmarkEnd w:id="120"/>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11: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6007"/>
        <w:gridCol w:w="2162"/>
        <w:gridCol w:w="102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6"/>
              </w:rPr>
              <w:t>BIBS target (service or table)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Load order</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6007"/>
            <w:tcMar>
              <w:top w:w="50" w:type="dxa"/>
              <w:bottom w:w="50" w:type="dxa"/>
              <w:left w:w="90" w:type="dxa"/>
              <w:right w:w="90" w:type="dxa"/>
            </w:tcMar>
          </w:tcPr>
          <w:p>
            <w:pPr>
              <w:pStyle w:val="BDOITable"/>
            </w:pPr>
            <w:r>
              <w:rPr>
                <w:sz w:val="16"/>
              </w:rPr>
              <w:t>lov_value through LovService; MIS field catalogue (Core Replacement CR-W1)</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6007"/>
            <w:tcMar>
              <w:top w:w="50" w:type="dxa"/>
              <w:bottom w:w="50" w:type="dxa"/>
              <w:left w:w="90" w:type="dxa"/>
              <w:right w:w="90" w:type="dxa"/>
            </w:tcMar>
            <w:shd w:val="clear" w:color="auto" w:fill="E5F5FF"/>
          </w:tcPr>
          <w:p>
            <w:pPr>
              <w:pStyle w:val="BDOITable"/>
            </w:pPr>
            <w:r>
              <w:rPr>
                <w:sz w:val="16"/>
              </w:rPr>
              <w:t>org_branch (check only, code map BRANCH)</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6007"/>
            <w:tcMar>
              <w:top w:w="50" w:type="dxa"/>
              <w:bottom w:w="50" w:type="dxa"/>
              <w:left w:w="90" w:type="dxa"/>
              <w:right w:w="90" w:type="dxa"/>
            </w:tcMar>
          </w:tcPr>
          <w:p>
            <w:pPr>
              <w:pStyle w:val="BDOITable"/>
            </w:pPr>
            <w:r>
              <w:rPr>
                <w:sz w:val="16"/>
              </w:rPr>
              <w:t>cat_sales_unit, cat_sales_officer (catalog services)</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6007"/>
            <w:tcMar>
              <w:top w:w="50" w:type="dxa"/>
              <w:bottom w:w="50" w:type="dxa"/>
              <w:left w:w="90" w:type="dxa"/>
              <w:right w:w="90" w:type="dxa"/>
            </w:tcMar>
            <w:shd w:val="clear" w:color="auto" w:fill="E5F5FF"/>
          </w:tcPr>
          <w:p>
            <w:pPr>
              <w:pStyle w:val="BDOITable"/>
            </w:pPr>
            <w:r>
              <w:rPr>
                <w:sz w:val="16"/>
              </w:rPr>
              <w:t>cat_insurer, cat_insurer_branch (InsurerService), party</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6007"/>
            <w:tcMar>
              <w:top w:w="50" w:type="dxa"/>
              <w:bottom w:w="50" w:type="dxa"/>
              <w:left w:w="90" w:type="dxa"/>
              <w:right w:w="90" w:type="dxa"/>
            </w:tcMar>
          </w:tcPr>
          <w:p>
            <w:pPr>
              <w:pStyle w:val="BDOITable"/>
            </w:pPr>
            <w:r>
              <w:rPr>
                <w:sz w:val="16"/>
              </w:rPr>
              <w:t>cat_product_line, cat_cover_type, cat_product (ProductCatalogService)</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3</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6007"/>
            <w:tcMar>
              <w:top w:w="50" w:type="dxa"/>
              <w:bottom w:w="50" w:type="dxa"/>
              <w:left w:w="90" w:type="dxa"/>
              <w:right w:w="90" w:type="dxa"/>
            </w:tcMar>
            <w:shd w:val="clear" w:color="auto" w:fill="E5F5FF"/>
          </w:tcPr>
          <w:p>
            <w:pPr>
              <w:pStyle w:val="BDOITable"/>
            </w:pPr>
            <w:r>
              <w:rPr>
                <w:sz w:val="16"/>
              </w:rPr>
              <w:t>cat_product_version, cat_package_insurer, cat_package_insurer_term</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6007"/>
            <w:tcMar>
              <w:top w:w="50" w:type="dxa"/>
              <w:bottom w:w="50" w:type="dxa"/>
              <w:left w:w="90" w:type="dxa"/>
              <w:right w:w="90" w:type="dxa"/>
            </w:tcMar>
          </w:tcPr>
          <w:p>
            <w:pPr>
              <w:pStyle w:val="BDOITable"/>
            </w:pPr>
            <w:r>
              <w:rPr>
                <w:sz w:val="16"/>
              </w:rPr>
              <w:t>cat_commission_rate</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3</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6007"/>
            <w:tcMar>
              <w:top w:w="50" w:type="dxa"/>
              <w:bottom w:w="50" w:type="dxa"/>
              <w:left w:w="90" w:type="dxa"/>
              <w:right w:w="90" w:type="dxa"/>
            </w:tcMar>
            <w:shd w:val="clear" w:color="auto" w:fill="E5F5FF"/>
          </w:tcPr>
          <w:p>
            <w:pPr>
              <w:pStyle w:val="BDOITable"/>
            </w:pPr>
            <w:r>
              <w:rPr>
                <w:sz w:val="16"/>
              </w:rPr>
              <w:t>Code map GL_ACCOUNT to coa_account (chart configured by Comptrollership)</w:t>
            </w:r>
          </w:p>
        </w:tc>
        <w:tc>
          <w:tcPr>
            <w:tcW w:type="dxa" w:w="2163"/>
            <w:tcMar>
              <w:top w:w="50" w:type="dxa"/>
              <w:bottom w:w="50" w:type="dxa"/>
              <w:left w:w="90" w:type="dxa"/>
              <w:right w:w="90" w:type="dxa"/>
            </w:tcMar>
            <w:shd w:val="clear" w:color="auto" w:fill="E5F5FF"/>
          </w:tcPr>
          <w:p>
            <w:pPr>
              <w:pStyle w:val="BDOITable"/>
            </w:pPr>
            <w:r>
              <w:rPr>
                <w:sz w:val="16"/>
              </w:rPr>
              <w:t>BRID 5.1-8.1; AQ01</w:t>
            </w:r>
          </w:p>
        </w:tc>
        <w:tc>
          <w:tcPr>
            <w:tcW w:type="dxa" w:w="102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6007"/>
            <w:tcMar>
              <w:top w:w="50" w:type="dxa"/>
              <w:bottom w:w="50" w:type="dxa"/>
              <w:left w:w="90" w:type="dxa"/>
              <w:right w:w="90" w:type="dxa"/>
            </w:tcMar>
          </w:tcPr>
          <w:p>
            <w:pPr>
              <w:pStyle w:val="BDOITable"/>
            </w:pPr>
            <w:r>
              <w:rPr>
                <w:sz w:val="16"/>
              </w:rPr>
              <w:t>party and payee through the DISB_PAYEE_MIGRATION service</w:t>
            </w:r>
          </w:p>
        </w:tc>
        <w:tc>
          <w:tcPr>
            <w:tcW w:type="dxa" w:w="2163"/>
            <w:tcMar>
              <w:top w:w="50" w:type="dxa"/>
              <w:bottom w:w="50" w:type="dxa"/>
              <w:left w:w="90" w:type="dxa"/>
              <w:right w:w="90" w:type="dxa"/>
            </w:tcMar>
          </w:tcPr>
          <w:p>
            <w:pPr>
              <w:pStyle w:val="BDOITable"/>
            </w:pPr>
            <w:r>
              <w:rPr>
                <w:sz w:val="16"/>
              </w:rPr>
              <w:t>AQ11</w:t>
            </w:r>
          </w:p>
        </w:tc>
        <w:tc>
          <w:tcPr>
            <w:tcW w:type="dxa" w:w="1021"/>
            <w:tcMar>
              <w:top w:w="50" w:type="dxa"/>
              <w:bottom w:w="50" w:type="dxa"/>
              <w:left w:w="90" w:type="dxa"/>
              <w:right w:w="90" w:type="dxa"/>
            </w:tcMar>
          </w:tcPr>
          <w:p>
            <w:pPr>
              <w:pStyle w:val="BDOITable"/>
            </w:pPr>
            <w:r>
              <w:rPr>
                <w:sz w:val="16"/>
              </w:rPr>
              <w:t>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6007"/>
            <w:tcMar>
              <w:top w:w="50" w:type="dxa"/>
              <w:bottom w:w="50" w:type="dxa"/>
              <w:left w:w="90" w:type="dxa"/>
              <w:right w:w="90" w:type="dxa"/>
            </w:tcMar>
            <w:shd w:val="clear" w:color="auto" w:fill="E5F5FF"/>
          </w:tcPr>
          <w:p>
            <w:pPr>
              <w:pStyle w:val="BDOITable"/>
            </w:pPr>
            <w:r>
              <w:rPr>
                <w:sz w:val="16"/>
              </w:rPr>
              <w:t>csh_receipt_series</w:t>
            </w:r>
          </w:p>
        </w:tc>
        <w:tc>
          <w:tcPr>
            <w:tcW w:type="dxa" w:w="2163"/>
            <w:tcMar>
              <w:top w:w="50" w:type="dxa"/>
              <w:bottom w:w="50" w:type="dxa"/>
              <w:left w:w="90" w:type="dxa"/>
              <w:right w:w="90" w:type="dxa"/>
            </w:tcMar>
            <w:shd w:val="clear" w:color="auto" w:fill="E5F5FF"/>
          </w:tcPr>
          <w:p>
            <w:pPr>
              <w:pStyle w:val="BDOITable"/>
            </w:pPr>
            <w:r>
              <w:rPr>
                <w:sz w:val="16"/>
              </w:rPr>
              <w:t>BRID 6.1</w:t>
            </w:r>
          </w:p>
        </w:tc>
        <w:tc>
          <w:tcPr>
            <w:tcW w:type="dxa" w:w="1021"/>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6007"/>
            <w:tcMar>
              <w:top w:w="50" w:type="dxa"/>
              <w:bottom w:w="50" w:type="dxa"/>
              <w:left w:w="90" w:type="dxa"/>
              <w:right w:w="90" w:type="dxa"/>
            </w:tcMar>
          </w:tcPr>
          <w:p>
            <w:pPr>
              <w:pStyle w:val="BDOITable"/>
            </w:pPr>
            <w:r>
              <w:rPr>
                <w:sz w:val="16"/>
              </w:rPr>
              <w:t>crm_client through ClientOnboardingService.registerMigrated (new)</w:t>
            </w:r>
          </w:p>
        </w:tc>
        <w:tc>
          <w:tcPr>
            <w:tcW w:type="dxa" w:w="2163"/>
            <w:tcMar>
              <w:top w:w="50" w:type="dxa"/>
              <w:bottom w:w="50" w:type="dxa"/>
              <w:left w:w="90" w:type="dxa"/>
              <w:right w:w="90" w:type="dxa"/>
            </w:tcMar>
          </w:tcPr>
          <w:p>
            <w:pPr>
              <w:pStyle w:val="BDOITable"/>
            </w:pPr>
            <w:r>
              <w:rPr>
                <w:sz w:val="16"/>
              </w:rPr>
              <w:t>BRID 2.1</w:t>
            </w:r>
          </w:p>
        </w:tc>
        <w:tc>
          <w:tcPr>
            <w:tcW w:type="dxa" w:w="1021"/>
            <w:tcMar>
              <w:top w:w="50" w:type="dxa"/>
              <w:bottom w:w="50" w:type="dxa"/>
              <w:left w:w="90" w:type="dxa"/>
              <w:right w:w="90" w:type="dxa"/>
            </w:tcMar>
          </w:tcPr>
          <w:p>
            <w:pPr>
              <w:pStyle w:val="BDOITable"/>
            </w:pPr>
            <w:r>
              <w:rPr>
                <w:sz w:val="16"/>
              </w:rPr>
              <w:t>5</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6007"/>
            <w:tcMar>
              <w:top w:w="50" w:type="dxa"/>
              <w:bottom w:w="50" w:type="dxa"/>
              <w:left w:w="90" w:type="dxa"/>
              <w:right w:w="90" w:type="dxa"/>
            </w:tcMar>
            <w:shd w:val="clear" w:color="auto" w:fill="E5F5FF"/>
          </w:tcPr>
          <w:p>
            <w:pPr>
              <w:pStyle w:val="BDOITable"/>
            </w:pPr>
            <w:r>
              <w:rPr>
                <w:sz w:val="16"/>
              </w:rPr>
              <w:t>crm_client_payout_account (ClientPayoutAccounts)</w:t>
            </w:r>
          </w:p>
        </w:tc>
        <w:tc>
          <w:tcPr>
            <w:tcW w:type="dxa" w:w="2163"/>
            <w:tcMar>
              <w:top w:w="50" w:type="dxa"/>
              <w:bottom w:w="50" w:type="dxa"/>
              <w:left w:w="90" w:type="dxa"/>
              <w:right w:w="90" w:type="dxa"/>
            </w:tcMar>
            <w:shd w:val="clear" w:color="auto" w:fill="E5F5FF"/>
          </w:tcPr>
          <w:p>
            <w:pPr>
              <w:pStyle w:val="BDOITable"/>
            </w:pPr>
            <w:r>
              <w:rPr>
                <w:sz w:val="16"/>
              </w:rPr>
              <w:t>BRID 5.4</w:t>
            </w:r>
          </w:p>
        </w:tc>
        <w:tc>
          <w:tcPr>
            <w:tcW w:type="dxa" w:w="1021"/>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6007"/>
            <w:tcMar>
              <w:top w:w="50" w:type="dxa"/>
              <w:bottom w:w="50" w:type="dxa"/>
              <w:left w:w="90" w:type="dxa"/>
              <w:right w:w="90" w:type="dxa"/>
            </w:tcMar>
          </w:tcPr>
          <w:p>
            <w:pPr>
              <w:pStyle w:val="BDOITable"/>
            </w:pPr>
            <w:r>
              <w:rPr>
                <w:sz w:val="16"/>
              </w:rPr>
              <w:t>BIBS archive (mig_archive_record, attachment LEGACY_DOCUMENT)</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6007"/>
            <w:tcMar>
              <w:top w:w="50" w:type="dxa"/>
              <w:bottom w:w="50" w:type="dxa"/>
              <w:left w:w="90" w:type="dxa"/>
              <w:right w:w="90" w:type="dxa"/>
            </w:tcMar>
            <w:shd w:val="clear" w:color="auto" w:fill="E5F5FF"/>
          </w:tcPr>
          <w:p>
            <w:pPr>
              <w:pStyle w:val="BDOITable"/>
            </w:pPr>
            <w:r>
              <w:rPr>
                <w:sz w:val="16"/>
              </w:rPr>
              <w:t>acc_account through AccountService.importLegacy (new)</w:t>
            </w:r>
          </w:p>
        </w:tc>
        <w:tc>
          <w:tcPr>
            <w:tcW w:type="dxa" w:w="2163"/>
            <w:tcMar>
              <w:top w:w="50" w:type="dxa"/>
              <w:bottom w:w="50" w:type="dxa"/>
              <w:left w:w="90" w:type="dxa"/>
              <w:right w:w="90" w:type="dxa"/>
            </w:tcMar>
            <w:shd w:val="clear" w:color="auto" w:fill="E5F5FF"/>
          </w:tcPr>
          <w:p>
            <w:pPr>
              <w:pStyle w:val="BDOITable"/>
            </w:pPr>
            <w:r>
              <w:rPr>
                <w:sz w:val="16"/>
              </w:rPr>
              <w:t>BRID 4.1</w:t>
            </w:r>
          </w:p>
        </w:tc>
        <w:tc>
          <w:tcPr>
            <w:tcW w:type="dxa" w:w="1021"/>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6007"/>
            <w:tcMar>
              <w:top w:w="50" w:type="dxa"/>
              <w:bottom w:w="50" w:type="dxa"/>
              <w:left w:w="90" w:type="dxa"/>
              <w:right w:w="90" w:type="dxa"/>
            </w:tcMar>
          </w:tcPr>
          <w:p>
            <w:pPr>
              <w:pStyle w:val="BDOITable"/>
            </w:pPr>
            <w:r>
              <w:rPr>
                <w:sz w:val="16"/>
              </w:rPr>
              <w:t>BIBS archive record type POLICY</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6007"/>
            <w:tcMar>
              <w:top w:w="50" w:type="dxa"/>
              <w:bottom w:w="50" w:type="dxa"/>
              <w:left w:w="90" w:type="dxa"/>
              <w:right w:w="90" w:type="dxa"/>
            </w:tcMar>
            <w:shd w:val="clear" w:color="auto" w:fill="E5F5FF"/>
          </w:tcPr>
          <w:p>
            <w:pPr>
              <w:pStyle w:val="BDOITable"/>
            </w:pPr>
            <w:r>
              <w:rPr>
                <w:sz w:val="16"/>
              </w:rPr>
              <w:t>mig_legacy_candidate served to Renewal (LegacyPolicySource)</w:t>
            </w:r>
          </w:p>
        </w:tc>
        <w:tc>
          <w:tcPr>
            <w:tcW w:type="dxa" w:w="2163"/>
            <w:tcMar>
              <w:top w:w="50" w:type="dxa"/>
              <w:bottom w:w="50" w:type="dxa"/>
              <w:left w:w="90" w:type="dxa"/>
              <w:right w:w="90" w:type="dxa"/>
            </w:tcMar>
            <w:shd w:val="clear" w:color="auto" w:fill="E5F5FF"/>
          </w:tcPr>
          <w:p>
            <w:pPr>
              <w:pStyle w:val="BDOITable"/>
            </w:pPr>
            <w:r>
              <w:rPr>
                <w:sz w:val="16"/>
              </w:rPr>
              <w:t>BRID 12.1</w:t>
            </w:r>
          </w:p>
        </w:tc>
        <w:tc>
          <w:tcPr>
            <w:tcW w:type="dxa" w:w="1021"/>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6007"/>
            <w:tcMar>
              <w:top w:w="50" w:type="dxa"/>
              <w:bottom w:w="50" w:type="dxa"/>
              <w:left w:w="90" w:type="dxa"/>
              <w:right w:w="90" w:type="dxa"/>
            </w:tcMar>
          </w:tcPr>
          <w:p>
            <w:pPr>
              <w:pStyle w:val="BDOITable"/>
            </w:pPr>
            <w:r>
              <w:rPr>
                <w:sz w:val="16"/>
              </w:rPr>
              <w:t>sbm_policy through SBM_MIGRATION</w:t>
            </w:r>
          </w:p>
        </w:tc>
        <w:tc>
          <w:tcPr>
            <w:tcW w:type="dxa" w:w="2163"/>
            <w:tcMar>
              <w:top w:w="50" w:type="dxa"/>
              <w:bottom w:w="50" w:type="dxa"/>
              <w:left w:w="90" w:type="dxa"/>
              <w:right w:w="90" w:type="dxa"/>
            </w:tcMar>
          </w:tcPr>
          <w:p>
            <w:pPr>
              <w:pStyle w:val="BDOITable"/>
            </w:pPr>
            <w:r>
              <w:rPr>
                <w:sz w:val="16"/>
              </w:rPr>
              <w:t>BRIDSP-33</w:t>
            </w:r>
          </w:p>
        </w:tc>
        <w:tc>
          <w:tcPr>
            <w:tcW w:type="dxa" w:w="1021"/>
            <w:tcMar>
              <w:top w:w="50" w:type="dxa"/>
              <w:bottom w:w="50" w:type="dxa"/>
              <w:left w:w="90" w:type="dxa"/>
              <w:right w:w="90" w:type="dxa"/>
            </w:tcMar>
          </w:tcPr>
          <w:p>
            <w:pPr>
              <w:pStyle w:val="BDOITable"/>
            </w:pPr>
            <w:r>
              <w:rPr>
                <w:sz w:val="16"/>
              </w:rPr>
              <w:t>14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6007"/>
            <w:tcMar>
              <w:top w:w="50" w:type="dxa"/>
              <w:bottom w:w="50" w:type="dxa"/>
              <w:left w:w="90" w:type="dxa"/>
              <w:right w:w="90" w:type="dxa"/>
            </w:tcMar>
            <w:shd w:val="clear" w:color="auto" w:fill="E5F5FF"/>
          </w:tcPr>
          <w:p>
            <w:pPr>
              <w:pStyle w:val="BDOITable"/>
            </w:pPr>
            <w:r>
              <w:rPr>
                <w:sz w:val="16"/>
              </w:rPr>
              <w:t>EB programme tables through EB_PROGRAMME_LOAD</w:t>
            </w:r>
          </w:p>
        </w:tc>
        <w:tc>
          <w:tcPr>
            <w:tcW w:type="dxa" w:w="2163"/>
            <w:tcMar>
              <w:top w:w="50" w:type="dxa"/>
              <w:bottom w:w="50" w:type="dxa"/>
              <w:left w:w="90" w:type="dxa"/>
              <w:right w:w="90" w:type="dxa"/>
            </w:tcMar>
            <w:shd w:val="clear" w:color="auto" w:fill="E5F5FF"/>
          </w:tcPr>
          <w:p>
            <w:pPr>
              <w:pStyle w:val="BDOITable"/>
            </w:pPr>
            <w:r>
              <w:rPr>
                <w:sz w:val="16"/>
              </w:rPr>
              <w:t>BRD-8</w:t>
            </w:r>
          </w:p>
        </w:tc>
        <w:tc>
          <w:tcPr>
            <w:tcW w:type="dxa" w:w="1021"/>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6007"/>
            <w:tcMar>
              <w:top w:w="50" w:type="dxa"/>
              <w:bottom w:w="50" w:type="dxa"/>
              <w:left w:w="90" w:type="dxa"/>
              <w:right w:w="90" w:type="dxa"/>
            </w:tcMar>
          </w:tcPr>
          <w:p>
            <w:pPr>
              <w:pStyle w:val="BDOITable"/>
            </w:pPr>
            <w:r>
              <w:rPr>
                <w:sz w:val="16"/>
              </w:rPr>
              <w:t>ops_invoice, ops_invoice_share, ops_invoice_component through LegacyInvoiceIntake (new); opening entry MIG_LEGACY_INVOICE_OPENING</w:t>
            </w:r>
          </w:p>
        </w:tc>
        <w:tc>
          <w:tcPr>
            <w:tcW w:type="dxa" w:w="2163"/>
            <w:tcMar>
              <w:top w:w="50" w:type="dxa"/>
              <w:bottom w:w="50" w:type="dxa"/>
              <w:left w:w="90" w:type="dxa"/>
              <w:right w:w="90" w:type="dxa"/>
            </w:tcMar>
          </w:tcPr>
          <w:p>
            <w:pPr>
              <w:pStyle w:val="BDOITable"/>
            </w:pPr>
            <w:r>
              <w:rPr>
                <w:sz w:val="16"/>
              </w:rPr>
              <w:t>BRID 5.2, 6.1-6.4, 7.1, 7.2, 8.1, 9.1-9.3, 10.1</w:t>
            </w:r>
          </w:p>
        </w:tc>
        <w:tc>
          <w:tcPr>
            <w:tcW w:type="dxa" w:w="1021"/>
            <w:tcMar>
              <w:top w:w="50" w:type="dxa"/>
              <w:bottom w:w="50" w:type="dxa"/>
              <w:left w:w="90" w:type="dxa"/>
              <w:right w:w="90" w:type="dxa"/>
            </w:tcMar>
          </w:tcPr>
          <w:p>
            <w:pPr>
              <w:pStyle w:val="BDOITable"/>
            </w:pPr>
            <w:r>
              <w:rPr>
                <w:sz w:val="16"/>
              </w:rPr>
              <w:t>8</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6007"/>
            <w:tcMar>
              <w:top w:w="50" w:type="dxa"/>
              <w:bottom w:w="50" w:type="dxa"/>
              <w:left w:w="90" w:type="dxa"/>
              <w:right w:w="90" w:type="dxa"/>
            </w:tcMar>
            <w:shd w:val="clear" w:color="auto" w:fill="E5F5FF"/>
          </w:tcPr>
          <w:p>
            <w:pPr>
              <w:pStyle w:val="BDOITable"/>
            </w:pPr>
            <w:r>
              <w:rPr>
                <w:sz w:val="16"/>
              </w:rPr>
              <w:t>csh_unapplied through UnappliedService.createMigrated (new); opening entry MIG_UPP_OPENING</w:t>
            </w:r>
          </w:p>
        </w:tc>
        <w:tc>
          <w:tcPr>
            <w:tcW w:type="dxa" w:w="2163"/>
            <w:tcMar>
              <w:top w:w="50" w:type="dxa"/>
              <w:bottom w:w="50" w:type="dxa"/>
              <w:left w:w="90" w:type="dxa"/>
              <w:right w:w="90" w:type="dxa"/>
            </w:tcMar>
            <w:shd w:val="clear" w:color="auto" w:fill="E5F5FF"/>
          </w:tcPr>
          <w:p>
            <w:pPr>
              <w:pStyle w:val="BDOITable"/>
            </w:pPr>
            <w:r>
              <w:rPr>
                <w:sz w:val="16"/>
              </w:rPr>
              <w:t>BRID 5.1-5.5, 6.3, 6.4</w:t>
            </w:r>
          </w:p>
        </w:tc>
        <w:tc>
          <w:tcPr>
            <w:tcW w:type="dxa" w:w="1021"/>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6007"/>
            <w:tcMar>
              <w:top w:w="50" w:type="dxa"/>
              <w:bottom w:w="50" w:type="dxa"/>
              <w:left w:w="90" w:type="dxa"/>
              <w:right w:w="90" w:type="dxa"/>
            </w:tcMar>
          </w:tcPr>
          <w:p>
            <w:pPr>
              <w:pStyle w:val="BDOITable"/>
            </w:pPr>
            <w:r>
              <w:rPr>
                <w:sz w:val="16"/>
              </w:rPr>
              <w:t>Collections legacy state (CLX_LEGACY_ITEMS, LegacyItemStateService, new)</w:t>
            </w:r>
          </w:p>
        </w:tc>
        <w:tc>
          <w:tcPr>
            <w:tcW w:type="dxa" w:w="2163"/>
            <w:tcMar>
              <w:top w:w="50" w:type="dxa"/>
              <w:bottom w:w="50" w:type="dxa"/>
              <w:left w:w="90" w:type="dxa"/>
              <w:right w:w="90" w:type="dxa"/>
            </w:tcMar>
          </w:tcPr>
          <w:p>
            <w:pPr>
              <w:pStyle w:val="BDOITable"/>
            </w:pPr>
            <w:r>
              <w:rPr>
                <w:sz w:val="16"/>
              </w:rPr>
              <w:t>CQ07</w:t>
            </w:r>
          </w:p>
        </w:tc>
        <w:tc>
          <w:tcPr>
            <w:tcW w:type="dxa" w:w="1021"/>
            <w:tcMar>
              <w:top w:w="50" w:type="dxa"/>
              <w:bottom w:w="50" w:type="dxa"/>
              <w:left w:w="90" w:type="dxa"/>
              <w:right w:w="90" w:type="dxa"/>
            </w:tcMar>
          </w:tcPr>
          <w:p>
            <w:pPr>
              <w:pStyle w:val="BDOITable"/>
            </w:pPr>
            <w:r>
              <w:rPr>
                <w:sz w:val="16"/>
              </w:rPr>
              <w:t>10</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6007"/>
            <w:tcMar>
              <w:top w:w="50" w:type="dxa"/>
              <w:bottom w:w="50" w:type="dxa"/>
              <w:left w:w="90" w:type="dxa"/>
              <w:right w:w="90" w:type="dxa"/>
            </w:tcMar>
            <w:shd w:val="clear" w:color="auto" w:fill="E5F5FF"/>
          </w:tcPr>
          <w:p>
            <w:pPr>
              <w:pStyle w:val="BDOITable"/>
            </w:pPr>
            <w:r>
              <w:rPr>
                <w:sz w:val="16"/>
              </w:rPr>
              <w:t>rem_hold_request, rem_special_request (remittance services)</w:t>
            </w:r>
          </w:p>
        </w:tc>
        <w:tc>
          <w:tcPr>
            <w:tcW w:type="dxa" w:w="2163"/>
            <w:tcMar>
              <w:top w:w="50" w:type="dxa"/>
              <w:bottom w:w="50" w:type="dxa"/>
              <w:left w:w="90" w:type="dxa"/>
              <w:right w:w="90" w:type="dxa"/>
            </w:tcMar>
            <w:shd w:val="clear" w:color="auto" w:fill="E5F5FF"/>
          </w:tcPr>
          <w:p>
            <w:pPr>
              <w:pStyle w:val="BDOITable"/>
            </w:pPr>
            <w:r>
              <w:rPr>
                <w:sz w:val="16"/>
              </w:rPr>
              <w:t>BRID 8.1</w:t>
            </w:r>
          </w:p>
        </w:tc>
        <w:tc>
          <w:tcPr>
            <w:tcW w:type="dxa" w:w="1021"/>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6007"/>
            <w:tcMar>
              <w:top w:w="50" w:type="dxa"/>
              <w:bottom w:w="50" w:type="dxa"/>
              <w:left w:w="90" w:type="dxa"/>
              <w:right w:w="90" w:type="dxa"/>
            </w:tcMar>
          </w:tcPr>
          <w:p>
            <w:pPr>
              <w:pStyle w:val="BDOITable"/>
            </w:pPr>
            <w:r>
              <w:rPr>
                <w:sz w:val="16"/>
              </w:rPr>
              <w:t>Part of F01; commission DP list service</w:t>
            </w:r>
          </w:p>
        </w:tc>
        <w:tc>
          <w:tcPr>
            <w:tcW w:type="dxa" w:w="2163"/>
            <w:tcMar>
              <w:top w:w="50" w:type="dxa"/>
              <w:bottom w:w="50" w:type="dxa"/>
              <w:left w:w="90" w:type="dxa"/>
              <w:right w:w="90" w:type="dxa"/>
            </w:tcMar>
          </w:tcPr>
          <w:p>
            <w:pPr>
              <w:pStyle w:val="BDOITable"/>
            </w:pPr>
            <w:r>
              <w:rPr>
                <w:sz w:val="16"/>
              </w:rPr>
              <w:t>BRID 7.1</w:t>
            </w:r>
          </w:p>
        </w:tc>
        <w:tc>
          <w:tcPr>
            <w:tcW w:type="dxa" w:w="1021"/>
            <w:tcMar>
              <w:top w:w="50" w:type="dxa"/>
              <w:bottom w:w="50" w:type="dxa"/>
              <w:left w:w="90" w:type="dxa"/>
              <w:right w:w="90" w:type="dxa"/>
            </w:tcMar>
          </w:tcPr>
          <w:p>
            <w:pPr>
              <w:pStyle w:val="BDOITable"/>
            </w:pPr>
            <w:r>
              <w:rPr>
                <w:sz w:val="16"/>
              </w:rPr>
              <w:t>8</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6007"/>
            <w:tcMar>
              <w:top w:w="50" w:type="dxa"/>
              <w:bottom w:w="50" w:type="dxa"/>
              <w:left w:w="90" w:type="dxa"/>
              <w:right w:w="90" w:type="dxa"/>
            </w:tcMar>
            <w:shd w:val="clear" w:color="auto" w:fill="E5F5FF"/>
          </w:tcPr>
          <w:p>
            <w:pPr>
              <w:pStyle w:val="BDOITable"/>
            </w:pPr>
            <w:r>
              <w:rPr>
                <w:sz w:val="16"/>
              </w:rPr>
              <w:t>csh_pdc_item and the cashiering pick-up service</w:t>
            </w:r>
          </w:p>
        </w:tc>
        <w:tc>
          <w:tcPr>
            <w:tcW w:type="dxa" w:w="2163"/>
            <w:tcMar>
              <w:top w:w="50" w:type="dxa"/>
              <w:bottom w:w="50" w:type="dxa"/>
              <w:left w:w="90" w:type="dxa"/>
              <w:right w:w="90" w:type="dxa"/>
            </w:tcMar>
            <w:shd w:val="clear" w:color="auto" w:fill="E5F5FF"/>
          </w:tcPr>
          <w:p>
            <w:pPr>
              <w:pStyle w:val="BDOITable"/>
            </w:pPr>
            <w:r>
              <w:rPr>
                <w:sz w:val="16"/>
              </w:rPr>
              <w:t>BRID 5.1</w:t>
            </w:r>
          </w:p>
        </w:tc>
        <w:tc>
          <w:tcPr>
            <w:tcW w:type="dxa" w:w="1021"/>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6007"/>
            <w:tcMar>
              <w:top w:w="50" w:type="dxa"/>
              <w:bottom w:w="50" w:type="dxa"/>
              <w:left w:w="90" w:type="dxa"/>
              <w:right w:w="90" w:type="dxa"/>
            </w:tcMar>
          </w:tcPr>
          <w:p>
            <w:pPr>
              <w:pStyle w:val="BDOITable"/>
            </w:pPr>
            <w:r>
              <w:rPr>
                <w:sz w:val="16"/>
              </w:rPr>
              <w:t>bcl_claim through BCL_CLAIM_MIGRATION</w:t>
            </w:r>
          </w:p>
        </w:tc>
        <w:tc>
          <w:tcPr>
            <w:tcW w:type="dxa" w:w="2163"/>
            <w:tcMar>
              <w:top w:w="50" w:type="dxa"/>
              <w:bottom w:w="50" w:type="dxa"/>
              <w:left w:w="90" w:type="dxa"/>
              <w:right w:w="90" w:type="dxa"/>
            </w:tcMar>
          </w:tcPr>
          <w:p>
            <w:pPr>
              <w:pStyle w:val="BDOITable"/>
            </w:pPr>
            <w:r>
              <w:rPr>
                <w:sz w:val="16"/>
              </w:rPr>
              <w:t>CLQ14</w:t>
            </w:r>
          </w:p>
        </w:tc>
        <w:tc>
          <w:tcPr>
            <w:tcW w:type="dxa" w:w="1021"/>
            <w:tcMar>
              <w:top w:w="50" w:type="dxa"/>
              <w:bottom w:w="50" w:type="dxa"/>
              <w:left w:w="90" w:type="dxa"/>
              <w:right w:w="90" w:type="dxa"/>
            </w:tcMar>
          </w:tcPr>
          <w:p>
            <w:pPr>
              <w:pStyle w:val="BDOITable"/>
            </w:pPr>
            <w:r>
              <w:rPr>
                <w:sz w:val="16"/>
              </w:rPr>
              <w:t>14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6007"/>
            <w:tcMar>
              <w:top w:w="50" w:type="dxa"/>
              <w:bottom w:w="50" w:type="dxa"/>
              <w:left w:w="90" w:type="dxa"/>
              <w:right w:w="90" w:type="dxa"/>
            </w:tcMar>
            <w:shd w:val="clear" w:color="auto" w:fill="E5F5FF"/>
          </w:tcPr>
          <w:p>
            <w:pPr>
              <w:pStyle w:val="BDOITable"/>
            </w:pPr>
            <w:r>
              <w:rPr>
                <w:sz w:val="16"/>
              </w:rPr>
              <w:t>jnl_batch, jnl_line (SystemJournalService, journal type OPENING)</w:t>
            </w:r>
          </w:p>
        </w:tc>
        <w:tc>
          <w:tcPr>
            <w:tcW w:type="dxa" w:w="2163"/>
            <w:tcMar>
              <w:top w:w="50" w:type="dxa"/>
              <w:bottom w:w="50" w:type="dxa"/>
              <w:left w:w="90" w:type="dxa"/>
              <w:right w:w="90" w:type="dxa"/>
            </w:tcMar>
            <w:shd w:val="clear" w:color="auto" w:fill="E5F5FF"/>
          </w:tcPr>
          <w:p>
            <w:pPr>
              <w:pStyle w:val="BDOITable"/>
            </w:pPr>
            <w:r>
              <w:rPr>
                <w:sz w:val="16"/>
              </w:rPr>
              <w:t>BRID 1.1b, 5.1-8.1</w:t>
            </w:r>
          </w:p>
        </w:tc>
        <w:tc>
          <w:tcPr>
            <w:tcW w:type="dxa" w:w="1021"/>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6007"/>
            <w:tcMar>
              <w:top w:w="50" w:type="dxa"/>
              <w:bottom w:w="50" w:type="dxa"/>
              <w:left w:w="90" w:type="dxa"/>
              <w:right w:w="90" w:type="dxa"/>
            </w:tcMar>
          </w:tcPr>
          <w:p>
            <w:pPr>
              <w:pStyle w:val="BDOITable"/>
            </w:pPr>
            <w:r>
              <w:rPr>
                <w:sz w:val="16"/>
              </w:rPr>
              <w:t>BIBS archive record type GL_JOURNAL</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6007"/>
            <w:tcMar>
              <w:top w:w="50" w:type="dxa"/>
              <w:bottom w:w="50" w:type="dxa"/>
              <w:left w:w="90" w:type="dxa"/>
              <w:right w:w="90" w:type="dxa"/>
            </w:tcMar>
            <w:shd w:val="clear" w:color="auto" w:fill="E5F5FF"/>
          </w:tcPr>
          <w:p>
            <w:pPr>
              <w:pStyle w:val="BDOITable"/>
            </w:pPr>
            <w:r>
              <w:rPr>
                <w:sz w:val="16"/>
              </w:rPr>
              <w:t>mig_archive_record (Legacy Inquiry)</w:t>
            </w:r>
          </w:p>
        </w:tc>
        <w:tc>
          <w:tcPr>
            <w:tcW w:type="dxa" w:w="2163"/>
            <w:tcMar>
              <w:top w:w="50" w:type="dxa"/>
              <w:bottom w:w="50" w:type="dxa"/>
              <w:left w:w="90" w:type="dxa"/>
              <w:right w:w="90" w:type="dxa"/>
            </w:tcMar>
            <w:shd w:val="clear" w:color="auto" w:fill="E5F5FF"/>
          </w:tcPr>
          <w:p>
            <w:pPr>
              <w:pStyle w:val="BDOITable"/>
            </w:pPr>
            <w:r>
              <w:rPr>
                <w:sz w:val="16"/>
              </w:rPr>
              <w:t>BRID 11.1</w:t>
            </w:r>
          </w:p>
        </w:tc>
        <w:tc>
          <w:tcPr>
            <w:tcW w:type="dxa" w:w="1021"/>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6007"/>
            <w:tcMar>
              <w:top w:w="50" w:type="dxa"/>
              <w:bottom w:w="50" w:type="dxa"/>
              <w:left w:w="90" w:type="dxa"/>
              <w:right w:w="90" w:type="dxa"/>
            </w:tcMar>
          </w:tcPr>
          <w:p>
            <w:pPr>
              <w:pStyle w:val="BDOITable"/>
            </w:pPr>
            <w:r>
              <w:rPr>
                <w:sz w:val="16"/>
              </w:rPr>
              <w:t>attachment (type LEGACY_DOCUMENT) linked to mig_archive_record</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bl>
    <w:p>
      <w:pPr>
        <w:pStyle w:val="BDOISpacer"/>
      </w:pPr>
    </w:p>
    <w:p>
      <w:pPr>
        <w:pStyle w:val="Heading2"/>
      </w:pPr>
      <w:bookmarkStart w:id="121" w:name="_Toc000121"/>
      <w:r>
        <w:rPr/>
        <w:t>5.2 How migrated records are marked</w:t>
      </w:r>
      <w:bookmarkEnd w:id="121"/>
    </w:p>
    <w:p>
      <w:pPr>
        <w:tabs>
          <w:tab w:pos="312" w:val="left"/>
        </w:tabs>
        <w:spacing w:after="40"/>
        <w:ind w:left="312" w:hanging="283"/>
      </w:pPr>
      <w:r>
        <w:rPr>
          <w:color w:val="004EA8"/>
        </w:rPr>
        <w:t>•</w:t>
        <w:tab/>
      </w:r>
      <w:r>
        <w:rPr>
          <w:b/>
        </w:rPr>
        <w:t>Origin.</w:t>
      </w:r>
      <w:r>
        <w:rPr/>
        <w:t xml:space="preserve"> Migrated clients, accounts and UPP carry origin MIGRATED; legacy invoices carry origin LEGACY and ledger context LEGACY. Screens show a LEGACY badge, the source system and the legacy number.</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Frozen original values.</w:t>
      </w:r>
      <w:r>
        <w:rPr/>
        <w:t xml:space="preserve"> The values of each legacy invoice at load are frozen. The Prod Recon legacy change report compares every later change with them (BRID 10.1).</w:t>
      </w:r>
    </w:p>
    <w:p>
      <w:pPr>
        <w:pStyle w:val="Heading1"/>
        <w:pageBreakBefore/>
        <w:pBdr>
          <w:bottom w:val="single" w:sz="4" w:space="4" w:color="99C1E7"/>
        </w:pBdr>
      </w:pPr>
      <w:bookmarkStart w:id="122" w:name="_Toc000122"/>
      <w:r>
        <w:rPr/>
        <w:t>6 Migration approach</w:t>
      </w:r>
      <w:bookmarkEnd w:id="122"/>
    </w:p>
    <w:p>
      <w:pPr>
        <w:pStyle w:val="Heading2"/>
      </w:pPr>
      <w:bookmarkStart w:id="123" w:name="_Toc000123"/>
      <w:r>
        <w:rPr/>
        <w:t>6.1 End-to-end process</w:t>
      </w:r>
      <w:bookmarkEnd w:id="123"/>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81149" cy="6779520"/>
            <wp:docPr id="3" name="Picture 3"/>
            <wp:cNvGraphicFramePr>
              <a:graphicFrameLocks noChangeAspect="1"/>
            </wp:cNvGraphicFramePr>
            <a:graphic>
              <a:graphicData uri="http://schemas.openxmlformats.org/drawingml/2006/picture">
                <pic:pic>
                  <pic:nvPicPr>
                    <pic:cNvPr id="0" name="dm_pipeline.png"/>
                    <pic:cNvPicPr/>
                  </pic:nvPicPr>
                  <pic:blipFill>
                    <a:blip r:embed="rId15"/>
                    <a:stretch>
                      <a:fillRect/>
                    </a:stretch>
                  </pic:blipFill>
                  <pic:spPr>
                    <a:xfrm>
                      <a:off x="0" y="0"/>
                      <a:ext cx="5381149" cy="6779520"/>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12: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in the Migration Console or dropped on the agreed SFTP folder;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CHECKED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(5b); formats, defaults and mapped values are handled in staging (5a)</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Issue log (MIG-DQ-ISSUES)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MIG-MAP-VERSIONS, MIG-UNMAPPED-CODES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MIG-DQ-ISSUES, MIG-CLIENT-MATCH</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Batch log, MIG-REJECTS</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MIG-RECON-SUMMARY, MIG-GL-CLEARING</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Staging payloads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job</w:t>
            </w:r>
          </w:p>
        </w:tc>
        <w:tc>
          <w:tcPr>
            <w:tcW w:type="dxa" w:w="1862"/>
            <w:tcMar>
              <w:top w:w="50" w:type="dxa"/>
              <w:bottom w:w="50" w:type="dxa"/>
              <w:left w:w="90" w:type="dxa"/>
              <w:right w:w="90" w:type="dxa"/>
            </w:tcMar>
          </w:tcPr>
          <w:p>
            <w:pPr>
              <w:pStyle w:val="BDOITable"/>
            </w:pPr>
            <w:r>
              <w:rPr>
                <w:sz w:val="17"/>
              </w:rPr>
              <w:t>Purge log</w:t>
            </w:r>
          </w:p>
        </w:tc>
      </w:tr>
    </w:tbl>
    <w:p>
      <w:pPr>
        <w:pStyle w:val="BDOISpacer"/>
      </w:pPr>
    </w:p>
    <w:p>
      <w:pPr>
        <w:pStyle w:val="Heading2"/>
      </w:pPr>
      <w:bookmarkStart w:id="124" w:name="_Toc000124"/>
      <w:r>
        <w:rPr/>
        <w:t>6.2 Extract templates</w:t>
      </w:r>
      <w:bookmarkEnd w:id="124"/>
    </w:p>
    <w:p>
      <w:r>
        <w:rPr/>
        <w:t>BDOI extracts each object in the layout of the Data Requirements Workbook. A layout gives, per field: name, description, type, length, mandatory flag, allowed values or code list, format, example, BIBS target field, validation rule and a source system hint. The CSV templates carry the same field names as their header row.</w:t>
      </w:r>
    </w:p>
    <w:p>
      <w:pPr>
        <w:pStyle w:val="Caption"/>
        <w:keepNext/>
        <w:spacing w:after="60"/>
      </w:pPr>
      <w:r>
        <w:rPr>
          <w:b/>
          <w:i w:val="0"/>
        </w:rPr>
        <w:t xml:space="preserve">Table 13: </w:t>
      </w:r>
      <w:r>
        <w:rPr/>
        <w:t>Extract layouts (workbook sheets and CSV templates)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781"/>
        <w:gridCol w:w="720"/>
        <w:gridCol w:w="961"/>
        <w:gridCol w:w="2042"/>
        <w:gridCol w:w="192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Fields</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Mandatory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Key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Amount totals</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R01</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list_type, 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R02</w:t>
            </w:r>
          </w:p>
        </w:tc>
        <w:tc>
          <w:tcPr>
            <w:tcW w:type="dxa" w:w="721"/>
            <w:tcMar>
              <w:top w:w="50" w:type="dxa"/>
              <w:bottom w:w="50" w:type="dxa"/>
              <w:left w:w="90" w:type="dxa"/>
              <w:right w:w="90" w:type="dxa"/>
            </w:tcMar>
            <w:shd w:val="clear" w:color="auto" w:fill="E5F5FF"/>
          </w:tcPr>
          <w:p>
            <w:pPr>
              <w:pStyle w:val="BDOITable"/>
            </w:pPr>
            <w:r>
              <w:rPr>
                <w:sz w:val="16"/>
              </w:rPr>
              <w:t>5</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branch_code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(units and account officers)</w:t>
            </w:r>
          </w:p>
        </w:tc>
        <w:tc>
          <w:tcPr>
            <w:tcW w:type="dxa" w:w="781"/>
            <w:tcMar>
              <w:top w:w="50" w:type="dxa"/>
              <w:bottom w:w="50" w:type="dxa"/>
              <w:left w:w="90" w:type="dxa"/>
              <w:right w:w="90" w:type="dxa"/>
            </w:tcMar>
          </w:tcPr>
          <w:p>
            <w:pPr>
              <w:pStyle w:val="BDOITable"/>
            </w:pPr>
            <w:r>
              <w:rPr>
                <w:sz w:val="16"/>
              </w:rPr>
              <w:t>R03</w:t>
            </w:r>
          </w:p>
        </w:tc>
        <w:tc>
          <w:tcPr>
            <w:tcW w:type="dxa" w:w="721"/>
            <w:tcMar>
              <w:top w:w="50" w:type="dxa"/>
              <w:bottom w:w="50" w:type="dxa"/>
              <w:left w:w="90" w:type="dxa"/>
              <w:right w:w="90" w:type="dxa"/>
            </w:tcMar>
          </w:tcPr>
          <w:p>
            <w:pPr>
              <w:pStyle w:val="BDOITable"/>
            </w:pPr>
            <w:r>
              <w:rPr>
                <w:sz w:val="16"/>
              </w:rPr>
              <w:t>11</w:t>
            </w:r>
          </w:p>
        </w:tc>
        <w:tc>
          <w:tcPr>
            <w:tcW w:type="dxa" w:w="961"/>
            <w:tcMar>
              <w:top w:w="50" w:type="dxa"/>
              <w:bottom w:w="50" w:type="dxa"/>
              <w:left w:w="90" w:type="dxa"/>
              <w:right w:w="90" w:type="dxa"/>
            </w:tcMar>
          </w:tcPr>
          <w:p>
            <w:pPr>
              <w:pStyle w:val="BDOITable"/>
            </w:pPr>
            <w:r>
              <w:rPr>
                <w:sz w:val="16"/>
              </w:rPr>
              <w:t>3</w:t>
            </w:r>
          </w:p>
        </w:tc>
        <w:tc>
          <w:tcPr>
            <w:tcW w:type="dxa" w:w="2042"/>
            <w:tcMar>
              <w:top w:w="50" w:type="dxa"/>
              <w:bottom w:w="50" w:type="dxa"/>
              <w:left w:w="90" w:type="dxa"/>
              <w:right w:w="90" w:type="dxa"/>
            </w:tcMar>
          </w:tcPr>
          <w:p>
            <w:pPr>
              <w:pStyle w:val="BDOITable"/>
            </w:pPr>
            <w:r>
              <w:rPr>
                <w:sz w:val="16"/>
              </w:rPr>
              <w:t>record_type, unit_code, ao_user_id</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w:t>
            </w:r>
          </w:p>
        </w:tc>
        <w:tc>
          <w:tcPr>
            <w:tcW w:type="dxa" w:w="781"/>
            <w:tcMar>
              <w:top w:w="50" w:type="dxa"/>
              <w:bottom w:w="50" w:type="dxa"/>
              <w:left w:w="90" w:type="dxa"/>
              <w:right w:w="90" w:type="dxa"/>
            </w:tcMar>
            <w:shd w:val="clear" w:color="auto" w:fill="E5F5FF"/>
          </w:tcPr>
          <w:p>
            <w:pPr>
              <w:pStyle w:val="BDOITable"/>
            </w:pPr>
            <w:r>
              <w:rPr>
                <w:sz w:val="16"/>
              </w:rPr>
              <w:t>R04</w:t>
            </w:r>
          </w:p>
        </w:tc>
        <w:tc>
          <w:tcPr>
            <w:tcW w:type="dxa" w:w="721"/>
            <w:tcMar>
              <w:top w:w="50" w:type="dxa"/>
              <w:bottom w:w="50" w:type="dxa"/>
              <w:left w:w="90" w:type="dxa"/>
              <w:right w:w="90" w:type="dxa"/>
            </w:tcMar>
            <w:shd w:val="clear" w:color="auto" w:fill="E5F5FF"/>
          </w:tcPr>
          <w:p>
            <w:pPr>
              <w:pStyle w:val="BDOITable"/>
            </w:pPr>
            <w:r>
              <w:rPr>
                <w:sz w:val="16"/>
              </w:rPr>
              <w:t>10</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insurer_code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2763"/>
            <w:tcMar>
              <w:top w:w="50" w:type="dxa"/>
              <w:bottom w:w="50" w:type="dxa"/>
              <w:left w:w="90" w:type="dxa"/>
              <w:right w:w="90" w:type="dxa"/>
            </w:tcMar>
          </w:tcPr>
          <w:p>
            <w:pPr>
              <w:pStyle w:val="BDOITable"/>
            </w:pPr>
            <w:r>
              <w:rPr>
                <w:sz w:val="16"/>
              </w:rPr>
              <w:t>Insurer branches</w:t>
            </w:r>
          </w:p>
        </w:tc>
        <w:tc>
          <w:tcPr>
            <w:tcW w:type="dxa" w:w="781"/>
            <w:tcMar>
              <w:top w:w="50" w:type="dxa"/>
              <w:bottom w:w="50" w:type="dxa"/>
              <w:left w:w="90" w:type="dxa"/>
              <w:right w:w="90" w:type="dxa"/>
            </w:tcMar>
          </w:tcPr>
          <w:p>
            <w:pPr>
              <w:pStyle w:val="BDOITable"/>
            </w:pPr>
            <w:r>
              <w:rPr>
                <w:sz w:val="16"/>
              </w:rPr>
              <w:t>R04</w:t>
            </w:r>
          </w:p>
        </w:tc>
        <w:tc>
          <w:tcPr>
            <w:tcW w:type="dxa" w:w="721"/>
            <w:tcMar>
              <w:top w:w="50" w:type="dxa"/>
              <w:bottom w:w="50" w:type="dxa"/>
              <w:left w:w="90" w:type="dxa"/>
              <w:right w:w="90" w:type="dxa"/>
            </w:tcMar>
          </w:tcPr>
          <w:p>
            <w:pPr>
              <w:pStyle w:val="BDOITable"/>
            </w:pPr>
            <w:r>
              <w:rPr>
                <w:sz w:val="16"/>
              </w:rPr>
              <w:t>7</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insurer_code, branch_code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2763"/>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781"/>
            <w:tcMar>
              <w:top w:w="50" w:type="dxa"/>
              <w:bottom w:w="50" w:type="dxa"/>
              <w:left w:w="90" w:type="dxa"/>
              <w:right w:w="90" w:type="dxa"/>
            </w:tcMar>
            <w:shd w:val="clear" w:color="auto" w:fill="E5F5FF"/>
          </w:tcPr>
          <w:p>
            <w:pPr>
              <w:pStyle w:val="BDOITable"/>
            </w:pPr>
            <w:r>
              <w:rPr>
                <w:sz w:val="16"/>
              </w:rPr>
              <w:t>R05</w:t>
            </w:r>
          </w:p>
        </w:tc>
        <w:tc>
          <w:tcPr>
            <w:tcW w:type="dxa" w:w="721"/>
            <w:tcMar>
              <w:top w:w="50" w:type="dxa"/>
              <w:bottom w:w="50" w:type="dxa"/>
              <w:left w:w="90" w:type="dxa"/>
              <w:right w:w="90" w:type="dxa"/>
            </w:tcMar>
            <w:shd w:val="clear" w:color="auto" w:fill="E5F5FF"/>
          </w:tcPr>
          <w:p>
            <w:pPr>
              <w:pStyle w:val="BDOITable"/>
            </w:pPr>
            <w:r>
              <w:rPr>
                <w:sz w:val="16"/>
              </w:rPr>
              <w:t>9</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risk_code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2763"/>
            <w:tcMar>
              <w:top w:w="50" w:type="dxa"/>
              <w:bottom w:w="50" w:type="dxa"/>
              <w:left w:w="90" w:type="dxa"/>
              <w:right w:w="90" w:type="dxa"/>
            </w:tcMar>
          </w:tcPr>
          <w:p>
            <w:pPr>
              <w:pStyle w:val="BDOITable"/>
            </w:pPr>
            <w:r>
              <w:rPr>
                <w:sz w:val="16"/>
              </w:rPr>
              <w:t>Packages (active versions)</w:t>
            </w:r>
          </w:p>
        </w:tc>
        <w:tc>
          <w:tcPr>
            <w:tcW w:type="dxa" w:w="781"/>
            <w:tcMar>
              <w:top w:w="50" w:type="dxa"/>
              <w:bottom w:w="50" w:type="dxa"/>
              <w:left w:w="90" w:type="dxa"/>
              <w:right w:w="90" w:type="dxa"/>
            </w:tcMar>
          </w:tcPr>
          <w:p>
            <w:pPr>
              <w:pStyle w:val="BDOITable"/>
            </w:pPr>
            <w:r>
              <w:rPr>
                <w:sz w:val="16"/>
              </w:rPr>
              <w:t>R06</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package_code, package_version, insurer_code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2763"/>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781"/>
            <w:tcMar>
              <w:top w:w="50" w:type="dxa"/>
              <w:bottom w:w="50" w:type="dxa"/>
              <w:left w:w="90" w:type="dxa"/>
              <w:right w:w="90" w:type="dxa"/>
            </w:tcMar>
            <w:shd w:val="clear" w:color="auto" w:fill="E5F5FF"/>
          </w:tcPr>
          <w:p>
            <w:pPr>
              <w:pStyle w:val="BDOITable"/>
            </w:pPr>
            <w:r>
              <w:rPr>
                <w:sz w:val="16"/>
              </w:rPr>
              <w:t>R07</w:t>
            </w:r>
          </w:p>
        </w:tc>
        <w:tc>
          <w:tcPr>
            <w:tcW w:type="dxa" w:w="721"/>
            <w:tcMar>
              <w:top w:w="50" w:type="dxa"/>
              <w:bottom w:w="50" w:type="dxa"/>
              <w:left w:w="90" w:type="dxa"/>
              <w:right w:w="90" w:type="dxa"/>
            </w:tcMar>
            <w:shd w:val="clear" w:color="auto" w:fill="E5F5FF"/>
          </w:tcPr>
          <w:p>
            <w:pPr>
              <w:pStyle w:val="BDOITable"/>
            </w:pPr>
            <w:r>
              <w:rPr>
                <w:sz w:val="16"/>
              </w:rPr>
              <w:t>5</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insurer_code, risk_code, effective_from</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2763"/>
            <w:tcMar>
              <w:top w:w="50" w:type="dxa"/>
              <w:bottom w:w="50" w:type="dxa"/>
              <w:left w:w="90" w:type="dxa"/>
              <w:right w:w="90" w:type="dxa"/>
            </w:tcMar>
          </w:tcPr>
          <w:p>
            <w:pPr>
              <w:pStyle w:val="BDOITable"/>
            </w:pPr>
            <w:r>
              <w:rPr>
                <w:sz w:val="16"/>
              </w:rPr>
              <w:t>Chart of accounts mapping</w:t>
            </w:r>
          </w:p>
        </w:tc>
        <w:tc>
          <w:tcPr>
            <w:tcW w:type="dxa" w:w="781"/>
            <w:tcMar>
              <w:top w:w="50" w:type="dxa"/>
              <w:bottom w:w="50" w:type="dxa"/>
              <w:left w:w="90" w:type="dxa"/>
              <w:right w:w="90" w:type="dxa"/>
            </w:tcMar>
          </w:tcPr>
          <w:p>
            <w:pPr>
              <w:pStyle w:val="BDOITable"/>
            </w:pPr>
            <w:r>
              <w:rPr>
                <w:sz w:val="16"/>
              </w:rPr>
              <w:t>R08</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legacy_account_code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2763"/>
            <w:tcMar>
              <w:top w:w="50" w:type="dxa"/>
              <w:bottom w:w="50" w:type="dxa"/>
              <w:left w:w="90" w:type="dxa"/>
              <w:right w:w="90" w:type="dxa"/>
            </w:tcMar>
            <w:shd w:val="clear" w:color="auto" w:fill="E5F5FF"/>
          </w:tcPr>
          <w:p>
            <w:pPr>
              <w:pStyle w:val="BDOITable"/>
            </w:pPr>
            <w:r>
              <w:rPr>
                <w:sz w:val="16"/>
              </w:rPr>
              <w:t>Payees</w:t>
            </w:r>
          </w:p>
        </w:tc>
        <w:tc>
          <w:tcPr>
            <w:tcW w:type="dxa" w:w="781"/>
            <w:tcMar>
              <w:top w:w="50" w:type="dxa"/>
              <w:bottom w:w="50" w:type="dxa"/>
              <w:left w:w="90" w:type="dxa"/>
              <w:right w:w="90" w:type="dxa"/>
            </w:tcMar>
            <w:shd w:val="clear" w:color="auto" w:fill="E5F5FF"/>
          </w:tcPr>
          <w:p>
            <w:pPr>
              <w:pStyle w:val="BDOITable"/>
            </w:pPr>
            <w:r>
              <w:rPr>
                <w:sz w:val="16"/>
              </w:rPr>
              <w:t>R09</w:t>
            </w:r>
          </w:p>
        </w:tc>
        <w:tc>
          <w:tcPr>
            <w:tcW w:type="dxa" w:w="721"/>
            <w:tcMar>
              <w:top w:w="50" w:type="dxa"/>
              <w:bottom w:w="50" w:type="dxa"/>
              <w:left w:w="90" w:type="dxa"/>
              <w:right w:w="90" w:type="dxa"/>
            </w:tcMar>
            <w:shd w:val="clear" w:color="auto" w:fill="E5F5FF"/>
          </w:tcPr>
          <w:p>
            <w:pPr>
              <w:pStyle w:val="BDOITable"/>
            </w:pPr>
            <w:r>
              <w:rPr>
                <w:sz w:val="16"/>
              </w:rPr>
              <w:t>11</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payee_code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w:t>
            </w:r>
          </w:p>
        </w:tc>
        <w:tc>
          <w:tcPr>
            <w:tcW w:type="dxa" w:w="781"/>
            <w:tcMar>
              <w:top w:w="50" w:type="dxa"/>
              <w:bottom w:w="50" w:type="dxa"/>
              <w:left w:w="90" w:type="dxa"/>
              <w:right w:w="90" w:type="dxa"/>
            </w:tcMar>
          </w:tcPr>
          <w:p>
            <w:pPr>
              <w:pStyle w:val="BDOITable"/>
            </w:pPr>
            <w:r>
              <w:rPr>
                <w:sz w:val="16"/>
              </w:rPr>
              <w:t>R11</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7</w:t>
            </w:r>
          </w:p>
        </w:tc>
        <w:tc>
          <w:tcPr>
            <w:tcW w:type="dxa" w:w="2042"/>
            <w:tcMar>
              <w:top w:w="50" w:type="dxa"/>
              <w:bottom w:w="50" w:type="dxa"/>
              <w:left w:w="90" w:type="dxa"/>
              <w:right w:w="90" w:type="dxa"/>
            </w:tcMar>
          </w:tcPr>
          <w:p>
            <w:pPr>
              <w:pStyle w:val="BDOITable"/>
            </w:pPr>
            <w:r>
              <w:rPr>
                <w:sz w:val="16"/>
              </w:rPr>
              <w:t>branch_code, kind, prefix</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w:t>
            </w:r>
          </w:p>
        </w:tc>
        <w:tc>
          <w:tcPr>
            <w:tcW w:type="dxa" w:w="781"/>
            <w:tcMar>
              <w:top w:w="50" w:type="dxa"/>
              <w:bottom w:w="50" w:type="dxa"/>
              <w:left w:w="90" w:type="dxa"/>
              <w:right w:w="90" w:type="dxa"/>
            </w:tcMar>
            <w:shd w:val="clear" w:color="auto" w:fill="E5F5FF"/>
          </w:tcPr>
          <w:p>
            <w:pPr>
              <w:pStyle w:val="BDOITable"/>
            </w:pPr>
            <w:r>
              <w:rPr>
                <w:sz w:val="16"/>
              </w:rPr>
              <w:t>C01</w:t>
            </w:r>
          </w:p>
        </w:tc>
        <w:tc>
          <w:tcPr>
            <w:tcW w:type="dxa" w:w="721"/>
            <w:tcMar>
              <w:top w:w="50" w:type="dxa"/>
              <w:bottom w:w="50" w:type="dxa"/>
              <w:left w:w="90" w:type="dxa"/>
              <w:right w:w="90" w:type="dxa"/>
            </w:tcMar>
            <w:shd w:val="clear" w:color="auto" w:fill="E5F5FF"/>
          </w:tcPr>
          <w:p>
            <w:pPr>
              <w:pStyle w:val="BDOITable"/>
            </w:pPr>
            <w:r>
              <w:rPr>
                <w:sz w:val="16"/>
              </w:rPr>
              <w:t>36</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legacy_client_no</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2763"/>
            <w:tcMar>
              <w:top w:w="50" w:type="dxa"/>
              <w:bottom w:w="50" w:type="dxa"/>
              <w:left w:w="90" w:type="dxa"/>
              <w:right w:w="90" w:type="dxa"/>
            </w:tcMar>
          </w:tcPr>
          <w:p>
            <w:pPr>
              <w:pStyle w:val="BDOITable"/>
            </w:pPr>
            <w:r>
              <w:rPr>
                <w:sz w:val="16"/>
              </w:rPr>
              <w:t>Client addresses and contacts</w:t>
            </w:r>
          </w:p>
        </w:tc>
        <w:tc>
          <w:tcPr>
            <w:tcW w:type="dxa" w:w="781"/>
            <w:tcMar>
              <w:top w:w="50" w:type="dxa"/>
              <w:bottom w:w="50" w:type="dxa"/>
              <w:left w:w="90" w:type="dxa"/>
              <w:right w:w="90" w:type="dxa"/>
            </w:tcMar>
          </w:tcPr>
          <w:p>
            <w:pPr>
              <w:pStyle w:val="BDOITable"/>
            </w:pPr>
            <w:r>
              <w:rPr>
                <w:sz w:val="16"/>
              </w:rPr>
              <w:t>C01</w:t>
            </w:r>
          </w:p>
        </w:tc>
        <w:tc>
          <w:tcPr>
            <w:tcW w:type="dxa" w:w="721"/>
            <w:tcMar>
              <w:top w:w="50" w:type="dxa"/>
              <w:bottom w:w="50" w:type="dxa"/>
              <w:left w:w="90" w:type="dxa"/>
              <w:right w:w="90" w:type="dxa"/>
            </w:tcMar>
          </w:tcPr>
          <w:p>
            <w:pPr>
              <w:pStyle w:val="BDOITable"/>
            </w:pPr>
            <w:r>
              <w:rPr>
                <w:sz w:val="16"/>
              </w:rPr>
              <w:t>13</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legacy_client_no, record_type, seq_no</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2763"/>
            <w:tcMar>
              <w:top w:w="50" w:type="dxa"/>
              <w:bottom w:w="50" w:type="dxa"/>
              <w:left w:w="90" w:type="dxa"/>
              <w:right w:w="90" w:type="dxa"/>
            </w:tcMar>
            <w:shd w:val="clear" w:color="auto" w:fill="E5F5FF"/>
          </w:tcPr>
          <w:p>
            <w:pPr>
              <w:pStyle w:val="BDOITable"/>
            </w:pPr>
            <w:r>
              <w:rPr>
                <w:sz w:val="16"/>
              </w:rPr>
              <w:t>Client payout accounts</w:t>
            </w:r>
          </w:p>
        </w:tc>
        <w:tc>
          <w:tcPr>
            <w:tcW w:type="dxa" w:w="781"/>
            <w:tcMar>
              <w:top w:w="50" w:type="dxa"/>
              <w:bottom w:w="50" w:type="dxa"/>
              <w:left w:w="90" w:type="dxa"/>
              <w:right w:w="90" w:type="dxa"/>
            </w:tcMar>
            <w:shd w:val="clear" w:color="auto" w:fill="E5F5FF"/>
          </w:tcPr>
          <w:p>
            <w:pPr>
              <w:pStyle w:val="BDOITable"/>
            </w:pPr>
            <w:r>
              <w:rPr>
                <w:sz w:val="16"/>
              </w:rPr>
              <w:t>C03</w:t>
            </w:r>
          </w:p>
        </w:tc>
        <w:tc>
          <w:tcPr>
            <w:tcW w:type="dxa" w:w="721"/>
            <w:tcMar>
              <w:top w:w="50" w:type="dxa"/>
              <w:bottom w:w="50" w:type="dxa"/>
              <w:left w:w="90" w:type="dxa"/>
              <w:right w:w="90" w:type="dxa"/>
            </w:tcMar>
            <w:shd w:val="clear" w:color="auto" w:fill="E5F5FF"/>
          </w:tcPr>
          <w:p>
            <w:pPr>
              <w:pStyle w:val="BDOITable"/>
            </w:pPr>
            <w:r>
              <w:rPr>
                <w:sz w:val="16"/>
              </w:rPr>
              <w:t>6</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legacy_client_no, account_no</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2763"/>
            <w:tcMar>
              <w:top w:w="50" w:type="dxa"/>
              <w:bottom w:w="50" w:type="dxa"/>
              <w:left w:w="90" w:type="dxa"/>
              <w:right w:w="90" w:type="dxa"/>
            </w:tcMar>
          </w:tcPr>
          <w:p>
            <w:pPr>
              <w:pStyle w:val="BDOITable"/>
            </w:pPr>
            <w:r>
              <w:rPr>
                <w:sz w:val="16"/>
              </w:rPr>
              <w:t>In-force policy headers</w:t>
            </w:r>
          </w:p>
        </w:tc>
        <w:tc>
          <w:tcPr>
            <w:tcW w:type="dxa" w:w="781"/>
            <w:tcMar>
              <w:top w:w="50" w:type="dxa"/>
              <w:bottom w:w="50" w:type="dxa"/>
              <w:left w:w="90" w:type="dxa"/>
              <w:right w:w="90" w:type="dxa"/>
            </w:tcMar>
          </w:tcPr>
          <w:p>
            <w:pPr>
              <w:pStyle w:val="BDOITable"/>
            </w:pPr>
            <w:r>
              <w:rPr>
                <w:sz w:val="16"/>
              </w:rPr>
              <w:t>P01</w:t>
            </w:r>
          </w:p>
        </w:tc>
        <w:tc>
          <w:tcPr>
            <w:tcW w:type="dxa" w:w="721"/>
            <w:tcMar>
              <w:top w:w="50" w:type="dxa"/>
              <w:bottom w:w="50" w:type="dxa"/>
              <w:left w:w="90" w:type="dxa"/>
              <w:right w:w="90" w:type="dxa"/>
            </w:tcMar>
          </w:tcPr>
          <w:p>
            <w:pPr>
              <w:pStyle w:val="BDOITable"/>
            </w:pPr>
            <w:r>
              <w:rPr>
                <w:sz w:val="16"/>
              </w:rPr>
              <w:t>29</w:t>
            </w:r>
          </w:p>
        </w:tc>
        <w:tc>
          <w:tcPr>
            <w:tcW w:type="dxa" w:w="961"/>
            <w:tcMar>
              <w:top w:w="50" w:type="dxa"/>
              <w:bottom w:w="50" w:type="dxa"/>
              <w:left w:w="90" w:type="dxa"/>
              <w:right w:w="90" w:type="dxa"/>
            </w:tcMar>
          </w:tcPr>
          <w:p>
            <w:pPr>
              <w:pStyle w:val="BDOITable"/>
            </w:pPr>
            <w:r>
              <w:rPr>
                <w:sz w:val="16"/>
              </w:rPr>
              <w:t>20</w:t>
            </w:r>
          </w:p>
        </w:tc>
        <w:tc>
          <w:tcPr>
            <w:tcW w:type="dxa" w:w="2042"/>
            <w:tcMar>
              <w:top w:w="50" w:type="dxa"/>
              <w:bottom w:w="50" w:type="dxa"/>
              <w:left w:w="90" w:type="dxa"/>
              <w:right w:w="90" w:type="dxa"/>
            </w:tcMar>
          </w:tcPr>
          <w:p>
            <w:pPr>
              <w:pStyle w:val="BDOITable"/>
            </w:pPr>
            <w:r>
              <w:rPr>
                <w:sz w:val="16"/>
              </w:rPr>
              <w:t>legacy_policy_ref</w:t>
            </w:r>
          </w:p>
        </w:tc>
        <w:tc>
          <w:tcPr>
            <w:tcW w:type="dxa" w:w="1922"/>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2763"/>
            <w:tcMar>
              <w:top w:w="50" w:type="dxa"/>
              <w:bottom w:w="50" w:type="dxa"/>
              <w:left w:w="90" w:type="dxa"/>
              <w:right w:w="90" w:type="dxa"/>
            </w:tcMar>
            <w:shd w:val="clear" w:color="auto" w:fill="E5F5FF"/>
          </w:tcPr>
          <w:p>
            <w:pPr>
              <w:pStyle w:val="BDOITable"/>
            </w:pPr>
            <w:r>
              <w:rPr>
                <w:sz w:val="16"/>
              </w:rPr>
              <w:t>Policy insurer shares</w:t>
            </w:r>
          </w:p>
        </w:tc>
        <w:tc>
          <w:tcPr>
            <w:tcW w:type="dxa" w:w="781"/>
            <w:tcMar>
              <w:top w:w="50" w:type="dxa"/>
              <w:bottom w:w="50" w:type="dxa"/>
              <w:left w:w="90" w:type="dxa"/>
              <w:right w:w="90" w:type="dxa"/>
            </w:tcMar>
            <w:shd w:val="clear" w:color="auto" w:fill="E5F5FF"/>
          </w:tcPr>
          <w:p>
            <w:pPr>
              <w:pStyle w:val="BDOITable"/>
            </w:pPr>
            <w:r>
              <w:rPr>
                <w:sz w:val="16"/>
              </w:rPr>
              <w:t>P01</w:t>
            </w:r>
          </w:p>
        </w:tc>
        <w:tc>
          <w:tcPr>
            <w:tcW w:type="dxa" w:w="721"/>
            <w:tcMar>
              <w:top w:w="50" w:type="dxa"/>
              <w:bottom w:w="50" w:type="dxa"/>
              <w:left w:w="90" w:type="dxa"/>
              <w:right w:w="90" w:type="dxa"/>
            </w:tcMar>
            <w:shd w:val="clear" w:color="auto" w:fill="E5F5FF"/>
          </w:tcPr>
          <w:p>
            <w:pPr>
              <w:pStyle w:val="BDOITable"/>
            </w:pPr>
            <w:r>
              <w:rPr>
                <w:sz w:val="16"/>
              </w:rPr>
              <w:t>6</w:t>
            </w:r>
          </w:p>
        </w:tc>
        <w:tc>
          <w:tcPr>
            <w:tcW w:type="dxa" w:w="961"/>
            <w:tcMar>
              <w:top w:w="50" w:type="dxa"/>
              <w:bottom w:w="50" w:type="dxa"/>
              <w:left w:w="90" w:type="dxa"/>
              <w:right w:w="90" w:type="dxa"/>
            </w:tcMar>
            <w:shd w:val="clear" w:color="auto" w:fill="E5F5FF"/>
          </w:tcPr>
          <w:p>
            <w:pPr>
              <w:pStyle w:val="BDOITable"/>
            </w:pPr>
            <w:r>
              <w:rPr>
                <w:sz w:val="16"/>
              </w:rPr>
              <w:t>5</w:t>
            </w:r>
          </w:p>
        </w:tc>
        <w:tc>
          <w:tcPr>
            <w:tcW w:type="dxa" w:w="2042"/>
            <w:tcMar>
              <w:top w:w="50" w:type="dxa"/>
              <w:bottom w:w="50" w:type="dxa"/>
              <w:left w:w="90" w:type="dxa"/>
              <w:right w:w="90" w:type="dxa"/>
            </w:tcMar>
            <w:shd w:val="clear" w:color="auto" w:fill="E5F5FF"/>
          </w:tcPr>
          <w:p>
            <w:pPr>
              <w:pStyle w:val="BDOITable"/>
            </w:pPr>
            <w:r>
              <w:rPr>
                <w:sz w:val="16"/>
              </w:rPr>
              <w:t>legacy_policy_ref, share_seq</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2763"/>
            <w:tcMar>
              <w:top w:w="50" w:type="dxa"/>
              <w:bottom w:w="50" w:type="dxa"/>
              <w:left w:w="90" w:type="dxa"/>
              <w:right w:w="90" w:type="dxa"/>
            </w:tcMar>
          </w:tcPr>
          <w:p>
            <w:pPr>
              <w:pStyle w:val="BDOITable"/>
            </w:pPr>
            <w:r>
              <w:rPr>
                <w:sz w:val="16"/>
              </w:rPr>
              <w:t>RMEL cohorts already extracted in legacy</w:t>
            </w:r>
          </w:p>
        </w:tc>
        <w:tc>
          <w:tcPr>
            <w:tcW w:type="dxa" w:w="781"/>
            <w:tcMar>
              <w:top w:w="50" w:type="dxa"/>
              <w:bottom w:w="50" w:type="dxa"/>
              <w:left w:w="90" w:type="dxa"/>
              <w:right w:w="90" w:type="dxa"/>
            </w:tcMar>
          </w:tcPr>
          <w:p>
            <w:pPr>
              <w:pStyle w:val="BDOITable"/>
            </w:pPr>
            <w:r>
              <w:rPr>
                <w:sz w:val="16"/>
              </w:rPr>
              <w:t>P03</w:t>
            </w:r>
          </w:p>
        </w:tc>
        <w:tc>
          <w:tcPr>
            <w:tcW w:type="dxa" w:w="721"/>
            <w:tcMar>
              <w:top w:w="50" w:type="dxa"/>
              <w:bottom w:w="50" w:type="dxa"/>
              <w:left w:w="90" w:type="dxa"/>
              <w:right w:w="90" w:type="dxa"/>
            </w:tcMar>
          </w:tcPr>
          <w:p>
            <w:pPr>
              <w:pStyle w:val="BDOITable"/>
            </w:pPr>
            <w:r>
              <w:rPr>
                <w:sz w:val="16"/>
              </w:rPr>
              <w:t>12</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legacy_policy_ref</w:t>
            </w:r>
          </w:p>
        </w:tc>
        <w:tc>
          <w:tcPr>
            <w:tcW w:type="dxa" w:w="1922"/>
            <w:tcMar>
              <w:top w:w="50" w:type="dxa"/>
              <w:bottom w:w="50" w:type="dxa"/>
              <w:left w:w="90" w:type="dxa"/>
              <w:right w:w="90" w:type="dxa"/>
            </w:tcMar>
          </w:tcPr>
          <w:p>
            <w:pPr>
              <w:pStyle w:val="BDOITable"/>
            </w:pPr>
            <w:r>
              <w:rPr>
                <w:sz w:val="16"/>
              </w:rPr>
              <w:t>expiring_premium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2763"/>
            <w:tcMar>
              <w:top w:w="50" w:type="dxa"/>
              <w:bottom w:w="50" w:type="dxa"/>
              <w:left w:w="90" w:type="dxa"/>
              <w:right w:w="90" w:type="dxa"/>
            </w:tcMar>
            <w:shd w:val="clear" w:color="auto" w:fill="E5F5FF"/>
          </w:tcPr>
          <w:p>
            <w:pPr>
              <w:pStyle w:val="BDOITable"/>
            </w:pPr>
            <w:r>
              <w:rPr>
                <w:sz w:val="16"/>
              </w:rPr>
              <w:t>Open legacy invoices - header</w:t>
            </w:r>
          </w:p>
        </w:tc>
        <w:tc>
          <w:tcPr>
            <w:tcW w:type="dxa" w:w="781"/>
            <w:tcMar>
              <w:top w:w="50" w:type="dxa"/>
              <w:bottom w:w="50" w:type="dxa"/>
              <w:left w:w="90" w:type="dxa"/>
              <w:right w:w="90" w:type="dxa"/>
            </w:tcMar>
            <w:shd w:val="clear" w:color="auto" w:fill="E5F5FF"/>
          </w:tcPr>
          <w:p>
            <w:pPr>
              <w:pStyle w:val="BDOITable"/>
            </w:pPr>
            <w:r>
              <w:rPr>
                <w:sz w:val="16"/>
              </w:rPr>
              <w:t>F01</w:t>
            </w:r>
          </w:p>
        </w:tc>
        <w:tc>
          <w:tcPr>
            <w:tcW w:type="dxa" w:w="721"/>
            <w:tcMar>
              <w:top w:w="50" w:type="dxa"/>
              <w:bottom w:w="50" w:type="dxa"/>
              <w:left w:w="90" w:type="dxa"/>
              <w:right w:w="90" w:type="dxa"/>
            </w:tcMar>
            <w:shd w:val="clear" w:color="auto" w:fill="E5F5FF"/>
          </w:tcPr>
          <w:p>
            <w:pPr>
              <w:pStyle w:val="BDOITable"/>
            </w:pPr>
            <w:r>
              <w:rPr>
                <w:sz w:val="16"/>
              </w:rPr>
              <w:t>38</w:t>
            </w:r>
          </w:p>
        </w:tc>
        <w:tc>
          <w:tcPr>
            <w:tcW w:type="dxa" w:w="961"/>
            <w:tcMar>
              <w:top w:w="50" w:type="dxa"/>
              <w:bottom w:w="50" w:type="dxa"/>
              <w:left w:w="90" w:type="dxa"/>
              <w:right w:w="90" w:type="dxa"/>
            </w:tcMar>
            <w:shd w:val="clear" w:color="auto" w:fill="E5F5FF"/>
          </w:tcPr>
          <w:p>
            <w:pPr>
              <w:pStyle w:val="BDOITable"/>
            </w:pPr>
            <w:r>
              <w:rPr>
                <w:sz w:val="16"/>
              </w:rPr>
              <w:t>24</w:t>
            </w:r>
          </w:p>
        </w:tc>
        <w:tc>
          <w:tcPr>
            <w:tcW w:type="dxa" w:w="2042"/>
            <w:tcMar>
              <w:top w:w="50" w:type="dxa"/>
              <w:bottom w:w="50" w:type="dxa"/>
              <w:left w:w="90" w:type="dxa"/>
              <w:right w:w="90" w:type="dxa"/>
            </w:tcMar>
            <w:shd w:val="clear" w:color="auto" w:fill="E5F5FF"/>
          </w:tcPr>
          <w:p>
            <w:pPr>
              <w:pStyle w:val="BDOITable"/>
            </w:pPr>
            <w:r>
              <w:rPr>
                <w:sz w:val="16"/>
              </w:rPr>
              <w:t>legacy_invoice_no</w:t>
            </w:r>
          </w:p>
        </w:tc>
        <w:tc>
          <w:tcPr>
            <w:tcW w:type="dxa" w:w="1922"/>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2763"/>
            <w:tcMar>
              <w:top w:w="50" w:type="dxa"/>
              <w:bottom w:w="50" w:type="dxa"/>
              <w:left w:w="90" w:type="dxa"/>
              <w:right w:w="90" w:type="dxa"/>
            </w:tcMar>
          </w:tcPr>
          <w:p>
            <w:pPr>
              <w:pStyle w:val="BDOITable"/>
            </w:pPr>
            <w:r>
              <w:rPr>
                <w:sz w:val="16"/>
              </w:rPr>
              <w:t>Open legacy invoices - insurer shares</w:t>
            </w:r>
          </w:p>
        </w:tc>
        <w:tc>
          <w:tcPr>
            <w:tcW w:type="dxa" w:w="781"/>
            <w:tcMar>
              <w:top w:w="50" w:type="dxa"/>
              <w:bottom w:w="50" w:type="dxa"/>
              <w:left w:w="90" w:type="dxa"/>
              <w:right w:w="90" w:type="dxa"/>
            </w:tcMar>
          </w:tcPr>
          <w:p>
            <w:pPr>
              <w:pStyle w:val="BDOITable"/>
            </w:pPr>
            <w:r>
              <w:rPr>
                <w:sz w:val="16"/>
              </w:rPr>
              <w:t>F01</w:t>
            </w:r>
          </w:p>
        </w:tc>
        <w:tc>
          <w:tcPr>
            <w:tcW w:type="dxa" w:w="721"/>
            <w:tcMar>
              <w:top w:w="50" w:type="dxa"/>
              <w:bottom w:w="50" w:type="dxa"/>
              <w:left w:w="90" w:type="dxa"/>
              <w:right w:w="90" w:type="dxa"/>
            </w:tcMar>
          </w:tcPr>
          <w:p>
            <w:pPr>
              <w:pStyle w:val="BDOITable"/>
            </w:pPr>
            <w:r>
              <w:rPr>
                <w:sz w:val="16"/>
              </w:rPr>
              <w:t>5</w:t>
            </w:r>
          </w:p>
        </w:tc>
        <w:tc>
          <w:tcPr>
            <w:tcW w:type="dxa" w:w="961"/>
            <w:tcMar>
              <w:top w:w="50" w:type="dxa"/>
              <w:bottom w:w="50" w:type="dxa"/>
              <w:left w:w="90" w:type="dxa"/>
              <w:right w:w="90" w:type="dxa"/>
            </w:tcMar>
          </w:tcPr>
          <w:p>
            <w:pPr>
              <w:pStyle w:val="BDOITable"/>
            </w:pPr>
            <w:r>
              <w:rPr>
                <w:sz w:val="16"/>
              </w:rPr>
              <w:t>5</w:t>
            </w:r>
          </w:p>
        </w:tc>
        <w:tc>
          <w:tcPr>
            <w:tcW w:type="dxa" w:w="2042"/>
            <w:tcMar>
              <w:top w:w="50" w:type="dxa"/>
              <w:bottom w:w="50" w:type="dxa"/>
              <w:left w:w="90" w:type="dxa"/>
              <w:right w:w="90" w:type="dxa"/>
            </w:tcMar>
          </w:tcPr>
          <w:p>
            <w:pPr>
              <w:pStyle w:val="BDOITable"/>
            </w:pPr>
            <w:r>
              <w:rPr>
                <w:sz w:val="16"/>
              </w:rPr>
              <w:t>legacy_invoice_no, share_seq</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2763"/>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781"/>
            <w:tcMar>
              <w:top w:w="50" w:type="dxa"/>
              <w:bottom w:w="50" w:type="dxa"/>
              <w:left w:w="90" w:type="dxa"/>
              <w:right w:w="90" w:type="dxa"/>
            </w:tcMar>
            <w:shd w:val="clear" w:color="auto" w:fill="E5F5FF"/>
          </w:tcPr>
          <w:p>
            <w:pPr>
              <w:pStyle w:val="BDOITable"/>
            </w:pPr>
            <w:r>
              <w:rPr>
                <w:sz w:val="16"/>
              </w:rPr>
              <w:t>F01</w:t>
            </w:r>
          </w:p>
        </w:tc>
        <w:tc>
          <w:tcPr>
            <w:tcW w:type="dxa" w:w="721"/>
            <w:tcMar>
              <w:top w:w="50" w:type="dxa"/>
              <w:bottom w:w="50" w:type="dxa"/>
              <w:left w:w="90" w:type="dxa"/>
              <w:right w:w="90" w:type="dxa"/>
            </w:tcMar>
            <w:shd w:val="clear" w:color="auto" w:fill="E5F5FF"/>
          </w:tcPr>
          <w:p>
            <w:pPr>
              <w:pStyle w:val="BDOITable"/>
            </w:pPr>
            <w:r>
              <w:rPr>
                <w:sz w:val="16"/>
              </w:rPr>
              <w:t>8</w:t>
            </w:r>
          </w:p>
        </w:tc>
        <w:tc>
          <w:tcPr>
            <w:tcW w:type="dxa" w:w="961"/>
            <w:tcMar>
              <w:top w:w="50" w:type="dxa"/>
              <w:bottom w:w="50" w:type="dxa"/>
              <w:left w:w="90" w:type="dxa"/>
              <w:right w:w="90" w:type="dxa"/>
            </w:tcMar>
            <w:shd w:val="clear" w:color="auto" w:fill="E5F5FF"/>
          </w:tcPr>
          <w:p>
            <w:pPr>
              <w:pStyle w:val="BDOITable"/>
            </w:pPr>
            <w:r>
              <w:rPr>
                <w:sz w:val="16"/>
              </w:rPr>
              <w:t>8</w:t>
            </w:r>
          </w:p>
        </w:tc>
        <w:tc>
          <w:tcPr>
            <w:tcW w:type="dxa" w:w="2042"/>
            <w:tcMar>
              <w:top w:w="50" w:type="dxa"/>
              <w:bottom w:w="50" w:type="dxa"/>
              <w:left w:w="90" w:type="dxa"/>
              <w:right w:w="90" w:type="dxa"/>
            </w:tcMar>
            <w:shd w:val="clear" w:color="auto" w:fill="E5F5FF"/>
          </w:tcPr>
          <w:p>
            <w:pPr>
              <w:pStyle w:val="BDOITable"/>
            </w:pPr>
            <w:r>
              <w:rPr>
                <w:sz w:val="16"/>
              </w:rPr>
              <w:t>legacy_invoice_no, component</w:t>
            </w:r>
          </w:p>
        </w:tc>
        <w:tc>
          <w:tcPr>
            <w:tcW w:type="dxa" w:w="1922"/>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2763"/>
            <w:tcMar>
              <w:top w:w="50" w:type="dxa"/>
              <w:bottom w:w="50" w:type="dxa"/>
              <w:left w:w="90" w:type="dxa"/>
              <w:right w:w="90" w:type="dxa"/>
            </w:tcMar>
          </w:tcPr>
          <w:p>
            <w:pPr>
              <w:pStyle w:val="BDOITable"/>
            </w:pPr>
            <w:r>
              <w:rPr>
                <w:sz w:val="16"/>
              </w:rPr>
              <w:t>Unapplied premium payments (UPP)</w:t>
            </w:r>
          </w:p>
        </w:tc>
        <w:tc>
          <w:tcPr>
            <w:tcW w:type="dxa" w:w="781"/>
            <w:tcMar>
              <w:top w:w="50" w:type="dxa"/>
              <w:bottom w:w="50" w:type="dxa"/>
              <w:left w:w="90" w:type="dxa"/>
              <w:right w:w="90" w:type="dxa"/>
            </w:tcMar>
          </w:tcPr>
          <w:p>
            <w:pPr>
              <w:pStyle w:val="BDOITable"/>
            </w:pPr>
            <w:r>
              <w:rPr>
                <w:sz w:val="16"/>
              </w:rPr>
              <w:t>F02</w:t>
            </w:r>
          </w:p>
        </w:tc>
        <w:tc>
          <w:tcPr>
            <w:tcW w:type="dxa" w:w="721"/>
            <w:tcMar>
              <w:top w:w="50" w:type="dxa"/>
              <w:bottom w:w="50" w:type="dxa"/>
              <w:left w:w="90" w:type="dxa"/>
              <w:right w:w="90" w:type="dxa"/>
            </w:tcMar>
          </w:tcPr>
          <w:p>
            <w:pPr>
              <w:pStyle w:val="BDOITable"/>
            </w:pPr>
            <w:r>
              <w:rPr>
                <w:sz w:val="16"/>
              </w:rPr>
              <w:t>21</w:t>
            </w:r>
          </w:p>
        </w:tc>
        <w:tc>
          <w:tcPr>
            <w:tcW w:type="dxa" w:w="961"/>
            <w:tcMar>
              <w:top w:w="50" w:type="dxa"/>
              <w:bottom w:w="50" w:type="dxa"/>
              <w:left w:w="90" w:type="dxa"/>
              <w:right w:w="90" w:type="dxa"/>
            </w:tcMar>
          </w:tcPr>
          <w:p>
            <w:pPr>
              <w:pStyle w:val="BDOITable"/>
            </w:pPr>
            <w:r>
              <w:rPr>
                <w:sz w:val="16"/>
              </w:rPr>
              <w:t>11</w:t>
            </w:r>
          </w:p>
        </w:tc>
        <w:tc>
          <w:tcPr>
            <w:tcW w:type="dxa" w:w="2042"/>
            <w:tcMar>
              <w:top w:w="50" w:type="dxa"/>
              <w:bottom w:w="50" w:type="dxa"/>
              <w:left w:w="90" w:type="dxa"/>
              <w:right w:w="90" w:type="dxa"/>
            </w:tcMar>
          </w:tcPr>
          <w:p>
            <w:pPr>
              <w:pStyle w:val="BDOITable"/>
            </w:pPr>
            <w:r>
              <w:rPr>
                <w:sz w:val="16"/>
              </w:rPr>
              <w:t>legacy_upp_ref</w:t>
            </w:r>
          </w:p>
        </w:tc>
        <w:tc>
          <w:tcPr>
            <w:tcW w:type="dxa" w:w="1922"/>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2763"/>
            <w:tcMar>
              <w:top w:w="50" w:type="dxa"/>
              <w:bottom w:w="50" w:type="dxa"/>
              <w:left w:w="90" w:type="dxa"/>
              <w:right w:w="90" w:type="dxa"/>
            </w:tcMar>
            <w:shd w:val="clear" w:color="auto" w:fill="E5F5FF"/>
          </w:tcPr>
          <w:p>
            <w:pPr>
              <w:pStyle w:val="BDOITable"/>
            </w:pPr>
            <w:r>
              <w:rPr>
                <w:sz w:val="16"/>
              </w:rPr>
              <w:t>Open collection state</w:t>
            </w:r>
          </w:p>
        </w:tc>
        <w:tc>
          <w:tcPr>
            <w:tcW w:type="dxa" w:w="781"/>
            <w:tcMar>
              <w:top w:w="50" w:type="dxa"/>
              <w:bottom w:w="50" w:type="dxa"/>
              <w:left w:w="90" w:type="dxa"/>
              <w:right w:w="90" w:type="dxa"/>
            </w:tcMar>
            <w:shd w:val="clear" w:color="auto" w:fill="E5F5FF"/>
          </w:tcPr>
          <w:p>
            <w:pPr>
              <w:pStyle w:val="BDOITable"/>
            </w:pPr>
            <w:r>
              <w:rPr>
                <w:sz w:val="16"/>
              </w:rPr>
              <w:t>F03</w:t>
            </w:r>
          </w:p>
        </w:tc>
        <w:tc>
          <w:tcPr>
            <w:tcW w:type="dxa" w:w="721"/>
            <w:tcMar>
              <w:top w:w="50" w:type="dxa"/>
              <w:bottom w:w="50" w:type="dxa"/>
              <w:left w:w="90" w:type="dxa"/>
              <w:right w:w="90" w:type="dxa"/>
            </w:tcMar>
            <w:shd w:val="clear" w:color="auto" w:fill="E5F5FF"/>
          </w:tcPr>
          <w:p>
            <w:pPr>
              <w:pStyle w:val="BDOITable"/>
            </w:pPr>
            <w:r>
              <w:rPr>
                <w:sz w:val="16"/>
              </w:rPr>
              <w:t>12</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legacy_invoice_no, record_type, seq_no</w:t>
            </w:r>
          </w:p>
        </w:tc>
        <w:tc>
          <w:tcPr>
            <w:tcW w:type="dxa" w:w="1922"/>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2763"/>
            <w:tcMar>
              <w:top w:w="50" w:type="dxa"/>
              <w:bottom w:w="50" w:type="dxa"/>
              <w:left w:w="90" w:type="dxa"/>
              <w:right w:w="90" w:type="dxa"/>
            </w:tcMar>
          </w:tcPr>
          <w:p>
            <w:pPr>
              <w:pStyle w:val="BDOITable"/>
            </w:pPr>
            <w:r>
              <w:rPr>
                <w:sz w:val="16"/>
              </w:rPr>
              <w:t>Remittance in flight</w:t>
            </w:r>
          </w:p>
        </w:tc>
        <w:tc>
          <w:tcPr>
            <w:tcW w:type="dxa" w:w="781"/>
            <w:tcMar>
              <w:top w:w="50" w:type="dxa"/>
              <w:bottom w:w="50" w:type="dxa"/>
              <w:left w:w="90" w:type="dxa"/>
              <w:right w:w="90" w:type="dxa"/>
            </w:tcMar>
          </w:tcPr>
          <w:p>
            <w:pPr>
              <w:pStyle w:val="BDOITable"/>
            </w:pPr>
            <w:r>
              <w:rPr>
                <w:sz w:val="16"/>
              </w:rPr>
              <w:t>F04</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legacy_batch_no, legacy_invoice_no</w:t>
            </w:r>
          </w:p>
        </w:tc>
        <w:tc>
          <w:tcPr>
            <w:tcW w:type="dxa" w:w="1922"/>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F06</w:t>
            </w:r>
          </w:p>
        </w:tc>
        <w:tc>
          <w:tcPr>
            <w:tcW w:type="dxa" w:w="721"/>
            <w:tcMar>
              <w:top w:w="50" w:type="dxa"/>
              <w:bottom w:w="50" w:type="dxa"/>
              <w:left w:w="90" w:type="dxa"/>
              <w:right w:w="90" w:type="dxa"/>
            </w:tcMar>
            <w:shd w:val="clear" w:color="auto" w:fill="E5F5FF"/>
          </w:tcPr>
          <w:p>
            <w:pPr>
              <w:pStyle w:val="BDOITable"/>
            </w:pPr>
            <w:r>
              <w:rPr>
                <w:sz w:val="16"/>
              </w:rPr>
              <w:t>14</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record_type, reference</w:t>
            </w:r>
          </w:p>
        </w:tc>
        <w:tc>
          <w:tcPr>
            <w:tcW w:type="dxa" w:w="1922"/>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2763"/>
            <w:tcMar>
              <w:top w:w="50" w:type="dxa"/>
              <w:bottom w:w="50" w:type="dxa"/>
              <w:left w:w="90" w:type="dxa"/>
              <w:right w:w="90" w:type="dxa"/>
            </w:tcMar>
          </w:tcPr>
          <w:p>
            <w:pPr>
              <w:pStyle w:val="BDOITable"/>
            </w:pPr>
            <w:r>
              <w:rPr>
                <w:sz w:val="16"/>
              </w:rPr>
              <w:t>GL opening trial balance</w:t>
            </w:r>
          </w:p>
        </w:tc>
        <w:tc>
          <w:tcPr>
            <w:tcW w:type="dxa" w:w="781"/>
            <w:tcMar>
              <w:top w:w="50" w:type="dxa"/>
              <w:bottom w:w="50" w:type="dxa"/>
              <w:left w:w="90" w:type="dxa"/>
              <w:right w:w="90" w:type="dxa"/>
            </w:tcMar>
          </w:tcPr>
          <w:p>
            <w:pPr>
              <w:pStyle w:val="BDOITable"/>
            </w:pPr>
            <w:r>
              <w:rPr>
                <w:sz w:val="16"/>
              </w:rPr>
              <w:t>G01</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8</w:t>
            </w:r>
          </w:p>
        </w:tc>
        <w:tc>
          <w:tcPr>
            <w:tcW w:type="dxa" w:w="2042"/>
            <w:tcMar>
              <w:top w:w="50" w:type="dxa"/>
              <w:bottom w:w="50" w:type="dxa"/>
              <w:left w:w="90" w:type="dxa"/>
              <w:right w:w="90" w:type="dxa"/>
            </w:tcMar>
          </w:tcPr>
          <w:p>
            <w:pPr>
              <w:pStyle w:val="BDOITable"/>
            </w:pPr>
            <w:r>
              <w:rPr>
                <w:sz w:val="16"/>
              </w:rPr>
              <w:t>branch_code, currency, legacy_account_code, cost_center</w:t>
            </w:r>
          </w:p>
        </w:tc>
        <w:tc>
          <w:tcPr>
            <w:tcW w:type="dxa" w:w="1922"/>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2763"/>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781"/>
            <w:tcMar>
              <w:top w:w="50" w:type="dxa"/>
              <w:bottom w:w="50" w:type="dxa"/>
              <w:left w:w="90" w:type="dxa"/>
              <w:right w:w="90" w:type="dxa"/>
            </w:tcMar>
            <w:shd w:val="clear" w:color="auto" w:fill="E5F5FF"/>
          </w:tcPr>
          <w:p>
            <w:pPr>
              <w:pStyle w:val="BDOITable"/>
            </w:pPr>
            <w:r>
              <w:rPr>
                <w:sz w:val="16"/>
              </w:rPr>
              <w:t>H01</w:t>
            </w:r>
          </w:p>
        </w:tc>
        <w:tc>
          <w:tcPr>
            <w:tcW w:type="dxa" w:w="721"/>
            <w:tcMar>
              <w:top w:w="50" w:type="dxa"/>
              <w:bottom w:w="50" w:type="dxa"/>
              <w:left w:w="90" w:type="dxa"/>
              <w:right w:w="90" w:type="dxa"/>
            </w:tcMar>
            <w:shd w:val="clear" w:color="auto" w:fill="E5F5FF"/>
          </w:tcPr>
          <w:p>
            <w:pPr>
              <w:pStyle w:val="BDOITable"/>
            </w:pPr>
            <w:r>
              <w:rPr>
                <w:sz w:val="16"/>
              </w:rPr>
              <w:t>15</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record_type, legacy_key</w:t>
            </w:r>
          </w:p>
        </w:tc>
        <w:tc>
          <w:tcPr>
            <w:tcW w:type="dxa" w:w="1922"/>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2763"/>
            <w:tcMar>
              <w:top w:w="50" w:type="dxa"/>
              <w:bottom w:w="50" w:type="dxa"/>
              <w:left w:w="90" w:type="dxa"/>
              <w:right w:w="90" w:type="dxa"/>
            </w:tcMar>
          </w:tcPr>
          <w:p>
            <w:pPr>
              <w:pStyle w:val="BDOITable"/>
            </w:pPr>
            <w:r>
              <w:rPr>
                <w:sz w:val="16"/>
              </w:rPr>
              <w:t>Archive documents index</w:t>
            </w:r>
          </w:p>
        </w:tc>
        <w:tc>
          <w:tcPr>
            <w:tcW w:type="dxa" w:w="781"/>
            <w:tcMar>
              <w:top w:w="50" w:type="dxa"/>
              <w:bottom w:w="50" w:type="dxa"/>
              <w:left w:w="90" w:type="dxa"/>
              <w:right w:w="90" w:type="dxa"/>
            </w:tcMar>
          </w:tcPr>
          <w:p>
            <w:pPr>
              <w:pStyle w:val="BDOITable"/>
            </w:pPr>
            <w:r>
              <w:rPr>
                <w:sz w:val="16"/>
              </w:rPr>
              <w:t>H02</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record_type, legacy_key, file_name</w:t>
            </w:r>
          </w:p>
        </w:tc>
        <w:tc>
          <w:tcPr>
            <w:tcW w:type="dxa" w:w="1922"/>
            <w:tcMar>
              <w:top w:w="50" w:type="dxa"/>
              <w:bottom w:w="50" w:type="dxa"/>
              <w:left w:w="90" w:type="dxa"/>
              <w:right w:w="90" w:type="dxa"/>
            </w:tcMar>
          </w:tcPr>
          <w:p>
            <w:pPr>
              <w:pStyle w:val="BDOITable"/>
            </w:pPr>
            <w:r>
              <w:rPr>
                <w:sz w:val="16"/>
              </w:rPr>
              <w:t>-</w:t>
            </w:r>
          </w:p>
        </w:tc>
      </w:tr>
    </w:tbl>
    <w:p>
      <w:pPr>
        <w:pStyle w:val="BDOISpacer"/>
      </w:pPr>
    </w:p>
    <w:p>
      <w:r>
        <w:rPr/>
        <w:t>Rules for every file (workbook sheet "File Contract"):</w:t>
      </w:r>
    </w:p>
    <w:p>
      <w:pPr>
        <w:tabs>
          <w:tab w:pos="312" w:val="left"/>
        </w:tabs>
        <w:spacing w:after="40"/>
        <w:ind w:left="312" w:hanging="283"/>
      </w:pPr>
      <w:r>
        <w:rPr>
          <w:color w:val="004EA8"/>
        </w:rPr>
        <w:t>•</w:t>
        <w:tab/>
      </w:r>
      <w:r>
        <w:rPr/>
        <w:t xml:space="preserve">File name </w:t>
      </w:r>
      <w:r>
        <w:rPr>
          <w:rFonts w:ascii="Courier New" w:hAnsi="Courier New" w:cs="Courier New" w:eastAsia="Courier New"/>
          <w:color w:val="2E2E2E"/>
          <w:sz w:val="19"/>
        </w:rPr>
        <w:t>&lt;LAYOUT&gt;_&lt;SOURCE&gt;_&lt;yyyyMMdd&gt;_&lt;nn&gt;.csv</w:t>
      </w:r>
      <w:r>
        <w:rPr/>
        <w:t>, one file per layout, source system and extract.</w:t>
      </w:r>
    </w:p>
    <w:p>
      <w:pPr>
        <w:tabs>
          <w:tab w:pos="312" w:val="left"/>
        </w:tabs>
        <w:spacing w:after="40"/>
        <w:ind w:left="312" w:hanging="283"/>
      </w:pPr>
      <w:r>
        <w:rPr>
          <w:color w:val="004EA8"/>
        </w:rPr>
        <w:t>•</w:t>
        <w:tab/>
      </w:r>
      <w:r>
        <w:rPr/>
        <w:t>CSV in UTF-8 without BOM, comma separator, RFC 4180 quoting, one header row; or XLSX with the header in row 1 of the first sheet.</w:t>
      </w:r>
    </w:p>
    <w:p>
      <w:pPr>
        <w:tabs>
          <w:tab w:pos="312" w:val="left"/>
        </w:tabs>
        <w:spacing w:after="40"/>
        <w:ind w:left="312" w:hanging="283"/>
      </w:pPr>
      <w:r>
        <w:rPr>
          <w:color w:val="004EA8"/>
        </w:rPr>
        <w:t>•</w:t>
        <w:tab/>
      </w:r>
      <w:r>
        <w:rPr/>
        <w:t xml:space="preserve">Dates </w:t>
      </w:r>
      <w:r>
        <w:rPr>
          <w:rFonts w:ascii="Courier New" w:hAnsi="Courier New" w:cs="Courier New" w:eastAsia="Courier New"/>
          <w:color w:val="2E2E2E"/>
          <w:sz w:val="19"/>
        </w:rPr>
        <w:t>yyyy-MM-dd</w:t>
      </w:r>
      <w:r>
        <w:rPr/>
        <w:t>; amounts with a dot decimal, 2 decimals, no thousands separator; codes exactly as stored in legacy.</w:t>
      </w:r>
    </w:p>
    <w:p>
      <w:pPr>
        <w:tabs>
          <w:tab w:pos="312" w:val="left"/>
        </w:tabs>
        <w:spacing w:after="120"/>
        <w:ind w:left="312" w:hanging="283"/>
      </w:pPr>
      <w:r>
        <w:rPr>
          <w:color w:val="004EA8"/>
        </w:rPr>
        <w:t>•</w:t>
        <w:tab/>
      </w:r>
      <w:r>
        <w:rPr/>
        <w:t xml:space="preserve">A control file </w:t>
      </w:r>
      <w:r>
        <w:rPr>
          <w:rFonts w:ascii="Courier New" w:hAnsi="Courier New" w:cs="Courier New" w:eastAsia="Courier New"/>
          <w:color w:val="2E2E2E"/>
          <w:sz w:val="19"/>
        </w:rPr>
        <w:t>&lt;data file&gt;.ctl.csv</w:t>
      </w:r>
      <w:r>
        <w:rPr/>
        <w:t xml:space="preserve"> with the row count, the hash total of the key, the amount totals per column and currency, and the SHA-256 of the data file.</w:t>
      </w:r>
    </w:p>
    <w:p>
      <w:r>
        <w:rPr/>
        <w:t>What BDOI provides per object:</w:t>
      </w:r>
    </w:p>
    <w:p>
      <w:pPr>
        <w:pStyle w:val="Caption"/>
        <w:keepNext/>
        <w:spacing w:after="60"/>
      </w:pPr>
      <w:r>
        <w:rPr>
          <w:b/>
          <w:i w:val="0"/>
        </w:rPr>
        <w:t xml:space="preserve">Table 14: </w:t>
      </w:r>
      <w:r>
        <w:rPr/>
        <w:t>What BDOI provides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1081"/>
        <w:gridCol w:w="1201"/>
        <w:gridCol w:w="2403"/>
        <w:gridCol w:w="15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Templates</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Control totals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1081"/>
            <w:tcMar>
              <w:top w:w="50" w:type="dxa"/>
              <w:bottom w:w="50" w:type="dxa"/>
              <w:left w:w="90" w:type="dxa"/>
              <w:right w:w="90" w:type="dxa"/>
            </w:tcMar>
          </w:tcPr>
          <w:p>
            <w:pPr>
              <w:pStyle w:val="BDOITable"/>
            </w:pPr>
            <w:r>
              <w:rPr>
                <w:sz w:val="16"/>
              </w:rPr>
              <w:t>R01</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count of distinct (list_type, code)</w:t>
            </w:r>
          </w:p>
        </w:tc>
        <w:tc>
          <w:tcPr>
            <w:tcW w:type="dxa" w:w="1562"/>
            <w:tcMar>
              <w:top w:w="50" w:type="dxa"/>
              <w:bottom w:w="50" w:type="dxa"/>
              <w:left w:w="90" w:type="dxa"/>
              <w:right w:w="90" w:type="dxa"/>
            </w:tcMar>
          </w:tcPr>
          <w:p>
            <w:pPr>
              <w:pStyle w:val="BDOITable"/>
            </w:pPr>
            <w:r>
              <w:rPr>
                <w:sz w:val="16"/>
              </w:rPr>
              <w:t>M4 (T-14 weeks)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1081"/>
            <w:tcMar>
              <w:top w:w="50" w:type="dxa"/>
              <w:bottom w:w="50" w:type="dxa"/>
              <w:left w:w="90" w:type="dxa"/>
              <w:right w:w="90" w:type="dxa"/>
            </w:tcMar>
            <w:shd w:val="clear" w:color="auto" w:fill="E5F5FF"/>
          </w:tcPr>
          <w:p>
            <w:pPr>
              <w:pStyle w:val="BDOITable"/>
            </w:pPr>
            <w:r>
              <w:rPr>
                <w:sz w:val="16"/>
              </w:rPr>
              <w:t>R02</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(regions, departments, teams, unit heads, account officers)</w:t>
            </w:r>
          </w:p>
        </w:tc>
        <w:tc>
          <w:tcPr>
            <w:tcW w:type="dxa" w:w="1081"/>
            <w:tcMar>
              <w:top w:w="50" w:type="dxa"/>
              <w:bottom w:w="50" w:type="dxa"/>
              <w:left w:w="90" w:type="dxa"/>
              <w:right w:w="90" w:type="dxa"/>
            </w:tcMar>
          </w:tcPr>
          <w:p>
            <w:pPr>
              <w:pStyle w:val="BDOITable"/>
            </w:pPr>
            <w:r>
              <w:rPr>
                <w:sz w:val="16"/>
              </w:rPr>
              <w:t>R03</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per record type</w:t>
            </w:r>
          </w:p>
        </w:tc>
        <w:tc>
          <w:tcPr>
            <w:tcW w:type="dxa" w:w="1562"/>
            <w:tcMar>
              <w:top w:w="50" w:type="dxa"/>
              <w:bottom w:w="50" w:type="dxa"/>
              <w:left w:w="90" w:type="dxa"/>
              <w:right w:w="90" w:type="dxa"/>
            </w:tcMar>
          </w:tcPr>
          <w:p>
            <w:pPr>
              <w:pStyle w:val="BDOITable"/>
            </w:pPr>
            <w:r>
              <w:rPr>
                <w:sz w:val="16"/>
              </w:rPr>
              <w:t>M4 (T-14 weeks)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 and insurer branches</w:t>
            </w:r>
          </w:p>
        </w:tc>
        <w:tc>
          <w:tcPr>
            <w:tcW w:type="dxa" w:w="1081"/>
            <w:tcMar>
              <w:top w:w="50" w:type="dxa"/>
              <w:bottom w:w="50" w:type="dxa"/>
              <w:left w:w="90" w:type="dxa"/>
              <w:right w:w="90" w:type="dxa"/>
            </w:tcMar>
            <w:shd w:val="clear" w:color="auto" w:fill="E5F5FF"/>
          </w:tcPr>
          <w:p>
            <w:pPr>
              <w:pStyle w:val="BDOITable"/>
            </w:pPr>
            <w:r>
              <w:rPr>
                <w:sz w:val="16"/>
              </w:rPr>
              <w:t>R04, R04B</w:t>
            </w:r>
          </w:p>
        </w:tc>
        <w:tc>
          <w:tcPr>
            <w:tcW w:type="dxa" w:w="1201"/>
            <w:tcMar>
              <w:top w:w="50" w:type="dxa"/>
              <w:bottom w:w="50" w:type="dxa"/>
              <w:left w:w="90" w:type="dxa"/>
              <w:right w:w="90" w:type="dxa"/>
            </w:tcMar>
            <w:shd w:val="clear" w:color="auto" w:fill="E5F5FF"/>
          </w:tcPr>
          <w:p>
            <w:pPr>
              <w:pStyle w:val="BDOITable"/>
            </w:pPr>
            <w:r>
              <w:rPr>
                <w:sz w:val="16"/>
              </w:rPr>
              <w:t>QPS, EBIX</w:t>
            </w:r>
          </w:p>
        </w:tc>
        <w:tc>
          <w:tcPr>
            <w:tcW w:type="dxa" w:w="2403"/>
            <w:tcMar>
              <w:top w:w="50" w:type="dxa"/>
              <w:bottom w:w="50" w:type="dxa"/>
              <w:left w:w="90" w:type="dxa"/>
              <w:right w:w="90" w:type="dxa"/>
            </w:tcMar>
            <w:shd w:val="clear" w:color="auto" w:fill="E5F5FF"/>
          </w:tcPr>
          <w:p>
            <w:pPr>
              <w:pStyle w:val="BDOITable"/>
            </w:pPr>
            <w:r>
              <w:rPr>
                <w:sz w:val="16"/>
              </w:rPr>
              <w:t>Row count per file</w:t>
            </w:r>
          </w:p>
        </w:tc>
        <w:tc>
          <w:tcPr>
            <w:tcW w:type="dxa" w:w="15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21"/>
            <w:tcMar>
              <w:top w:w="50" w:type="dxa"/>
              <w:bottom w:w="50" w:type="dxa"/>
              <w:left w:w="90" w:type="dxa"/>
              <w:right w:w="90" w:type="dxa"/>
            </w:tcMar>
          </w:tcPr>
          <w:p>
            <w:pPr>
              <w:pStyle w:val="BDOITable"/>
            </w:pPr>
            <w:r>
              <w:rPr>
                <w:b/>
                <w:sz w:val="16"/>
              </w:rPr>
              <w:t>R05</w:t>
            </w:r>
          </w:p>
        </w:tc>
        <w:tc>
          <w:tcPr>
            <w:tcW w:type="dxa" w:w="3004"/>
            <w:tcMar>
              <w:top w:w="50" w:type="dxa"/>
              <w:bottom w:w="50" w:type="dxa"/>
              <w:left w:w="90" w:type="dxa"/>
              <w:right w:w="90" w:type="dxa"/>
            </w:tcMar>
          </w:tcPr>
          <w:p>
            <w:pPr>
              <w:pStyle w:val="BDOITable"/>
            </w:pPr>
            <w:r>
              <w:rPr>
                <w:sz w:val="16"/>
              </w:rPr>
              <w:t>Product lines, cover types, products and risk codes</w:t>
            </w:r>
          </w:p>
        </w:tc>
        <w:tc>
          <w:tcPr>
            <w:tcW w:type="dxa" w:w="1081"/>
            <w:tcMar>
              <w:top w:w="50" w:type="dxa"/>
              <w:bottom w:w="50" w:type="dxa"/>
              <w:left w:w="90" w:type="dxa"/>
              <w:right w:w="90" w:type="dxa"/>
            </w:tcMar>
          </w:tcPr>
          <w:p>
            <w:pPr>
              <w:pStyle w:val="BDOITable"/>
            </w:pPr>
            <w:r>
              <w:rPr>
                <w:sz w:val="16"/>
              </w:rPr>
              <w:t>R05</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M4 (T-14 weeks)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R06</w:t>
            </w:r>
          </w:p>
        </w:tc>
        <w:tc>
          <w:tcPr>
            <w:tcW w:type="dxa" w:w="3004"/>
            <w:tcMar>
              <w:top w:w="50" w:type="dxa"/>
              <w:bottom w:w="50" w:type="dxa"/>
              <w:left w:w="90" w:type="dxa"/>
              <w:right w:w="90" w:type="dxa"/>
            </w:tcMar>
            <w:shd w:val="clear" w:color="auto" w:fill="E5F5FF"/>
          </w:tcPr>
          <w:p>
            <w:pPr>
              <w:pStyle w:val="BDOITable"/>
            </w:pPr>
            <w:r>
              <w:rPr>
                <w:sz w:val="16"/>
              </w:rPr>
              <w:t>Packages (active package versions)</w:t>
            </w:r>
          </w:p>
        </w:tc>
        <w:tc>
          <w:tcPr>
            <w:tcW w:type="dxa" w:w="1081"/>
            <w:tcMar>
              <w:top w:w="50" w:type="dxa"/>
              <w:bottom w:w="50" w:type="dxa"/>
              <w:left w:w="90" w:type="dxa"/>
              <w:right w:w="90" w:type="dxa"/>
            </w:tcMar>
            <w:shd w:val="clear" w:color="auto" w:fill="E5F5FF"/>
          </w:tcPr>
          <w:p>
            <w:pPr>
              <w:pStyle w:val="BDOITable"/>
            </w:pPr>
            <w:r>
              <w:rPr>
                <w:sz w:val="16"/>
              </w:rPr>
              <w:t>R06</w:t>
            </w:r>
          </w:p>
        </w:tc>
        <w:tc>
          <w:tcPr>
            <w:tcW w:type="dxa" w:w="1201"/>
            <w:tcMar>
              <w:top w:w="50" w:type="dxa"/>
              <w:bottom w:w="50" w:type="dxa"/>
              <w:left w:w="90" w:type="dxa"/>
              <w:right w:w="90" w:type="dxa"/>
            </w:tcMar>
            <w:shd w:val="clear" w:color="auto" w:fill="E5F5FF"/>
          </w:tcPr>
          <w:p>
            <w:pPr>
              <w:pStyle w:val="BDOITable"/>
            </w:pPr>
            <w:r>
              <w:rPr>
                <w:sz w:val="16"/>
              </w:rPr>
              <w:t>QPS</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21"/>
            <w:tcMar>
              <w:top w:w="50" w:type="dxa"/>
              <w:bottom w:w="50" w:type="dxa"/>
              <w:left w:w="90" w:type="dxa"/>
              <w:right w:w="90" w:type="dxa"/>
            </w:tcMar>
          </w:tcPr>
          <w:p>
            <w:pPr>
              <w:pStyle w:val="BDOITable"/>
            </w:pPr>
            <w:r>
              <w:rPr>
                <w:b/>
                <w:sz w:val="16"/>
              </w:rPr>
              <w:t>R07</w:t>
            </w:r>
          </w:p>
        </w:tc>
        <w:tc>
          <w:tcPr>
            <w:tcW w:type="dxa" w:w="3004"/>
            <w:tcMar>
              <w:top w:w="50" w:type="dxa"/>
              <w:bottom w:w="50" w:type="dxa"/>
              <w:left w:w="90" w:type="dxa"/>
              <w:right w:w="90" w:type="dxa"/>
            </w:tcMar>
          </w:tcPr>
          <w:p>
            <w:pPr>
              <w:pStyle w:val="BDOITable"/>
            </w:pPr>
            <w:r>
              <w:rPr>
                <w:sz w:val="16"/>
              </w:rPr>
              <w:t>Commission rates by insurer and product</w:t>
            </w:r>
          </w:p>
        </w:tc>
        <w:tc>
          <w:tcPr>
            <w:tcW w:type="dxa" w:w="1081"/>
            <w:tcMar>
              <w:top w:w="50" w:type="dxa"/>
              <w:bottom w:w="50" w:type="dxa"/>
              <w:left w:w="90" w:type="dxa"/>
              <w:right w:w="90" w:type="dxa"/>
            </w:tcMar>
          </w:tcPr>
          <w:p>
            <w:pPr>
              <w:pStyle w:val="BDOITable"/>
            </w:pPr>
            <w:r>
              <w:rPr>
                <w:sz w:val="16"/>
              </w:rPr>
              <w:t>R07</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M4 (T-14 weeks)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R08</w:t>
            </w:r>
          </w:p>
        </w:tc>
        <w:tc>
          <w:tcPr>
            <w:tcW w:type="dxa" w:w="300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081"/>
            <w:tcMar>
              <w:top w:w="50" w:type="dxa"/>
              <w:bottom w:w="50" w:type="dxa"/>
              <w:left w:w="90" w:type="dxa"/>
              <w:right w:w="90" w:type="dxa"/>
            </w:tcMar>
            <w:shd w:val="clear" w:color="auto" w:fill="E5F5FF"/>
          </w:tcPr>
          <w:p>
            <w:pPr>
              <w:pStyle w:val="BDOITable"/>
            </w:pPr>
            <w:r>
              <w:rPr>
                <w:sz w:val="16"/>
              </w:rPr>
              <w:t>R08</w:t>
            </w:r>
          </w:p>
        </w:tc>
        <w:tc>
          <w:tcPr>
            <w:tcW w:type="dxa" w:w="1201"/>
            <w:tcMar>
              <w:top w:w="50" w:type="dxa"/>
              <w:bottom w:w="50" w:type="dxa"/>
              <w:left w:w="90" w:type="dxa"/>
              <w:right w:w="90" w:type="dxa"/>
            </w:tcMar>
            <w:shd w:val="clear" w:color="auto" w:fill="E5F5FF"/>
          </w:tcPr>
          <w:p>
            <w:pPr>
              <w:pStyle w:val="BDOITable"/>
            </w:pPr>
            <w:r>
              <w:rPr>
                <w:sz w:val="16"/>
              </w:rPr>
              <w:t>EBIX, ISYS GL</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21"/>
            <w:tcMar>
              <w:top w:w="50" w:type="dxa"/>
              <w:bottom w:w="50" w:type="dxa"/>
              <w:left w:w="90" w:type="dxa"/>
              <w:right w:w="90" w:type="dxa"/>
            </w:tcMar>
          </w:tcPr>
          <w:p>
            <w:pPr>
              <w:pStyle w:val="BDOITable"/>
            </w:pPr>
            <w:r>
              <w:rPr>
                <w:b/>
                <w:sz w:val="16"/>
              </w:rPr>
              <w:t>R09</w:t>
            </w:r>
          </w:p>
        </w:tc>
        <w:tc>
          <w:tcPr>
            <w:tcW w:type="dxa" w:w="3004"/>
            <w:tcMar>
              <w:top w:w="50" w:type="dxa"/>
              <w:bottom w:w="50" w:type="dxa"/>
              <w:left w:w="90" w:type="dxa"/>
              <w:right w:w="90" w:type="dxa"/>
            </w:tcMar>
          </w:tcPr>
          <w:p>
            <w:pPr>
              <w:pStyle w:val="BDOITable"/>
            </w:pPr>
            <w:r>
              <w:rPr>
                <w:sz w:val="16"/>
              </w:rPr>
              <w:t>Payees</w:t>
            </w:r>
          </w:p>
        </w:tc>
        <w:tc>
          <w:tcPr>
            <w:tcW w:type="dxa" w:w="1081"/>
            <w:tcMar>
              <w:top w:w="50" w:type="dxa"/>
              <w:bottom w:w="50" w:type="dxa"/>
              <w:left w:w="90" w:type="dxa"/>
              <w:right w:w="90" w:type="dxa"/>
            </w:tcMar>
          </w:tcPr>
          <w:p>
            <w:pPr>
              <w:pStyle w:val="BDOITable"/>
            </w:pPr>
            <w:r>
              <w:rPr>
                <w:sz w:val="16"/>
              </w:rPr>
              <w:t>R09</w:t>
            </w:r>
          </w:p>
        </w:tc>
        <w:tc>
          <w:tcPr>
            <w:tcW w:type="dxa" w:w="1201"/>
            <w:tcMar>
              <w:top w:w="50" w:type="dxa"/>
              <w:bottom w:w="50" w:type="dxa"/>
              <w:left w:w="90" w:type="dxa"/>
              <w:right w:w="90" w:type="dxa"/>
            </w:tcMar>
          </w:tcPr>
          <w:p>
            <w:pPr>
              <w:pStyle w:val="BDOITable"/>
            </w:pPr>
            <w:r>
              <w:rPr>
                <w:sz w:val="16"/>
              </w:rPr>
              <w:t>EBIX, Disbursement files</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M4 (T-14 weeks)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R11</w:t>
            </w:r>
          </w:p>
        </w:tc>
        <w:tc>
          <w:tcPr>
            <w:tcW w:type="dxa" w:w="300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1081"/>
            <w:tcMar>
              <w:top w:w="50" w:type="dxa"/>
              <w:bottom w:w="50" w:type="dxa"/>
              <w:left w:w="90" w:type="dxa"/>
              <w:right w:w="90" w:type="dxa"/>
            </w:tcMar>
            <w:shd w:val="clear" w:color="auto" w:fill="E5F5FF"/>
          </w:tcPr>
          <w:p>
            <w:pPr>
              <w:pStyle w:val="BDOITable"/>
            </w:pPr>
            <w:r>
              <w:rPr>
                <w:sz w:val="16"/>
              </w:rPr>
              <w:t>R11</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M4 (T-14 weeks); final at T-3</w:t>
            </w:r>
          </w:p>
        </w:tc>
      </w:tr>
      <w:tr>
        <w:trPr>
          <w:cantSplit w:val="true"/>
        </w:trPr>
        <w:tc>
          <w:tcPr>
            <w:tcW w:type="dxa" w:w="721"/>
            <w:tcMar>
              <w:top w:w="50" w:type="dxa"/>
              <w:bottom w:w="50" w:type="dxa"/>
              <w:left w:w="90" w:type="dxa"/>
              <w:right w:w="90" w:type="dxa"/>
            </w:tcMar>
          </w:tcPr>
          <w:p>
            <w:pPr>
              <w:pStyle w:val="BDOITable"/>
            </w:pPr>
            <w:r>
              <w:rPr>
                <w:b/>
                <w:sz w:val="16"/>
              </w:rPr>
              <w:t>C01</w:t>
            </w:r>
          </w:p>
        </w:tc>
        <w:tc>
          <w:tcPr>
            <w:tcW w:type="dxa" w:w="3004"/>
            <w:tcMar>
              <w:top w:w="50" w:type="dxa"/>
              <w:bottom w:w="50" w:type="dxa"/>
              <w:left w:w="90" w:type="dxa"/>
              <w:right w:w="90" w:type="dxa"/>
            </w:tcMar>
          </w:tcPr>
          <w:p>
            <w:pPr>
              <w:pStyle w:val="BDOITable"/>
            </w:pPr>
            <w:r>
              <w:rPr>
                <w:sz w:val="16"/>
              </w:rPr>
              <w:t>Client master (individual and corporate)</w:t>
            </w:r>
          </w:p>
        </w:tc>
        <w:tc>
          <w:tcPr>
            <w:tcW w:type="dxa" w:w="1081"/>
            <w:tcMar>
              <w:top w:w="50" w:type="dxa"/>
              <w:bottom w:w="50" w:type="dxa"/>
              <w:left w:w="90" w:type="dxa"/>
              <w:right w:w="90" w:type="dxa"/>
            </w:tcMar>
          </w:tcPr>
          <w:p>
            <w:pPr>
              <w:pStyle w:val="BDOITable"/>
            </w:pPr>
            <w:r>
              <w:rPr>
                <w:sz w:val="16"/>
              </w:rPr>
              <w:t>C01, C02</w:t>
            </w:r>
          </w:p>
        </w:tc>
        <w:tc>
          <w:tcPr>
            <w:tcW w:type="dxa" w:w="1201"/>
            <w:tcMar>
              <w:top w:w="50" w:type="dxa"/>
              <w:bottom w:w="50" w:type="dxa"/>
              <w:left w:w="90" w:type="dxa"/>
              <w:right w:w="90" w:type="dxa"/>
            </w:tcMar>
          </w:tcPr>
          <w:p>
            <w:pPr>
              <w:pStyle w:val="BDOITable"/>
            </w:pPr>
            <w:r>
              <w:rPr>
                <w:sz w:val="16"/>
              </w:rPr>
              <w:t>QPS, EBIX, CMS</w:t>
            </w:r>
          </w:p>
        </w:tc>
        <w:tc>
          <w:tcPr>
            <w:tcW w:type="dxa" w:w="2403"/>
            <w:tcMar>
              <w:top w:w="50" w:type="dxa"/>
              <w:bottom w:w="50" w:type="dxa"/>
              <w:left w:w="90" w:type="dxa"/>
              <w:right w:w="90" w:type="dxa"/>
            </w:tcMar>
          </w:tcPr>
          <w:p>
            <w:pPr>
              <w:pStyle w:val="BDOITable"/>
            </w:pPr>
            <w:r>
              <w:rPr>
                <w:sz w:val="16"/>
              </w:rPr>
              <w:t>Row count; count of distinct legacy_client_no</w:t>
            </w:r>
          </w:p>
        </w:tc>
        <w:tc>
          <w:tcPr>
            <w:tcW w:type="dxa" w:w="1562"/>
            <w:tcMar>
              <w:top w:w="50" w:type="dxa"/>
              <w:bottom w:w="50" w:type="dxa"/>
              <w:left w:w="90" w:type="dxa"/>
              <w:right w:w="90" w:type="dxa"/>
            </w:tcMar>
          </w:tcPr>
          <w:p>
            <w:pPr>
              <w:pStyle w:val="BDOITable"/>
            </w:pPr>
            <w:r>
              <w:rPr>
                <w:sz w:val="16"/>
              </w:rPr>
              <w:t>M4 (T-14 weeks); deltas daily from T-14 days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 (for refunds)</w:t>
            </w:r>
          </w:p>
        </w:tc>
        <w:tc>
          <w:tcPr>
            <w:tcW w:type="dxa" w:w="1081"/>
            <w:tcMar>
              <w:top w:w="50" w:type="dxa"/>
              <w:bottom w:w="50" w:type="dxa"/>
              <w:left w:w="90" w:type="dxa"/>
              <w:right w:w="90" w:type="dxa"/>
            </w:tcMar>
            <w:shd w:val="clear" w:color="auto" w:fill="E5F5FF"/>
          </w:tcPr>
          <w:p>
            <w:pPr>
              <w:pStyle w:val="BDOITable"/>
            </w:pPr>
            <w:r>
              <w:rPr>
                <w:sz w:val="16"/>
              </w:rPr>
              <w:t>C03</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M4 (T-14 weeks)</w:t>
            </w:r>
          </w:p>
        </w:tc>
      </w:tr>
      <w:tr>
        <w:trPr>
          <w:cantSplit w:val="true"/>
        </w:trPr>
        <w:tc>
          <w:tcPr>
            <w:tcW w:type="dxa" w:w="721"/>
            <w:tcMar>
              <w:top w:w="50" w:type="dxa"/>
              <w:bottom w:w="50" w:type="dxa"/>
              <w:left w:w="90" w:type="dxa"/>
              <w:right w:w="90" w:type="dxa"/>
            </w:tcMar>
          </w:tcPr>
          <w:p>
            <w:pPr>
              <w:pStyle w:val="BDOITable"/>
            </w:pPr>
            <w:r>
              <w:rPr>
                <w:b/>
                <w:sz w:val="16"/>
              </w:rPr>
              <w:t>C04</w:t>
            </w:r>
          </w:p>
        </w:tc>
        <w:tc>
          <w:tcPr>
            <w:tcW w:type="dxa" w:w="3004"/>
            <w:tcMar>
              <w:top w:w="50" w:type="dxa"/>
              <w:bottom w:w="50" w:type="dxa"/>
              <w:left w:w="90" w:type="dxa"/>
              <w:right w:w="90" w:type="dxa"/>
            </w:tcMar>
          </w:tcPr>
          <w:p>
            <w:pPr>
              <w:pStyle w:val="BDOITable"/>
            </w:pPr>
            <w:r>
              <w:rPr>
                <w:sz w:val="16"/>
              </w:rPr>
              <w:t>KYC documents and IDs</w:t>
            </w:r>
          </w:p>
        </w:tc>
        <w:tc>
          <w:tcPr>
            <w:tcW w:type="dxa" w:w="1081"/>
            <w:tcMar>
              <w:top w:w="50" w:type="dxa"/>
              <w:bottom w:w="50" w:type="dxa"/>
              <w:left w:w="90" w:type="dxa"/>
              <w:right w:w="90" w:type="dxa"/>
            </w:tcMar>
          </w:tcPr>
          <w:p>
            <w:pPr>
              <w:pStyle w:val="BDOITable"/>
            </w:pPr>
            <w:r>
              <w:rPr>
                <w:sz w:val="16"/>
              </w:rPr>
              <w:t>H02</w:t>
            </w:r>
          </w:p>
        </w:tc>
        <w:tc>
          <w:tcPr>
            <w:tcW w:type="dxa" w:w="1201"/>
            <w:tcMar>
              <w:top w:w="50" w:type="dxa"/>
              <w:bottom w:w="50" w:type="dxa"/>
              <w:left w:w="90" w:type="dxa"/>
              <w:right w:w="90" w:type="dxa"/>
            </w:tcMar>
          </w:tcPr>
          <w:p>
            <w:pPr>
              <w:pStyle w:val="BDOITable"/>
            </w:pPr>
            <w:r>
              <w:rPr>
                <w:sz w:val="16"/>
              </w:rPr>
              <w:t>QPS, file shares</w:t>
            </w:r>
          </w:p>
        </w:tc>
        <w:tc>
          <w:tcPr>
            <w:tcW w:type="dxa" w:w="2403"/>
            <w:tcMar>
              <w:top w:w="50" w:type="dxa"/>
              <w:bottom w:w="50" w:type="dxa"/>
              <w:left w:w="90" w:type="dxa"/>
              <w:right w:w="90" w:type="dxa"/>
            </w:tcMar>
          </w:tcPr>
          <w:p>
            <w:pPr>
              <w:pStyle w:val="BDOITable"/>
            </w:pPr>
            <w:r>
              <w:rPr>
                <w:sz w:val="16"/>
              </w:rPr>
              <w:t>Row count; SHA-256 per file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P01</w:t>
            </w:r>
          </w:p>
        </w:tc>
        <w:tc>
          <w:tcPr>
            <w:tcW w:type="dxa" w:w="3004"/>
            <w:tcMar>
              <w:top w:w="50" w:type="dxa"/>
              <w:bottom w:w="50" w:type="dxa"/>
              <w:left w:w="90" w:type="dxa"/>
              <w:right w:w="90" w:type="dxa"/>
            </w:tcMar>
            <w:shd w:val="clear" w:color="auto" w:fill="E5F5FF"/>
          </w:tcPr>
          <w:p>
            <w:pPr>
              <w:pStyle w:val="BDOITable"/>
            </w:pPr>
            <w:r>
              <w:rPr>
                <w:sz w:val="16"/>
              </w:rPr>
              <w:t>In-force policy headers</w:t>
            </w:r>
          </w:p>
        </w:tc>
        <w:tc>
          <w:tcPr>
            <w:tcW w:type="dxa" w:w="1081"/>
            <w:tcMar>
              <w:top w:w="50" w:type="dxa"/>
              <w:bottom w:w="50" w:type="dxa"/>
              <w:left w:w="90" w:type="dxa"/>
              <w:right w:w="90" w:type="dxa"/>
            </w:tcMar>
            <w:shd w:val="clear" w:color="auto" w:fill="E5F5FF"/>
          </w:tcPr>
          <w:p>
            <w:pPr>
              <w:pStyle w:val="BDOITable"/>
            </w:pPr>
            <w:r>
              <w:rPr>
                <w:sz w:val="16"/>
              </w:rPr>
              <w:t>P01, P01S</w:t>
            </w:r>
          </w:p>
        </w:tc>
        <w:tc>
          <w:tcPr>
            <w:tcW w:type="dxa" w:w="1201"/>
            <w:tcMar>
              <w:top w:w="50" w:type="dxa"/>
              <w:bottom w:w="50" w:type="dxa"/>
              <w:left w:w="90" w:type="dxa"/>
              <w:right w:w="90" w:type="dxa"/>
            </w:tcMar>
            <w:shd w:val="clear" w:color="auto" w:fill="E5F5FF"/>
          </w:tcPr>
          <w:p>
            <w:pPr>
              <w:pStyle w:val="BDOITable"/>
            </w:pPr>
            <w:r>
              <w:rPr>
                <w:sz w:val="16"/>
              </w:rPr>
              <w:t>QPS, EBIX</w:t>
            </w:r>
          </w:p>
        </w:tc>
        <w:tc>
          <w:tcPr>
            <w:tcW w:type="dxa" w:w="2403"/>
            <w:tcMar>
              <w:top w:w="50" w:type="dxa"/>
              <w:bottom w:w="50" w:type="dxa"/>
              <w:left w:w="90" w:type="dxa"/>
              <w:right w:w="90" w:type="dxa"/>
            </w:tcMar>
            <w:shd w:val="clear" w:color="auto" w:fill="E5F5FF"/>
          </w:tcPr>
          <w:p>
            <w:pPr>
              <w:pStyle w:val="BDOITable"/>
            </w:pPr>
            <w:r>
              <w:rPr>
                <w:sz w:val="16"/>
              </w:rPr>
              <w:t>Row count; sum of sum_insured and gross_premium per currency; count of distinct legacy_policy_ref</w:t>
            </w:r>
          </w:p>
        </w:tc>
        <w:tc>
          <w:tcPr>
            <w:tcW w:type="dxa" w:w="15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21"/>
            <w:tcMar>
              <w:top w:w="50" w:type="dxa"/>
              <w:bottom w:w="50" w:type="dxa"/>
              <w:left w:w="90" w:type="dxa"/>
              <w:right w:w="90" w:type="dxa"/>
            </w:tcMar>
          </w:tcPr>
          <w:p>
            <w:pPr>
              <w:pStyle w:val="BDOITable"/>
            </w:pPr>
            <w:r>
              <w:rPr>
                <w:b/>
                <w:sz w:val="16"/>
              </w:rPr>
              <w:t>P02</w:t>
            </w:r>
          </w:p>
        </w:tc>
        <w:tc>
          <w:tcPr>
            <w:tcW w:type="dxa" w:w="3004"/>
            <w:tcMar>
              <w:top w:w="50" w:type="dxa"/>
              <w:bottom w:w="50" w:type="dxa"/>
              <w:left w:w="90" w:type="dxa"/>
              <w:right w:w="90" w:type="dxa"/>
            </w:tcMar>
          </w:tcPr>
          <w:p>
            <w:pPr>
              <w:pStyle w:val="BDOITable"/>
            </w:pPr>
            <w:r>
              <w:rPr>
                <w:sz w:val="16"/>
              </w:rPr>
              <w:t>Expired policies and policy history</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and hash total per record type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P03</w:t>
            </w:r>
          </w:p>
        </w:tc>
        <w:tc>
          <w:tcPr>
            <w:tcW w:type="dxa" w:w="3004"/>
            <w:tcMar>
              <w:top w:w="50" w:type="dxa"/>
              <w:bottom w:w="50" w:type="dxa"/>
              <w:left w:w="90" w:type="dxa"/>
              <w:right w:w="90" w:type="dxa"/>
            </w:tcMar>
            <w:shd w:val="clear" w:color="auto" w:fill="E5F5FF"/>
          </w:tcPr>
          <w:p>
            <w:pPr>
              <w:pStyle w:val="BDOITable"/>
            </w:pPr>
            <w:r>
              <w:rPr>
                <w:sz w:val="16"/>
              </w:rPr>
              <w:t>RMEL cohorts already extracted in legacy (renewal candidates in disposition)</w:t>
            </w:r>
          </w:p>
        </w:tc>
        <w:tc>
          <w:tcPr>
            <w:tcW w:type="dxa" w:w="1081"/>
            <w:tcMar>
              <w:top w:w="50" w:type="dxa"/>
              <w:bottom w:w="50" w:type="dxa"/>
              <w:left w:w="90" w:type="dxa"/>
              <w:right w:w="90" w:type="dxa"/>
            </w:tcMar>
            <w:shd w:val="clear" w:color="auto" w:fill="E5F5FF"/>
          </w:tcPr>
          <w:p>
            <w:pPr>
              <w:pStyle w:val="BDOITable"/>
            </w:pPr>
            <w:r>
              <w:rPr>
                <w:sz w:val="16"/>
              </w:rPr>
              <w:t>P03</w:t>
            </w:r>
          </w:p>
        </w:tc>
        <w:tc>
          <w:tcPr>
            <w:tcW w:type="dxa" w:w="1201"/>
            <w:tcMar>
              <w:top w:w="50" w:type="dxa"/>
              <w:bottom w:w="50" w:type="dxa"/>
              <w:left w:w="90" w:type="dxa"/>
              <w:right w:w="90" w:type="dxa"/>
            </w:tcMar>
            <w:shd w:val="clear" w:color="auto" w:fill="E5F5FF"/>
          </w:tcPr>
          <w:p>
            <w:pPr>
              <w:pStyle w:val="BDOITable"/>
            </w:pPr>
            <w:r>
              <w:rPr>
                <w:sz w:val="16"/>
              </w:rPr>
              <w:t>RMEL files, QPS</w:t>
            </w:r>
          </w:p>
        </w:tc>
        <w:tc>
          <w:tcPr>
            <w:tcW w:type="dxa" w:w="2403"/>
            <w:tcMar>
              <w:top w:w="50" w:type="dxa"/>
              <w:bottom w:w="50" w:type="dxa"/>
              <w:left w:w="90" w:type="dxa"/>
              <w:right w:w="90" w:type="dxa"/>
            </w:tcMar>
            <w:shd w:val="clear" w:color="auto" w:fill="E5F5FF"/>
          </w:tcPr>
          <w:p>
            <w:pPr>
              <w:pStyle w:val="BDOITable"/>
            </w:pPr>
            <w:r>
              <w:rPr>
                <w:sz w:val="16"/>
              </w:rPr>
              <w:t>Row count per expiry month</w:t>
            </w:r>
          </w:p>
        </w:tc>
        <w:tc>
          <w:tcPr>
            <w:tcW w:type="dxa" w:w="15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21"/>
            <w:tcMar>
              <w:top w:w="50" w:type="dxa"/>
              <w:bottom w:w="50" w:type="dxa"/>
              <w:left w:w="90" w:type="dxa"/>
              <w:right w:w="90" w:type="dxa"/>
            </w:tcMar>
          </w:tcPr>
          <w:p>
            <w:pPr>
              <w:pStyle w:val="BDOITable"/>
            </w:pPr>
            <w:r>
              <w:rPr>
                <w:b/>
                <w:sz w:val="16"/>
              </w:rPr>
              <w:t>F01</w:t>
            </w:r>
          </w:p>
        </w:tc>
        <w:tc>
          <w:tcPr>
            <w:tcW w:type="dxa" w:w="300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081"/>
            <w:tcMar>
              <w:top w:w="50" w:type="dxa"/>
              <w:bottom w:w="50" w:type="dxa"/>
              <w:left w:w="90" w:type="dxa"/>
              <w:right w:w="90" w:type="dxa"/>
            </w:tcMar>
          </w:tcPr>
          <w:p>
            <w:pPr>
              <w:pStyle w:val="BDOITable"/>
            </w:pPr>
            <w:r>
              <w:rPr>
                <w:sz w:val="16"/>
              </w:rPr>
              <w:t>F01, F01S, F01C</w:t>
            </w:r>
          </w:p>
        </w:tc>
        <w:tc>
          <w:tcPr>
            <w:tcW w:type="dxa" w:w="1201"/>
            <w:tcMar>
              <w:top w:w="50" w:type="dxa"/>
              <w:bottom w:w="50" w:type="dxa"/>
              <w:left w:w="90" w:type="dxa"/>
              <w:right w:w="90" w:type="dxa"/>
            </w:tcMar>
          </w:tcPr>
          <w:p>
            <w:pPr>
              <w:pStyle w:val="BDOITable"/>
            </w:pPr>
            <w:r>
              <w:rPr>
                <w:sz w:val="16"/>
              </w:rPr>
              <w:t>EBIX, QPS</w:t>
            </w:r>
          </w:p>
        </w:tc>
        <w:tc>
          <w:tcPr>
            <w:tcW w:type="dxa" w:w="2403"/>
            <w:tcMar>
              <w:top w:w="50" w:type="dxa"/>
              <w:bottom w:w="50" w:type="dxa"/>
              <w:left w:w="90" w:type="dxa"/>
              <w:right w:w="90" w:type="dxa"/>
            </w:tcMar>
          </w:tcPr>
          <w:p>
            <w:pPr>
              <w:pStyle w:val="BDOITable"/>
            </w:pPr>
            <w:r>
              <w:rPr>
                <w:sz w:val="16"/>
              </w:rPr>
              <w:t>Row count per file; sums per component, bucket and currency; count of distinct legacy_invoice_no</w:t>
            </w:r>
          </w:p>
        </w:tc>
        <w:tc>
          <w:tcPr>
            <w:tcW w:type="dxa" w:w="1562"/>
            <w:tcMar>
              <w:top w:w="50" w:type="dxa"/>
              <w:bottom w:w="50" w:type="dxa"/>
              <w:left w:w="90" w:type="dxa"/>
              <w:right w:w="90" w:type="dxa"/>
            </w:tcMar>
          </w:tcPr>
          <w:p>
            <w:pPr>
              <w:pStyle w:val="BDOITable"/>
            </w:pPr>
            <w:r>
              <w:rPr>
                <w:sz w:val="16"/>
              </w:rPr>
              <w:t>M4 (T-14 weeks);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F02</w:t>
            </w:r>
          </w:p>
        </w:tc>
        <w:tc>
          <w:tcPr>
            <w:tcW w:type="dxa" w:w="300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081"/>
            <w:tcMar>
              <w:top w:w="50" w:type="dxa"/>
              <w:bottom w:w="50" w:type="dxa"/>
              <w:left w:w="90" w:type="dxa"/>
              <w:right w:w="90" w:type="dxa"/>
            </w:tcMar>
            <w:shd w:val="clear" w:color="auto" w:fill="E5F5FF"/>
          </w:tcPr>
          <w:p>
            <w:pPr>
              <w:pStyle w:val="BDOITable"/>
            </w:pPr>
            <w:r>
              <w:rPr>
                <w:sz w:val="16"/>
              </w:rPr>
              <w:t>F02</w:t>
            </w:r>
          </w:p>
        </w:tc>
        <w:tc>
          <w:tcPr>
            <w:tcW w:type="dxa" w:w="1201"/>
            <w:tcMar>
              <w:top w:w="50" w:type="dxa"/>
              <w:bottom w:w="50" w:type="dxa"/>
              <w:left w:w="90" w:type="dxa"/>
              <w:right w:w="90" w:type="dxa"/>
            </w:tcMar>
            <w:shd w:val="clear" w:color="auto" w:fill="E5F5FF"/>
          </w:tcPr>
          <w:p>
            <w:pPr>
              <w:pStyle w:val="BDOITable"/>
            </w:pPr>
            <w:r>
              <w:rPr>
                <w:sz w:val="16"/>
              </w:rPr>
              <w:t>EBIX, CMS</w:t>
            </w:r>
          </w:p>
        </w:tc>
        <w:tc>
          <w:tcPr>
            <w:tcW w:type="dxa" w:w="2403"/>
            <w:tcMar>
              <w:top w:w="50" w:type="dxa"/>
              <w:bottom w:w="50" w:type="dxa"/>
              <w:left w:w="90" w:type="dxa"/>
              <w:right w:w="90" w:type="dxa"/>
            </w:tcMar>
            <w:shd w:val="clear" w:color="auto" w:fill="E5F5FF"/>
          </w:tcPr>
          <w:p>
            <w:pPr>
              <w:pStyle w:val="BDOITable"/>
            </w:pPr>
            <w:r>
              <w:rPr>
                <w:sz w:val="16"/>
              </w:rPr>
              <w:t>Row count; sums of amount and balance per currency; count of distinct legacy_upp_ref</w:t>
            </w:r>
          </w:p>
        </w:tc>
        <w:tc>
          <w:tcPr>
            <w:tcW w:type="dxa" w:w="15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21"/>
            <w:tcMar>
              <w:top w:w="50" w:type="dxa"/>
              <w:bottom w:w="50" w:type="dxa"/>
              <w:left w:w="90" w:type="dxa"/>
              <w:right w:w="90" w:type="dxa"/>
            </w:tcMar>
          </w:tcPr>
          <w:p>
            <w:pPr>
              <w:pStyle w:val="BDOITable"/>
            </w:pPr>
            <w:r>
              <w:rPr>
                <w:b/>
                <w:sz w:val="16"/>
              </w:rPr>
              <w:t>F03</w:t>
            </w:r>
          </w:p>
        </w:tc>
        <w:tc>
          <w:tcPr>
            <w:tcW w:type="dxa" w:w="300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081"/>
            <w:tcMar>
              <w:top w:w="50" w:type="dxa"/>
              <w:bottom w:w="50" w:type="dxa"/>
              <w:left w:w="90" w:type="dxa"/>
              <w:right w:w="90" w:type="dxa"/>
            </w:tcMar>
          </w:tcPr>
          <w:p>
            <w:pPr>
              <w:pStyle w:val="BDOITable"/>
            </w:pPr>
            <w:r>
              <w:rPr>
                <w:sz w:val="16"/>
              </w:rPr>
              <w:t>F03</w:t>
            </w:r>
          </w:p>
        </w:tc>
        <w:tc>
          <w:tcPr>
            <w:tcW w:type="dxa" w:w="1201"/>
            <w:tcMar>
              <w:top w:w="50" w:type="dxa"/>
              <w:bottom w:w="50" w:type="dxa"/>
              <w:left w:w="90" w:type="dxa"/>
              <w:right w:w="90" w:type="dxa"/>
            </w:tcMar>
          </w:tcPr>
          <w:p>
            <w:pPr>
              <w:pStyle w:val="BDOITable"/>
            </w:pPr>
            <w:r>
              <w:rPr>
                <w:sz w:val="16"/>
              </w:rPr>
              <w:t>CMS</w:t>
            </w:r>
          </w:p>
        </w:tc>
        <w:tc>
          <w:tcPr>
            <w:tcW w:type="dxa" w:w="2403"/>
            <w:tcMar>
              <w:top w:w="50" w:type="dxa"/>
              <w:bottom w:w="50" w:type="dxa"/>
              <w:left w:w="90" w:type="dxa"/>
              <w:right w:w="90" w:type="dxa"/>
            </w:tcMar>
          </w:tcPr>
          <w:p>
            <w:pPr>
              <w:pStyle w:val="BDOITable"/>
            </w:pPr>
            <w:r>
              <w:rPr>
                <w:sz w:val="16"/>
              </w:rPr>
              <w:t>Row count; sum of promise_amount per currency</w:t>
            </w:r>
          </w:p>
        </w:tc>
        <w:tc>
          <w:tcPr>
            <w:tcW w:type="dxa" w:w="1562"/>
            <w:tcMar>
              <w:top w:w="50" w:type="dxa"/>
              <w:bottom w:w="50" w:type="dxa"/>
              <w:left w:w="90" w:type="dxa"/>
              <w:right w:w="90" w:type="dxa"/>
            </w:tcMar>
          </w:tcPr>
          <w:p>
            <w:pPr>
              <w:pStyle w:val="BDOITable"/>
            </w:pPr>
            <w:r>
              <w:rPr>
                <w:sz w:val="16"/>
              </w:rPr>
              <w:t>M4 (T-14 weeks);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F04</w:t>
            </w:r>
          </w:p>
        </w:tc>
        <w:tc>
          <w:tcPr>
            <w:tcW w:type="dxa" w:w="300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081"/>
            <w:tcMar>
              <w:top w:w="50" w:type="dxa"/>
              <w:bottom w:w="50" w:type="dxa"/>
              <w:left w:w="90" w:type="dxa"/>
              <w:right w:w="90" w:type="dxa"/>
            </w:tcMar>
            <w:shd w:val="clear" w:color="auto" w:fill="E5F5FF"/>
          </w:tcPr>
          <w:p>
            <w:pPr>
              <w:pStyle w:val="BDOITable"/>
            </w:pPr>
            <w:r>
              <w:rPr>
                <w:sz w:val="16"/>
              </w:rPr>
              <w:t>F04</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 sum of amount per currency</w:t>
            </w:r>
          </w:p>
        </w:tc>
        <w:tc>
          <w:tcPr>
            <w:tcW w:type="dxa" w:w="15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21"/>
            <w:tcMar>
              <w:top w:w="50" w:type="dxa"/>
              <w:bottom w:w="50" w:type="dxa"/>
              <w:left w:w="90" w:type="dxa"/>
              <w:right w:w="90" w:type="dxa"/>
            </w:tcMar>
          </w:tcPr>
          <w:p>
            <w:pPr>
              <w:pStyle w:val="BDOITable"/>
            </w:pPr>
            <w:r>
              <w:rPr>
                <w:b/>
                <w:sz w:val="16"/>
              </w:rPr>
              <w:t>F06</w:t>
            </w:r>
          </w:p>
        </w:tc>
        <w:tc>
          <w:tcPr>
            <w:tcW w:type="dxa" w:w="3004"/>
            <w:tcMar>
              <w:top w:w="50" w:type="dxa"/>
              <w:bottom w:w="50" w:type="dxa"/>
              <w:left w:w="90" w:type="dxa"/>
              <w:right w:w="90" w:type="dxa"/>
            </w:tcMar>
          </w:tcPr>
          <w:p>
            <w:pPr>
              <w:pStyle w:val="BDOITable"/>
            </w:pPr>
            <w:r>
              <w:rPr>
                <w:sz w:val="16"/>
              </w:rPr>
              <w:t>PDCs in the warehouse, check pick-ups and refunds in process</w:t>
            </w:r>
          </w:p>
        </w:tc>
        <w:tc>
          <w:tcPr>
            <w:tcW w:type="dxa" w:w="1081"/>
            <w:tcMar>
              <w:top w:w="50" w:type="dxa"/>
              <w:bottom w:w="50" w:type="dxa"/>
              <w:left w:w="90" w:type="dxa"/>
              <w:right w:w="90" w:type="dxa"/>
            </w:tcMar>
          </w:tcPr>
          <w:p>
            <w:pPr>
              <w:pStyle w:val="BDOITable"/>
            </w:pPr>
            <w:r>
              <w:rPr>
                <w:sz w:val="16"/>
              </w:rPr>
              <w:t>F06</w:t>
            </w:r>
          </w:p>
        </w:tc>
        <w:tc>
          <w:tcPr>
            <w:tcW w:type="dxa" w:w="1201"/>
            <w:tcMar>
              <w:top w:w="50" w:type="dxa"/>
              <w:bottom w:w="50" w:type="dxa"/>
              <w:left w:w="90" w:type="dxa"/>
              <w:right w:w="90" w:type="dxa"/>
            </w:tcMar>
          </w:tcPr>
          <w:p>
            <w:pPr>
              <w:pStyle w:val="BDOITable"/>
            </w:pPr>
            <w:r>
              <w:rPr>
                <w:sz w:val="16"/>
              </w:rPr>
              <w:t>EBIX</w:t>
            </w:r>
          </w:p>
        </w:tc>
        <w:tc>
          <w:tcPr>
            <w:tcW w:type="dxa" w:w="2403"/>
            <w:tcMar>
              <w:top w:w="50" w:type="dxa"/>
              <w:bottom w:w="50" w:type="dxa"/>
              <w:left w:w="90" w:type="dxa"/>
              <w:right w:w="90" w:type="dxa"/>
            </w:tcMar>
          </w:tcPr>
          <w:p>
            <w:pPr>
              <w:pStyle w:val="BDOITable"/>
            </w:pPr>
            <w:r>
              <w:rPr>
                <w:sz w:val="16"/>
              </w:rPr>
              <w:t>Row count; sum of amount per currency and record type</w:t>
            </w:r>
          </w:p>
        </w:tc>
        <w:tc>
          <w:tcPr>
            <w:tcW w:type="dxa" w:w="1562"/>
            <w:tcMar>
              <w:top w:w="50" w:type="dxa"/>
              <w:bottom w:w="50" w:type="dxa"/>
              <w:left w:w="90" w:type="dxa"/>
              <w:right w:w="90" w:type="dxa"/>
            </w:tcMar>
          </w:tcPr>
          <w:p>
            <w:pPr>
              <w:pStyle w:val="BDOITable"/>
            </w:pPr>
            <w:r>
              <w:rPr>
                <w:sz w:val="16"/>
              </w:rPr>
              <w:t>M4 (T-14 weeks);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G01</w:t>
            </w:r>
          </w:p>
        </w:tc>
        <w:tc>
          <w:tcPr>
            <w:tcW w:type="dxa" w:w="3004"/>
            <w:tcMar>
              <w:top w:w="50" w:type="dxa"/>
              <w:bottom w:w="50" w:type="dxa"/>
              <w:left w:w="90" w:type="dxa"/>
              <w:right w:w="90" w:type="dxa"/>
            </w:tcMar>
            <w:shd w:val="clear" w:color="auto" w:fill="E5F5FF"/>
          </w:tcPr>
          <w:p>
            <w:pPr>
              <w:pStyle w:val="BDOITable"/>
            </w:pPr>
            <w:r>
              <w:rPr>
                <w:sz w:val="16"/>
              </w:rPr>
              <w:t>GL opening trial balance per account, branch and currency</w:t>
            </w:r>
          </w:p>
        </w:tc>
        <w:tc>
          <w:tcPr>
            <w:tcW w:type="dxa" w:w="1081"/>
            <w:tcMar>
              <w:top w:w="50" w:type="dxa"/>
              <w:bottom w:w="50" w:type="dxa"/>
              <w:left w:w="90" w:type="dxa"/>
              <w:right w:w="90" w:type="dxa"/>
            </w:tcMar>
            <w:shd w:val="clear" w:color="auto" w:fill="E5F5FF"/>
          </w:tcPr>
          <w:p>
            <w:pPr>
              <w:pStyle w:val="BDOITable"/>
            </w:pPr>
            <w:r>
              <w:rPr>
                <w:sz w:val="16"/>
              </w:rPr>
              <w:t>G01</w:t>
            </w:r>
          </w:p>
        </w:tc>
        <w:tc>
          <w:tcPr>
            <w:tcW w:type="dxa" w:w="1201"/>
            <w:tcMar>
              <w:top w:w="50" w:type="dxa"/>
              <w:bottom w:w="50" w:type="dxa"/>
              <w:left w:w="90" w:type="dxa"/>
              <w:right w:w="90" w:type="dxa"/>
            </w:tcMar>
            <w:shd w:val="clear" w:color="auto" w:fill="E5F5FF"/>
          </w:tcPr>
          <w:p>
            <w:pPr>
              <w:pStyle w:val="BDOITable"/>
            </w:pPr>
            <w:r>
              <w:rPr>
                <w:sz w:val="16"/>
              </w:rPr>
              <w:t>EBIX GL, ISYS GL</w:t>
            </w:r>
          </w:p>
        </w:tc>
        <w:tc>
          <w:tcPr>
            <w:tcW w:type="dxa" w:w="2403"/>
            <w:tcMar>
              <w:top w:w="50" w:type="dxa"/>
              <w:bottom w:w="50" w:type="dxa"/>
              <w:left w:w="90" w:type="dxa"/>
              <w:right w:w="90" w:type="dxa"/>
            </w:tcMar>
            <w:shd w:val="clear" w:color="auto" w:fill="E5F5FF"/>
          </w:tcPr>
          <w:p>
            <w:pPr>
              <w:pStyle w:val="BDOITable"/>
            </w:pPr>
            <w:r>
              <w:rPr>
                <w:sz w:val="16"/>
              </w:rPr>
              <w:t>Row count; total debit and total credit per branch and currency (must be equal)</w:t>
            </w:r>
          </w:p>
        </w:tc>
        <w:tc>
          <w:tcPr>
            <w:tcW w:type="dxa" w:w="1562"/>
            <w:tcMar>
              <w:top w:w="50" w:type="dxa"/>
              <w:bottom w:w="50" w:type="dxa"/>
              <w:left w:w="90" w:type="dxa"/>
              <w:right w:w="90" w:type="dxa"/>
            </w:tcMar>
            <w:shd w:val="clear" w:color="auto" w:fill="E5F5FF"/>
          </w:tcPr>
          <w:p>
            <w:pPr>
              <w:pStyle w:val="BDOITable"/>
            </w:pPr>
            <w:r>
              <w:rPr>
                <w:sz w:val="16"/>
              </w:rPr>
              <w:t>M4 (T-14 weeks); final at T-2</w:t>
            </w:r>
          </w:p>
        </w:tc>
      </w:tr>
      <w:tr>
        <w:trPr>
          <w:cantSplit w:val="true"/>
        </w:trPr>
        <w:tc>
          <w:tcPr>
            <w:tcW w:type="dxa" w:w="721"/>
            <w:tcMar>
              <w:top w:w="50" w:type="dxa"/>
              <w:bottom w:w="50" w:type="dxa"/>
              <w:left w:w="90" w:type="dxa"/>
              <w:right w:w="90" w:type="dxa"/>
            </w:tcMar>
          </w:tcPr>
          <w:p>
            <w:pPr>
              <w:pStyle w:val="BDOITable"/>
            </w:pPr>
            <w:r>
              <w:rPr>
                <w:b/>
                <w:sz w:val="16"/>
              </w:rPr>
              <w:t>G02</w:t>
            </w:r>
          </w:p>
        </w:tc>
        <w:tc>
          <w:tcPr>
            <w:tcW w:type="dxa" w:w="3004"/>
            <w:tcMar>
              <w:top w:w="50" w:type="dxa"/>
              <w:bottom w:w="50" w:type="dxa"/>
              <w:left w:w="90" w:type="dxa"/>
              <w:right w:w="90" w:type="dxa"/>
            </w:tcMar>
          </w:tcPr>
          <w:p>
            <w:pPr>
              <w:pStyle w:val="BDOITable"/>
            </w:pPr>
            <w:r>
              <w:rPr>
                <w:sz w:val="16"/>
              </w:rPr>
              <w:t>GL history (journals and balances before cutover)</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EBIX GL, ISYS GL</w:t>
            </w:r>
          </w:p>
        </w:tc>
        <w:tc>
          <w:tcPr>
            <w:tcW w:type="dxa" w:w="2403"/>
            <w:tcMar>
              <w:top w:w="50" w:type="dxa"/>
              <w:bottom w:w="50" w:type="dxa"/>
              <w:left w:w="90" w:type="dxa"/>
              <w:right w:w="90" w:type="dxa"/>
            </w:tcMar>
          </w:tcPr>
          <w:p>
            <w:pPr>
              <w:pStyle w:val="BDOITable"/>
            </w:pPr>
            <w:r>
              <w:rPr>
                <w:sz w:val="16"/>
              </w:rPr>
              <w:t>Row count and debit / credit totals per period</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Closed transactions (paid and remitted invoices, receipts, remittances, endorsements, claims, renewal advices, letters)</w:t>
            </w:r>
          </w:p>
        </w:tc>
        <w:tc>
          <w:tcPr>
            <w:tcW w:type="dxa" w:w="1081"/>
            <w:tcMar>
              <w:top w:w="50" w:type="dxa"/>
              <w:bottom w:w="50" w:type="dxa"/>
              <w:left w:w="90" w:type="dxa"/>
              <w:right w:w="90" w:type="dxa"/>
            </w:tcMar>
            <w:shd w:val="clear" w:color="auto" w:fill="E5F5FF"/>
          </w:tcPr>
          <w:p>
            <w:pPr>
              <w:pStyle w:val="BDOITable"/>
            </w:pPr>
            <w:r>
              <w:rPr>
                <w:sz w:val="16"/>
              </w:rPr>
              <w:t>H01</w:t>
            </w:r>
          </w:p>
        </w:tc>
        <w:tc>
          <w:tcPr>
            <w:tcW w:type="dxa" w:w="1201"/>
            <w:tcMar>
              <w:top w:w="50" w:type="dxa"/>
              <w:bottom w:w="50" w:type="dxa"/>
              <w:left w:w="90" w:type="dxa"/>
              <w:right w:w="90" w:type="dxa"/>
            </w:tcMar>
            <w:shd w:val="clear" w:color="auto" w:fill="E5F5FF"/>
          </w:tcPr>
          <w:p>
            <w:pPr>
              <w:pStyle w:val="BDOITable"/>
            </w:pPr>
            <w:r>
              <w:rPr>
                <w:sz w:val="16"/>
              </w:rPr>
              <w:t>EBIX, QPS, ISYS</w:t>
            </w:r>
          </w:p>
        </w:tc>
        <w:tc>
          <w:tcPr>
            <w:tcW w:type="dxa" w:w="2403"/>
            <w:tcMar>
              <w:top w:w="50" w:type="dxa"/>
              <w:bottom w:w="50" w:type="dxa"/>
              <w:left w:w="90" w:type="dxa"/>
              <w:right w:w="90" w:type="dxa"/>
            </w:tcMar>
            <w:shd w:val="clear" w:color="auto" w:fill="E5F5FF"/>
          </w:tcPr>
          <w:p>
            <w:pPr>
              <w:pStyle w:val="BDOITable"/>
            </w:pPr>
            <w:r>
              <w:rPr>
                <w:sz w:val="16"/>
              </w:rPr>
              <w:t>Row count, amount totals and hash total per record type</w:t>
            </w:r>
          </w:p>
        </w:tc>
        <w:tc>
          <w:tcPr>
            <w:tcW w:type="dxa" w:w="1562"/>
            <w:tcMar>
              <w:top w:w="50" w:type="dxa"/>
              <w:bottom w:w="50" w:type="dxa"/>
              <w:left w:w="90" w:type="dxa"/>
              <w:right w:w="90" w:type="dxa"/>
            </w:tcMar>
            <w:shd w:val="clear" w:color="auto" w:fill="E5F5FF"/>
          </w:tcPr>
          <w:p>
            <w:pPr>
              <w:pStyle w:val="BDOITable"/>
            </w:pPr>
            <w:r>
              <w:rPr>
                <w:sz w:val="16"/>
              </w:rPr>
              <w:t>Before decommissioning</w:t>
            </w:r>
          </w:p>
        </w:tc>
      </w:tr>
      <w:tr>
        <w:trPr>
          <w:cantSplit w:val="true"/>
        </w:trP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Legacy documents (policies, SOAs, ORs, certificates, letters)</w:t>
            </w:r>
          </w:p>
        </w:tc>
        <w:tc>
          <w:tcPr>
            <w:tcW w:type="dxa" w:w="1081"/>
            <w:tcMar>
              <w:top w:w="50" w:type="dxa"/>
              <w:bottom w:w="50" w:type="dxa"/>
              <w:left w:w="90" w:type="dxa"/>
              <w:right w:w="90" w:type="dxa"/>
            </w:tcMar>
          </w:tcPr>
          <w:p>
            <w:pPr>
              <w:pStyle w:val="BDOITable"/>
            </w:pPr>
            <w:r>
              <w:rPr>
                <w:sz w:val="16"/>
              </w:rPr>
              <w:t>H02</w:t>
            </w:r>
          </w:p>
        </w:tc>
        <w:tc>
          <w:tcPr>
            <w:tcW w:type="dxa" w:w="1201"/>
            <w:tcMar>
              <w:top w:w="50" w:type="dxa"/>
              <w:bottom w:w="50" w:type="dxa"/>
              <w:left w:w="90" w:type="dxa"/>
              <w:right w:w="90" w:type="dxa"/>
            </w:tcMar>
          </w:tcPr>
          <w:p>
            <w:pPr>
              <w:pStyle w:val="BDOITable"/>
            </w:pPr>
            <w:r>
              <w:rPr>
                <w:sz w:val="16"/>
              </w:rPr>
              <w:t>File shares, EBIX</w:t>
            </w:r>
          </w:p>
        </w:tc>
        <w:tc>
          <w:tcPr>
            <w:tcW w:type="dxa" w:w="2403"/>
            <w:tcMar>
              <w:top w:w="50" w:type="dxa"/>
              <w:bottom w:w="50" w:type="dxa"/>
              <w:left w:w="90" w:type="dxa"/>
              <w:right w:w="90" w:type="dxa"/>
            </w:tcMar>
          </w:tcPr>
          <w:p>
            <w:pPr>
              <w:pStyle w:val="BDOITable"/>
            </w:pPr>
            <w:r>
              <w:rPr>
                <w:sz w:val="16"/>
              </w:rPr>
              <w:t>Row count; SHA-256 per file</w:t>
            </w:r>
          </w:p>
        </w:tc>
        <w:tc>
          <w:tcPr>
            <w:tcW w:type="dxa" w:w="1562"/>
            <w:tcMar>
              <w:top w:w="50" w:type="dxa"/>
              <w:bottom w:w="50" w:type="dxa"/>
              <w:left w:w="90" w:type="dxa"/>
              <w:right w:w="90" w:type="dxa"/>
            </w:tcMar>
          </w:tcPr>
          <w:p>
            <w:pPr>
              <w:pStyle w:val="BDOITable"/>
            </w:pPr>
            <w:r>
              <w:rPr>
                <w:sz w:val="16"/>
              </w:rPr>
              <w:t>Before decommissioning</w:t>
            </w:r>
          </w:p>
        </w:tc>
      </w:tr>
    </w:tbl>
    <w:p>
      <w:pPr>
        <w:pStyle w:val="BDOISpacer"/>
      </w:pPr>
    </w:p>
    <w:p>
      <w:pPr>
        <w:pStyle w:val="Heading2"/>
      </w:pPr>
      <w:bookmarkStart w:id="125" w:name="_Toc000125"/>
      <w:r>
        <w:rPr/>
        <w:t>6.3 Secure transfer and staging</w:t>
      </w:r>
      <w:bookmarkEnd w:id="125"/>
    </w:p>
    <w:p>
      <w:pPr>
        <w:tabs>
          <w:tab w:pos="312" w:val="left"/>
        </w:tabs>
        <w:spacing w:after="40"/>
        <w:ind w:left="312" w:hanging="283"/>
      </w:pPr>
      <w:r>
        <w:rPr>
          <w:color w:val="004EA8"/>
        </w:rPr>
        <w:t>•</w:t>
        <w:tab/>
      </w:r>
      <w:r>
        <w:rPr/>
        <w:t>Files are received through the Migration Console upload, or through an SFTP drop that BDOI IT and iorta TechNXT set up (a seam of the intake; DMQ28).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6" w:name="_Toc000126"/>
      <w:r>
        <w:rPr/>
        <w:t>6.4 Profiling</w:t>
      </w:r>
      <w:bookmarkEnd w:id="126"/>
    </w:p>
    <w:p>
      <w:r>
        <w:rPr/>
        <w:t>After the first full extract (M4, T-14 weeks) and after each mock,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27" w:name="_Toc000127"/>
      <w:r>
        <w:rPr/>
        <w:t>6.5 Cleansing: who fixes what</w:t>
      </w:r>
      <w:bookmarkEnd w:id="127"/>
    </w:p>
    <w:p>
      <w:r>
        <w:rPr/>
        <w:t>Cleansing is shared. BDOI owns the data and fixes it where it lives; iorta TechNXT fixes what is a matter of format or mapping.</w:t>
      </w:r>
    </w:p>
    <w:p>
      <w:pPr>
        <w:pStyle w:val="Caption"/>
        <w:keepNext/>
        <w:spacing w:after="60"/>
      </w:pPr>
      <w:r>
        <w:rPr>
          <w:b/>
          <w:i w:val="0"/>
        </w:rPr>
        <w:t xml:space="preserve">Table 15: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iorta TechNXT (extract layout or staging rule)</w:t>
            </w:r>
          </w:p>
        </w:tc>
        <w:tc>
          <w:tcPr>
            <w:tcW w:type="dxa" w:w="2042"/>
            <w:tcMar>
              <w:top w:w="50" w:type="dxa"/>
              <w:bottom w:w="50" w:type="dxa"/>
              <w:left w:w="90" w:type="dxa"/>
              <w:right w:w="90" w:type="dxa"/>
            </w:tcMar>
            <w:shd w:val="clear" w:color="auto" w:fill="E5F5FF"/>
          </w:tcPr>
          <w:p>
            <w:pPr>
              <w:pStyle w:val="BDOITable"/>
            </w:pPr>
            <w:r>
              <w:rPr>
                <w:sz w:val="17"/>
              </w:rPr>
              <w:t>Extract job or staging</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 (R3 section 8).</w:t>
      </w:r>
    </w:p>
    <w:p>
      <w:pPr>
        <w:pStyle w:val="Heading2"/>
      </w:pPr>
      <w:bookmarkStart w:id="128" w:name="_Toc000128"/>
      <w:r>
        <w:rPr/>
        <w:t>6.6 Mapping and code maps</w:t>
      </w:r>
      <w:bookmarkEnd w:id="128"/>
    </w:p>
    <w:p>
      <w:r>
        <w:rPr/>
        <w:t>Legacy codes are mapped to BIBS codes through code map sets, one per domain. Each set has versions: DRAFT, SUBMITTED, APPROVED, SUPERSEDED. The data steward prepares a version in the console or in the Excel template of the workbook and submits it; the business owner approves it (maker-checker). Each batch records the map versions it used, so every loaded value can be traced to the entry that produced it (BRID 3.1).</w:t>
      </w:r>
    </w:p>
    <w:p>
      <w:r>
        <w:rPr/>
        <w:t>An entry maps a legacy code to a BIBS code (MAP), to the default of the set (DEFAULT), rejects the rows that carry it (REJECT), or creates a new BIBS value (CREATE). CREATE values are created through the owning master (for example the LOV master or the insurer master) and authorised there before any dependent object loads.</w:t>
      </w:r>
    </w:p>
    <w:p>
      <w:pPr>
        <w:pStyle w:val="Caption"/>
        <w:keepNext/>
        <w:spacing w:after="60"/>
      </w:pPr>
      <w:r>
        <w:rPr>
          <w:b/>
          <w:i w:val="0"/>
        </w:rPr>
        <w:t xml:space="preserve">Table 16: </w:t>
      </w:r>
      <w:r>
        <w:rPr/>
        <w:t>Code map sets (BRID 3.1)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205"/>
        <w:gridCol w:w="2042"/>
        <w:gridCol w:w="2042"/>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Map set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What is mapped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BIBS master</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Approves</w:t>
            </w:r>
          </w:p>
        </w:tc>
      </w:tr>
      <w:tr>
        <w:trPr>
          <w:cantSplit w:val="true"/>
        </w:trPr>
        <w:tc>
          <w:tcPr>
            <w:tcW w:type="dxa" w:w="1682"/>
            <w:tcMar>
              <w:top w:w="50" w:type="dxa"/>
              <w:bottom w:w="50" w:type="dxa"/>
              <w:left w:w="90" w:type="dxa"/>
              <w:right w:w="90" w:type="dxa"/>
            </w:tcMar>
          </w:tcPr>
          <w:p>
            <w:pPr>
              <w:pStyle w:val="BDOITable"/>
            </w:pPr>
            <w:r>
              <w:rPr>
                <w:b/>
                <w:sz w:val="16"/>
              </w:rPr>
              <w:t>LOV:&lt;list&gt;</w:t>
            </w:r>
          </w:p>
        </w:tc>
        <w:tc>
          <w:tcPr>
            <w:tcW w:type="dxa" w:w="4205"/>
            <w:tcMar>
              <w:top w:w="50" w:type="dxa"/>
              <w:bottom w:w="50" w:type="dxa"/>
              <w:left w:w="90" w:type="dxa"/>
              <w:right w:w="90" w:type="dxa"/>
            </w:tcMar>
          </w:tcPr>
          <w:p>
            <w:pPr>
              <w:pStyle w:val="BDOITable"/>
            </w:pPr>
            <w:r>
              <w:rPr>
                <w:sz w:val="16"/>
              </w:rPr>
              <w:t>One set per legacy list (market segment, ID type, nationality, source of funds, KYC risk rating, account type, ...)</w:t>
            </w:r>
          </w:p>
        </w:tc>
        <w:tc>
          <w:tcPr>
            <w:tcW w:type="dxa" w:w="2042"/>
            <w:tcMar>
              <w:top w:w="50" w:type="dxa"/>
              <w:bottom w:w="50" w:type="dxa"/>
              <w:left w:w="90" w:type="dxa"/>
              <w:right w:w="90" w:type="dxa"/>
            </w:tcMar>
          </w:tcPr>
          <w:p>
            <w:pPr>
              <w:pStyle w:val="BDOITable"/>
            </w:pPr>
            <w:r>
              <w:rPr>
                <w:sz w:val="16"/>
              </w:rPr>
              <w:t>lov_value</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MIS:&lt;field&gt;</w:t>
            </w:r>
          </w:p>
        </w:tc>
        <w:tc>
          <w:tcPr>
            <w:tcW w:type="dxa" w:w="4205"/>
            <w:tcMar>
              <w:top w:w="50" w:type="dxa"/>
              <w:bottom w:w="50" w:type="dxa"/>
              <w:left w:w="90" w:type="dxa"/>
              <w:right w:w="90" w:type="dxa"/>
            </w:tcMar>
            <w:shd w:val="clear" w:color="auto" w:fill="E5F5FF"/>
          </w:tcPr>
          <w:p>
            <w:pPr>
              <w:pStyle w:val="BDOITable"/>
            </w:pPr>
            <w:r>
              <w:rPr>
                <w:sz w:val="16"/>
              </w:rPr>
              <w:t>One set per MIS field (market segment, department, unit head, AO, region, area, branch, business origin, customer segment; umbrella p.40)</w:t>
            </w:r>
          </w:p>
        </w:tc>
        <w:tc>
          <w:tcPr>
            <w:tcW w:type="dxa" w:w="2042"/>
            <w:tcMar>
              <w:top w:w="50" w:type="dxa"/>
              <w:bottom w:w="50" w:type="dxa"/>
              <w:left w:w="90" w:type="dxa"/>
              <w:right w:w="90" w:type="dxa"/>
            </w:tcMar>
            <w:shd w:val="clear" w:color="auto" w:fill="E5F5FF"/>
          </w:tcPr>
          <w:p>
            <w:pPr>
              <w:pStyle w:val="BDOITable"/>
            </w:pPr>
            <w:r>
              <w:rPr>
                <w:sz w:val="16"/>
              </w:rPr>
              <w:t>MIS field catalogue (CR-W1)</w:t>
            </w:r>
          </w:p>
        </w:tc>
        <w:tc>
          <w:tcPr>
            <w:tcW w:type="dxa" w:w="204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682"/>
            <w:tcMar>
              <w:top w:w="50" w:type="dxa"/>
              <w:bottom w:w="50" w:type="dxa"/>
              <w:left w:w="90" w:type="dxa"/>
              <w:right w:w="90" w:type="dxa"/>
            </w:tcMar>
          </w:tcPr>
          <w:p>
            <w:pPr>
              <w:pStyle w:val="BDOITable"/>
            </w:pPr>
            <w:r>
              <w:rPr>
                <w:b/>
                <w:sz w:val="16"/>
              </w:rPr>
              <w:t>INSURER</w:t>
            </w:r>
          </w:p>
        </w:tc>
        <w:tc>
          <w:tcPr>
            <w:tcW w:type="dxa" w:w="4205"/>
            <w:tcMar>
              <w:top w:w="50" w:type="dxa"/>
              <w:bottom w:w="50" w:type="dxa"/>
              <w:left w:w="90" w:type="dxa"/>
              <w:right w:w="90" w:type="dxa"/>
            </w:tcMar>
          </w:tcPr>
          <w:p>
            <w:pPr>
              <w:pStyle w:val="BDOITable"/>
            </w:pPr>
            <w:r>
              <w:rPr>
                <w:sz w:val="16"/>
              </w:rPr>
              <w:t>Legacy insurer code to BIBS insurer</w:t>
            </w:r>
          </w:p>
        </w:tc>
        <w:tc>
          <w:tcPr>
            <w:tcW w:type="dxa" w:w="2042"/>
            <w:tcMar>
              <w:top w:w="50" w:type="dxa"/>
              <w:bottom w:w="50" w:type="dxa"/>
              <w:left w:w="90" w:type="dxa"/>
              <w:right w:w="90" w:type="dxa"/>
            </w:tcMar>
          </w:tcPr>
          <w:p>
            <w:pPr>
              <w:pStyle w:val="BDOITable"/>
            </w:pPr>
            <w:r>
              <w:rPr>
                <w:sz w:val="16"/>
              </w:rPr>
              <w:t>cat_insurer</w:t>
            </w:r>
          </w:p>
        </w:tc>
        <w:tc>
          <w:tcPr>
            <w:tcW w:type="dxa" w:w="2042"/>
            <w:tcMar>
              <w:top w:w="50" w:type="dxa"/>
              <w:bottom w:w="50" w:type="dxa"/>
              <w:left w:w="90" w:type="dxa"/>
              <w:right w:w="90" w:type="dxa"/>
            </w:tcMar>
          </w:tcPr>
          <w:p>
            <w:pPr>
              <w:pStyle w:val="BDOITable"/>
            </w:pPr>
            <w:r>
              <w:rPr>
                <w:sz w:val="16"/>
              </w:rPr>
              <w:t>Head, Operations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INSURER_BRANCH</w:t>
            </w:r>
          </w:p>
        </w:tc>
        <w:tc>
          <w:tcPr>
            <w:tcW w:type="dxa" w:w="4205"/>
            <w:tcMar>
              <w:top w:w="50" w:type="dxa"/>
              <w:bottom w:w="50" w:type="dxa"/>
              <w:left w:w="90" w:type="dxa"/>
              <w:right w:w="90" w:type="dxa"/>
            </w:tcMar>
            <w:shd w:val="clear" w:color="auto" w:fill="E5F5FF"/>
          </w:tcPr>
          <w:p>
            <w:pPr>
              <w:pStyle w:val="BDOITable"/>
            </w:pPr>
            <w:r>
              <w:rPr>
                <w:sz w:val="16"/>
              </w:rPr>
              <w:t>Legacy insurer branch to BIBS insurer branch</w:t>
            </w:r>
          </w:p>
        </w:tc>
        <w:tc>
          <w:tcPr>
            <w:tcW w:type="dxa" w:w="2042"/>
            <w:tcMar>
              <w:top w:w="50" w:type="dxa"/>
              <w:bottom w:w="50" w:type="dxa"/>
              <w:left w:w="90" w:type="dxa"/>
              <w:right w:w="90" w:type="dxa"/>
            </w:tcMar>
            <w:shd w:val="clear" w:color="auto" w:fill="E5F5FF"/>
          </w:tcPr>
          <w:p>
            <w:pPr>
              <w:pStyle w:val="BDOITable"/>
            </w:pPr>
            <w:r>
              <w:rPr>
                <w:sz w:val="16"/>
              </w:rPr>
              <w:t>cat_insurer_branch</w:t>
            </w:r>
          </w:p>
        </w:tc>
        <w:tc>
          <w:tcPr>
            <w:tcW w:type="dxa" w:w="2042"/>
            <w:tcMar>
              <w:top w:w="50" w:type="dxa"/>
              <w:bottom w:w="50" w:type="dxa"/>
              <w:left w:w="90" w:type="dxa"/>
              <w:right w:w="90" w:type="dxa"/>
            </w:tcMar>
            <w:shd w:val="clear" w:color="auto" w:fill="E5F5FF"/>
          </w:tcPr>
          <w:p>
            <w:pPr>
              <w:pStyle w:val="BDOITable"/>
            </w:pPr>
            <w:r>
              <w:rPr>
                <w:sz w:val="16"/>
              </w:rPr>
              <w:t>Head, Operations</w:t>
            </w:r>
          </w:p>
        </w:tc>
      </w:tr>
      <w:tr>
        <w:trPr>
          <w:cantSplit w:val="true"/>
        </w:trPr>
        <w:tc>
          <w:tcPr>
            <w:tcW w:type="dxa" w:w="1682"/>
            <w:tcMar>
              <w:top w:w="50" w:type="dxa"/>
              <w:bottom w:w="50" w:type="dxa"/>
              <w:left w:w="90" w:type="dxa"/>
              <w:right w:w="90" w:type="dxa"/>
            </w:tcMar>
          </w:tcPr>
          <w:p>
            <w:pPr>
              <w:pStyle w:val="BDOITable"/>
            </w:pPr>
            <w:r>
              <w:rPr>
                <w:b/>
                <w:sz w:val="16"/>
              </w:rPr>
              <w:t>LINE</w:t>
            </w:r>
          </w:p>
        </w:tc>
        <w:tc>
          <w:tcPr>
            <w:tcW w:type="dxa" w:w="4205"/>
            <w:tcMar>
              <w:top w:w="50" w:type="dxa"/>
              <w:bottom w:w="50" w:type="dxa"/>
              <w:left w:w="90" w:type="dxa"/>
              <w:right w:w="90" w:type="dxa"/>
            </w:tcMar>
          </w:tcPr>
          <w:p>
            <w:pPr>
              <w:pStyle w:val="BDOITable"/>
            </w:pPr>
            <w:r>
              <w:rPr>
                <w:sz w:val="16"/>
              </w:rPr>
              <w:t>Legacy line of business to BIBS product line</w:t>
            </w:r>
          </w:p>
        </w:tc>
        <w:tc>
          <w:tcPr>
            <w:tcW w:type="dxa" w:w="2042"/>
            <w:tcMar>
              <w:top w:w="50" w:type="dxa"/>
              <w:bottom w:w="50" w:type="dxa"/>
              <w:left w:w="90" w:type="dxa"/>
              <w:right w:w="90" w:type="dxa"/>
            </w:tcMar>
          </w:tcPr>
          <w:p>
            <w:pPr>
              <w:pStyle w:val="BDOITable"/>
            </w:pPr>
            <w:r>
              <w:rPr>
                <w:sz w:val="16"/>
              </w:rPr>
              <w:t>cat_product_line</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COVER_TYPE</w:t>
            </w:r>
          </w:p>
        </w:tc>
        <w:tc>
          <w:tcPr>
            <w:tcW w:type="dxa" w:w="4205"/>
            <w:tcMar>
              <w:top w:w="50" w:type="dxa"/>
              <w:bottom w:w="50" w:type="dxa"/>
              <w:left w:w="90" w:type="dxa"/>
              <w:right w:w="90" w:type="dxa"/>
            </w:tcMar>
            <w:shd w:val="clear" w:color="auto" w:fill="E5F5FF"/>
          </w:tcPr>
          <w:p>
            <w:pPr>
              <w:pStyle w:val="BDOITable"/>
            </w:pPr>
            <w:r>
              <w:rPr>
                <w:sz w:val="16"/>
              </w:rPr>
              <w:t>Legacy cover type to BIBS cover type</w:t>
            </w:r>
          </w:p>
        </w:tc>
        <w:tc>
          <w:tcPr>
            <w:tcW w:type="dxa" w:w="2042"/>
            <w:tcMar>
              <w:top w:w="50" w:type="dxa"/>
              <w:bottom w:w="50" w:type="dxa"/>
              <w:left w:w="90" w:type="dxa"/>
              <w:right w:w="90" w:type="dxa"/>
            </w:tcMar>
            <w:shd w:val="clear" w:color="auto" w:fill="E5F5FF"/>
          </w:tcPr>
          <w:p>
            <w:pPr>
              <w:pStyle w:val="BDOITable"/>
            </w:pPr>
            <w:r>
              <w:rPr>
                <w:sz w:val="16"/>
              </w:rPr>
              <w:t>cat_cover_type</w:t>
            </w:r>
          </w:p>
        </w:tc>
        <w:tc>
          <w:tcPr>
            <w:tcW w:type="dxa" w:w="204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682"/>
            <w:tcMar>
              <w:top w:w="50" w:type="dxa"/>
              <w:bottom w:w="50" w:type="dxa"/>
              <w:left w:w="90" w:type="dxa"/>
              <w:right w:w="90" w:type="dxa"/>
            </w:tcMar>
          </w:tcPr>
          <w:p>
            <w:pPr>
              <w:pStyle w:val="BDOITable"/>
            </w:pPr>
            <w:r>
              <w:rPr>
                <w:b/>
                <w:sz w:val="16"/>
              </w:rPr>
              <w:t>PRODUCT</w:t>
            </w:r>
          </w:p>
        </w:tc>
        <w:tc>
          <w:tcPr>
            <w:tcW w:type="dxa" w:w="4205"/>
            <w:tcMar>
              <w:top w:w="50" w:type="dxa"/>
              <w:bottom w:w="50" w:type="dxa"/>
              <w:left w:w="90" w:type="dxa"/>
              <w:right w:w="90" w:type="dxa"/>
            </w:tcMar>
          </w:tcPr>
          <w:p>
            <w:pPr>
              <w:pStyle w:val="BDOITable"/>
            </w:pPr>
            <w:r>
              <w:rPr>
                <w:sz w:val="16"/>
              </w:rPr>
              <w:t>Legacy product / risk code to BIBS product code</w:t>
            </w:r>
          </w:p>
        </w:tc>
        <w:tc>
          <w:tcPr>
            <w:tcW w:type="dxa" w:w="2042"/>
            <w:tcMar>
              <w:top w:w="50" w:type="dxa"/>
              <w:bottom w:w="50" w:type="dxa"/>
              <w:left w:w="90" w:type="dxa"/>
              <w:right w:w="90" w:type="dxa"/>
            </w:tcMar>
          </w:tcPr>
          <w:p>
            <w:pPr>
              <w:pStyle w:val="BDOITable"/>
            </w:pPr>
            <w:r>
              <w:rPr>
                <w:sz w:val="16"/>
              </w:rPr>
              <w:t>cat_product</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PACKAGE</w:t>
            </w:r>
          </w:p>
        </w:tc>
        <w:tc>
          <w:tcPr>
            <w:tcW w:type="dxa" w:w="4205"/>
            <w:tcMar>
              <w:top w:w="50" w:type="dxa"/>
              <w:bottom w:w="50" w:type="dxa"/>
              <w:left w:w="90" w:type="dxa"/>
              <w:right w:w="90" w:type="dxa"/>
            </w:tcMar>
            <w:shd w:val="clear" w:color="auto" w:fill="E5F5FF"/>
          </w:tcPr>
          <w:p>
            <w:pPr>
              <w:pStyle w:val="BDOITable"/>
            </w:pPr>
            <w:r>
              <w:rPr>
                <w:sz w:val="16"/>
              </w:rPr>
              <w:t>Legacy package and version to BIBS package version</w:t>
            </w:r>
          </w:p>
        </w:tc>
        <w:tc>
          <w:tcPr>
            <w:tcW w:type="dxa" w:w="2042"/>
            <w:tcMar>
              <w:top w:w="50" w:type="dxa"/>
              <w:bottom w:w="50" w:type="dxa"/>
              <w:left w:w="90" w:type="dxa"/>
              <w:right w:w="90" w:type="dxa"/>
            </w:tcMar>
            <w:shd w:val="clear" w:color="auto" w:fill="E5F5FF"/>
          </w:tcPr>
          <w:p>
            <w:pPr>
              <w:pStyle w:val="BDOITable"/>
            </w:pPr>
            <w:r>
              <w:rPr>
                <w:sz w:val="16"/>
              </w:rPr>
              <w:t>cat_product_version</w:t>
            </w:r>
          </w:p>
        </w:tc>
        <w:tc>
          <w:tcPr>
            <w:tcW w:type="dxa" w:w="2042"/>
            <w:tcMar>
              <w:top w:w="50" w:type="dxa"/>
              <w:bottom w:w="50" w:type="dxa"/>
              <w:left w:w="90" w:type="dxa"/>
              <w:right w:w="90" w:type="dxa"/>
            </w:tcMar>
            <w:shd w:val="clear" w:color="auto" w:fill="E5F5FF"/>
          </w:tcPr>
          <w:p>
            <w:pPr>
              <w:pStyle w:val="BDOITable"/>
            </w:pPr>
            <w:r>
              <w:rPr>
                <w:sz w:val="16"/>
              </w:rPr>
              <w:t>Product Owner, MBS; TSU</w:t>
            </w:r>
          </w:p>
        </w:tc>
      </w:tr>
      <w:tr>
        <w:trPr>
          <w:cantSplit w:val="true"/>
        </w:trPr>
        <w:tc>
          <w:tcPr>
            <w:tcW w:type="dxa" w:w="1682"/>
            <w:tcMar>
              <w:top w:w="50" w:type="dxa"/>
              <w:bottom w:w="50" w:type="dxa"/>
              <w:left w:w="90" w:type="dxa"/>
              <w:right w:w="90" w:type="dxa"/>
            </w:tcMar>
          </w:tcPr>
          <w:p>
            <w:pPr>
              <w:pStyle w:val="BDOITable"/>
            </w:pPr>
            <w:r>
              <w:rPr>
                <w:b/>
                <w:sz w:val="16"/>
              </w:rPr>
              <w:t>BRANCH</w:t>
            </w:r>
          </w:p>
        </w:tc>
        <w:tc>
          <w:tcPr>
            <w:tcW w:type="dxa" w:w="4205"/>
            <w:tcMar>
              <w:top w:w="50" w:type="dxa"/>
              <w:bottom w:w="50" w:type="dxa"/>
              <w:left w:w="90" w:type="dxa"/>
              <w:right w:w="90" w:type="dxa"/>
            </w:tcMar>
          </w:tcPr>
          <w:p>
            <w:pPr>
              <w:pStyle w:val="BDOITable"/>
            </w:pPr>
            <w:r>
              <w:rPr>
                <w:sz w:val="16"/>
              </w:rPr>
              <w:t>Legacy branch to BIBS branch</w:t>
            </w:r>
          </w:p>
        </w:tc>
        <w:tc>
          <w:tcPr>
            <w:tcW w:type="dxa" w:w="2042"/>
            <w:tcMar>
              <w:top w:w="50" w:type="dxa"/>
              <w:bottom w:w="50" w:type="dxa"/>
              <w:left w:w="90" w:type="dxa"/>
              <w:right w:w="90" w:type="dxa"/>
            </w:tcMar>
          </w:tcPr>
          <w:p>
            <w:pPr>
              <w:pStyle w:val="BDOITable"/>
            </w:pPr>
            <w:r>
              <w:rPr>
                <w:sz w:val="16"/>
              </w:rPr>
              <w:t>org_branch</w:t>
            </w:r>
          </w:p>
        </w:tc>
        <w:tc>
          <w:tcPr>
            <w:tcW w:type="dxa" w:w="2042"/>
            <w:tcMar>
              <w:top w:w="50" w:type="dxa"/>
              <w:bottom w:w="50" w:type="dxa"/>
              <w:left w:w="90" w:type="dxa"/>
              <w:right w:w="90" w:type="dxa"/>
            </w:tcMar>
          </w:tcPr>
          <w:p>
            <w:pPr>
              <w:pStyle w:val="BDOITable"/>
            </w:pPr>
            <w:r>
              <w:rPr>
                <w:sz w:val="16"/>
              </w:rPr>
              <w:t>Head, Comptrollership</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SALES_UNIT</w:t>
            </w:r>
          </w:p>
        </w:tc>
        <w:tc>
          <w:tcPr>
            <w:tcW w:type="dxa" w:w="4205"/>
            <w:tcMar>
              <w:top w:w="50" w:type="dxa"/>
              <w:bottom w:w="50" w:type="dxa"/>
              <w:left w:w="90" w:type="dxa"/>
              <w:right w:w="90" w:type="dxa"/>
            </w:tcMar>
            <w:shd w:val="clear" w:color="auto" w:fill="E5F5FF"/>
          </w:tcPr>
          <w:p>
            <w:pPr>
              <w:pStyle w:val="BDOITable"/>
            </w:pPr>
            <w:r>
              <w:rPr>
                <w:sz w:val="16"/>
              </w:rPr>
              <w:t>Legacy region, department and team to BIBS sales unit</w:t>
            </w:r>
          </w:p>
        </w:tc>
        <w:tc>
          <w:tcPr>
            <w:tcW w:type="dxa" w:w="2042"/>
            <w:tcMar>
              <w:top w:w="50" w:type="dxa"/>
              <w:bottom w:w="50" w:type="dxa"/>
              <w:left w:w="90" w:type="dxa"/>
              <w:right w:w="90" w:type="dxa"/>
            </w:tcMar>
            <w:shd w:val="clear" w:color="auto" w:fill="E5F5FF"/>
          </w:tcPr>
          <w:p>
            <w:pPr>
              <w:pStyle w:val="BDOITable"/>
            </w:pPr>
            <w:r>
              <w:rPr>
                <w:sz w:val="16"/>
              </w:rPr>
              <w:t>cat_sales_unit</w:t>
            </w:r>
          </w:p>
        </w:tc>
        <w:tc>
          <w:tcPr>
            <w:tcW w:type="dxa" w:w="2042"/>
            <w:tcMar>
              <w:top w:w="50" w:type="dxa"/>
              <w:bottom w:w="50" w:type="dxa"/>
              <w:left w:w="90" w:type="dxa"/>
              <w:right w:w="90" w:type="dxa"/>
            </w:tcMar>
            <w:shd w:val="clear" w:color="auto" w:fill="E5F5FF"/>
          </w:tcPr>
          <w:p>
            <w:pPr>
              <w:pStyle w:val="BDOITable"/>
            </w:pPr>
            <w:r>
              <w:rPr>
                <w:sz w:val="16"/>
              </w:rPr>
              <w:t>Heads, Retail and Corporate Marketing</w:t>
            </w:r>
          </w:p>
        </w:tc>
      </w:tr>
      <w:tr>
        <w:trPr>
          <w:cantSplit w:val="true"/>
        </w:trPr>
        <w:tc>
          <w:tcPr>
            <w:tcW w:type="dxa" w:w="1682"/>
            <w:tcMar>
              <w:top w:w="50" w:type="dxa"/>
              <w:bottom w:w="50" w:type="dxa"/>
              <w:left w:w="90" w:type="dxa"/>
              <w:right w:w="90" w:type="dxa"/>
            </w:tcMar>
          </w:tcPr>
          <w:p>
            <w:pPr>
              <w:pStyle w:val="BDOITable"/>
            </w:pPr>
            <w:r>
              <w:rPr>
                <w:b/>
                <w:sz w:val="16"/>
              </w:rPr>
              <w:t>AO</w:t>
            </w:r>
          </w:p>
        </w:tc>
        <w:tc>
          <w:tcPr>
            <w:tcW w:type="dxa" w:w="4205"/>
            <w:tcMar>
              <w:top w:w="50" w:type="dxa"/>
              <w:bottom w:w="50" w:type="dxa"/>
              <w:left w:w="90" w:type="dxa"/>
              <w:right w:w="90" w:type="dxa"/>
            </w:tcMar>
          </w:tcPr>
          <w:p>
            <w:pPr>
              <w:pStyle w:val="BDOITable"/>
            </w:pPr>
            <w:r>
              <w:rPr>
                <w:sz w:val="16"/>
              </w:rPr>
              <w:t>Legacy AO code to BIBS account officer</w:t>
            </w:r>
          </w:p>
        </w:tc>
        <w:tc>
          <w:tcPr>
            <w:tcW w:type="dxa" w:w="2042"/>
            <w:tcMar>
              <w:top w:w="50" w:type="dxa"/>
              <w:bottom w:w="50" w:type="dxa"/>
              <w:left w:w="90" w:type="dxa"/>
              <w:right w:w="90" w:type="dxa"/>
            </w:tcMar>
          </w:tcPr>
          <w:p>
            <w:pPr>
              <w:pStyle w:val="BDOITable"/>
            </w:pPr>
            <w:r>
              <w:rPr>
                <w:sz w:val="16"/>
              </w:rPr>
              <w:t>cat_sales_officer</w:t>
            </w:r>
          </w:p>
        </w:tc>
        <w:tc>
          <w:tcPr>
            <w:tcW w:type="dxa" w:w="2042"/>
            <w:tcMar>
              <w:top w:w="50" w:type="dxa"/>
              <w:bottom w:w="50" w:type="dxa"/>
              <w:left w:w="90" w:type="dxa"/>
              <w:right w:w="90" w:type="dxa"/>
            </w:tcMar>
          </w:tcPr>
          <w:p>
            <w:pPr>
              <w:pStyle w:val="BDOITable"/>
            </w:pPr>
            <w:r>
              <w:rPr>
                <w:sz w:val="16"/>
              </w:rPr>
              <w:t>Heads, Retail and Corporate Marketing</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USER</w:t>
            </w:r>
          </w:p>
        </w:tc>
        <w:tc>
          <w:tcPr>
            <w:tcW w:type="dxa" w:w="4205"/>
            <w:tcMar>
              <w:top w:w="50" w:type="dxa"/>
              <w:bottom w:w="50" w:type="dxa"/>
              <w:left w:w="90" w:type="dxa"/>
              <w:right w:w="90" w:type="dxa"/>
            </w:tcMar>
            <w:shd w:val="clear" w:color="auto" w:fill="E5F5FF"/>
          </w:tcPr>
          <w:p>
            <w:pPr>
              <w:pStyle w:val="BDOITable"/>
            </w:pPr>
            <w:r>
              <w:rPr>
                <w:sz w:val="16"/>
              </w:rPr>
              <w:t>Legacy user ID to BIBS username (AO, handler, collector, requester)</w:t>
            </w:r>
          </w:p>
        </w:tc>
        <w:tc>
          <w:tcPr>
            <w:tcW w:type="dxa" w:w="2042"/>
            <w:tcMar>
              <w:top w:w="50" w:type="dxa"/>
              <w:bottom w:w="50" w:type="dxa"/>
              <w:left w:w="90" w:type="dxa"/>
              <w:right w:w="90" w:type="dxa"/>
            </w:tcMar>
            <w:shd w:val="clear" w:color="auto" w:fill="E5F5FF"/>
          </w:tcPr>
          <w:p>
            <w:pPr>
              <w:pStyle w:val="BDOITable"/>
            </w:pPr>
            <w:r>
              <w:rPr>
                <w:sz w:val="16"/>
              </w:rPr>
              <w:t>BIBS users (User Access)</w:t>
            </w:r>
          </w:p>
        </w:tc>
        <w:tc>
          <w:tcPr>
            <w:tcW w:type="dxa" w:w="2042"/>
            <w:tcMar>
              <w:top w:w="50" w:type="dxa"/>
              <w:bottom w:w="50" w:type="dxa"/>
              <w:left w:w="90" w:type="dxa"/>
              <w:right w:w="90" w:type="dxa"/>
            </w:tcMar>
            <w:shd w:val="clear" w:color="auto" w:fill="E5F5FF"/>
          </w:tcPr>
          <w:p>
            <w:pPr>
              <w:pStyle w:val="BDOITable"/>
            </w:pPr>
            <w:r>
              <w:rPr>
                <w:sz w:val="16"/>
              </w:rPr>
              <w:t>Unit Head, Analytics and Risk Management</w:t>
            </w:r>
          </w:p>
        </w:tc>
      </w:tr>
      <w:tr>
        <w:trPr>
          <w:cantSplit w:val="true"/>
        </w:trPr>
        <w:tc>
          <w:tcPr>
            <w:tcW w:type="dxa" w:w="1682"/>
            <w:tcMar>
              <w:top w:w="50" w:type="dxa"/>
              <w:bottom w:w="50" w:type="dxa"/>
              <w:left w:w="90" w:type="dxa"/>
              <w:right w:w="90" w:type="dxa"/>
            </w:tcMar>
          </w:tcPr>
          <w:p>
            <w:pPr>
              <w:pStyle w:val="BDOITable"/>
            </w:pPr>
            <w:r>
              <w:rPr>
                <w:b/>
                <w:sz w:val="16"/>
              </w:rPr>
              <w:t>COST_CENTER</w:t>
            </w:r>
          </w:p>
        </w:tc>
        <w:tc>
          <w:tcPr>
            <w:tcW w:type="dxa" w:w="4205"/>
            <w:tcMar>
              <w:top w:w="50" w:type="dxa"/>
              <w:bottom w:w="50" w:type="dxa"/>
              <w:left w:w="90" w:type="dxa"/>
              <w:right w:w="90" w:type="dxa"/>
            </w:tcMar>
          </w:tcPr>
          <w:p>
            <w:pPr>
              <w:pStyle w:val="BDOITable"/>
            </w:pPr>
            <w:r>
              <w:rPr>
                <w:sz w:val="16"/>
              </w:rPr>
              <w:t>Legacy cost centre to BIBS cost centre</w:t>
            </w:r>
          </w:p>
        </w:tc>
        <w:tc>
          <w:tcPr>
            <w:tcW w:type="dxa" w:w="2042"/>
            <w:tcMar>
              <w:top w:w="50" w:type="dxa"/>
              <w:bottom w:w="50" w:type="dxa"/>
              <w:left w:w="90" w:type="dxa"/>
              <w:right w:w="90" w:type="dxa"/>
            </w:tcMar>
          </w:tcPr>
          <w:p>
            <w:pPr>
              <w:pStyle w:val="BDOITable"/>
            </w:pPr>
            <w:r>
              <w:rPr>
                <w:sz w:val="16"/>
              </w:rPr>
              <w:t>Cost centre master</w:t>
            </w:r>
          </w:p>
        </w:tc>
        <w:tc>
          <w:tcPr>
            <w:tcW w:type="dxa" w:w="2042"/>
            <w:tcMar>
              <w:top w:w="50" w:type="dxa"/>
              <w:bottom w:w="50" w:type="dxa"/>
              <w:left w:w="90" w:type="dxa"/>
              <w:right w:w="90" w:type="dxa"/>
            </w:tcMar>
          </w:tcPr>
          <w:p>
            <w:pPr>
              <w:pStyle w:val="BDOITable"/>
            </w:pPr>
            <w:r>
              <w:rPr>
                <w:sz w:val="16"/>
              </w:rPr>
              <w:t>Head, Comptrollership</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GL_ACCOUNT</w:t>
            </w:r>
          </w:p>
        </w:tc>
        <w:tc>
          <w:tcPr>
            <w:tcW w:type="dxa" w:w="4205"/>
            <w:tcMar>
              <w:top w:w="50" w:type="dxa"/>
              <w:bottom w:w="50" w:type="dxa"/>
              <w:left w:w="90" w:type="dxa"/>
              <w:right w:w="90" w:type="dxa"/>
            </w:tcMar>
            <w:shd w:val="clear" w:color="auto" w:fill="E5F5FF"/>
          </w:tcPr>
          <w:p>
            <w:pPr>
              <w:pStyle w:val="BDOITable"/>
            </w:pPr>
            <w:r>
              <w:rPr>
                <w:sz w:val="16"/>
              </w:rPr>
              <w:t>Legacy GL account to BIBS account (legacy control accounts to Migration Clearing)</w:t>
            </w:r>
          </w:p>
        </w:tc>
        <w:tc>
          <w:tcPr>
            <w:tcW w:type="dxa" w:w="2042"/>
            <w:tcMar>
              <w:top w:w="50" w:type="dxa"/>
              <w:bottom w:w="50" w:type="dxa"/>
              <w:left w:w="90" w:type="dxa"/>
              <w:right w:w="90" w:type="dxa"/>
            </w:tcMar>
            <w:shd w:val="clear" w:color="auto" w:fill="E5F5FF"/>
          </w:tcPr>
          <w:p>
            <w:pPr>
              <w:pStyle w:val="BDOITable"/>
            </w:pPr>
            <w:r>
              <w:rPr>
                <w:sz w:val="16"/>
              </w:rPr>
              <w:t>coa_account</w:t>
            </w:r>
          </w:p>
        </w:tc>
        <w:tc>
          <w:tcPr>
            <w:tcW w:type="dxa" w:w="204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682"/>
            <w:tcMar>
              <w:top w:w="50" w:type="dxa"/>
              <w:bottom w:w="50" w:type="dxa"/>
              <w:left w:w="90" w:type="dxa"/>
              <w:right w:w="90" w:type="dxa"/>
            </w:tcMar>
          </w:tcPr>
          <w:p>
            <w:pPr>
              <w:pStyle w:val="BDOITable"/>
            </w:pPr>
            <w:r>
              <w:rPr>
                <w:b/>
                <w:sz w:val="16"/>
              </w:rPr>
              <w:t>BANK</w:t>
            </w:r>
          </w:p>
        </w:tc>
        <w:tc>
          <w:tcPr>
            <w:tcW w:type="dxa" w:w="4205"/>
            <w:tcMar>
              <w:top w:w="50" w:type="dxa"/>
              <w:bottom w:w="50" w:type="dxa"/>
              <w:left w:w="90" w:type="dxa"/>
              <w:right w:w="90" w:type="dxa"/>
            </w:tcMar>
          </w:tcPr>
          <w:p>
            <w:pPr>
              <w:pStyle w:val="BDOITable"/>
            </w:pPr>
            <w:r>
              <w:rPr>
                <w:sz w:val="16"/>
              </w:rPr>
              <w:t>Legacy bank code to BIBS bank list</w:t>
            </w:r>
          </w:p>
        </w:tc>
        <w:tc>
          <w:tcPr>
            <w:tcW w:type="dxa" w:w="2042"/>
            <w:tcMar>
              <w:top w:w="50" w:type="dxa"/>
              <w:bottom w:w="50" w:type="dxa"/>
              <w:left w:w="90" w:type="dxa"/>
              <w:right w:w="90" w:type="dxa"/>
            </w:tcMar>
          </w:tcPr>
          <w:p>
            <w:pPr>
              <w:pStyle w:val="BDOITable"/>
            </w:pPr>
            <w:r>
              <w:rPr>
                <w:sz w:val="16"/>
              </w:rPr>
              <w:t>Bank list (LOV)</w:t>
            </w:r>
          </w:p>
        </w:tc>
        <w:tc>
          <w:tcPr>
            <w:tcW w:type="dxa" w:w="2042"/>
            <w:tcMar>
              <w:top w:w="50" w:type="dxa"/>
              <w:bottom w:w="50" w:type="dxa"/>
              <w:left w:w="90" w:type="dxa"/>
              <w:right w:w="90" w:type="dxa"/>
            </w:tcMar>
          </w:tcPr>
          <w:p>
            <w:pPr>
              <w:pStyle w:val="BDOITable"/>
            </w:pPr>
            <w:r>
              <w:rPr>
                <w:sz w:val="16"/>
              </w:rPr>
              <w:t>Product Owner, Comptrollership - Disbursement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CURRENCY</w:t>
            </w:r>
          </w:p>
        </w:tc>
        <w:tc>
          <w:tcPr>
            <w:tcW w:type="dxa" w:w="4205"/>
            <w:tcMar>
              <w:top w:w="50" w:type="dxa"/>
              <w:bottom w:w="50" w:type="dxa"/>
              <w:left w:w="90" w:type="dxa"/>
              <w:right w:w="90" w:type="dxa"/>
            </w:tcMar>
            <w:shd w:val="clear" w:color="auto" w:fill="E5F5FF"/>
          </w:tcPr>
          <w:p>
            <w:pPr>
              <w:pStyle w:val="BDOITable"/>
            </w:pPr>
            <w:r>
              <w:rPr>
                <w:sz w:val="16"/>
              </w:rPr>
              <w:t>Legacy currency code to ISO 4217</w:t>
            </w:r>
          </w:p>
        </w:tc>
        <w:tc>
          <w:tcPr>
            <w:tcW w:type="dxa" w:w="2042"/>
            <w:tcMar>
              <w:top w:w="50" w:type="dxa"/>
              <w:bottom w:w="50" w:type="dxa"/>
              <w:left w:w="90" w:type="dxa"/>
              <w:right w:w="90" w:type="dxa"/>
            </w:tcMar>
            <w:shd w:val="clear" w:color="auto" w:fill="E5F5FF"/>
          </w:tcPr>
          <w:p>
            <w:pPr>
              <w:pStyle w:val="BDOITable"/>
            </w:pPr>
            <w:r>
              <w:rPr>
                <w:sz w:val="16"/>
              </w:rPr>
              <w:t>Currency master</w:t>
            </w:r>
          </w:p>
        </w:tc>
        <w:tc>
          <w:tcPr>
            <w:tcW w:type="dxa" w:w="204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682"/>
            <w:tcMar>
              <w:top w:w="50" w:type="dxa"/>
              <w:bottom w:w="50" w:type="dxa"/>
              <w:left w:w="90" w:type="dxa"/>
              <w:right w:w="90" w:type="dxa"/>
            </w:tcMar>
          </w:tcPr>
          <w:p>
            <w:pPr>
              <w:pStyle w:val="BDOITable"/>
            </w:pPr>
            <w:r>
              <w:rPr>
                <w:b/>
                <w:sz w:val="16"/>
              </w:rPr>
              <w:t>STATUS:&lt;object&gt;</w:t>
            </w:r>
          </w:p>
        </w:tc>
        <w:tc>
          <w:tcPr>
            <w:tcW w:type="dxa" w:w="4205"/>
            <w:tcMar>
              <w:top w:w="50" w:type="dxa"/>
              <w:bottom w:w="50" w:type="dxa"/>
              <w:left w:w="90" w:type="dxa"/>
              <w:right w:w="90" w:type="dxa"/>
            </w:tcMar>
          </w:tcPr>
          <w:p>
            <w:pPr>
              <w:pStyle w:val="BDOITable"/>
            </w:pPr>
            <w:r>
              <w:rPr>
                <w:sz w:val="16"/>
              </w:rPr>
              <w:t>Legacy statuses per object to BIBS statuses (CLIENT, KYC, INSURER, PRODUCT, POLICY, RENEWAL, UPP, REMITTANCE, PDC)</w:t>
            </w:r>
          </w:p>
        </w:tc>
        <w:tc>
          <w:tcPr>
            <w:tcW w:type="dxa" w:w="2042"/>
            <w:tcMar>
              <w:top w:w="50" w:type="dxa"/>
              <w:bottom w:w="50" w:type="dxa"/>
              <w:left w:w="90" w:type="dxa"/>
              <w:right w:w="90" w:type="dxa"/>
            </w:tcMar>
          </w:tcPr>
          <w:p>
            <w:pPr>
              <w:pStyle w:val="BDOITable"/>
            </w:pPr>
            <w:r>
              <w:rPr>
                <w:sz w:val="16"/>
              </w:rPr>
              <w:t>Status of the target record</w:t>
            </w:r>
          </w:p>
        </w:tc>
        <w:tc>
          <w:tcPr>
            <w:tcW w:type="dxa" w:w="2042"/>
            <w:tcMar>
              <w:top w:w="50" w:type="dxa"/>
              <w:bottom w:w="50" w:type="dxa"/>
              <w:left w:w="90" w:type="dxa"/>
              <w:right w:w="90" w:type="dxa"/>
            </w:tcMar>
          </w:tcPr>
          <w:p>
            <w:pPr>
              <w:pStyle w:val="BDOITable"/>
            </w:pPr>
            <w:r>
              <w:rPr>
                <w:sz w:val="16"/>
              </w:rPr>
              <w:t>Owner of the object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DISPOSITION_TYPE</w:t>
            </w:r>
          </w:p>
        </w:tc>
        <w:tc>
          <w:tcPr>
            <w:tcW w:type="dxa" w:w="4205"/>
            <w:tcMar>
              <w:top w:w="50" w:type="dxa"/>
              <w:bottom w:w="50" w:type="dxa"/>
              <w:left w:w="90" w:type="dxa"/>
              <w:right w:w="90" w:type="dxa"/>
            </w:tcMar>
            <w:shd w:val="clear" w:color="auto" w:fill="E5F5FF"/>
          </w:tcPr>
          <w:p>
            <w:pPr>
              <w:pStyle w:val="BDOITable"/>
            </w:pPr>
            <w:r>
              <w:rPr>
                <w:sz w:val="16"/>
              </w:rPr>
              <w:t>Legacy UPP disposition types to BIBS disposition types</w:t>
            </w:r>
          </w:p>
        </w:tc>
        <w:tc>
          <w:tcPr>
            <w:tcW w:type="dxa" w:w="2042"/>
            <w:tcMar>
              <w:top w:w="50" w:type="dxa"/>
              <w:bottom w:w="50" w:type="dxa"/>
              <w:left w:w="90" w:type="dxa"/>
              <w:right w:w="90" w:type="dxa"/>
            </w:tcMar>
            <w:shd w:val="clear" w:color="auto" w:fill="E5F5FF"/>
          </w:tcPr>
          <w:p>
            <w:pPr>
              <w:pStyle w:val="BDOITable"/>
            </w:pPr>
            <w:r>
              <w:rPr>
                <w:sz w:val="16"/>
              </w:rPr>
              <w:t>csh_disposition_type_rule</w:t>
            </w:r>
          </w:p>
        </w:tc>
        <w:tc>
          <w:tcPr>
            <w:tcW w:type="dxa" w:w="2042"/>
            <w:tcMar>
              <w:top w:w="50" w:type="dxa"/>
              <w:bottom w:w="50" w:type="dxa"/>
              <w:left w:w="90" w:type="dxa"/>
              <w:right w:w="90" w:type="dxa"/>
            </w:tcMar>
            <w:shd w:val="clear" w:color="auto" w:fill="E5F5FF"/>
          </w:tcPr>
          <w:p>
            <w:pPr>
              <w:pStyle w:val="BDOITable"/>
            </w:pPr>
            <w:r>
              <w:rPr>
                <w:sz w:val="16"/>
              </w:rPr>
              <w:t>Operations - Financial Transactions</w:t>
            </w:r>
          </w:p>
        </w:tc>
      </w:tr>
      <w:tr>
        <w:trPr>
          <w:cantSplit w:val="true"/>
        </w:trPr>
        <w:tc>
          <w:tcPr>
            <w:tcW w:type="dxa" w:w="1682"/>
            <w:tcMar>
              <w:top w:w="50" w:type="dxa"/>
              <w:bottom w:w="50" w:type="dxa"/>
              <w:left w:w="90" w:type="dxa"/>
              <w:right w:w="90" w:type="dxa"/>
            </w:tcMar>
          </w:tcPr>
          <w:p>
            <w:pPr>
              <w:pStyle w:val="BDOITable"/>
            </w:pPr>
            <w:r>
              <w:rPr>
                <w:b/>
                <w:sz w:val="16"/>
              </w:rPr>
              <w:t>DISPOSITION_CLX</w:t>
            </w:r>
          </w:p>
        </w:tc>
        <w:tc>
          <w:tcPr>
            <w:tcW w:type="dxa" w:w="4205"/>
            <w:tcMar>
              <w:top w:w="50" w:type="dxa"/>
              <w:bottom w:w="50" w:type="dxa"/>
              <w:left w:w="90" w:type="dxa"/>
              <w:right w:w="90" w:type="dxa"/>
            </w:tcMar>
          </w:tcPr>
          <w:p>
            <w:pPr>
              <w:pStyle w:val="BDOITable"/>
            </w:pPr>
            <w:r>
              <w:rPr>
                <w:sz w:val="16"/>
              </w:rPr>
              <w:t>Legacy collection dispositions to BIBS collection dispositions</w:t>
            </w:r>
          </w:p>
        </w:tc>
        <w:tc>
          <w:tcPr>
            <w:tcW w:type="dxa" w:w="2042"/>
            <w:tcMar>
              <w:top w:w="50" w:type="dxa"/>
              <w:bottom w:w="50" w:type="dxa"/>
              <w:left w:w="90" w:type="dxa"/>
              <w:right w:w="90" w:type="dxa"/>
            </w:tcMar>
          </w:tcPr>
          <w:p>
            <w:pPr>
              <w:pStyle w:val="BDOITable"/>
            </w:pPr>
            <w:r>
              <w:rPr>
                <w:sz w:val="16"/>
              </w:rPr>
              <w:t>Collections disposition list</w:t>
            </w:r>
          </w:p>
        </w:tc>
        <w:tc>
          <w:tcPr>
            <w:tcW w:type="dxa" w:w="2042"/>
            <w:tcMar>
              <w:top w:w="50" w:type="dxa"/>
              <w:bottom w:w="50" w:type="dxa"/>
              <w:left w:w="90" w:type="dxa"/>
              <w:right w:w="90" w:type="dxa"/>
            </w:tcMar>
          </w:tcPr>
          <w:p>
            <w:pPr>
              <w:pStyle w:val="BDOITable"/>
            </w:pPr>
            <w:r>
              <w:rPr>
                <w:sz w:val="16"/>
              </w:rPr>
              <w:t>Head, Operations (Collections)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DOCUMENT_TYPE</w:t>
            </w:r>
          </w:p>
        </w:tc>
        <w:tc>
          <w:tcPr>
            <w:tcW w:type="dxa" w:w="4205"/>
            <w:tcMar>
              <w:top w:w="50" w:type="dxa"/>
              <w:bottom w:w="50" w:type="dxa"/>
              <w:left w:w="90" w:type="dxa"/>
              <w:right w:w="90" w:type="dxa"/>
            </w:tcMar>
            <w:shd w:val="clear" w:color="auto" w:fill="E5F5FF"/>
          </w:tcPr>
          <w:p>
            <w:pPr>
              <w:pStyle w:val="BDOITable"/>
            </w:pPr>
            <w:r>
              <w:rPr>
                <w:sz w:val="16"/>
              </w:rPr>
              <w:t>Legacy document types to archive document types</w:t>
            </w:r>
          </w:p>
        </w:tc>
        <w:tc>
          <w:tcPr>
            <w:tcW w:type="dxa" w:w="2042"/>
            <w:tcMar>
              <w:top w:w="50" w:type="dxa"/>
              <w:bottom w:w="50" w:type="dxa"/>
              <w:left w:w="90" w:type="dxa"/>
              <w:right w:w="90" w:type="dxa"/>
            </w:tcMar>
            <w:shd w:val="clear" w:color="auto" w:fill="E5F5FF"/>
          </w:tcPr>
          <w:p>
            <w:pPr>
              <w:pStyle w:val="BDOITable"/>
            </w:pPr>
            <w:r>
              <w:rPr>
                <w:sz w:val="16"/>
              </w:rPr>
              <w:t>attachment document types</w:t>
            </w:r>
          </w:p>
        </w:tc>
        <w:tc>
          <w:tcPr>
            <w:tcW w:type="dxa" w:w="2042"/>
            <w:tcMar>
              <w:top w:w="50" w:type="dxa"/>
              <w:bottom w:w="50" w:type="dxa"/>
              <w:left w:w="90" w:type="dxa"/>
              <w:right w:w="90" w:type="dxa"/>
            </w:tcMar>
            <w:shd w:val="clear" w:color="auto" w:fill="E5F5FF"/>
          </w:tcPr>
          <w:p>
            <w:pPr>
              <w:pStyle w:val="BDOITable"/>
            </w:pPr>
            <w:r>
              <w:rPr>
                <w:sz w:val="16"/>
              </w:rPr>
              <w:t>Compliance</w:t>
            </w:r>
          </w:p>
        </w:tc>
      </w:tr>
    </w:tbl>
    <w:p>
      <w:pPr>
        <w:pStyle w:val="BDOISpacer"/>
      </w:pPr>
    </w:p>
    <w:p>
      <w:pPr>
        <w:pStyle w:val="Heading2"/>
      </w:pPr>
      <w:bookmarkStart w:id="129" w:name="_Toc000129"/>
      <w:r>
        <w:rPr/>
        <w:t>6.7 Validation</w:t>
      </w:r>
      <w:bookmarkEnd w:id="129"/>
    </w:p>
    <w:p>
      <w:r>
        <w:rPr/>
        <w:t>Every staged row is checked against the data-quality rules of its layout before a batch can be approved for load. An ERROR stops the row; a WARNING loads it and reports it. The catalogue (workbook sheet "DQ Rules") has 46 rules:</w:t>
      </w:r>
    </w:p>
    <w:p>
      <w:pPr>
        <w:pStyle w:val="Caption"/>
        <w:keepNext/>
        <w:spacing w:after="60"/>
      </w:pPr>
      <w:r>
        <w:rPr>
          <w:b/>
          <w:i w:val="0"/>
        </w:rPr>
        <w:t xml:space="preserve">Table 17: </w:t>
      </w:r>
      <w:r>
        <w:rPr/>
        <w:t>Data-quality rules by kind (full catalogue in the workbook, sheet DQ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841"/>
        <w:gridCol w:w="7089"/>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rPr>
          <w:cantSplit w:val="true"/>
        </w:trPr>
        <w:tc>
          <w:tcPr>
            <w:tcW w:type="dxa" w:w="204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089"/>
            <w:tcMar>
              <w:top w:w="50" w:type="dxa"/>
              <w:bottom w:w="50" w:type="dxa"/>
              <w:left w:w="90" w:type="dxa"/>
              <w:right w:w="90" w:type="dxa"/>
            </w:tcMar>
          </w:tcPr>
          <w:p>
            <w:pPr>
              <w:pStyle w:val="BDOITable"/>
            </w:pPr>
            <w:r>
              <w:rPr>
                <w:sz w:val="17"/>
              </w:rPr>
              <w:t>DQ-001</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089"/>
            <w:tcMar>
              <w:top w:w="50" w:type="dxa"/>
              <w:bottom w:w="50" w:type="dxa"/>
              <w:left w:w="90" w:type="dxa"/>
              <w:right w:w="90" w:type="dxa"/>
            </w:tcMar>
            <w:shd w:val="clear" w:color="auto" w:fill="E5F5FF"/>
          </w:tcPr>
          <w:p>
            <w:pPr>
              <w:pStyle w:val="BDOITable"/>
            </w:pPr>
            <w:r>
              <w:rPr>
                <w:sz w:val="17"/>
              </w:rPr>
              <w:t>DQ-002, DQ-005, DQ-006, DQ-007, DQ-045, DQ-046</w:t>
            </w:r>
          </w:p>
        </w:tc>
      </w:tr>
      <w:tr>
        <w:trPr>
          <w:cantSplit w:val="true"/>
        </w:trPr>
        <w:tc>
          <w:tcPr>
            <w:tcW w:type="dxa" w:w="2042"/>
            <w:tcMar>
              <w:top w:w="50" w:type="dxa"/>
              <w:bottom w:w="50" w:type="dxa"/>
              <w:left w:w="90" w:type="dxa"/>
              <w:right w:w="90" w:type="dxa"/>
            </w:tcMar>
          </w:tcPr>
          <w:p>
            <w:pPr>
              <w:pStyle w:val="BDOITable"/>
            </w:pPr>
            <w:r>
              <w:rPr>
                <w:b/>
                <w:sz w:val="17"/>
              </w:rPr>
              <w:t>LOOKUP</w:t>
            </w:r>
          </w:p>
        </w:tc>
        <w:tc>
          <w:tcPr>
            <w:tcW w:type="dxa" w:w="841"/>
            <w:tcMar>
              <w:top w:w="50" w:type="dxa"/>
              <w:bottom w:w="50" w:type="dxa"/>
              <w:left w:w="90" w:type="dxa"/>
              <w:right w:w="90" w:type="dxa"/>
            </w:tcMar>
          </w:tcPr>
          <w:p>
            <w:pPr>
              <w:pStyle w:val="BDOITable"/>
            </w:pPr>
            <w:r>
              <w:rPr>
                <w:sz w:val="17"/>
              </w:rPr>
              <w:t>2</w:t>
            </w:r>
          </w:p>
        </w:tc>
        <w:tc>
          <w:tcPr>
            <w:tcW w:type="dxa" w:w="7089"/>
            <w:tcMar>
              <w:top w:w="50" w:type="dxa"/>
              <w:bottom w:w="50" w:type="dxa"/>
              <w:left w:w="90" w:type="dxa"/>
              <w:right w:w="90" w:type="dxa"/>
            </w:tcMar>
          </w:tcPr>
          <w:p>
            <w:pPr>
              <w:pStyle w:val="BDOITable"/>
            </w:pPr>
            <w:r>
              <w:rPr>
                <w:sz w:val="17"/>
              </w:rPr>
              <w:t>DQ-003, DQ-039</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089"/>
            <w:tcMar>
              <w:top w:w="50" w:type="dxa"/>
              <w:bottom w:w="50" w:type="dxa"/>
              <w:left w:w="90" w:type="dxa"/>
              <w:right w:w="90" w:type="dxa"/>
            </w:tcMar>
            <w:shd w:val="clear" w:color="auto" w:fill="E5F5FF"/>
          </w:tcPr>
          <w:p>
            <w:pPr>
              <w:pStyle w:val="BDOITable"/>
            </w:pPr>
            <w:r>
              <w:rPr>
                <w:sz w:val="17"/>
              </w:rPr>
              <w:t>DQ-004, DQ-020, DQ-036, DQ-044</w:t>
            </w:r>
          </w:p>
        </w:tc>
      </w:tr>
      <w:tr>
        <w:trPr>
          <w:cantSplit w:val="true"/>
        </w:trPr>
        <w:tc>
          <w:tcPr>
            <w:tcW w:type="dxa" w:w="204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5</w:t>
            </w:r>
          </w:p>
        </w:tc>
        <w:tc>
          <w:tcPr>
            <w:tcW w:type="dxa" w:w="7089"/>
            <w:tcMar>
              <w:top w:w="50" w:type="dxa"/>
              <w:bottom w:w="50" w:type="dxa"/>
              <w:left w:w="90" w:type="dxa"/>
              <w:right w:w="90" w:type="dxa"/>
            </w:tcMar>
          </w:tcPr>
          <w:p>
            <w:pPr>
              <w:pStyle w:val="BDOITable"/>
            </w:pPr>
            <w:r>
              <w:rPr>
                <w:sz w:val="17"/>
              </w:rPr>
              <w:t>DQ-008, DQ-011, DQ-028, DQ-031, DQ-032</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CROSS_FIELD</w:t>
            </w:r>
          </w:p>
        </w:tc>
        <w:tc>
          <w:tcPr>
            <w:tcW w:type="dxa" w:w="841"/>
            <w:tcMar>
              <w:top w:w="50" w:type="dxa"/>
              <w:bottom w:w="50" w:type="dxa"/>
              <w:left w:w="90" w:type="dxa"/>
              <w:right w:w="90" w:type="dxa"/>
            </w:tcMar>
            <w:shd w:val="clear" w:color="auto" w:fill="E5F5FF"/>
          </w:tcPr>
          <w:p>
            <w:pPr>
              <w:pStyle w:val="BDOITable"/>
            </w:pPr>
            <w:r>
              <w:rPr>
                <w:sz w:val="17"/>
              </w:rPr>
              <w:t>14</w:t>
            </w:r>
          </w:p>
        </w:tc>
        <w:tc>
          <w:tcPr>
            <w:tcW w:type="dxa" w:w="708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w:t>
            </w:r>
          </w:p>
        </w:tc>
      </w:tr>
      <w:tr>
        <w:trPr>
          <w:cantSplit w:val="true"/>
        </w:trPr>
        <w:tc>
          <w:tcPr>
            <w:tcW w:type="dxa" w:w="2042"/>
            <w:tcMar>
              <w:top w:w="50" w:type="dxa"/>
              <w:bottom w:w="50" w:type="dxa"/>
              <w:left w:w="90" w:type="dxa"/>
              <w:right w:w="90" w:type="dxa"/>
            </w:tcMar>
          </w:tcPr>
          <w:p>
            <w:pPr>
              <w:pStyle w:val="BDOITable"/>
            </w:pPr>
            <w:r>
              <w:rPr>
                <w:b/>
                <w:sz w:val="17"/>
              </w:rPr>
              <w:t>DUPLICATE_CLIENT</w:t>
            </w:r>
          </w:p>
        </w:tc>
        <w:tc>
          <w:tcPr>
            <w:tcW w:type="dxa" w:w="841"/>
            <w:tcMar>
              <w:top w:w="50" w:type="dxa"/>
              <w:bottom w:w="50" w:type="dxa"/>
              <w:left w:w="90" w:type="dxa"/>
              <w:right w:w="90" w:type="dxa"/>
            </w:tcMar>
          </w:tcPr>
          <w:p>
            <w:pPr>
              <w:pStyle w:val="BDOITable"/>
            </w:pPr>
            <w:r>
              <w:rPr>
                <w:sz w:val="17"/>
              </w:rPr>
              <w:t>1</w:t>
            </w:r>
          </w:p>
        </w:tc>
        <w:tc>
          <w:tcPr>
            <w:tcW w:type="dxa" w:w="7089"/>
            <w:tcMar>
              <w:top w:w="50" w:type="dxa"/>
              <w:bottom w:w="50" w:type="dxa"/>
              <w:left w:w="90" w:type="dxa"/>
              <w:right w:w="90" w:type="dxa"/>
            </w:tcMar>
          </w:tcPr>
          <w:p>
            <w:pPr>
              <w:pStyle w:val="BDOITable"/>
            </w:pPr>
            <w:r>
              <w:rPr>
                <w:sz w:val="17"/>
              </w:rPr>
              <w:t>DQ-010</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REFERENTIAL</w:t>
            </w:r>
          </w:p>
        </w:tc>
        <w:tc>
          <w:tcPr>
            <w:tcW w:type="dxa" w:w="841"/>
            <w:tcMar>
              <w:top w:w="50" w:type="dxa"/>
              <w:bottom w:w="50" w:type="dxa"/>
              <w:left w:w="90" w:type="dxa"/>
              <w:right w:w="90" w:type="dxa"/>
            </w:tcMar>
            <w:shd w:val="clear" w:color="auto" w:fill="E5F5FF"/>
          </w:tcPr>
          <w:p>
            <w:pPr>
              <w:pStyle w:val="BDOITable"/>
            </w:pPr>
            <w:r>
              <w:rPr>
                <w:sz w:val="17"/>
              </w:rPr>
              <w:t>5</w:t>
            </w:r>
          </w:p>
        </w:tc>
        <w:tc>
          <w:tcPr>
            <w:tcW w:type="dxa" w:w="7089"/>
            <w:tcMar>
              <w:top w:w="50" w:type="dxa"/>
              <w:bottom w:w="50" w:type="dxa"/>
              <w:left w:w="90" w:type="dxa"/>
              <w:right w:w="90" w:type="dxa"/>
            </w:tcMar>
            <w:shd w:val="clear" w:color="auto" w:fill="E5F5FF"/>
          </w:tcPr>
          <w:p>
            <w:pPr>
              <w:pStyle w:val="BDOITable"/>
            </w:pPr>
            <w:r>
              <w:rPr>
                <w:sz w:val="17"/>
              </w:rPr>
              <w:t>DQ-012, DQ-016, DQ-018, DQ-026, DQ-033</w:t>
            </w:r>
          </w:p>
        </w:tc>
      </w:tr>
      <w:tr>
        <w:trPr>
          <w:cantSplit w:val="true"/>
        </w:trPr>
        <w:tc>
          <w:tcPr>
            <w:tcW w:type="dxa" w:w="204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8</w:t>
            </w:r>
          </w:p>
        </w:tc>
        <w:tc>
          <w:tcPr>
            <w:tcW w:type="dxa" w:w="7089"/>
            <w:tcMar>
              <w:top w:w="50" w:type="dxa"/>
              <w:bottom w:w="50" w:type="dxa"/>
              <w:left w:w="90" w:type="dxa"/>
              <w:right w:w="90" w:type="dxa"/>
            </w:tcMar>
          </w:tcPr>
          <w:p>
            <w:pPr>
              <w:pStyle w:val="BDOITable"/>
            </w:pPr>
            <w:r>
              <w:rPr>
                <w:sz w:val="17"/>
              </w:rPr>
              <w:t>DQ-022, DQ-023, DQ-027, DQ-030, DQ-034, DQ-035, DQ-037, DQ-040</w:t>
            </w:r>
          </w:p>
        </w:tc>
      </w:tr>
    </w:tbl>
    <w:p>
      <w:pPr>
        <w:pStyle w:val="BDOISpacer"/>
      </w:pPr>
    </w:p>
    <w:p>
      <w:pPr>
        <w:pStyle w:val="Heading2"/>
      </w:pPr>
      <w:bookmarkStart w:id="130" w:name="_Toc000130"/>
      <w:r>
        <w:rPr/>
        <w:t>6.8 Client matching and survivorship</w:t>
      </w:r>
      <w:bookmarkEnd w:id="130"/>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18: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(report MIG-CLIENT-MATCH).</w:t>
      </w:r>
    </w:p>
    <w:p>
      <w:pPr>
        <w:pStyle w:val="Heading2"/>
      </w:pPr>
      <w:bookmarkStart w:id="131" w:name="_Toc000131"/>
      <w:r>
        <w:rPr/>
        <w:t>6.9 Load through the BIBS services</w:t>
      </w:r>
      <w:bookmarkEnd w:id="131"/>
    </w:p>
    <w:p>
      <w:r>
        <w:rPr/>
        <w:t>An approved batch is loaded in chunks of 500 rows, four partitions in parallel, one transaction per chunk;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(when its loader can undo the records and nothing has changed them since the load). In the production cutover the rollback point is a database snapshot (section 11.5).</w:t>
      </w:r>
    </w:p>
    <w:p>
      <w:pPr>
        <w:pStyle w:val="Heading2"/>
      </w:pPr>
      <w:bookmarkStart w:id="132" w:name="_Toc000132"/>
      <w:r>
        <w:rPr/>
        <w:t>6.10 Reconciliation and sign-off</w:t>
      </w:r>
      <w:bookmarkEnd w:id="132"/>
    </w:p>
    <w:p>
      <w:r>
        <w:rPr/>
        <w:t>Every object is reconciled at up to five levels. The Reconciliation Approach and Sign-off document gives the measures per object, the sample plan for business verification and the sign-off forms.</w:t>
      </w:r>
    </w:p>
    <w:p>
      <w:pPr>
        <w:pStyle w:val="Caption"/>
        <w:keepNext/>
        <w:spacing w:after="60"/>
      </w:pPr>
      <w:r>
        <w:rPr>
          <w:b/>
          <w:i w:val="0"/>
        </w:rPr>
        <w:t xml:space="preserve">Table 19: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3" w:name="_Toc000133"/>
      <w:r>
        <w:rPr/>
        <w:t>7 Legacy invoices after go-live</w:t>
      </w:r>
      <w:bookmarkEnd w:id="133"/>
    </w:p>
    <w:p>
      <w:r>
        <w:rPr/>
        <w:t>This chapter is for the Cashiering, Remittance, Collections, Accounting and Operations users who will process legacy items in BIBS.</w:t>
      </w:r>
    </w:p>
    <w:p>
      <w:pPr>
        <w:pStyle w:val="Heading2"/>
      </w:pPr>
      <w:bookmarkStart w:id="134" w:name="_Toc000134"/>
      <w:r>
        <w:rPr/>
        <w:t>7.1 What a legacy invoice is</w:t>
      </w:r>
      <w:bookmarkEnd w:id="134"/>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3537"/>
            <wp:docPr id="4" name="Picture 4"/>
            <wp:cNvGraphicFramePr>
              <a:graphicFrameLocks noChangeAspect="1"/>
            </wp:cNvGraphicFramePr>
            <a:graphic>
              <a:graphicData uri="http://schemas.openxmlformats.org/drawingml/2006/picture">
                <pic:pic>
                  <pic:nvPicPr>
                    <pic:cNvPr id="0" name="dm_legacy_invoice_flows.png"/>
                    <pic:cNvPicPr/>
                  </pic:nvPicPr>
                  <pic:blipFill>
                    <a:blip r:embed="rId16"/>
                    <a:stretch>
                      <a:fillRect/>
                    </a:stretch>
                  </pic:blipFill>
                  <pic:spPr>
                    <a:xfrm>
                      <a:off x="0" y="0"/>
                      <a:ext cx="4320000" cy="3253537"/>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5" w:name="_Toc000135"/>
      <w:r>
        <w:rPr/>
        <w:t>7.2 Legacy sub-ledgers</w:t>
      </w:r>
      <w:bookmarkEnd w:id="135"/>
    </w:p>
    <w:p>
      <w:r>
        <w:rPr/>
        <w:t>The BRD asks for legacy Premium Receivable, Commission Receivable, DTIP and UPP sub-ledgers (BRID 5.2, 6.1, 6.3, 6.4, 7.1, 7.2, 8.1). Comptrollership assigns the account codes of the legacy control accounts and of the Migration Clearing account (DMQ18, DCR-197); this document names the accounts only.</w:t>
      </w:r>
    </w:p>
    <w:p>
      <w:pPr>
        <w:pStyle w:val="Caption"/>
        <w:keepNext/>
        <w:spacing w:after="60"/>
      </w:pPr>
      <w:r>
        <w:rPr>
          <w:b/>
          <w:i w:val="0"/>
        </w:rPr>
        <w:t xml:space="preserve">Table 20: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36" w:name="_Toc000136"/>
      <w:r>
        <w:rPr/>
        <w:t>7.3 Worked example: one legacy invoice from load to remittance</w:t>
      </w:r>
      <w:bookmarkEnd w:id="136"/>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21: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22: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origin LEGACY;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ledger context LEGACY;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Prod Recon legacy change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37" w:name="_Toc000137"/>
      <w:r>
        <w:rPr/>
        <w:t>7.4 Unapplied premium payments (UPP)</w:t>
      </w:r>
      <w:bookmarkEnd w:id="137"/>
    </w:p>
    <w:p>
      <w:r>
        <w:rPr/>
        <w:t>Every legacy UPP item with a balance at the freeze is created in the BIBS Unapplied Payments workbench with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23: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BI-2027-000150 (2,000.00 open). The job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TL and then top management (DMQ16)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38" w:name="_Toc000138"/>
      <w:r>
        <w:rPr/>
        <w:t>7.5 Payments, reversals, remittance, endorsements and Prod Recon</w:t>
      </w:r>
      <w:bookmarkEnd w:id="138"/>
    </w:p>
    <w:p>
      <w:pPr>
        <w:pStyle w:val="Caption"/>
        <w:keepNext/>
        <w:spacing w:after="60"/>
      </w:pPr>
      <w:r>
        <w:rPr>
          <w:b/>
          <w:i w:val="0"/>
        </w:rPr>
        <w:t xml:space="preserve">Table 24: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DPPR batch reversal (7.1)</w:t>
            </w:r>
          </w:p>
        </w:tc>
        <w:tc>
          <w:tcPr>
            <w:tcW w:type="dxa" w:w="3845"/>
            <w:tcMar>
              <w:top w:w="50" w:type="dxa"/>
              <w:bottom w:w="50" w:type="dxa"/>
              <w:left w:w="90" w:type="dxa"/>
              <w:right w:w="90" w:type="dxa"/>
            </w:tcMar>
          </w:tcPr>
          <w:p>
            <w:pPr>
              <w:pStyle w:val="BDOITable"/>
            </w:pPr>
            <w:r>
              <w:rPr>
                <w:sz w:val="17"/>
              </w:rPr>
              <w:t>Uploads or selects the approved list of direct-payment legacy invoices; a checker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PR2307 batch reversal (7.2)</w:t>
            </w:r>
          </w:p>
        </w:tc>
        <w:tc>
          <w:tcPr>
            <w:tcW w:type="dxa" w:w="3845"/>
            <w:tcMar>
              <w:top w:w="50" w:type="dxa"/>
              <w:bottom w:w="50" w:type="dxa"/>
              <w:left w:w="90" w:type="dxa"/>
              <w:right w:w="90" w:type="dxa"/>
            </w:tcMar>
            <w:shd w:val="clear" w:color="auto" w:fill="E5F5FF"/>
          </w:tcPr>
          <w:p>
            <w:pPr>
              <w:pStyle w:val="BDOITable"/>
            </w:pPr>
            <w:r>
              <w:rPr>
                <w:sz w:val="17"/>
              </w:rPr>
              <w:t>Selects legacy invoices with PR2307 balances; approval</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context LEGACY;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legacy change report</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39" w:name="_Toc000139"/>
      <w:r>
        <w:rPr/>
        <w:t>7.6 When the legacy context closes</w:t>
      </w:r>
      <w:bookmarkEnd w:id="139"/>
    </w:p>
    <w:p>
      <w:r>
        <w:rPr/>
        <w:t>The legacy sub-ledgers run off as legacy invoices are paid, remitted, reversed or written off and as legacy UPP is applied, refunded or reclassified. The report MIG-LEGACY-POSITIONS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0" w:name="_Toc000140"/>
      <w:r>
        <w:rPr/>
        <w:t>8 In-force policies and the renewal-driven transition</w:t>
      </w:r>
      <w:bookmarkEnd w:id="140"/>
    </w:p>
    <w:p>
      <w:pPr>
        <w:pStyle w:val="Heading2"/>
      </w:pPr>
      <w:bookmarkStart w:id="141" w:name="_Toc000141"/>
      <w:r>
        <w:rPr/>
        <w:t>8.1 In-force policy headers</w:t>
      </w:r>
      <w:bookmarkEnd w:id="141"/>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origin MIGRATED and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2" w:name="_Toc000142"/>
      <w:r>
        <w:rPr/>
        <w:t>8.2 Renewal by RMEL cohort</w:t>
      </w:r>
      <w:bookmarkEnd w:id="142"/>
    </w:p>
    <w:p>
      <w:r>
        <w:rPr/>
        <w:t>The transition follows the renewal expiry month (RMEL, BRID 12.1). BIBS Renewal extracts policies 140 days before expiry, so at go-live the RMEL of the next months has already been run in legacy. Proposed transition (DMQ26, DCR-199):</w:t>
      </w:r>
    </w:p>
    <w:p>
      <w:pPr>
        <w:keepNext/>
        <w:spacing w:before="80" w:after="0"/>
        <w:jc w:val="center"/>
      </w:pPr>
      <w:r>
        <w:drawing>
          <wp:inline xmlns:a="http://schemas.openxmlformats.org/drawingml/2006/main" xmlns:pic="http://schemas.openxmlformats.org/drawingml/2006/picture">
            <wp:extent cx="5760000" cy="1136408"/>
            <wp:docPr id="5" name="Picture 5"/>
            <wp:cNvGraphicFramePr>
              <a:graphicFrameLocks noChangeAspect="1"/>
            </wp:cNvGraphicFramePr>
            <a:graphic>
              <a:graphicData uri="http://schemas.openxmlformats.org/drawingml/2006/picture">
                <pic:pic>
                  <pic:nvPicPr>
                    <pic:cNvPr id="0" name="dm_rmel_cohorts.png"/>
                    <pic:cNvPicPr/>
                  </pic:nvPicPr>
                  <pic:blipFill>
                    <a:blip r:embed="rId17"/>
                    <a:stretch>
                      <a:fillRect/>
                    </a:stretch>
                  </pic:blipFill>
                  <pic:spPr>
                    <a:xfrm>
                      <a:off x="0" y="0"/>
                      <a:ext cx="5760000" cy="1136408"/>
                    </a:xfrm>
                    <a:prstGeom prst="rect"/>
                  </pic:spPr>
                </pic:pic>
              </a:graphicData>
            </a:graphic>
          </wp:inline>
        </w:drawing>
      </w:r>
    </w:p>
    <w:p>
      <w:pPr>
        <w:pStyle w:val="Caption"/>
        <w:jc w:val="center"/>
      </w:pPr>
      <w:r>
        <w:rPr>
          <w:b/>
          <w:i w:val="0"/>
        </w:rPr>
        <w:t xml:space="preserve">Figure 3: </w:t>
      </w:r>
      <w:r>
        <w:rPr/>
        <w:t>Transition by RMEL cohort (T = go-live)</w:t>
      </w:r>
    </w:p>
    <w:p>
      <w:pPr>
        <w:pStyle w:val="Caption"/>
        <w:keepNext/>
        <w:spacing w:after="60"/>
      </w:pPr>
      <w:r>
        <w:rPr>
          <w:b/>
          <w:i w:val="0"/>
        </w:rPr>
        <w:t xml:space="preserve">Table 25: </w:t>
      </w:r>
      <w:r>
        <w:rPr/>
        <w:t>Treatment of each cohort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Cohort (expiry)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w:t>
            </w:r>
          </w:p>
        </w:tc>
        <w:tc>
          <w:tcPr>
            <w:tcW w:type="dxa" w:w="7569"/>
            <w:tcMar>
              <w:top w:w="50" w:type="dxa"/>
              <w:bottom w:w="50" w:type="dxa"/>
              <w:left w:w="90" w:type="dxa"/>
              <w:right w:w="90" w:type="dxa"/>
            </w:tcMar>
          </w:tcPr>
          <w:p>
            <w:pPr>
              <w:pStyle w:val="BDOITable"/>
            </w:pPr>
            <w:r>
              <w:rPr>
                <w:sz w:val="18"/>
              </w:rPr>
              <w:t>Renewed or lapsed in legacy before the freeze; renewals booked in legacy; only open items are carried</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From go-live to go-live + 140 days</w:t>
            </w:r>
          </w:p>
        </w:tc>
        <w:tc>
          <w:tcPr>
            <w:tcW w:type="dxa" w:w="7569"/>
            <w:tcMar>
              <w:top w:w="50" w:type="dxa"/>
              <w:bottom w:w="50" w:type="dxa"/>
              <w:left w:w="90" w:type="dxa"/>
              <w:right w:w="90" w:type="dxa"/>
            </w:tcMar>
            <w:shd w:val="clear" w:color="auto" w:fill="E5F5FF"/>
          </w:tcPr>
          <w:p>
            <w:pPr>
              <w:pStyle w:val="BDOITable"/>
            </w:pPr>
            <w:r>
              <w:rPr>
                <w:sz w:val="18"/>
              </w:rPr>
              <w:t>Carried forward (layout P03): each candidate with its disposition, handler, RA status and remarks; it continues in BIBS Renewal with source LEGACY</w:t>
            </w:r>
          </w:p>
        </w:tc>
      </w:tr>
      <w:tr>
        <w:trPr>
          <w:cantSplit w:val="true"/>
        </w:trPr>
        <w:tc>
          <w:tcPr>
            <w:tcW w:type="dxa" w:w="2403"/>
            <w:tcMar>
              <w:top w:w="50" w:type="dxa"/>
              <w:bottom w:w="50" w:type="dxa"/>
              <w:left w:w="90" w:type="dxa"/>
              <w:right w:w="90" w:type="dxa"/>
            </w:tcMar>
          </w:tcPr>
          <w:p>
            <w:pPr>
              <w:pStyle w:val="BDOITable"/>
            </w:pPr>
            <w:r>
              <w:rPr>
                <w:sz w:val="18"/>
              </w:rPr>
              <w:t>After go-live + 140 days</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w:t>
            </w:r>
          </w:p>
        </w:tc>
      </w:tr>
    </w:tbl>
    <w:p>
      <w:pPr>
        <w:pStyle w:val="BDOISpacer"/>
      </w:pPr>
    </w:p>
    <w:p>
      <w:r>
        <w:rPr/>
        <w:t>A legacy policy renews on the new-business path pre-filled from its header, because the header carries no BIBS rating data. The renewal account refers to the legacy reference, so the run-off tracker can link them. The tracker (report MIG-RUNOFF) shows, per expiry month, the legacy policies in force at go-live, renewed in BIBS, not renewed, lapsed and still open. Legacy systems are decommissioned when their last cohort has run off and the other checklist criteria are met (section 11.8).</w:t>
      </w:r>
    </w:p>
    <w:p>
      <w:pPr>
        <w:pStyle w:val="Heading1"/>
        <w:pageBreakBefore/>
        <w:pBdr>
          <w:bottom w:val="single" w:sz="4" w:space="4" w:color="99C1E7"/>
        </w:pBdr>
      </w:pPr>
      <w:bookmarkStart w:id="143" w:name="_Toc000143"/>
      <w:r>
        <w:rPr/>
        <w:t>9 History, archive and read-only access</w:t>
      </w:r>
      <w:bookmarkEnd w:id="143"/>
    </w:p>
    <w:p>
      <w:r>
        <w:rPr/>
        <w:t>History is not migrated into BIBS business tables. For each legacy system BDOI chooses how history stays available (DMQ24, DCR-209):</w:t>
      </w:r>
    </w:p>
    <w:p>
      <w:pPr>
        <w:pStyle w:val="Caption"/>
        <w:keepNext/>
        <w:spacing w:after="60"/>
      </w:pPr>
      <w:r>
        <w:rPr>
          <w:b/>
          <w:i w:val="0"/>
        </w:rPr>
        <w:t xml:space="preserve">Table 26: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BIBS shows the legacy reference and a link</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4" w:name="_Toc000144"/>
      <w:r>
        <w:rPr/>
        <w:t>10 Migration cycles</w:t>
      </w:r>
      <w:bookmarkEnd w:id="144"/>
    </w:p>
    <w:p>
      <w:pPr>
        <w:pStyle w:val="Heading2"/>
      </w:pPr>
      <w:bookmarkStart w:id="145" w:name="_Toc000145"/>
      <w:r>
        <w:rPr/>
        <w:t>10.1 Mocks, dress rehearsal and production</w:t>
      </w:r>
      <w:bookmarkEnd w:id="145"/>
    </w:p>
    <w:p>
      <w:r>
        <w:rPr/>
        <w:t>The migration is run five times before it counts. Each run follows the same plan in the Migration Console, so timings and defects are measured and the production cutover repeats a rehearsed plan.</w:t>
      </w:r>
    </w:p>
    <w:p>
      <w:pPr>
        <w:keepNext/>
        <w:spacing w:before="80" w:after="0"/>
        <w:jc w:val="center"/>
      </w:pPr>
      <w:r>
        <w:drawing>
          <wp:inline xmlns:a="http://schemas.openxmlformats.org/drawingml/2006/main" xmlns:pic="http://schemas.openxmlformats.org/drawingml/2006/picture">
            <wp:extent cx="5400000" cy="4739597"/>
            <wp:docPr id="6" name="Picture 6"/>
            <wp:cNvGraphicFramePr>
              <a:graphicFrameLocks noChangeAspect="1"/>
            </wp:cNvGraphicFramePr>
            <a:graphic>
              <a:graphicData uri="http://schemas.openxmlformats.org/drawingml/2006/picture">
                <pic:pic>
                  <pic:nvPicPr>
                    <pic:cNvPr id="0" name="dm_cycles.png"/>
                    <pic:cNvPicPr/>
                  </pic:nvPicPr>
                  <pic:blipFill>
                    <a:blip r:embed="rId18"/>
                    <a:stretch>
                      <a:fillRect/>
                    </a:stretch>
                  </pic:blipFill>
                  <pic:spPr>
                    <a:xfrm>
                      <a:off x="0" y="0"/>
                      <a:ext cx="5400000" cy="4739597"/>
                    </a:xfrm>
                    <a:prstGeom prst="rect"/>
                  </pic:spPr>
                </pic:pic>
              </a:graphicData>
            </a:graphic>
          </wp:inline>
        </w:drawing>
      </w:r>
    </w:p>
    <w:p>
      <w:pPr>
        <w:pStyle w:val="Caption"/>
        <w:jc w:val="center"/>
      </w:pPr>
      <w:r>
        <w:rPr>
          <w:b/>
          <w:i w:val="0"/>
        </w:rPr>
        <w:t xml:space="preserve">Figure 4: </w:t>
      </w:r>
      <w:r>
        <w:rPr/>
        <w:t>Migration cycles (T = go-live)</w:t>
      </w:r>
    </w:p>
    <w:p>
      <w:pPr>
        <w:pStyle w:val="Caption"/>
        <w:keepNext/>
        <w:spacing w:after="60"/>
      </w:pPr>
      <w:r>
        <w:rPr>
          <w:b/>
          <w:i w:val="0"/>
        </w:rPr>
        <w:t xml:space="preserve">Table 27: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321"/>
        <w:gridCol w:w="1562"/>
        <w:gridCol w:w="2883"/>
        <w:gridCol w:w="288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Mock 1</w:t>
            </w:r>
          </w:p>
        </w:tc>
        <w:tc>
          <w:tcPr>
            <w:tcW w:type="dxa" w:w="1322"/>
            <w:tcMar>
              <w:top w:w="50" w:type="dxa"/>
              <w:bottom w:w="50" w:type="dxa"/>
              <w:left w:w="90" w:type="dxa"/>
              <w:right w:w="90" w:type="dxa"/>
            </w:tcMar>
          </w:tcPr>
          <w:p>
            <w:pPr>
              <w:pStyle w:val="BDOITable"/>
            </w:pPr>
            <w:r>
              <w:rPr>
                <w:sz w:val="16"/>
              </w:rPr>
              <w:t>T-12 weeks; SIT</w:t>
            </w:r>
          </w:p>
        </w:tc>
        <w:tc>
          <w:tcPr>
            <w:tcW w:type="dxa" w:w="1562"/>
            <w:tcMar>
              <w:top w:w="50" w:type="dxa"/>
              <w:bottom w:w="50" w:type="dxa"/>
              <w:left w:w="90" w:type="dxa"/>
              <w:right w:w="90" w:type="dxa"/>
            </w:tcMar>
          </w:tcPr>
          <w:p>
            <w:pPr>
              <w:pStyle w:val="BDOITable"/>
            </w:pPr>
            <w:r>
              <w:rPr>
                <w:sz w:val="16"/>
              </w:rPr>
              <w:t>Masked full extracts; reference data, clients, policy headers</w:t>
            </w:r>
          </w:p>
        </w:tc>
        <w:tc>
          <w:tcPr>
            <w:tcW w:type="dxa" w:w="2883"/>
            <w:tcMar>
              <w:top w:w="50" w:type="dxa"/>
              <w:bottom w:w="50" w:type="dxa"/>
              <w:left w:w="90" w:type="dxa"/>
              <w:right w:w="90" w:type="dxa"/>
            </w:tcMar>
          </w:tcPr>
          <w:p>
            <w:pPr>
              <w:pStyle w:val="BDOITable"/>
            </w:pPr>
            <w:r>
              <w:rPr>
                <w:sz w:val="16"/>
              </w:rPr>
              <w:t>Build waves DM0 and DM1-C deployed on SIT; layouts frozen (G2 part 1); draft code maps; first full extracts received (M4)</w:t>
            </w:r>
          </w:p>
        </w:tc>
        <w:tc>
          <w:tcPr>
            <w:tcW w:type="dxa" w:w="2883"/>
            <w:tcMar>
              <w:top w:w="50" w:type="dxa"/>
              <w:bottom w:w="50" w:type="dxa"/>
              <w:left w:w="90" w:type="dxa"/>
              <w:right w:w="90" w:type="dxa"/>
            </w:tcMar>
          </w:tcPr>
          <w:p>
            <w:pPr>
              <w:pStyle w:val="BDOITable"/>
            </w:pPr>
            <w:r>
              <w:rPr>
                <w:sz w:val="16"/>
              </w:rPr>
              <w:t>Objects loaded; L1-L4 run; defects logged; timing per object recorded; profiling report issued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Mock 2</w:t>
            </w:r>
          </w:p>
        </w:tc>
        <w:tc>
          <w:tcPr>
            <w:tcW w:type="dxa" w:w="1322"/>
            <w:tcMar>
              <w:top w:w="50" w:type="dxa"/>
              <w:bottom w:w="50" w:type="dxa"/>
              <w:left w:w="90" w:type="dxa"/>
              <w:right w:w="90" w:type="dxa"/>
            </w:tcMar>
            <w:shd w:val="clear" w:color="auto" w:fill="E5F5FF"/>
          </w:tcPr>
          <w:p>
            <w:pPr>
              <w:pStyle w:val="BDOITable"/>
            </w:pPr>
            <w:r>
              <w:rPr>
                <w:sz w:val="16"/>
              </w:rPr>
              <w:t>T-9 weeks;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83"/>
            <w:tcMar>
              <w:top w:w="50" w:type="dxa"/>
              <w:bottom w:w="50" w:type="dxa"/>
              <w:left w:w="90" w:type="dxa"/>
              <w:right w:w="90" w:type="dxa"/>
            </w:tcMar>
            <w:shd w:val="clear" w:color="auto" w:fill="E5F5FF"/>
          </w:tcPr>
          <w:p>
            <w:pPr>
              <w:pStyle w:val="BDOITable"/>
            </w:pPr>
            <w:r>
              <w:rPr>
                <w:sz w:val="16"/>
              </w:rPr>
              <w:t>Mock 1 exit met; build waves DM1-A, DM1-B, DM2-A deployed; code maps approved (M5); legacy accounts and rules configured on SIT</w:t>
            </w:r>
          </w:p>
        </w:tc>
        <w:tc>
          <w:tcPr>
            <w:tcW w:type="dxa" w:w="288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defect</w:t>
            </w:r>
          </w:p>
        </w:tc>
      </w:tr>
      <w:tr>
        <w:trPr>
          <w:cantSplit w:val="true"/>
        </w:trPr>
        <w:tc>
          <w:tcPr>
            <w:tcW w:type="dxa" w:w="1322"/>
            <w:tcMar>
              <w:top w:w="50" w:type="dxa"/>
              <w:bottom w:w="50" w:type="dxa"/>
              <w:left w:w="90" w:type="dxa"/>
              <w:right w:w="90" w:type="dxa"/>
            </w:tcMar>
          </w:tcPr>
          <w:p>
            <w:pPr>
              <w:pStyle w:val="BDOITable"/>
            </w:pPr>
            <w:r>
              <w:rPr>
                <w:sz w:val="16"/>
              </w:rPr>
              <w:t>Mock 3 (UAT load)</w:t>
            </w:r>
          </w:p>
        </w:tc>
        <w:tc>
          <w:tcPr>
            <w:tcW w:type="dxa" w:w="1322"/>
            <w:tcMar>
              <w:top w:w="50" w:type="dxa"/>
              <w:bottom w:w="50" w:type="dxa"/>
              <w:left w:w="90" w:type="dxa"/>
              <w:right w:w="90" w:type="dxa"/>
            </w:tcMar>
          </w:tcPr>
          <w:p>
            <w:pPr>
              <w:pStyle w:val="BDOITable"/>
            </w:pPr>
            <w:r>
              <w:rPr>
                <w:sz w:val="16"/>
              </w:rPr>
              <w:t>T-6 weeks;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83"/>
            <w:tcMar>
              <w:top w:w="50" w:type="dxa"/>
              <w:bottom w:w="50" w:type="dxa"/>
              <w:left w:w="90" w:type="dxa"/>
              <w:right w:w="90" w:type="dxa"/>
            </w:tcMar>
          </w:tcPr>
          <w:p>
            <w:pPr>
              <w:pStyle w:val="BDOITable"/>
            </w:pPr>
            <w:r>
              <w:rPr>
                <w:sz w:val="16"/>
              </w:rPr>
              <w:t>Mock 2 exit met; UAT readiness statement issued (R7, programme item 11)</w:t>
            </w:r>
          </w:p>
        </w:tc>
        <w:tc>
          <w:tcPr>
            <w:tcW w:type="dxa" w:w="2883"/>
            <w:tcMar>
              <w:top w:w="50" w:type="dxa"/>
              <w:bottom w:w="50" w:type="dxa"/>
              <w:left w:w="90" w:type="dxa"/>
              <w:right w:w="90" w:type="dxa"/>
            </w:tcMar>
          </w:tcPr>
          <w:p>
            <w:pPr>
              <w:pStyle w:val="BDOITable"/>
            </w:pPr>
            <w:r>
              <w:rPr>
                <w:sz w:val="16"/>
              </w:rPr>
              <w:t>Business owners verify samples on screen (G6 rehearsal); UAT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Dress rehearsal</w:t>
            </w:r>
          </w:p>
        </w:tc>
        <w:tc>
          <w:tcPr>
            <w:tcW w:type="dxa" w:w="1322"/>
            <w:tcMar>
              <w:top w:w="50" w:type="dxa"/>
              <w:bottom w:w="50" w:type="dxa"/>
              <w:left w:w="90" w:type="dxa"/>
              <w:right w:w="90" w:type="dxa"/>
            </w:tcMar>
            <w:shd w:val="clear" w:color="auto" w:fill="E5F5FF"/>
          </w:tcPr>
          <w:p>
            <w:pPr>
              <w:pStyle w:val="BDOITable"/>
            </w:pPr>
            <w:r>
              <w:rPr>
                <w:sz w:val="16"/>
              </w:rPr>
              <w:t>T-3 weeks; production-sized environment</w:t>
            </w:r>
          </w:p>
        </w:tc>
        <w:tc>
          <w:tcPr>
            <w:tcW w:type="dxa" w:w="1562"/>
            <w:tcMar>
              <w:top w:w="50" w:type="dxa"/>
              <w:bottom w:w="50" w:type="dxa"/>
              <w:left w:w="90" w:type="dxa"/>
              <w:right w:w="90" w:type="dxa"/>
            </w:tcMar>
            <w:shd w:val="clear" w:color="auto" w:fill="E5F5FF"/>
          </w:tcPr>
          <w:p>
            <w:pPr>
              <w:pStyle w:val="BDOITable"/>
            </w:pPr>
            <w:r>
              <w:rPr>
                <w:sz w:val="16"/>
              </w:rPr>
              <w:t>Masked full-volume extracts taken after a legacy EOD</w:t>
            </w:r>
          </w:p>
        </w:tc>
        <w:tc>
          <w:tcPr>
            <w:tcW w:type="dxa" w:w="2883"/>
            <w:tcMar>
              <w:top w:w="50" w:type="dxa"/>
              <w:bottom w:w="50" w:type="dxa"/>
              <w:left w:w="90" w:type="dxa"/>
              <w:right w:w="90" w:type="dxa"/>
            </w:tcMar>
            <w:shd w:val="clear" w:color="auto" w:fill="E5F5FF"/>
          </w:tcPr>
          <w:p>
            <w:pPr>
              <w:pStyle w:val="BDOITable"/>
            </w:pPr>
            <w:r>
              <w:rPr>
                <w:sz w:val="16"/>
              </w:rPr>
              <w:t>Mock 3 exit met; production-sized environment; cutover plan frozen</w:t>
            </w:r>
          </w:p>
        </w:tc>
        <w:tc>
          <w:tcPr>
            <w:tcW w:type="dxa" w:w="2883"/>
            <w:tcMar>
              <w:top w:w="50" w:type="dxa"/>
              <w:bottom w:w="50" w:type="dxa"/>
              <w:left w:w="90" w:type="dxa"/>
              <w:right w:w="90" w:type="dxa"/>
            </w:tcMar>
            <w:shd w:val="clear" w:color="auto" w:fill="E5F5FF"/>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tcPr>
          <w:p>
            <w:pPr>
              <w:pStyle w:val="BDOITable"/>
            </w:pPr>
            <w:r>
              <w:rPr>
                <w:sz w:val="16"/>
              </w:rPr>
              <w:t>Production</w:t>
            </w:r>
          </w:p>
        </w:tc>
        <w:tc>
          <w:tcPr>
            <w:tcW w:type="dxa" w:w="1322"/>
            <w:tcMar>
              <w:top w:w="50" w:type="dxa"/>
              <w:bottom w:w="50" w:type="dxa"/>
              <w:left w:w="90" w:type="dxa"/>
              <w:right w:w="90" w:type="dxa"/>
            </w:tcMar>
          </w:tcPr>
          <w:p>
            <w:pPr>
              <w:pStyle w:val="BDOITable"/>
            </w:pPr>
            <w:r>
              <w:rPr>
                <w:sz w:val="16"/>
              </w:rPr>
              <w:t>T-14 days to T</w:t>
            </w:r>
          </w:p>
        </w:tc>
        <w:tc>
          <w:tcPr>
            <w:tcW w:type="dxa" w:w="1562"/>
            <w:tcMar>
              <w:top w:w="50" w:type="dxa"/>
              <w:bottom w:w="50" w:type="dxa"/>
              <w:left w:w="90" w:type="dxa"/>
              <w:right w:w="90" w:type="dxa"/>
            </w:tcMar>
          </w:tcPr>
          <w:p>
            <w:pPr>
              <w:pStyle w:val="BDOITable"/>
            </w:pPr>
            <w:r>
              <w:rPr>
                <w:sz w:val="16"/>
              </w:rPr>
              <w:t>Real data in production only</w:t>
            </w:r>
          </w:p>
        </w:tc>
        <w:tc>
          <w:tcPr>
            <w:tcW w:type="dxa" w:w="2883"/>
            <w:tcMar>
              <w:top w:w="50" w:type="dxa"/>
              <w:bottom w:w="50" w:type="dxa"/>
              <w:left w:w="90" w:type="dxa"/>
              <w:right w:w="90" w:type="dxa"/>
            </w:tcMar>
          </w:tcPr>
          <w:p>
            <w:pPr>
              <w:pStyle w:val="BDOITable"/>
            </w:pPr>
            <w:r>
              <w:rPr>
                <w:sz w:val="16"/>
              </w:rPr>
              <w:t>GNG-1 passed (Cutover Runbook)</w:t>
            </w:r>
          </w:p>
        </w:tc>
        <w:tc>
          <w:tcPr>
            <w:tcW w:type="dxa" w:w="2883"/>
            <w:tcMar>
              <w:top w:w="50" w:type="dxa"/>
              <w:bottom w:w="50" w:type="dxa"/>
              <w:left w:w="90" w:type="dxa"/>
              <w:right w:w="90" w:type="dxa"/>
            </w:tcMar>
          </w:tcPr>
          <w:p>
            <w:pPr>
              <w:pStyle w:val="BDOITable"/>
            </w:pPr>
            <w:r>
              <w:rPr>
                <w:sz w:val="16"/>
              </w:rPr>
              <w:t>GNG-3 GO; hypercare exit criteria (Cutover Runbook)</w:t>
            </w:r>
          </w:p>
        </w:tc>
      </w:tr>
    </w:tbl>
    <w:p>
      <w:pPr>
        <w:pStyle w:val="BDOISpacer"/>
      </w:pPr>
    </w:p>
    <w:p>
      <w:r>
        <w:rPr/>
        <w:t>Defects found in a cycle are fixed before the next one: in legacy (cleansing), in the code maps, in the layouts or in the loaders. The next cycle uses fresh extracts, so every fix is proven with new data.</w:t>
      </w:r>
    </w:p>
    <w:p>
      <w:pPr>
        <w:pStyle w:val="Heading2"/>
      </w:pPr>
      <w:bookmarkStart w:id="146" w:name="_Toc000146"/>
      <w:r>
        <w:rPr/>
        <w:t>10.2 Test data and masking</w:t>
      </w:r>
      <w:bookmarkEnd w:id="146"/>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47" w:name="_Toc000147"/>
      <w:r>
        <w:rPr/>
        <w:t>11 Cutover strategy</w:t>
      </w:r>
      <w:bookmarkEnd w:id="147"/>
    </w:p>
    <w:p>
      <w:pPr>
        <w:pStyle w:val="Heading2"/>
      </w:pPr>
      <w:bookmarkStart w:id="148" w:name="_Toc000148"/>
      <w:r>
        <w:rPr/>
        <w:t>11.1 Approach</w:t>
      </w:r>
      <w:bookmarkEnd w:id="148"/>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RMEL cohorts and the GL trial balance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Month-end alignment.</w:t>
      </w:r>
      <w:r>
        <w:rPr/>
        <w:t xml:space="preserve"> Go-live is the first business day of a month, after a legacy month-end close, so the opening trial balance is a closed month-end balance (proposal, DMQ25, DCR-200).</w:t>
      </w:r>
    </w:p>
    <w:p>
      <w:pPr>
        <w:pStyle w:val="Heading2"/>
      </w:pPr>
      <w:bookmarkStart w:id="149" w:name="_Toc000149"/>
      <w:r>
        <w:rPr/>
        <w:t>11.2 Freeze windows</w:t>
      </w:r>
      <w:bookmarkEnd w:id="149"/>
    </w:p>
    <w:p>
      <w:pPr>
        <w:pStyle w:val="Caption"/>
        <w:keepNext/>
        <w:spacing w:after="60"/>
      </w:pPr>
      <w:r>
        <w:rPr>
          <w:b/>
          <w:i w:val="0"/>
        </w:rPr>
        <w:t xml:space="preserve">Table 28: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rPr>
          <w:cantSplit w:val="true"/>
        </w:trP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rPr>
          <w:cantSplit w:val="true"/>
        </w:trP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in EBIX, QPS, CMS - bookings, receipts, UPP, dispositions, remittances, endorsements, GL journals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BIBS configuration</w:t>
            </w:r>
          </w:p>
        </w:tc>
        <w:tc>
          <w:tcPr>
            <w:tcW w:type="dxa" w:w="1682"/>
            <w:tcMar>
              <w:top w:w="50" w:type="dxa"/>
              <w:bottom w:w="50" w:type="dxa"/>
              <w:left w:w="90" w:type="dxa"/>
              <w:right w:w="90" w:type="dxa"/>
            </w:tcMar>
            <w:shd w:val="clear" w:color="auto" w:fill="E5F5FF"/>
          </w:tcPr>
          <w:p>
            <w:pPr>
              <w:pStyle w:val="BDOITable"/>
            </w:pPr>
            <w:r>
              <w:rPr>
                <w:sz w:val="17"/>
              </w:rPr>
              <w:t>T-2 00:00</w:t>
            </w:r>
          </w:p>
        </w:tc>
        <w:tc>
          <w:tcPr>
            <w:tcW w:type="dxa" w:w="1081"/>
            <w:tcMar>
              <w:top w:w="50" w:type="dxa"/>
              <w:bottom w:w="50" w:type="dxa"/>
              <w:left w:w="90" w:type="dxa"/>
              <w:right w:w="90" w:type="dxa"/>
            </w:tcMar>
            <w:shd w:val="clear" w:color="auto" w:fill="E5F5FF"/>
          </w:tcPr>
          <w:p>
            <w:pPr>
              <w:pStyle w:val="BDOITable"/>
            </w:pPr>
            <w:r>
              <w:rPr>
                <w:sz w:val="17"/>
              </w:rPr>
              <w:t>T+3</w:t>
            </w:r>
          </w:p>
        </w:tc>
        <w:tc>
          <w:tcPr>
            <w:tcW w:type="dxa" w:w="3244"/>
            <w:tcMar>
              <w:top w:w="50" w:type="dxa"/>
              <w:bottom w:w="50" w:type="dxa"/>
              <w:left w:w="90" w:type="dxa"/>
              <w:right w:w="90" w:type="dxa"/>
            </w:tcMar>
            <w:shd w:val="clear" w:color="auto" w:fill="E5F5FF"/>
          </w:tcPr>
          <w:p>
            <w:pPr>
              <w:pStyle w:val="BDOITable"/>
            </w:pPr>
            <w:r>
              <w:rPr>
                <w:sz w:val="17"/>
              </w:rPr>
              <w:t>Parameters, accounting rules, code maps, workflows in production</w:t>
            </w:r>
          </w:p>
        </w:tc>
        <w:tc>
          <w:tcPr>
            <w:tcW w:type="dxa" w:w="2403"/>
            <w:tcMar>
              <w:top w:w="50" w:type="dxa"/>
              <w:bottom w:w="50" w:type="dxa"/>
              <w:left w:w="90" w:type="dxa"/>
              <w:right w:w="90" w:type="dxa"/>
            </w:tcMar>
            <w:shd w:val="clear" w:color="auto" w:fill="E5F5FF"/>
          </w:tcPr>
          <w:p>
            <w:pPr>
              <w:pStyle w:val="BDOITable"/>
            </w:pPr>
            <w:r>
              <w:rPr>
                <w:sz w:val="17"/>
              </w:rPr>
              <w:t>Emergency change approved by the go / no-go board</w:t>
            </w:r>
          </w:p>
        </w:tc>
      </w:tr>
      <w:tr>
        <w:trPr>
          <w:cantSplit w:val="true"/>
        </w:trPr>
        <w:tc>
          <w:tcPr>
            <w:tcW w:type="dxa" w:w="1562"/>
            <w:tcMar>
              <w:top w:w="50" w:type="dxa"/>
              <w:bottom w:w="50" w:type="dxa"/>
              <w:left w:w="90" w:type="dxa"/>
              <w:right w:w="90" w:type="dxa"/>
            </w:tcMar>
          </w:tcPr>
          <w:p>
            <w:pPr>
              <w:pStyle w:val="BDOITable"/>
            </w:pPr>
            <w:r>
              <w:rPr>
                <w:b/>
                <w:sz w:val="17"/>
              </w:rPr>
              <w:t>BIBS releases</w:t>
            </w:r>
          </w:p>
        </w:tc>
        <w:tc>
          <w:tcPr>
            <w:tcW w:type="dxa" w:w="1682"/>
            <w:tcMar>
              <w:top w:w="50" w:type="dxa"/>
              <w:bottom w:w="50" w:type="dxa"/>
              <w:left w:w="90" w:type="dxa"/>
              <w:right w:w="90" w:type="dxa"/>
            </w:tcMar>
          </w:tcPr>
          <w:p>
            <w:pPr>
              <w:pStyle w:val="BDOITable"/>
            </w:pPr>
            <w:r>
              <w:rPr>
                <w:sz w:val="17"/>
              </w:rPr>
              <w:t>T-7</w:t>
            </w:r>
          </w:p>
        </w:tc>
        <w:tc>
          <w:tcPr>
            <w:tcW w:type="dxa" w:w="1081"/>
            <w:tcMar>
              <w:top w:w="50" w:type="dxa"/>
              <w:bottom w:w="50" w:type="dxa"/>
              <w:left w:w="90" w:type="dxa"/>
              <w:right w:w="90" w:type="dxa"/>
            </w:tcMar>
          </w:tcPr>
          <w:p>
            <w:pPr>
              <w:pStyle w:val="BDOITable"/>
            </w:pPr>
            <w:r>
              <w:rPr>
                <w:sz w:val="17"/>
              </w:rPr>
              <w:t>T+14</w:t>
            </w:r>
          </w:p>
        </w:tc>
        <w:tc>
          <w:tcPr>
            <w:tcW w:type="dxa" w:w="3244"/>
            <w:tcMar>
              <w:top w:w="50" w:type="dxa"/>
              <w:bottom w:w="50" w:type="dxa"/>
              <w:left w:w="90" w:type="dxa"/>
              <w:right w:w="90" w:type="dxa"/>
            </w:tcMar>
          </w:tcPr>
          <w:p>
            <w:pPr>
              <w:pStyle w:val="BDOITable"/>
            </w:pPr>
            <w:r>
              <w:rPr>
                <w:sz w:val="17"/>
              </w:rPr>
              <w:t>Deployments to production</w:t>
            </w:r>
          </w:p>
        </w:tc>
        <w:tc>
          <w:tcPr>
            <w:tcW w:type="dxa" w:w="2403"/>
            <w:tcMar>
              <w:top w:w="50" w:type="dxa"/>
              <w:bottom w:w="50" w:type="dxa"/>
              <w:left w:w="90" w:type="dxa"/>
              <w:right w:w="90" w:type="dxa"/>
            </w:tcMar>
          </w:tcPr>
          <w:p>
            <w:pPr>
              <w:pStyle w:val="BDOITable"/>
            </w:pPr>
            <w:r>
              <w:rPr>
                <w:sz w:val="17"/>
              </w:rPr>
              <w:t>Hotfix of a Critical defect approved by the go / no-go board</w:t>
            </w:r>
          </w:p>
        </w:tc>
      </w:tr>
    </w:tbl>
    <w:p>
      <w:pPr>
        <w:pStyle w:val="BDOISpacer"/>
      </w:pPr>
    </w:p>
    <w:p>
      <w:pPr>
        <w:pStyle w:val="Heading2"/>
      </w:pPr>
      <w:bookmarkStart w:id="150" w:name="_Toc000150"/>
      <w:r>
        <w:rPr/>
        <w:t>11.3 Parallel run</w:t>
      </w:r>
      <w:bookmarkEnd w:id="150"/>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three mocks and the dress rehearsal on full extracts, the go / no-go criteria measured on production data, the rollback point until the go / no-go, and the daily hypercare reconciliation after go-live.</w:t>
      </w:r>
    </w:p>
    <w:p>
      <w:pPr>
        <w:pStyle w:val="Heading2"/>
      </w:pPr>
      <w:bookmarkStart w:id="151" w:name="_Toc000151"/>
      <w:r>
        <w:rPr/>
        <w:t>11.4 Go / no-go</w:t>
      </w:r>
      <w:bookmarkEnd w:id="151"/>
    </w:p>
    <w:p>
      <w:r>
        <w:rPr/>
        <w:t>Three checkpoints decide the cutover. The criteria are measured by BIBS and recorded with their values (FR-DM-121). GNG-3 is the go-live decision on the Sunday before go-live at 18:00:</w:t>
      </w:r>
    </w:p>
    <w:p>
      <w:pPr>
        <w:pStyle w:val="Caption"/>
        <w:keepNext/>
        <w:spacing w:after="60"/>
      </w:pPr>
      <w:r>
        <w:rPr>
          <w:b/>
          <w:i w:val="0"/>
        </w:rPr>
        <w:t xml:space="preserve">Table 29: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bl>
    <w:p>
      <w:pPr>
        <w:pStyle w:val="BDOISpacer"/>
      </w:pPr>
    </w:p>
    <w:p>
      <w:r>
        <w:rPr/>
        <w:t>GNG-1 (T-15, start the pre-load) and GNG-2 (T-4, enter the freeze) are in the Cutover Runbook.</w:t>
      </w:r>
    </w:p>
    <w:p>
      <w:pPr>
        <w:pStyle w:val="Heading2"/>
      </w:pPr>
      <w:bookmarkStart w:id="152" w:name="_Toc000152"/>
      <w:r>
        <w:rPr/>
        <w:t>11.5 Rollback</w:t>
      </w:r>
      <w:bookmarkEnd w:id="152"/>
    </w:p>
    <w:p>
      <w:r>
        <w:rPr/>
        <w:t>Until the go / no-go decision the rollback is a restore of the production database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the Cutover Runbook.</w:t>
      </w:r>
    </w:p>
    <w:p>
      <w:pPr>
        <w:pStyle w:val="Heading2"/>
      </w:pPr>
      <w:bookmarkStart w:id="153" w:name="_Toc000153"/>
      <w:r>
        <w:rPr/>
        <w:t>11.6 Hypercare</w:t>
      </w:r>
      <w:bookmarkEnd w:id="153"/>
    </w:p>
    <w:p>
      <w:r>
        <w:rPr/>
        <w:t>Hypercare runs from go-live to the first month-end close. Every day: Migration Clearing 0.00, legacy control accounts against their sub-ledgers, automatch results, exception queues and failed jobs; defect triage twice a day. Exit requires no open Critical or High defect, 10 consecutive business days of clean daily checks, and the first month-end close with the ACSL GL-SL reconciliation (context LEGACY) without difference.</w:t>
      </w:r>
    </w:p>
    <w:p>
      <w:pPr>
        <w:pStyle w:val="Heading2"/>
      </w:pPr>
      <w:bookmarkStart w:id="154" w:name="_Toc000154"/>
      <w:r>
        <w:rPr/>
        <w:t>11.7 In-flight items at the freeze</w:t>
      </w:r>
      <w:bookmarkEnd w:id="154"/>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The runbook schedules the completion drives from T-9.</w:t>
      </w:r>
    </w:p>
    <w:p>
      <w:pPr>
        <w:pStyle w:val="Heading2"/>
      </w:pPr>
      <w:bookmarkStart w:id="155" w:name="_Toc000155"/>
      <w:r>
        <w:rPr/>
        <w:t>11.8 Decommissioning</w:t>
      </w:r>
      <w:bookmarkEnd w:id="155"/>
    </w:p>
    <w:p>
      <w:r>
        <w:rPr/>
        <w:t>Each legacy system is decommissioned only against a signed checklist (FR-DM-123): final extracts reconciled,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the Cutover Runbook.</w:t>
      </w:r>
    </w:p>
    <w:p>
      <w:pPr>
        <w:pStyle w:val="Heading1"/>
        <w:pageBreakBefore/>
        <w:pBdr>
          <w:bottom w:val="single" w:sz="4" w:space="4" w:color="99C1E7"/>
        </w:pBdr>
      </w:pPr>
      <w:bookmarkStart w:id="156" w:name="_Toc000156"/>
      <w:r>
        <w:rPr/>
        <w:t>12 Data security</w:t>
      </w:r>
      <w:bookmarkEnd w:id="156"/>
    </w:p>
    <w:p>
      <w:r>
        <w:rPr/>
        <w:t>The migration follows the hosting appendix (R7) and the security controls of BIBS.</w:t>
      </w:r>
    </w:p>
    <w:p>
      <w:pPr>
        <w:pStyle w:val="Caption"/>
        <w:keepNext/>
        <w:spacing w:after="60"/>
      </w:pPr>
      <w:r>
        <w:rPr>
          <w:b/>
          <w:i w:val="0"/>
        </w:rPr>
        <w:t xml:space="preserve">Table 30: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Staging payloads and extract files are deleted within 5 days of the batch sign-off or rollback, or of an extract rejection (job MIG_STAGING_PURGE and a lifecycle rule on the intake bucket); an alert is raised when a signed-off batch still has payloads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staging and the intake bucket are reachable only by migration roles and only from the Philippines (network allow-list and VPN at the infrastructure layer)</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(TLS) or SFTP; at rest they are encrypted with KMS keys;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append-only legacy access log</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57" w:name="_Toc000157"/>
      <w:r>
        <w:rPr/>
        <w:t>13 Roles and responsibilities</w:t>
      </w:r>
      <w:bookmarkEnd w:id="157"/>
    </w:p>
    <w:p>
      <w:pPr>
        <w:pStyle w:val="Heading2"/>
      </w:pPr>
      <w:bookmarkStart w:id="158" w:name="_Toc000158"/>
      <w:r>
        <w:rPr/>
        <w:t>13.1 Migration organisation</w:t>
      </w:r>
      <w:bookmarkEnd w:id="158"/>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(loaders, reconciliation, profiling, console); Migration Operator (intake, validation, loads); DevOps (environments, snapshots, access); QA (smoke tests, migration test plan).</w:t>
      </w:r>
    </w:p>
    <w:p>
      <w:pPr>
        <w:pStyle w:val="Heading2"/>
      </w:pPr>
      <w:bookmarkStart w:id="159" w:name="_Toc000159"/>
      <w:r>
        <w:rPr/>
        <w:t>13.2 RACI</w:t>
      </w:r>
      <w:bookmarkEnd w:id="159"/>
    </w:p>
    <w:p>
      <w:r>
        <w:rPr/>
        <w:t>R = responsible, A = accountable, C = consulted, I = informed.</w:t>
      </w:r>
    </w:p>
    <w:p>
      <w:pPr>
        <w:pStyle w:val="Caption"/>
        <w:keepNext/>
        <w:spacing w:after="60"/>
      </w:pPr>
      <w:r>
        <w:rPr>
          <w:b/>
          <w:i w:val="0"/>
        </w:rPr>
        <w:t xml:space="preserve">Table 31: </w:t>
      </w:r>
      <w:r>
        <w:rPr/>
        <w:t>RACI. PM = BDOI Program Manager; DML = Data Migration Lead; OWN = data owners; STW = data stewards; BIT = BDOI IT; COMP = Comptrollership; CMP = Compliance; IPM = iorta Project Manager; IML = iorta Migration Lead; IOP = iorta Operator / DevOps;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strategy and this document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Mocks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0" w:name="_Toc000160"/>
      <w:r>
        <w:rPr/>
        <w:t>14 Risks and mitigations</w:t>
      </w:r>
      <w:bookmarkEnd w:id="160"/>
    </w:p>
    <w:p>
      <w:pPr>
        <w:pStyle w:val="Caption"/>
        <w:keepNext/>
        <w:spacing w:after="60"/>
      </w:pPr>
      <w:r>
        <w:rPr>
          <w:b/>
          <w:i w:val="0"/>
        </w:rPr>
        <w:t xml:space="preserve">Table 32: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7"/>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Mitigation</w:t>
            </w:r>
          </w:p>
        </w:tc>
      </w:tr>
      <w:tr>
        <w:trPr>
          <w:cantSplit w:val="true"/>
        </w:trPr>
        <w:tc>
          <w:tcPr>
            <w:tcW w:type="dxa" w:w="541"/>
            <w:tcMar>
              <w:top w:w="50" w:type="dxa"/>
              <w:bottom w:w="50" w:type="dxa"/>
              <w:left w:w="90" w:type="dxa"/>
              <w:right w:w="90" w:type="dxa"/>
            </w:tcMar>
          </w:tcPr>
          <w:p>
            <w:pPr>
              <w:pStyle w:val="BDOITable"/>
            </w:pPr>
            <w:r>
              <w:rPr>
                <w:sz w:val="17"/>
              </w:rPr>
              <w:t>1</w:t>
            </w:r>
          </w:p>
        </w:tc>
        <w:tc>
          <w:tcPr>
            <w:tcW w:type="dxa" w:w="3244"/>
            <w:tcMar>
              <w:top w:w="50" w:type="dxa"/>
              <w:bottom w:w="50" w:type="dxa"/>
              <w:left w:w="90" w:type="dxa"/>
              <w:right w:w="90" w:type="dxa"/>
            </w:tcMar>
          </w:tcPr>
          <w:p>
            <w:pPr>
              <w:pStyle w:val="BDOITable"/>
            </w:pPr>
            <w:r>
              <w:rPr>
                <w:sz w:val="17"/>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7"/>
              </w:rPr>
              <w:t>High</w:t>
            </w:r>
          </w:p>
        </w:tc>
        <w:tc>
          <w:tcPr>
            <w:tcW w:type="dxa" w:w="5286"/>
            <w:tcMar>
              <w:top w:w="50" w:type="dxa"/>
              <w:bottom w:w="50" w:type="dxa"/>
              <w:left w:w="90" w:type="dxa"/>
              <w:right w:w="90" w:type="dxa"/>
            </w:tcMar>
          </w:tcPr>
          <w:p>
            <w:pPr>
              <w:pStyle w:val="BDOITable"/>
            </w:pPr>
            <w:r>
              <w:rPr>
                <w:sz w:val="17"/>
              </w:rPr>
              <w:t>Profiling at T-14 weeks; "open-balance mode" (open balance loaded as booked, original values in the snapshot);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2</w:t>
            </w:r>
          </w:p>
        </w:tc>
        <w:tc>
          <w:tcPr>
            <w:tcW w:type="dxa" w:w="3244"/>
            <w:tcMar>
              <w:top w:w="50" w:type="dxa"/>
              <w:bottom w:w="50" w:type="dxa"/>
              <w:left w:w="90" w:type="dxa"/>
              <w:right w:w="90" w:type="dxa"/>
            </w:tcMar>
            <w:shd w:val="clear" w:color="auto" w:fill="E5F5FF"/>
          </w:tcPr>
          <w:p>
            <w:pPr>
              <w:pStyle w:val="BDOITable"/>
            </w:pPr>
            <w:r>
              <w:rPr>
                <w:sz w:val="17"/>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7"/>
              </w:rPr>
              <w:t>High</w:t>
            </w:r>
          </w:p>
        </w:tc>
        <w:tc>
          <w:tcPr>
            <w:tcW w:type="dxa" w:w="5286"/>
            <w:tcMar>
              <w:top w:w="50" w:type="dxa"/>
              <w:bottom w:w="50" w:type="dxa"/>
              <w:left w:w="90" w:type="dxa"/>
              <w:right w:w="90" w:type="dxa"/>
            </w:tcMar>
            <w:shd w:val="clear" w:color="auto" w:fill="E5F5FF"/>
          </w:tcPr>
          <w:p>
            <w:pPr>
              <w:pStyle w:val="BDOITable"/>
            </w:pPr>
            <w:r>
              <w:rPr>
                <w:sz w:val="17"/>
              </w:rPr>
              <w:t>Reconciliation in every mock from Mock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7"/>
              </w:rPr>
              <w:t>3</w:t>
            </w:r>
          </w:p>
        </w:tc>
        <w:tc>
          <w:tcPr>
            <w:tcW w:type="dxa" w:w="3244"/>
            <w:tcMar>
              <w:top w:w="50" w:type="dxa"/>
              <w:bottom w:w="50" w:type="dxa"/>
              <w:left w:w="90" w:type="dxa"/>
              <w:right w:w="90" w:type="dxa"/>
            </w:tcMar>
          </w:tcPr>
          <w:p>
            <w:pPr>
              <w:pStyle w:val="BDOITable"/>
            </w:pPr>
            <w:r>
              <w:rPr>
                <w:sz w:val="17"/>
              </w:rPr>
              <w:t>Duplicate clients merged wrongly, or not merged</w:t>
            </w:r>
          </w:p>
        </w:tc>
        <w:tc>
          <w:tcPr>
            <w:tcW w:type="dxa" w:w="901"/>
            <w:tcMar>
              <w:top w:w="50" w:type="dxa"/>
              <w:bottom w:w="50" w:type="dxa"/>
              <w:left w:w="90" w:type="dxa"/>
              <w:right w:w="90" w:type="dxa"/>
            </w:tcMar>
          </w:tcPr>
          <w:p>
            <w:pPr>
              <w:pStyle w:val="BDOITable"/>
            </w:pPr>
            <w:r>
              <w:rPr>
                <w:sz w:val="17"/>
              </w:rPr>
              <w:t>High</w:t>
            </w:r>
          </w:p>
        </w:tc>
        <w:tc>
          <w:tcPr>
            <w:tcW w:type="dxa" w:w="5286"/>
            <w:tcMar>
              <w:top w:w="50" w:type="dxa"/>
              <w:bottom w:w="50" w:type="dxa"/>
              <w:left w:w="90" w:type="dxa"/>
              <w:right w:w="90" w:type="dxa"/>
            </w:tcMar>
          </w:tcPr>
          <w:p>
            <w:pPr>
              <w:pStyle w:val="BDOITable"/>
            </w:pPr>
            <w:r>
              <w:rPr>
                <w:sz w:val="17"/>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4</w:t>
            </w:r>
          </w:p>
        </w:tc>
        <w:tc>
          <w:tcPr>
            <w:tcW w:type="dxa" w:w="3244"/>
            <w:tcMar>
              <w:top w:w="50" w:type="dxa"/>
              <w:bottom w:w="50" w:type="dxa"/>
              <w:left w:w="90" w:type="dxa"/>
              <w:right w:w="90" w:type="dxa"/>
            </w:tcMar>
            <w:shd w:val="clear" w:color="auto" w:fill="E5F5FF"/>
          </w:tcPr>
          <w:p>
            <w:pPr>
              <w:pStyle w:val="BDOITable"/>
            </w:pPr>
            <w:r>
              <w:rPr>
                <w:sz w:val="17"/>
              </w:rPr>
              <w:t>Answers to the build-shaping decisions arrive late (M1)</w:t>
            </w:r>
          </w:p>
        </w:tc>
        <w:tc>
          <w:tcPr>
            <w:tcW w:type="dxa" w:w="901"/>
            <w:tcMar>
              <w:top w:w="50" w:type="dxa"/>
              <w:bottom w:w="50" w:type="dxa"/>
              <w:left w:w="90" w:type="dxa"/>
              <w:right w:w="90" w:type="dxa"/>
            </w:tcMar>
            <w:shd w:val="clear" w:color="auto" w:fill="E5F5FF"/>
          </w:tcPr>
          <w:p>
            <w:pPr>
              <w:pStyle w:val="BDOITable"/>
            </w:pPr>
            <w:r>
              <w:rPr>
                <w:sz w:val="17"/>
              </w:rPr>
              <w:t>High</w:t>
            </w:r>
          </w:p>
        </w:tc>
        <w:tc>
          <w:tcPr>
            <w:tcW w:type="dxa" w:w="5286"/>
            <w:tcMar>
              <w:top w:w="50" w:type="dxa"/>
              <w:bottom w:w="50" w:type="dxa"/>
              <w:left w:w="90" w:type="dxa"/>
              <w:right w:w="90" w:type="dxa"/>
            </w:tcMar>
            <w:shd w:val="clear" w:color="auto" w:fill="E5F5FF"/>
          </w:tcPr>
          <w:p>
            <w:pPr>
              <w:pStyle w:val="BDOITable"/>
            </w:pPr>
            <w:r>
              <w:rPr>
                <w:sz w:val="17"/>
              </w:rPr>
              <w:t>Decisions listed with dates (chapter 15); defaults in configuration where possible; build waves sequenced so late answers change configuration, not code</w:t>
            </w:r>
          </w:p>
        </w:tc>
      </w:tr>
      <w:tr>
        <w:trPr>
          <w:cantSplit w:val="true"/>
        </w:trPr>
        <w:tc>
          <w:tcPr>
            <w:tcW w:type="dxa" w:w="541"/>
            <w:tcMar>
              <w:top w:w="50" w:type="dxa"/>
              <w:bottom w:w="50" w:type="dxa"/>
              <w:left w:w="90" w:type="dxa"/>
              <w:right w:w="90" w:type="dxa"/>
            </w:tcMar>
          </w:tcPr>
          <w:p>
            <w:pPr>
              <w:pStyle w:val="BDOITable"/>
            </w:pPr>
            <w:r>
              <w:rPr>
                <w:sz w:val="17"/>
              </w:rPr>
              <w:t>5</w:t>
            </w:r>
          </w:p>
        </w:tc>
        <w:tc>
          <w:tcPr>
            <w:tcW w:type="dxa" w:w="3244"/>
            <w:tcMar>
              <w:top w:w="50" w:type="dxa"/>
              <w:bottom w:w="50" w:type="dxa"/>
              <w:left w:w="90" w:type="dxa"/>
              <w:right w:w="90" w:type="dxa"/>
            </w:tcMar>
          </w:tcPr>
          <w:p>
            <w:pPr>
              <w:pStyle w:val="BDOITable"/>
            </w:pPr>
            <w:r>
              <w:rPr>
                <w:sz w:val="17"/>
              </w:rPr>
              <w:t>Load time exceeds the cutover window</w:t>
            </w:r>
          </w:p>
        </w:tc>
        <w:tc>
          <w:tcPr>
            <w:tcW w:type="dxa" w:w="901"/>
            <w:tcMar>
              <w:top w:w="50" w:type="dxa"/>
              <w:bottom w:w="50" w:type="dxa"/>
              <w:left w:w="90" w:type="dxa"/>
              <w:right w:w="90" w:type="dxa"/>
            </w:tcMar>
          </w:tcPr>
          <w:p>
            <w:pPr>
              <w:pStyle w:val="BDOITable"/>
            </w:pPr>
            <w:r>
              <w:rPr>
                <w:sz w:val="17"/>
              </w:rPr>
              <w:t>Medium</w:t>
            </w:r>
          </w:p>
        </w:tc>
        <w:tc>
          <w:tcPr>
            <w:tcW w:type="dxa" w:w="5286"/>
            <w:tcMar>
              <w:top w:w="50" w:type="dxa"/>
              <w:bottom w:w="50" w:type="dxa"/>
              <w:left w:w="90" w:type="dxa"/>
              <w:right w:w="90" w:type="dxa"/>
            </w:tcMar>
          </w:tcPr>
          <w:p>
            <w:pPr>
              <w:pStyle w:val="BDOITable"/>
            </w:pPr>
            <w:r>
              <w:rPr>
                <w:sz w:val="17"/>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6</w:t>
            </w:r>
          </w:p>
        </w:tc>
        <w:tc>
          <w:tcPr>
            <w:tcW w:type="dxa" w:w="3244"/>
            <w:tcMar>
              <w:top w:w="50" w:type="dxa"/>
              <w:bottom w:w="50" w:type="dxa"/>
              <w:left w:w="90" w:type="dxa"/>
              <w:right w:w="90" w:type="dxa"/>
            </w:tcMar>
            <w:shd w:val="clear" w:color="auto" w:fill="E5F5FF"/>
          </w:tcPr>
          <w:p>
            <w:pPr>
              <w:pStyle w:val="BDOITable"/>
            </w:pPr>
            <w:r>
              <w:rPr>
                <w:sz w:val="17"/>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7"/>
              </w:rPr>
              <w:t>High</w:t>
            </w:r>
          </w:p>
        </w:tc>
        <w:tc>
          <w:tcPr>
            <w:tcW w:type="dxa" w:w="5286"/>
            <w:tcMar>
              <w:top w:w="50" w:type="dxa"/>
              <w:bottom w:w="50" w:type="dxa"/>
              <w:left w:w="90" w:type="dxa"/>
              <w:right w:w="90" w:type="dxa"/>
            </w:tcMar>
            <w:shd w:val="clear" w:color="auto" w:fill="E5F5FF"/>
          </w:tcPr>
          <w:p>
            <w:pPr>
              <w:pStyle w:val="BDOITable"/>
            </w:pPr>
            <w:r>
              <w:rPr>
                <w:sz w:val="17"/>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7"/>
              </w:rPr>
              <w:t>7</w:t>
            </w:r>
          </w:p>
        </w:tc>
        <w:tc>
          <w:tcPr>
            <w:tcW w:type="dxa" w:w="3244"/>
            <w:tcMar>
              <w:top w:w="50" w:type="dxa"/>
              <w:bottom w:w="50" w:type="dxa"/>
              <w:left w:w="90" w:type="dxa"/>
              <w:right w:w="90" w:type="dxa"/>
            </w:tcMar>
          </w:tcPr>
          <w:p>
            <w:pPr>
              <w:pStyle w:val="BDOITable"/>
            </w:pPr>
            <w:r>
              <w:rPr>
                <w:sz w:val="17"/>
              </w:rPr>
              <w:t>Real personal data in a test environment</w:t>
            </w:r>
          </w:p>
        </w:tc>
        <w:tc>
          <w:tcPr>
            <w:tcW w:type="dxa" w:w="901"/>
            <w:tcMar>
              <w:top w:w="50" w:type="dxa"/>
              <w:bottom w:w="50" w:type="dxa"/>
              <w:left w:w="90" w:type="dxa"/>
              <w:right w:w="90" w:type="dxa"/>
            </w:tcMar>
          </w:tcPr>
          <w:p>
            <w:pPr>
              <w:pStyle w:val="BDOITable"/>
            </w:pPr>
            <w:r>
              <w:rPr>
                <w:sz w:val="17"/>
              </w:rPr>
              <w:t>High</w:t>
            </w:r>
          </w:p>
        </w:tc>
        <w:tc>
          <w:tcPr>
            <w:tcW w:type="dxa" w:w="5286"/>
            <w:tcMar>
              <w:top w:w="50" w:type="dxa"/>
              <w:bottom w:w="50" w:type="dxa"/>
              <w:left w:w="90" w:type="dxa"/>
              <w:right w:w="90" w:type="dxa"/>
            </w:tcMar>
          </w:tcPr>
          <w:p>
            <w:pPr>
              <w:pStyle w:val="BDOITable"/>
            </w:pPr>
            <w:r>
              <w:rPr>
                <w:sz w:val="17"/>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8</w:t>
            </w:r>
          </w:p>
        </w:tc>
        <w:tc>
          <w:tcPr>
            <w:tcW w:type="dxa" w:w="3244"/>
            <w:tcMar>
              <w:top w:w="50" w:type="dxa"/>
              <w:bottom w:w="50" w:type="dxa"/>
              <w:left w:w="90" w:type="dxa"/>
              <w:right w:w="90" w:type="dxa"/>
            </w:tcMar>
            <w:shd w:val="clear" w:color="auto" w:fill="E5F5FF"/>
          </w:tcPr>
          <w:p>
            <w:pPr>
              <w:pStyle w:val="BDOITable"/>
            </w:pPr>
            <w:r>
              <w:rPr>
                <w:sz w:val="17"/>
              </w:rPr>
              <w:t>Legacy postings after the freeze</w:t>
            </w:r>
          </w:p>
        </w:tc>
        <w:tc>
          <w:tcPr>
            <w:tcW w:type="dxa" w:w="901"/>
            <w:tcMar>
              <w:top w:w="50" w:type="dxa"/>
              <w:bottom w:w="50" w:type="dxa"/>
              <w:left w:w="90" w:type="dxa"/>
              <w:right w:w="90" w:type="dxa"/>
            </w:tcMar>
            <w:shd w:val="clear" w:color="auto" w:fill="E5F5FF"/>
          </w:tcPr>
          <w:p>
            <w:pPr>
              <w:pStyle w:val="BDOITable"/>
            </w:pPr>
            <w:r>
              <w:rPr>
                <w:sz w:val="17"/>
              </w:rPr>
              <w:t>High</w:t>
            </w:r>
          </w:p>
        </w:tc>
        <w:tc>
          <w:tcPr>
            <w:tcW w:type="dxa" w:w="5286"/>
            <w:tcMar>
              <w:top w:w="50" w:type="dxa"/>
              <w:bottom w:w="50" w:type="dxa"/>
              <w:left w:w="90" w:type="dxa"/>
              <w:right w:w="90" w:type="dxa"/>
            </w:tcMar>
            <w:shd w:val="clear" w:color="auto" w:fill="E5F5FF"/>
          </w:tcPr>
          <w:p>
            <w:pPr>
              <w:pStyle w:val="BDOITable"/>
            </w:pPr>
            <w:r>
              <w:rPr>
                <w:sz w:val="17"/>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7"/>
              </w:rPr>
              <w:t>9</w:t>
            </w:r>
          </w:p>
        </w:tc>
        <w:tc>
          <w:tcPr>
            <w:tcW w:type="dxa" w:w="3244"/>
            <w:tcMar>
              <w:top w:w="50" w:type="dxa"/>
              <w:bottom w:w="50" w:type="dxa"/>
              <w:left w:w="90" w:type="dxa"/>
              <w:right w:w="90" w:type="dxa"/>
            </w:tcMar>
          </w:tcPr>
          <w:p>
            <w:pPr>
              <w:pStyle w:val="BDOITable"/>
            </w:pPr>
            <w:r>
              <w:rPr>
                <w:sz w:val="17"/>
              </w:rPr>
              <w:t>In-flight items forgotten at the freeze</w:t>
            </w:r>
          </w:p>
        </w:tc>
        <w:tc>
          <w:tcPr>
            <w:tcW w:type="dxa" w:w="901"/>
            <w:tcMar>
              <w:top w:w="50" w:type="dxa"/>
              <w:bottom w:w="50" w:type="dxa"/>
              <w:left w:w="90" w:type="dxa"/>
              <w:right w:w="90" w:type="dxa"/>
            </w:tcMar>
          </w:tcPr>
          <w:p>
            <w:pPr>
              <w:pStyle w:val="BDOITable"/>
            </w:pPr>
            <w:r>
              <w:rPr>
                <w:sz w:val="17"/>
              </w:rPr>
              <w:t>Medium</w:t>
            </w:r>
          </w:p>
        </w:tc>
        <w:tc>
          <w:tcPr>
            <w:tcW w:type="dxa" w:w="5286"/>
            <w:tcMar>
              <w:top w:w="50" w:type="dxa"/>
              <w:bottom w:w="50" w:type="dxa"/>
              <w:left w:w="90" w:type="dxa"/>
              <w:right w:w="90" w:type="dxa"/>
            </w:tcMar>
          </w:tcPr>
          <w:p>
            <w:pPr>
              <w:pStyle w:val="BDOITable"/>
            </w:pPr>
            <w:r>
              <w:rPr>
                <w:sz w:val="17"/>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10</w:t>
            </w:r>
          </w:p>
        </w:tc>
        <w:tc>
          <w:tcPr>
            <w:tcW w:type="dxa" w:w="3244"/>
            <w:tcMar>
              <w:top w:w="50" w:type="dxa"/>
              <w:bottom w:w="50" w:type="dxa"/>
              <w:left w:w="90" w:type="dxa"/>
              <w:right w:w="90" w:type="dxa"/>
            </w:tcMar>
            <w:shd w:val="clear" w:color="auto" w:fill="E5F5FF"/>
          </w:tcPr>
          <w:p>
            <w:pPr>
              <w:pStyle w:val="BDOITable"/>
            </w:pPr>
            <w:r>
              <w:rPr>
                <w:sz w:val="17"/>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7"/>
              </w:rPr>
              <w:t>Medium</w:t>
            </w:r>
          </w:p>
        </w:tc>
        <w:tc>
          <w:tcPr>
            <w:tcW w:type="dxa" w:w="5286"/>
            <w:tcMar>
              <w:top w:w="50" w:type="dxa"/>
              <w:bottom w:w="50" w:type="dxa"/>
              <w:left w:w="90" w:type="dxa"/>
              <w:right w:w="90" w:type="dxa"/>
            </w:tcMar>
            <w:shd w:val="clear" w:color="auto" w:fill="E5F5FF"/>
          </w:tcPr>
          <w:p>
            <w:pPr>
              <w:pStyle w:val="BDOITable"/>
            </w:pPr>
            <w:r>
              <w:rPr>
                <w:sz w:val="17"/>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7"/>
              </w:rPr>
              <w:t>11</w:t>
            </w:r>
          </w:p>
        </w:tc>
        <w:tc>
          <w:tcPr>
            <w:tcW w:type="dxa" w:w="3244"/>
            <w:tcMar>
              <w:top w:w="50" w:type="dxa"/>
              <w:bottom w:w="50" w:type="dxa"/>
              <w:left w:w="90" w:type="dxa"/>
              <w:right w:w="90" w:type="dxa"/>
            </w:tcMar>
          </w:tcPr>
          <w:p>
            <w:pPr>
              <w:pStyle w:val="BDOITable"/>
            </w:pPr>
            <w:r>
              <w:rPr>
                <w:sz w:val="17"/>
              </w:rPr>
              <w:t>BDOI steward capacity for cleansing and review</w:t>
            </w:r>
          </w:p>
        </w:tc>
        <w:tc>
          <w:tcPr>
            <w:tcW w:type="dxa" w:w="901"/>
            <w:tcMar>
              <w:top w:w="50" w:type="dxa"/>
              <w:bottom w:w="50" w:type="dxa"/>
              <w:left w:w="90" w:type="dxa"/>
              <w:right w:w="90" w:type="dxa"/>
            </w:tcMar>
          </w:tcPr>
          <w:p>
            <w:pPr>
              <w:pStyle w:val="BDOITable"/>
            </w:pPr>
            <w:r>
              <w:rPr>
                <w:sz w:val="17"/>
              </w:rPr>
              <w:t>Medium</w:t>
            </w:r>
          </w:p>
        </w:tc>
        <w:tc>
          <w:tcPr>
            <w:tcW w:type="dxa" w:w="5286"/>
            <w:tcMar>
              <w:top w:w="50" w:type="dxa"/>
              <w:bottom w:w="50" w:type="dxa"/>
              <w:left w:w="90" w:type="dxa"/>
              <w:right w:w="90" w:type="dxa"/>
            </w:tcMar>
          </w:tcPr>
          <w:p>
            <w:pPr>
              <w:pStyle w:val="BDOITable"/>
            </w:pPr>
            <w:r>
              <w:rPr>
                <w:sz w:val="17"/>
              </w:rPr>
              <w:t>Named stewards per object by M2; profiling report per mock with the top issues; review queue sized from Mock 1</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12</w:t>
            </w:r>
          </w:p>
        </w:tc>
        <w:tc>
          <w:tcPr>
            <w:tcW w:type="dxa" w:w="3244"/>
            <w:tcMar>
              <w:top w:w="50" w:type="dxa"/>
              <w:bottom w:w="50" w:type="dxa"/>
              <w:left w:w="90" w:type="dxa"/>
              <w:right w:w="90" w:type="dxa"/>
            </w:tcMar>
            <w:shd w:val="clear" w:color="auto" w:fill="E5F5FF"/>
          </w:tcPr>
          <w:p>
            <w:pPr>
              <w:pStyle w:val="BDOITable"/>
            </w:pPr>
            <w:r>
              <w:rPr>
                <w:sz w:val="17"/>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7"/>
              </w:rPr>
              <w:t>Medium</w:t>
            </w:r>
          </w:p>
        </w:tc>
        <w:tc>
          <w:tcPr>
            <w:tcW w:type="dxa" w:w="5286"/>
            <w:tcMar>
              <w:top w:w="50" w:type="dxa"/>
              <w:bottom w:w="50" w:type="dxa"/>
              <w:left w:w="90" w:type="dxa"/>
              <w:right w:w="90" w:type="dxa"/>
            </w:tcMar>
            <w:shd w:val="clear" w:color="auto" w:fill="E5F5FF"/>
          </w:tcPr>
          <w:p>
            <w:pPr>
              <w:pStyle w:val="BDOITable"/>
            </w:pPr>
            <w:r>
              <w:rPr>
                <w:sz w:val="17"/>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7"/>
              </w:rPr>
              <w:t>13</w:t>
            </w:r>
          </w:p>
        </w:tc>
        <w:tc>
          <w:tcPr>
            <w:tcW w:type="dxa" w:w="3244"/>
            <w:tcMar>
              <w:top w:w="50" w:type="dxa"/>
              <w:bottom w:w="50" w:type="dxa"/>
              <w:left w:w="90" w:type="dxa"/>
              <w:right w:w="90" w:type="dxa"/>
            </w:tcMar>
          </w:tcPr>
          <w:p>
            <w:pPr>
              <w:pStyle w:val="BDOITable"/>
            </w:pPr>
            <w:r>
              <w:rPr>
                <w:sz w:val="17"/>
              </w:rPr>
              <w:t>Foreign-currency openings at the wrong rate (DMQ35)</w:t>
            </w:r>
          </w:p>
        </w:tc>
        <w:tc>
          <w:tcPr>
            <w:tcW w:type="dxa" w:w="901"/>
            <w:tcMar>
              <w:top w:w="50" w:type="dxa"/>
              <w:bottom w:w="50" w:type="dxa"/>
              <w:left w:w="90" w:type="dxa"/>
              <w:right w:w="90" w:type="dxa"/>
            </w:tcMar>
          </w:tcPr>
          <w:p>
            <w:pPr>
              <w:pStyle w:val="BDOITable"/>
            </w:pPr>
            <w:r>
              <w:rPr>
                <w:sz w:val="17"/>
              </w:rPr>
              <w:t>Medium</w:t>
            </w:r>
          </w:p>
        </w:tc>
        <w:tc>
          <w:tcPr>
            <w:tcW w:type="dxa" w:w="5286"/>
            <w:tcMar>
              <w:top w:w="50" w:type="dxa"/>
              <w:bottom w:w="50" w:type="dxa"/>
              <w:left w:w="90" w:type="dxa"/>
              <w:right w:w="90" w:type="dxa"/>
            </w:tcMar>
          </w:tcPr>
          <w:p>
            <w:pPr>
              <w:pStyle w:val="BDOITable"/>
            </w:pPr>
            <w:r>
              <w:rPr>
                <w:sz w:val="17"/>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7"/>
              </w:rPr>
              <w:t>14</w:t>
            </w:r>
          </w:p>
        </w:tc>
        <w:tc>
          <w:tcPr>
            <w:tcW w:type="dxa" w:w="3244"/>
            <w:tcMar>
              <w:top w:w="50" w:type="dxa"/>
              <w:bottom w:w="50" w:type="dxa"/>
              <w:left w:w="90" w:type="dxa"/>
              <w:right w:w="90" w:type="dxa"/>
            </w:tcMar>
            <w:shd w:val="clear" w:color="auto" w:fill="E5F5FF"/>
          </w:tcPr>
          <w:p>
            <w:pPr>
              <w:pStyle w:val="BDOITable"/>
            </w:pPr>
            <w:r>
              <w:rPr>
                <w:sz w:val="17"/>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7"/>
              </w:rPr>
              <w:t>Medium</w:t>
            </w:r>
          </w:p>
        </w:tc>
        <w:tc>
          <w:tcPr>
            <w:tcW w:type="dxa" w:w="5286"/>
            <w:tcMar>
              <w:top w:w="50" w:type="dxa"/>
              <w:bottom w:w="50" w:type="dxa"/>
              <w:left w:w="90" w:type="dxa"/>
              <w:right w:w="90" w:type="dxa"/>
            </w:tcMar>
            <w:shd w:val="clear" w:color="auto" w:fill="E5F5FF"/>
          </w:tcPr>
          <w:p>
            <w:pPr>
              <w:pStyle w:val="BDOITable"/>
            </w:pPr>
            <w:r>
              <w:rPr>
                <w:sz w:val="17"/>
              </w:rPr>
              <w:t>This document and the FRS are re-issued; decisions are configuration where possible</w:t>
            </w:r>
          </w:p>
        </w:tc>
      </w:tr>
    </w:tbl>
    <w:p>
      <w:pPr>
        <w:pStyle w:val="BDOISpacer"/>
      </w:pPr>
    </w:p>
    <w:p>
      <w:pPr>
        <w:pStyle w:val="Heading1"/>
        <w:pageBreakBefore/>
        <w:pBdr>
          <w:bottom w:val="single" w:sz="4" w:space="4" w:color="99C1E7"/>
        </w:pBdr>
      </w:pPr>
      <w:bookmarkStart w:id="161" w:name="_Toc000161"/>
      <w:r>
        <w:rPr/>
        <w:t>15 Dependencies and open decisions</w:t>
      </w:r>
      <w:bookmarkEnd w:id="161"/>
    </w:p>
    <w:p>
      <w:pPr>
        <w:pStyle w:val="Heading2"/>
      </w:pPr>
      <w:bookmarkStart w:id="162" w:name="_Toc000162"/>
      <w:r>
        <w:rPr/>
        <w:t>15.1 Dependencies</w:t>
      </w:r>
      <w:bookmarkEnd w:id="162"/>
    </w:p>
    <w:p>
      <w:pPr>
        <w:pStyle w:val="Caption"/>
        <w:keepNext/>
        <w:spacing w:after="60"/>
      </w:pPr>
      <w:r>
        <w:rPr>
          <w:b/>
          <w:i w:val="0"/>
        </w:rPr>
        <w:t xml:space="preserve">Table 33: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Build waves DM0 and DM1-C of the migration module (reference data, clients, headers) deployed on SIT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Mock 1 (T-12 weeks)</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Build waves DM1-A, DM1-B, DM2-A (legacy invoices, UPP, reversals, remittance, endorsements, Prod Recon) deployed on SIT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Mock 2 (T-9 weeks)</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Build wave DM2-B (cutover plan, run-off, archive) and DM3 (performance harness)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 (T-3 weeks); archive 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live at go-live, with the legacy policy source</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legacy rule lines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Mock 2 (SIT); T-26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M4 (T-14 weeks) and every mock</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SFTP drop</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bl>
    <w:p>
      <w:pPr>
        <w:pStyle w:val="BDOISpacer"/>
      </w:pPr>
    </w:p>
    <w:p>
      <w:pPr>
        <w:pStyle w:val="Heading2"/>
      </w:pPr>
      <w:bookmarkStart w:id="163" w:name="_Toc000163"/>
      <w:r>
        <w:rPr/>
        <w:t>15.2 Open decisions and the date each is needed by</w:t>
      </w:r>
      <w:bookmarkEnd w:id="163"/>
    </w:p>
    <w:p>
      <w:r>
        <w:rPr/>
        <w:t xml:space="preserve">Decisions marked M1 change what is built and are needed by </w:t>
      </w:r>
      <w:r>
        <w:rPr>
          <w:b/>
        </w:rPr>
        <w:t>16 October 2026</w:t>
      </w:r>
      <w:r>
        <w:rPr/>
        <w:t xml:space="preserve">; M2 decisions are needed by </w:t>
      </w:r>
      <w:r>
        <w:rPr>
          <w:b/>
        </w:rPr>
        <w:t>6 November 2026</w:t>
      </w:r>
      <w:r>
        <w:rPr/>
        <w:t>; the others are tied to the cutover calendar (T = go-live). The register column refers to the BRD discrepancy and clarification register v1.1 (R6).</w:t>
      </w:r>
    </w:p>
    <w:p>
      <w:pPr>
        <w:pStyle w:val="Caption"/>
        <w:keepNext/>
        <w:spacing w:after="60"/>
      </w:pPr>
      <w:r>
        <w:rPr>
          <w:b/>
          <w:i w:val="0"/>
        </w:rPr>
        <w:t xml:space="preserve">Table 34: </w:t>
      </w:r>
      <w:r>
        <w:rPr/>
        <w:t>Open decisions, register items (v1.1)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21"/>
        <w:gridCol w:w="1081"/>
        <w:gridCol w:w="2102"/>
        <w:gridCol w:w="2343"/>
        <w:gridCol w:w="1802"/>
        <w:gridCol w:w="1622"/>
      </w:tblGrid>
      <w:tr>
        <w:trPr>
          <w:tblHeader w:val="true"/>
          <w:cantSplit w:val="true"/>
        </w:trPr>
        <w:tc>
          <w:tcPr>
            <w:tcW w:type="dxa" w:w="102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Register</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2343"/>
            <w:shd w:val="clear" w:color="auto" w:fill="004EA8"/>
            <w:tcMar>
              <w:top w:w="50" w:type="dxa"/>
              <w:bottom w:w="50" w:type="dxa"/>
              <w:left w:w="90" w:type="dxa"/>
              <w:right w:w="90" w:type="dxa"/>
            </w:tcMar>
            <w:vAlign w:val="center"/>
          </w:tcPr>
          <w:p>
            <w:pPr>
              <w:pStyle w:val="BDOITableHeader"/>
            </w:pPr>
            <w:r>
              <w:rPr>
                <w:b/>
                <w:color w:val="FFFFFF"/>
                <w:sz w:val="16"/>
              </w:rPr>
              <w:t>Blocks</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Needed by</w:t>
            </w:r>
          </w:p>
        </w:tc>
        <w:tc>
          <w:tcPr>
            <w:tcW w:type="dxa" w:w="1622"/>
            <w:shd w:val="clear" w:color="auto" w:fill="004EA8"/>
            <w:tcMar>
              <w:top w:w="50" w:type="dxa"/>
              <w:bottom w:w="50" w:type="dxa"/>
              <w:left w:w="90" w:type="dxa"/>
              <w:right w:w="90" w:type="dxa"/>
            </w:tcMar>
            <w:vAlign w:val="center"/>
          </w:tcPr>
          <w:p>
            <w:pPr>
              <w:pStyle w:val="BDOITableHeader"/>
            </w:pPr>
            <w:r>
              <w:rPr>
                <w:b/>
                <w:color w:val="FFFFFF"/>
                <w:sz w:val="16"/>
              </w:rPr>
              <w:t>BDOI owner</w:t>
            </w:r>
          </w:p>
        </w:tc>
      </w:tr>
      <w:tr>
        <w:trPr>
          <w:cantSplit w:val="true"/>
        </w:trPr>
        <w:tc>
          <w:tcPr>
            <w:tcW w:type="dxa" w:w="1021"/>
            <w:tcMar>
              <w:top w:w="50" w:type="dxa"/>
              <w:bottom w:w="50" w:type="dxa"/>
              <w:left w:w="90" w:type="dxa"/>
              <w:right w:w="90" w:type="dxa"/>
            </w:tcMar>
          </w:tcPr>
          <w:p>
            <w:pPr>
              <w:pStyle w:val="BDOITable"/>
            </w:pPr>
            <w:r>
              <w:rPr>
                <w:b/>
                <w:sz w:val="16"/>
              </w:rPr>
              <w:t>DCR-189</w:t>
            </w:r>
          </w:p>
        </w:tc>
        <w:tc>
          <w:tcPr>
            <w:tcW w:type="dxa" w:w="1081"/>
            <w:tcMar>
              <w:top w:w="50" w:type="dxa"/>
              <w:bottom w:w="50" w:type="dxa"/>
              <w:left w:w="90" w:type="dxa"/>
              <w:right w:w="90" w:type="dxa"/>
            </w:tcMar>
          </w:tcPr>
          <w:p>
            <w:pPr>
              <w:pStyle w:val="BDOITable"/>
            </w:pPr>
            <w:r>
              <w:rPr>
                <w:sz w:val="16"/>
              </w:rPr>
              <w:t>DCR-189</w:t>
            </w:r>
          </w:p>
        </w:tc>
        <w:tc>
          <w:tcPr>
            <w:tcW w:type="dxa" w:w="2103"/>
            <w:tcMar>
              <w:top w:w="50" w:type="dxa"/>
              <w:bottom w:w="50" w:type="dxa"/>
              <w:left w:w="90" w:type="dxa"/>
              <w:right w:w="90" w:type="dxa"/>
            </w:tcMar>
          </w:tcPr>
          <w:p>
            <w:pPr>
              <w:pStyle w:val="BDOITable"/>
            </w:pPr>
            <w:r>
              <w:rPr>
                <w:sz w:val="16"/>
              </w:rPr>
              <w:t>BRD sign-off</w:t>
            </w:r>
          </w:p>
        </w:tc>
        <w:tc>
          <w:tcPr>
            <w:tcW w:type="dxa" w:w="2343"/>
            <w:tcMar>
              <w:top w:w="50" w:type="dxa"/>
              <w:bottom w:w="50" w:type="dxa"/>
              <w:left w:w="90" w:type="dxa"/>
              <w:right w:w="90" w:type="dxa"/>
            </w:tcMar>
          </w:tcPr>
          <w:p>
            <w:pPr>
              <w:pStyle w:val="BDOITable"/>
            </w:pPr>
            <w:r>
              <w:rPr>
                <w:sz w:val="16"/>
              </w:rPr>
              <w:t>Baseline of this document set; FRS re-issue</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Program Manager</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DCR-173</w:t>
            </w:r>
          </w:p>
        </w:tc>
        <w:tc>
          <w:tcPr>
            <w:tcW w:type="dxa" w:w="1081"/>
            <w:tcMar>
              <w:top w:w="50" w:type="dxa"/>
              <w:bottom w:w="50" w:type="dxa"/>
              <w:left w:w="90" w:type="dxa"/>
              <w:right w:w="90" w:type="dxa"/>
            </w:tcMar>
            <w:shd w:val="clear" w:color="auto" w:fill="E5F5FF"/>
          </w:tcPr>
          <w:p>
            <w:pPr>
              <w:pStyle w:val="BDOITable"/>
            </w:pPr>
            <w:r>
              <w:rPr>
                <w:sz w:val="16"/>
              </w:rPr>
              <w:t>DCR-173</w:t>
            </w:r>
          </w:p>
        </w:tc>
        <w:tc>
          <w:tcPr>
            <w:tcW w:type="dxa" w:w="2103"/>
            <w:tcMar>
              <w:top w:w="50" w:type="dxa"/>
              <w:bottom w:w="50" w:type="dxa"/>
              <w:left w:w="90" w:type="dxa"/>
              <w:right w:w="90" w:type="dxa"/>
            </w:tcMar>
            <w:shd w:val="clear" w:color="auto" w:fill="E5F5FF"/>
          </w:tcPr>
          <w:p>
            <w:pPr>
              <w:pStyle w:val="BDOITable"/>
            </w:pPr>
            <w:r>
              <w:rPr>
                <w:sz w:val="16"/>
              </w:rPr>
              <w:t>Client migration period and daily client batches</w:t>
            </w:r>
          </w:p>
        </w:tc>
        <w:tc>
          <w:tcPr>
            <w:tcW w:type="dxa" w:w="2343"/>
            <w:tcMar>
              <w:top w:w="50" w:type="dxa"/>
              <w:bottom w:w="50" w:type="dxa"/>
              <w:left w:w="90" w:type="dxa"/>
              <w:right w:w="90" w:type="dxa"/>
            </w:tcMar>
            <w:shd w:val="clear" w:color="auto" w:fill="E5F5FF"/>
          </w:tcPr>
          <w:p>
            <w:pPr>
              <w:pStyle w:val="BDOITable"/>
            </w:pPr>
            <w:r>
              <w:rPr>
                <w:sz w:val="16"/>
              </w:rPr>
              <w:t>C01 scope and delta design; build wave DM1-C</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021"/>
            <w:tcMar>
              <w:top w:w="50" w:type="dxa"/>
              <w:bottom w:w="50" w:type="dxa"/>
              <w:left w:w="90" w:type="dxa"/>
              <w:right w:w="90" w:type="dxa"/>
            </w:tcMar>
          </w:tcPr>
          <w:p>
            <w:pPr>
              <w:pStyle w:val="BDOITable"/>
            </w:pPr>
            <w:r>
              <w:rPr>
                <w:b/>
                <w:sz w:val="16"/>
              </w:rPr>
              <w:t>DMQ01</w:t>
            </w:r>
          </w:p>
        </w:tc>
        <w:tc>
          <w:tcPr>
            <w:tcW w:type="dxa" w:w="1081"/>
            <w:tcMar>
              <w:top w:w="50" w:type="dxa"/>
              <w:bottom w:w="50" w:type="dxa"/>
              <w:left w:w="90" w:type="dxa"/>
              <w:right w:w="90" w:type="dxa"/>
            </w:tcMar>
          </w:tcPr>
          <w:p>
            <w:pPr>
              <w:pStyle w:val="BDOITable"/>
            </w:pPr>
            <w:r>
              <w:rPr>
                <w:sz w:val="16"/>
              </w:rPr>
              <w:t>DCR-195</w:t>
            </w:r>
          </w:p>
        </w:tc>
        <w:tc>
          <w:tcPr>
            <w:tcW w:type="dxa" w:w="2103"/>
            <w:tcMar>
              <w:top w:w="50" w:type="dxa"/>
              <w:bottom w:w="50" w:type="dxa"/>
              <w:left w:w="90" w:type="dxa"/>
              <w:right w:w="90" w:type="dxa"/>
            </w:tcMar>
          </w:tcPr>
          <w:p>
            <w:pPr>
              <w:pStyle w:val="BDOITable"/>
            </w:pPr>
            <w:r>
              <w:rPr>
                <w:sz w:val="16"/>
              </w:rPr>
              <w:t>Data object inventory</w:t>
            </w:r>
          </w:p>
        </w:tc>
        <w:tc>
          <w:tcPr>
            <w:tcW w:type="dxa" w:w="2343"/>
            <w:tcMar>
              <w:top w:w="50" w:type="dxa"/>
              <w:bottom w:w="50" w:type="dxa"/>
              <w:left w:w="90" w:type="dxa"/>
              <w:right w:w="90" w:type="dxa"/>
            </w:tcMar>
          </w:tcPr>
          <w:p>
            <w:pPr>
              <w:pStyle w:val="BDOITable"/>
            </w:pPr>
            <w:r>
              <w:rPr>
                <w:sz w:val="16"/>
              </w:rPr>
              <w:t>All objects; gate G1</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Program Manager</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DMQ02</w:t>
            </w:r>
          </w:p>
        </w:tc>
        <w:tc>
          <w:tcPr>
            <w:tcW w:type="dxa" w:w="1081"/>
            <w:tcMar>
              <w:top w:w="50" w:type="dxa"/>
              <w:bottom w:w="50" w:type="dxa"/>
              <w:left w:w="90" w:type="dxa"/>
              <w:right w:w="90" w:type="dxa"/>
            </w:tcMar>
            <w:shd w:val="clear" w:color="auto" w:fill="E5F5FF"/>
          </w:tcPr>
          <w:p>
            <w:pPr>
              <w:pStyle w:val="BDOITable"/>
            </w:pPr>
            <w:r>
              <w:rPr>
                <w:sz w:val="16"/>
              </w:rPr>
              <w:t>DCR-192</w:t>
            </w:r>
          </w:p>
        </w:tc>
        <w:tc>
          <w:tcPr>
            <w:tcW w:type="dxa" w:w="2103"/>
            <w:tcMar>
              <w:top w:w="50" w:type="dxa"/>
              <w:bottom w:w="50" w:type="dxa"/>
              <w:left w:w="90" w:type="dxa"/>
              <w:right w:w="90" w:type="dxa"/>
            </w:tcMar>
            <w:shd w:val="clear" w:color="auto" w:fill="E5F5FF"/>
          </w:tcPr>
          <w:p>
            <w:pPr>
              <w:pStyle w:val="BDOITable"/>
            </w:pPr>
            <w:r>
              <w:rPr>
                <w:sz w:val="16"/>
              </w:rPr>
              <w:t>Decision rule</w:t>
            </w:r>
          </w:p>
        </w:tc>
        <w:tc>
          <w:tcPr>
            <w:tcW w:type="dxa" w:w="2343"/>
            <w:tcMar>
              <w:top w:w="50" w:type="dxa"/>
              <w:bottom w:w="50" w:type="dxa"/>
              <w:left w:w="90" w:type="dxa"/>
              <w:right w:w="90" w:type="dxa"/>
            </w:tcMar>
            <w:shd w:val="clear" w:color="auto" w:fill="E5F5FF"/>
          </w:tcPr>
          <w:p>
            <w:pPr>
              <w:pStyle w:val="BDOITable"/>
            </w:pPr>
            <w:r>
              <w:rPr>
                <w:sz w:val="16"/>
              </w:rPr>
              <w:t>Gate G1</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Program Manager</w:t>
            </w:r>
          </w:p>
        </w:tc>
      </w:tr>
      <w:tr>
        <w:trPr>
          <w:cantSplit w:val="true"/>
        </w:trPr>
        <w:tc>
          <w:tcPr>
            <w:tcW w:type="dxa" w:w="1021"/>
            <w:tcMar>
              <w:top w:w="50" w:type="dxa"/>
              <w:bottom w:w="50" w:type="dxa"/>
              <w:left w:w="90" w:type="dxa"/>
              <w:right w:w="90" w:type="dxa"/>
            </w:tcMar>
          </w:tcPr>
          <w:p>
            <w:pPr>
              <w:pStyle w:val="BDOITable"/>
            </w:pPr>
            <w:r>
              <w:rPr>
                <w:b/>
                <w:sz w:val="16"/>
              </w:rPr>
              <w:t>DMQ03</w:t>
            </w:r>
          </w:p>
        </w:tc>
        <w:tc>
          <w:tcPr>
            <w:tcW w:type="dxa" w:w="1081"/>
            <w:tcMar>
              <w:top w:w="50" w:type="dxa"/>
              <w:bottom w:w="50" w:type="dxa"/>
              <w:left w:w="90" w:type="dxa"/>
              <w:right w:w="90" w:type="dxa"/>
            </w:tcMar>
          </w:tcPr>
          <w:p>
            <w:pPr>
              <w:pStyle w:val="BDOITable"/>
            </w:pPr>
            <w:r>
              <w:rPr>
                <w:sz w:val="16"/>
              </w:rPr>
              <w:t>DCR-195</w:t>
            </w:r>
          </w:p>
        </w:tc>
        <w:tc>
          <w:tcPr>
            <w:tcW w:type="dxa" w:w="2103"/>
            <w:tcMar>
              <w:top w:w="50" w:type="dxa"/>
              <w:bottom w:w="50" w:type="dxa"/>
              <w:left w:w="90" w:type="dxa"/>
              <w:right w:w="90" w:type="dxa"/>
            </w:tcMar>
          </w:tcPr>
          <w:p>
            <w:pPr>
              <w:pStyle w:val="BDOITable"/>
            </w:pPr>
            <w:r>
              <w:rPr>
                <w:sz w:val="16"/>
              </w:rPr>
              <w:t>Source systems</w:t>
            </w:r>
          </w:p>
        </w:tc>
        <w:tc>
          <w:tcPr>
            <w:tcW w:type="dxa" w:w="2343"/>
            <w:tcMar>
              <w:top w:w="50" w:type="dxa"/>
              <w:bottom w:w="50" w:type="dxa"/>
              <w:left w:w="90" w:type="dxa"/>
              <w:right w:w="90" w:type="dxa"/>
            </w:tcMar>
          </w:tcPr>
          <w:p>
            <w:pPr>
              <w:pStyle w:val="BDOITable"/>
            </w:pPr>
            <w:r>
              <w:rPr>
                <w:sz w:val="16"/>
              </w:rPr>
              <w:t>All layouts</w:t>
            </w:r>
          </w:p>
        </w:tc>
        <w:tc>
          <w:tcPr>
            <w:tcW w:type="dxa" w:w="1802"/>
            <w:tcMar>
              <w:top w:w="50" w:type="dxa"/>
              <w:bottom w:w="50" w:type="dxa"/>
              <w:left w:w="90" w:type="dxa"/>
              <w:right w:w="90" w:type="dxa"/>
            </w:tcMar>
          </w:tcPr>
          <w:p>
            <w:pPr>
              <w:pStyle w:val="BDOITable"/>
            </w:pPr>
            <w:r>
              <w:rPr>
                <w:sz w:val="16"/>
              </w:rPr>
              <w:t>M1 (16 Oct 2026)</w:t>
            </w:r>
          </w:p>
        </w:tc>
        <w:tc>
          <w:tcPr>
            <w:tcW w:type="dxa" w:w="1622"/>
            <w:tcMar>
              <w:top w:w="50" w:type="dxa"/>
              <w:bottom w:w="50" w:type="dxa"/>
              <w:left w:w="90" w:type="dxa"/>
              <w:right w:w="90" w:type="dxa"/>
            </w:tcMar>
          </w:tcPr>
          <w:p>
            <w:pPr>
              <w:pStyle w:val="BDOITable"/>
            </w:pPr>
            <w:r>
              <w:rPr>
                <w:sz w:val="16"/>
              </w:rPr>
              <w:t>BDOI IT</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DMQ04</w:t>
            </w:r>
          </w:p>
        </w:tc>
        <w:tc>
          <w:tcPr>
            <w:tcW w:type="dxa" w:w="1081"/>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Client dedupe keys</w:t>
            </w:r>
          </w:p>
        </w:tc>
        <w:tc>
          <w:tcPr>
            <w:tcW w:type="dxa" w:w="2343"/>
            <w:tcMar>
              <w:top w:w="50" w:type="dxa"/>
              <w:bottom w:w="50" w:type="dxa"/>
              <w:left w:w="90" w:type="dxa"/>
              <w:right w:w="90" w:type="dxa"/>
            </w:tcMar>
            <w:shd w:val="clear" w:color="auto" w:fill="E5F5FF"/>
          </w:tcPr>
          <w:p>
            <w:pPr>
              <w:pStyle w:val="BDOITable"/>
            </w:pPr>
            <w:r>
              <w:rPr>
                <w:sz w:val="16"/>
              </w:rPr>
              <w:t>C01 matching; DM1-C</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021"/>
            <w:tcMar>
              <w:top w:w="50" w:type="dxa"/>
              <w:bottom w:w="50" w:type="dxa"/>
              <w:left w:w="90" w:type="dxa"/>
              <w:right w:w="90" w:type="dxa"/>
            </w:tcMar>
          </w:tcPr>
          <w:p>
            <w:pPr>
              <w:pStyle w:val="BDOITable"/>
            </w:pPr>
            <w:r>
              <w:rPr>
                <w:b/>
                <w:sz w:val="16"/>
              </w:rPr>
              <w:t>DMQ05</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Client scope</w:t>
            </w:r>
          </w:p>
        </w:tc>
        <w:tc>
          <w:tcPr>
            <w:tcW w:type="dxa" w:w="2343"/>
            <w:tcMar>
              <w:top w:w="50" w:type="dxa"/>
              <w:bottom w:w="50" w:type="dxa"/>
              <w:left w:w="90" w:type="dxa"/>
              <w:right w:w="90" w:type="dxa"/>
            </w:tcMar>
          </w:tcPr>
          <w:p>
            <w:pPr>
              <w:pStyle w:val="BDOITable"/>
            </w:pPr>
            <w:r>
              <w:rPr>
                <w:sz w:val="16"/>
              </w:rPr>
              <w:t>C01 volumes; filter</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Product Owner, MBS</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DMQ06</w:t>
            </w:r>
          </w:p>
        </w:tc>
        <w:tc>
          <w:tcPr>
            <w:tcW w:type="dxa" w:w="1081"/>
            <w:tcMar>
              <w:top w:w="50" w:type="dxa"/>
              <w:bottom w:w="50" w:type="dxa"/>
              <w:left w:w="90" w:type="dxa"/>
              <w:right w:w="90" w:type="dxa"/>
            </w:tcMar>
            <w:shd w:val="clear" w:color="auto" w:fill="E5F5FF"/>
          </w:tcPr>
          <w:p>
            <w:pPr>
              <w:pStyle w:val="BDOITable"/>
            </w:pPr>
            <w:r>
              <w:rPr>
                <w:sz w:val="16"/>
              </w:rPr>
              <w:t>DCR-208</w:t>
            </w:r>
          </w:p>
        </w:tc>
        <w:tc>
          <w:tcPr>
            <w:tcW w:type="dxa" w:w="2103"/>
            <w:tcMar>
              <w:top w:w="50" w:type="dxa"/>
              <w:bottom w:w="50" w:type="dxa"/>
              <w:left w:w="90" w:type="dxa"/>
              <w:right w:w="90" w:type="dxa"/>
            </w:tcMar>
            <w:shd w:val="clear" w:color="auto" w:fill="E5F5FF"/>
          </w:tcPr>
          <w:p>
            <w:pPr>
              <w:pStyle w:val="BDOITable"/>
            </w:pPr>
            <w:r>
              <w:rPr>
                <w:sz w:val="16"/>
              </w:rPr>
              <w:t>Screening of migrated clients</w:t>
            </w:r>
          </w:p>
        </w:tc>
        <w:tc>
          <w:tcPr>
            <w:tcW w:type="dxa" w:w="2343"/>
            <w:tcMar>
              <w:top w:w="50" w:type="dxa"/>
              <w:bottom w:w="50" w:type="dxa"/>
              <w:left w:w="90" w:type="dxa"/>
              <w:right w:w="90" w:type="dxa"/>
            </w:tcMar>
            <w:shd w:val="clear" w:color="auto" w:fill="E5F5FF"/>
          </w:tcPr>
          <w:p>
            <w:pPr>
              <w:pStyle w:val="BDOITable"/>
            </w:pPr>
            <w:r>
              <w:rPr>
                <w:sz w:val="16"/>
              </w:rPr>
              <w:t>C01 load; cutover task CT-050</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Compliance</w:t>
            </w:r>
          </w:p>
        </w:tc>
      </w:tr>
      <w:tr>
        <w:trPr>
          <w:cantSplit w:val="true"/>
        </w:trPr>
        <w:tc>
          <w:tcPr>
            <w:tcW w:type="dxa" w:w="1021"/>
            <w:tcMar>
              <w:top w:w="50" w:type="dxa"/>
              <w:bottom w:w="50" w:type="dxa"/>
              <w:left w:w="90" w:type="dxa"/>
              <w:right w:w="90" w:type="dxa"/>
            </w:tcMar>
          </w:tcPr>
          <w:p>
            <w:pPr>
              <w:pStyle w:val="BDOITable"/>
            </w:pPr>
            <w:r>
              <w:rPr>
                <w:b/>
                <w:sz w:val="16"/>
              </w:rPr>
              <w:t>DMQ07</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KYC documents</w:t>
            </w:r>
          </w:p>
        </w:tc>
        <w:tc>
          <w:tcPr>
            <w:tcW w:type="dxa" w:w="2343"/>
            <w:tcMar>
              <w:top w:w="50" w:type="dxa"/>
              <w:bottom w:w="50" w:type="dxa"/>
              <w:left w:w="90" w:type="dxa"/>
              <w:right w:w="90" w:type="dxa"/>
            </w:tcMar>
          </w:tcPr>
          <w:p>
            <w:pPr>
              <w:pStyle w:val="BDOITable"/>
            </w:pPr>
            <w:r>
              <w:rPr>
                <w:sz w:val="16"/>
              </w:rPr>
              <w:t>C04, H02</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Compliance</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DMQ08</w:t>
            </w:r>
          </w:p>
        </w:tc>
        <w:tc>
          <w:tcPr>
            <w:tcW w:type="dxa" w:w="1081"/>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Code map owners</w:t>
            </w:r>
          </w:p>
        </w:tc>
        <w:tc>
          <w:tcPr>
            <w:tcW w:type="dxa" w:w="2343"/>
            <w:tcMar>
              <w:top w:w="50" w:type="dxa"/>
              <w:bottom w:w="50" w:type="dxa"/>
              <w:left w:w="90" w:type="dxa"/>
              <w:right w:w="90" w:type="dxa"/>
            </w:tcMar>
            <w:shd w:val="clear" w:color="auto" w:fill="E5F5FF"/>
          </w:tcPr>
          <w:p>
            <w:pPr>
              <w:pStyle w:val="BDOITable"/>
            </w:pPr>
            <w:r>
              <w:rPr>
                <w:sz w:val="16"/>
              </w:rPr>
              <w:t>Gate G2; all map sets</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021"/>
            <w:tcMar>
              <w:top w:w="50" w:type="dxa"/>
              <w:bottom w:w="50" w:type="dxa"/>
              <w:left w:w="90" w:type="dxa"/>
              <w:right w:w="90" w:type="dxa"/>
            </w:tcMar>
          </w:tcPr>
          <w:p>
            <w:pPr>
              <w:pStyle w:val="BDOITable"/>
            </w:pPr>
            <w:r>
              <w:rPr>
                <w:b/>
                <w:sz w:val="16"/>
              </w:rPr>
              <w:t>DMQ09</w:t>
            </w:r>
          </w:p>
        </w:tc>
        <w:tc>
          <w:tcPr>
            <w:tcW w:type="dxa" w:w="1081"/>
            <w:tcMar>
              <w:top w:w="50" w:type="dxa"/>
              <w:bottom w:w="50" w:type="dxa"/>
              <w:left w:w="90" w:type="dxa"/>
              <w:right w:w="90" w:type="dxa"/>
            </w:tcMar>
          </w:tcPr>
          <w:p>
            <w:pPr>
              <w:pStyle w:val="BDOITable"/>
            </w:pPr>
            <w:r>
              <w:rPr>
                <w:sz w:val="16"/>
              </w:rPr>
              <w:t>DCR-194</w:t>
            </w:r>
          </w:p>
        </w:tc>
        <w:tc>
          <w:tcPr>
            <w:tcW w:type="dxa" w:w="2103"/>
            <w:tcMar>
              <w:top w:w="50" w:type="dxa"/>
              <w:bottom w:w="50" w:type="dxa"/>
              <w:left w:w="90" w:type="dxa"/>
              <w:right w:w="90" w:type="dxa"/>
            </w:tcMar>
          </w:tcPr>
          <w:p>
            <w:pPr>
              <w:pStyle w:val="BDOITable"/>
            </w:pPr>
            <w:r>
              <w:rPr>
                <w:sz w:val="16"/>
              </w:rPr>
              <w:t>In-force header condition</w:t>
            </w:r>
          </w:p>
        </w:tc>
        <w:tc>
          <w:tcPr>
            <w:tcW w:type="dxa" w:w="2343"/>
            <w:tcMar>
              <w:top w:w="50" w:type="dxa"/>
              <w:bottom w:w="50" w:type="dxa"/>
              <w:left w:w="90" w:type="dxa"/>
              <w:right w:w="90" w:type="dxa"/>
            </w:tcMar>
          </w:tcPr>
          <w:p>
            <w:pPr>
              <w:pStyle w:val="BDOITable"/>
            </w:pPr>
            <w:r>
              <w:rPr>
                <w:sz w:val="16"/>
              </w:rPr>
              <w:t>P01, P01S; endorsements BRID 9; DM1-C</w:t>
            </w:r>
          </w:p>
        </w:tc>
        <w:tc>
          <w:tcPr>
            <w:tcW w:type="dxa" w:w="1802"/>
            <w:tcMar>
              <w:top w:w="50" w:type="dxa"/>
              <w:bottom w:w="50" w:type="dxa"/>
              <w:left w:w="90" w:type="dxa"/>
              <w:right w:w="90" w:type="dxa"/>
            </w:tcMar>
          </w:tcPr>
          <w:p>
            <w:pPr>
              <w:pStyle w:val="BDOITable"/>
            </w:pPr>
            <w:r>
              <w:rPr>
                <w:sz w:val="16"/>
              </w:rPr>
              <w:t>M1 (16 Oct 2026)</w:t>
            </w:r>
          </w:p>
        </w:tc>
        <w:tc>
          <w:tcPr>
            <w:tcW w:type="dxa" w:w="1622"/>
            <w:tcMar>
              <w:top w:w="50" w:type="dxa"/>
              <w:bottom w:w="50" w:type="dxa"/>
              <w:left w:w="90" w:type="dxa"/>
              <w:right w:w="90" w:type="dxa"/>
            </w:tcMar>
          </w:tcPr>
          <w:p>
            <w:pPr>
              <w:pStyle w:val="BDOITable"/>
            </w:pPr>
            <w:r>
              <w:rPr>
                <w:sz w:val="16"/>
              </w:rPr>
              <w:t>Head, Operations</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DMQ10</w:t>
            </w:r>
          </w:p>
        </w:tc>
        <w:tc>
          <w:tcPr>
            <w:tcW w:type="dxa" w:w="1081"/>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Legacy invoice scope</w:t>
            </w:r>
          </w:p>
        </w:tc>
        <w:tc>
          <w:tcPr>
            <w:tcW w:type="dxa" w:w="2343"/>
            <w:tcMar>
              <w:top w:w="50" w:type="dxa"/>
              <w:bottom w:w="50" w:type="dxa"/>
              <w:left w:w="90" w:type="dxa"/>
              <w:right w:w="90" w:type="dxa"/>
            </w:tcMar>
            <w:shd w:val="clear" w:color="auto" w:fill="E5F5FF"/>
          </w:tcPr>
          <w:p>
            <w:pPr>
              <w:pStyle w:val="BDOITable"/>
            </w:pPr>
            <w:r>
              <w:rPr>
                <w:sz w:val="16"/>
              </w:rPr>
              <w:t>F01; DM1-A</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Operations - Financial Transactions</w:t>
            </w:r>
          </w:p>
        </w:tc>
      </w:tr>
      <w:tr>
        <w:trPr>
          <w:cantSplit w:val="true"/>
        </w:trPr>
        <w:tc>
          <w:tcPr>
            <w:tcW w:type="dxa" w:w="1021"/>
            <w:tcMar>
              <w:top w:w="50" w:type="dxa"/>
              <w:bottom w:w="50" w:type="dxa"/>
              <w:left w:w="90" w:type="dxa"/>
              <w:right w:w="90" w:type="dxa"/>
            </w:tcMar>
          </w:tcPr>
          <w:p>
            <w:pPr>
              <w:pStyle w:val="BDOITable"/>
            </w:pPr>
            <w:r>
              <w:rPr>
                <w:b/>
                <w:sz w:val="16"/>
              </w:rPr>
              <w:t>DMQ11</w:t>
            </w:r>
          </w:p>
        </w:tc>
        <w:tc>
          <w:tcPr>
            <w:tcW w:type="dxa" w:w="1081"/>
            <w:tcMar>
              <w:top w:w="50" w:type="dxa"/>
              <w:bottom w:w="50" w:type="dxa"/>
              <w:left w:w="90" w:type="dxa"/>
              <w:right w:w="90" w:type="dxa"/>
            </w:tcMar>
          </w:tcPr>
          <w:p>
            <w:pPr>
              <w:pStyle w:val="BDOITable"/>
            </w:pPr>
            <w:r>
              <w:rPr>
                <w:sz w:val="16"/>
              </w:rPr>
              <w:t>DCR-207</w:t>
            </w:r>
          </w:p>
        </w:tc>
        <w:tc>
          <w:tcPr>
            <w:tcW w:type="dxa" w:w="2103"/>
            <w:tcMar>
              <w:top w:w="50" w:type="dxa"/>
              <w:bottom w:w="50" w:type="dxa"/>
              <w:left w:w="90" w:type="dxa"/>
              <w:right w:w="90" w:type="dxa"/>
            </w:tcMar>
          </w:tcPr>
          <w:p>
            <w:pPr>
              <w:pStyle w:val="BDOITable"/>
            </w:pPr>
            <w:r>
              <w:rPr>
                <w:sz w:val="16"/>
              </w:rPr>
              <w:t>Invoice numbers</w:t>
            </w:r>
          </w:p>
        </w:tc>
        <w:tc>
          <w:tcPr>
            <w:tcW w:type="dxa" w:w="2343"/>
            <w:tcMar>
              <w:top w:w="50" w:type="dxa"/>
              <w:bottom w:w="50" w:type="dxa"/>
              <w:left w:w="90" w:type="dxa"/>
              <w:right w:w="90" w:type="dxa"/>
            </w:tcMar>
          </w:tcPr>
          <w:p>
            <w:pPr>
              <w:pStyle w:val="BDOITable"/>
            </w:pPr>
            <w:r>
              <w:rPr>
                <w:sz w:val="16"/>
              </w:rPr>
              <w:t>F01 keys; payment matching</w:t>
            </w:r>
          </w:p>
        </w:tc>
        <w:tc>
          <w:tcPr>
            <w:tcW w:type="dxa" w:w="1802"/>
            <w:tcMar>
              <w:top w:w="50" w:type="dxa"/>
              <w:bottom w:w="50" w:type="dxa"/>
              <w:left w:w="90" w:type="dxa"/>
              <w:right w:w="90" w:type="dxa"/>
            </w:tcMar>
          </w:tcPr>
          <w:p>
            <w:pPr>
              <w:pStyle w:val="BDOITable"/>
            </w:pPr>
            <w:r>
              <w:rPr>
                <w:sz w:val="16"/>
              </w:rPr>
              <w:t>M1 (16 Oct 2026)</w:t>
            </w:r>
          </w:p>
        </w:tc>
        <w:tc>
          <w:tcPr>
            <w:tcW w:type="dxa" w:w="1622"/>
            <w:tcMar>
              <w:top w:w="50" w:type="dxa"/>
              <w:bottom w:w="50" w:type="dxa"/>
              <w:left w:w="90" w:type="dxa"/>
              <w:right w:w="90" w:type="dxa"/>
            </w:tcMar>
          </w:tcPr>
          <w:p>
            <w:pPr>
              <w:pStyle w:val="BDOITable"/>
            </w:pPr>
            <w:r>
              <w:rPr>
                <w:sz w:val="16"/>
              </w:rPr>
              <w:t>BDOI IT</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DMQ12</w:t>
            </w:r>
          </w:p>
        </w:tc>
        <w:tc>
          <w:tcPr>
            <w:tcW w:type="dxa" w:w="1081"/>
            <w:tcMar>
              <w:top w:w="50" w:type="dxa"/>
              <w:bottom w:w="50" w:type="dxa"/>
              <w:left w:w="90" w:type="dxa"/>
              <w:right w:w="90" w:type="dxa"/>
            </w:tcMar>
            <w:shd w:val="clear" w:color="auto" w:fill="E5F5FF"/>
          </w:tcPr>
          <w:p>
            <w:pPr>
              <w:pStyle w:val="BDOITable"/>
            </w:pPr>
            <w:r>
              <w:rPr>
                <w:sz w:val="16"/>
              </w:rPr>
              <w:t>DCR-207</w:t>
            </w:r>
          </w:p>
        </w:tc>
        <w:tc>
          <w:tcPr>
            <w:tcW w:type="dxa" w:w="2103"/>
            <w:tcMar>
              <w:top w:w="50" w:type="dxa"/>
              <w:bottom w:w="50" w:type="dxa"/>
              <w:left w:w="90" w:type="dxa"/>
              <w:right w:w="90" w:type="dxa"/>
            </w:tcMar>
            <w:shd w:val="clear" w:color="auto" w:fill="E5F5FF"/>
          </w:tcPr>
          <w:p>
            <w:pPr>
              <w:pStyle w:val="BDOITable"/>
            </w:pPr>
            <w:r>
              <w:rPr>
                <w:sz w:val="16"/>
              </w:rPr>
              <w:t>Components and shares</w:t>
            </w:r>
          </w:p>
        </w:tc>
        <w:tc>
          <w:tcPr>
            <w:tcW w:type="dxa" w:w="2343"/>
            <w:tcMar>
              <w:top w:w="50" w:type="dxa"/>
              <w:bottom w:w="50" w:type="dxa"/>
              <w:left w:w="90" w:type="dxa"/>
              <w:right w:w="90" w:type="dxa"/>
            </w:tcMar>
            <w:shd w:val="clear" w:color="auto" w:fill="E5F5FF"/>
          </w:tcPr>
          <w:p>
            <w:pPr>
              <w:pStyle w:val="BDOITable"/>
            </w:pPr>
            <w:r>
              <w:rPr>
                <w:sz w:val="16"/>
              </w:rPr>
              <w:t>F01C; DM1-A</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BDOI IT; Comptrollership</w:t>
            </w:r>
          </w:p>
        </w:tc>
      </w:tr>
      <w:tr>
        <w:trPr>
          <w:cantSplit w:val="true"/>
        </w:trPr>
        <w:tc>
          <w:tcPr>
            <w:tcW w:type="dxa" w:w="1021"/>
            <w:tcMar>
              <w:top w:w="50" w:type="dxa"/>
              <w:bottom w:w="50" w:type="dxa"/>
              <w:left w:w="90" w:type="dxa"/>
              <w:right w:w="90" w:type="dxa"/>
            </w:tcMar>
          </w:tcPr>
          <w:p>
            <w:pPr>
              <w:pStyle w:val="BDOITable"/>
            </w:pPr>
            <w:r>
              <w:rPr>
                <w:b/>
                <w:sz w:val="16"/>
              </w:rPr>
              <w:t>DMQ13</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Commission state</w:t>
            </w:r>
          </w:p>
        </w:tc>
        <w:tc>
          <w:tcPr>
            <w:tcW w:type="dxa" w:w="2343"/>
            <w:tcMar>
              <w:top w:w="50" w:type="dxa"/>
              <w:bottom w:w="50" w:type="dxa"/>
              <w:left w:w="90" w:type="dxa"/>
              <w:right w:w="90" w:type="dxa"/>
            </w:tcMar>
          </w:tcPr>
          <w:p>
            <w:pPr>
              <w:pStyle w:val="BDOITable"/>
            </w:pPr>
            <w:r>
              <w:rPr>
                <w:sz w:val="16"/>
              </w:rPr>
              <w:t>F01 opening entry</w:t>
            </w:r>
          </w:p>
        </w:tc>
        <w:tc>
          <w:tcPr>
            <w:tcW w:type="dxa" w:w="1802"/>
            <w:tcMar>
              <w:top w:w="50" w:type="dxa"/>
              <w:bottom w:w="50" w:type="dxa"/>
              <w:left w:w="90" w:type="dxa"/>
              <w:right w:w="90" w:type="dxa"/>
            </w:tcMar>
          </w:tcPr>
          <w:p>
            <w:pPr>
              <w:pStyle w:val="BDOITable"/>
            </w:pPr>
            <w:r>
              <w:rPr>
                <w:sz w:val="16"/>
              </w:rPr>
              <w:t>M1 (16 Oct 2026)</w:t>
            </w:r>
          </w:p>
        </w:tc>
        <w:tc>
          <w:tcPr>
            <w:tcW w:type="dxa" w:w="1622"/>
            <w:tcMar>
              <w:top w:w="50" w:type="dxa"/>
              <w:bottom w:w="50" w:type="dxa"/>
              <w:left w:w="90" w:type="dxa"/>
              <w:right w:w="90" w:type="dxa"/>
            </w:tcMar>
          </w:tcPr>
          <w:p>
            <w:pPr>
              <w:pStyle w:val="BDOITable"/>
            </w:pPr>
            <w:r>
              <w:rPr>
                <w:sz w:val="16"/>
              </w:rPr>
              <w:t>Head, Comptrollership</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DMQ14</w:t>
            </w:r>
          </w:p>
        </w:tc>
        <w:tc>
          <w:tcPr>
            <w:tcW w:type="dxa" w:w="1081"/>
            <w:tcMar>
              <w:top w:w="50" w:type="dxa"/>
              <w:bottom w:w="50" w:type="dxa"/>
              <w:left w:w="90" w:type="dxa"/>
              <w:right w:w="90" w:type="dxa"/>
            </w:tcMar>
            <w:shd w:val="clear" w:color="auto" w:fill="E5F5FF"/>
          </w:tcPr>
          <w:p>
            <w:pPr>
              <w:pStyle w:val="BDOITable"/>
            </w:pPr>
            <w:r>
              <w:rPr>
                <w:sz w:val="16"/>
              </w:rPr>
              <w:t>DCR-204</w:t>
            </w:r>
          </w:p>
        </w:tc>
        <w:tc>
          <w:tcPr>
            <w:tcW w:type="dxa" w:w="2103"/>
            <w:tcMar>
              <w:top w:w="50" w:type="dxa"/>
              <w:bottom w:w="50" w:type="dxa"/>
              <w:left w:w="90" w:type="dxa"/>
              <w:right w:w="90" w:type="dxa"/>
            </w:tcMar>
            <w:shd w:val="clear" w:color="auto" w:fill="E5F5FF"/>
          </w:tcPr>
          <w:p>
            <w:pPr>
              <w:pStyle w:val="BDOITable"/>
            </w:pPr>
            <w:r>
              <w:rPr>
                <w:sz w:val="16"/>
              </w:rPr>
              <w:t>UPP receipt and statuses</w:t>
            </w:r>
          </w:p>
        </w:tc>
        <w:tc>
          <w:tcPr>
            <w:tcW w:type="dxa" w:w="2343"/>
            <w:tcMar>
              <w:top w:w="50" w:type="dxa"/>
              <w:bottom w:w="50" w:type="dxa"/>
              <w:left w:w="90" w:type="dxa"/>
              <w:right w:w="90" w:type="dxa"/>
            </w:tcMar>
            <w:shd w:val="clear" w:color="auto" w:fill="E5F5FF"/>
          </w:tcPr>
          <w:p>
            <w:pPr>
              <w:pStyle w:val="BDOITable"/>
            </w:pPr>
            <w:r>
              <w:rPr>
                <w:sz w:val="16"/>
              </w:rPr>
              <w:t>F02; DM1-B</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Operations - Financial Transactions</w:t>
            </w:r>
          </w:p>
        </w:tc>
      </w:tr>
      <w:tr>
        <w:trPr>
          <w:cantSplit w:val="true"/>
        </w:trPr>
        <w:tc>
          <w:tcPr>
            <w:tcW w:type="dxa" w:w="1021"/>
            <w:tcMar>
              <w:top w:w="50" w:type="dxa"/>
              <w:bottom w:w="50" w:type="dxa"/>
              <w:left w:w="90" w:type="dxa"/>
              <w:right w:w="90" w:type="dxa"/>
            </w:tcMar>
          </w:tcPr>
          <w:p>
            <w:pPr>
              <w:pStyle w:val="BDOITable"/>
            </w:pPr>
            <w:r>
              <w:rPr>
                <w:b/>
                <w:sz w:val="16"/>
              </w:rPr>
              <w:t>DMQ15</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UPP matching references</w:t>
            </w:r>
          </w:p>
        </w:tc>
        <w:tc>
          <w:tcPr>
            <w:tcW w:type="dxa" w:w="2343"/>
            <w:tcMar>
              <w:top w:w="50" w:type="dxa"/>
              <w:bottom w:w="50" w:type="dxa"/>
              <w:left w:w="90" w:type="dxa"/>
              <w:right w:w="90" w:type="dxa"/>
            </w:tcMar>
          </w:tcPr>
          <w:p>
            <w:pPr>
              <w:pStyle w:val="BDOITable"/>
            </w:pPr>
            <w:r>
              <w:rPr>
                <w:sz w:val="16"/>
              </w:rPr>
              <w:t>F02 ref_ columns</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Operations - Financial Transactions</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DMQ16</w:t>
            </w:r>
          </w:p>
        </w:tc>
        <w:tc>
          <w:tcPr>
            <w:tcW w:type="dxa" w:w="1081"/>
            <w:tcMar>
              <w:top w:w="50" w:type="dxa"/>
              <w:bottom w:w="50" w:type="dxa"/>
              <w:left w:w="90" w:type="dxa"/>
              <w:right w:w="90" w:type="dxa"/>
            </w:tcMar>
            <w:shd w:val="clear" w:color="auto" w:fill="E5F5FF"/>
          </w:tcPr>
          <w:p>
            <w:pPr>
              <w:pStyle w:val="BDOITable"/>
            </w:pPr>
            <w:r>
              <w:rPr>
                <w:sz w:val="16"/>
              </w:rPr>
              <w:t>DCR-198, DCR-205</w:t>
            </w:r>
          </w:p>
        </w:tc>
        <w:tc>
          <w:tcPr>
            <w:tcW w:type="dxa" w:w="2103"/>
            <w:tcMar>
              <w:top w:w="50" w:type="dxa"/>
              <w:bottom w:w="50" w:type="dxa"/>
              <w:left w:w="90" w:type="dxa"/>
              <w:right w:w="90" w:type="dxa"/>
            </w:tcMar>
            <w:shd w:val="clear" w:color="auto" w:fill="E5F5FF"/>
          </w:tcPr>
          <w:p>
            <w:pPr>
              <w:pStyle w:val="BDOITable"/>
            </w:pPr>
            <w:r>
              <w:rPr>
                <w:sz w:val="16"/>
              </w:rPr>
              <w:t>Reclassification to income</w:t>
            </w:r>
          </w:p>
        </w:tc>
        <w:tc>
          <w:tcPr>
            <w:tcW w:type="dxa" w:w="2343"/>
            <w:tcMar>
              <w:top w:w="50" w:type="dxa"/>
              <w:bottom w:w="50" w:type="dxa"/>
              <w:left w:w="90" w:type="dxa"/>
              <w:right w:w="90" w:type="dxa"/>
            </w:tcMar>
            <w:shd w:val="clear" w:color="auto" w:fill="E5F5FF"/>
          </w:tcPr>
          <w:p>
            <w:pPr>
              <w:pStyle w:val="BDOITable"/>
            </w:pPr>
            <w:r>
              <w:rPr>
                <w:sz w:val="16"/>
              </w:rPr>
              <w:t>FR-DM-055 configuration</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021"/>
            <w:tcMar>
              <w:top w:w="50" w:type="dxa"/>
              <w:bottom w:w="50" w:type="dxa"/>
              <w:left w:w="90" w:type="dxa"/>
              <w:right w:w="90" w:type="dxa"/>
            </w:tcMar>
          </w:tcPr>
          <w:p>
            <w:pPr>
              <w:pStyle w:val="BDOITable"/>
            </w:pPr>
            <w:r>
              <w:rPr>
                <w:b/>
                <w:sz w:val="16"/>
              </w:rPr>
              <w:t>DMQ17</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Legacy UPP refunds</w:t>
            </w:r>
          </w:p>
        </w:tc>
        <w:tc>
          <w:tcPr>
            <w:tcW w:type="dxa" w:w="2343"/>
            <w:tcMar>
              <w:top w:w="50" w:type="dxa"/>
              <w:bottom w:w="50" w:type="dxa"/>
              <w:left w:w="90" w:type="dxa"/>
              <w:right w:w="90" w:type="dxa"/>
            </w:tcMar>
          </w:tcPr>
          <w:p>
            <w:pPr>
              <w:pStyle w:val="BDOITable"/>
            </w:pPr>
            <w:r>
              <w:rPr>
                <w:sz w:val="16"/>
              </w:rPr>
              <w:t>FR-DM-054 configuration</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Operations - Financial Transactions</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DMQ18</w:t>
            </w:r>
          </w:p>
        </w:tc>
        <w:tc>
          <w:tcPr>
            <w:tcW w:type="dxa" w:w="1081"/>
            <w:tcMar>
              <w:top w:w="50" w:type="dxa"/>
              <w:bottom w:w="50" w:type="dxa"/>
              <w:left w:w="90" w:type="dxa"/>
              <w:right w:w="90" w:type="dxa"/>
            </w:tcMar>
            <w:shd w:val="clear" w:color="auto" w:fill="E5F5FF"/>
          </w:tcPr>
          <w:p>
            <w:pPr>
              <w:pStyle w:val="BDOITable"/>
            </w:pPr>
            <w:r>
              <w:rPr>
                <w:sz w:val="16"/>
              </w:rPr>
              <w:t>DCR-197</w:t>
            </w:r>
          </w:p>
        </w:tc>
        <w:tc>
          <w:tcPr>
            <w:tcW w:type="dxa" w:w="2103"/>
            <w:tcMar>
              <w:top w:w="50" w:type="dxa"/>
              <w:bottom w:w="50" w:type="dxa"/>
              <w:left w:w="90" w:type="dxa"/>
              <w:right w:w="90" w:type="dxa"/>
            </w:tcMar>
            <w:shd w:val="clear" w:color="auto" w:fill="E5F5FF"/>
          </w:tcPr>
          <w:p>
            <w:pPr>
              <w:pStyle w:val="BDOITable"/>
            </w:pPr>
            <w:r>
              <w:rPr>
                <w:sz w:val="16"/>
              </w:rPr>
              <w:t>Legacy sub-ledgers and GL</w:t>
            </w:r>
          </w:p>
        </w:tc>
        <w:tc>
          <w:tcPr>
            <w:tcW w:type="dxa" w:w="2343"/>
            <w:tcMar>
              <w:top w:w="50" w:type="dxa"/>
              <w:bottom w:w="50" w:type="dxa"/>
              <w:left w:w="90" w:type="dxa"/>
              <w:right w:w="90" w:type="dxa"/>
            </w:tcMar>
            <w:shd w:val="clear" w:color="auto" w:fill="E5F5FF"/>
          </w:tcPr>
          <w:p>
            <w:pPr>
              <w:pStyle w:val="BDOITable"/>
            </w:pPr>
            <w:r>
              <w:rPr>
                <w:sz w:val="16"/>
              </w:rPr>
              <w:t>R08, G01; DM1-A; accounting rules</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021"/>
            <w:tcMar>
              <w:top w:w="50" w:type="dxa"/>
              <w:bottom w:w="50" w:type="dxa"/>
              <w:left w:w="90" w:type="dxa"/>
              <w:right w:w="90" w:type="dxa"/>
            </w:tcMar>
          </w:tcPr>
          <w:p>
            <w:pPr>
              <w:pStyle w:val="BDOITable"/>
            </w:pPr>
            <w:r>
              <w:rPr>
                <w:b/>
                <w:sz w:val="16"/>
              </w:rPr>
              <w:t>DMQ19</w:t>
            </w:r>
          </w:p>
        </w:tc>
        <w:tc>
          <w:tcPr>
            <w:tcW w:type="dxa" w:w="1081"/>
            <w:tcMar>
              <w:top w:w="50" w:type="dxa"/>
              <w:bottom w:w="50" w:type="dxa"/>
              <w:left w:w="90" w:type="dxa"/>
              <w:right w:w="90" w:type="dxa"/>
            </w:tcMar>
          </w:tcPr>
          <w:p>
            <w:pPr>
              <w:pStyle w:val="BDOITable"/>
            </w:pPr>
            <w:r>
              <w:rPr>
                <w:sz w:val="16"/>
              </w:rPr>
              <w:t>DCR-198, DCR-206</w:t>
            </w:r>
          </w:p>
        </w:tc>
        <w:tc>
          <w:tcPr>
            <w:tcW w:type="dxa" w:w="2103"/>
            <w:tcMar>
              <w:top w:w="50" w:type="dxa"/>
              <w:bottom w:w="50" w:type="dxa"/>
              <w:left w:w="90" w:type="dxa"/>
              <w:right w:w="90" w:type="dxa"/>
            </w:tcMar>
          </w:tcPr>
          <w:p>
            <w:pPr>
              <w:pStyle w:val="BDOITable"/>
            </w:pPr>
            <w:r>
              <w:rPr>
                <w:sz w:val="16"/>
              </w:rPr>
              <w:t>DPPR</w:t>
            </w:r>
          </w:p>
        </w:tc>
        <w:tc>
          <w:tcPr>
            <w:tcW w:type="dxa" w:w="2343"/>
            <w:tcMar>
              <w:top w:w="50" w:type="dxa"/>
              <w:bottom w:w="50" w:type="dxa"/>
              <w:left w:w="90" w:type="dxa"/>
              <w:right w:w="90" w:type="dxa"/>
            </w:tcMar>
          </w:tcPr>
          <w:p>
            <w:pPr>
              <w:pStyle w:val="BDOITable"/>
            </w:pPr>
            <w:r>
              <w:rPr>
                <w:sz w:val="16"/>
              </w:rPr>
              <w:t>FR-DM-070 rules</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Head, Comptrollership</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DMQ20</w:t>
            </w:r>
          </w:p>
        </w:tc>
        <w:tc>
          <w:tcPr>
            <w:tcW w:type="dxa" w:w="1081"/>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PR2307 reversal</w:t>
            </w:r>
          </w:p>
        </w:tc>
        <w:tc>
          <w:tcPr>
            <w:tcW w:type="dxa" w:w="2343"/>
            <w:tcMar>
              <w:top w:w="50" w:type="dxa"/>
              <w:bottom w:w="50" w:type="dxa"/>
              <w:left w:w="90" w:type="dxa"/>
              <w:right w:w="90" w:type="dxa"/>
            </w:tcMar>
            <w:shd w:val="clear" w:color="auto" w:fill="E5F5FF"/>
          </w:tcPr>
          <w:p>
            <w:pPr>
              <w:pStyle w:val="BDOITable"/>
            </w:pPr>
            <w:r>
              <w:rPr>
                <w:sz w:val="16"/>
              </w:rPr>
              <w:t>FR-DM-071 rules</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021"/>
            <w:tcMar>
              <w:top w:w="50" w:type="dxa"/>
              <w:bottom w:w="50" w:type="dxa"/>
              <w:left w:w="90" w:type="dxa"/>
              <w:right w:w="90" w:type="dxa"/>
            </w:tcMar>
          </w:tcPr>
          <w:p>
            <w:pPr>
              <w:pStyle w:val="BDOITable"/>
            </w:pPr>
            <w:r>
              <w:rPr>
                <w:b/>
                <w:sz w:val="16"/>
              </w:rPr>
              <w:t>DMQ21</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Remittance positions</w:t>
            </w:r>
          </w:p>
        </w:tc>
        <w:tc>
          <w:tcPr>
            <w:tcW w:type="dxa" w:w="2343"/>
            <w:tcMar>
              <w:top w:w="50" w:type="dxa"/>
              <w:bottom w:w="50" w:type="dxa"/>
              <w:left w:w="90" w:type="dxa"/>
              <w:right w:w="90" w:type="dxa"/>
            </w:tcMar>
          </w:tcPr>
          <w:p>
            <w:pPr>
              <w:pStyle w:val="BDOITable"/>
            </w:pPr>
            <w:r>
              <w:rPr>
                <w:sz w:val="16"/>
              </w:rPr>
              <w:t>F04 decision</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Operations - Remittance</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DMQ22</w:t>
            </w:r>
          </w:p>
        </w:tc>
        <w:tc>
          <w:tcPr>
            <w:tcW w:type="dxa" w:w="1081"/>
            <w:tcMar>
              <w:top w:w="50" w:type="dxa"/>
              <w:bottom w:w="50" w:type="dxa"/>
              <w:left w:w="90" w:type="dxa"/>
              <w:right w:w="90" w:type="dxa"/>
            </w:tcMar>
            <w:shd w:val="clear" w:color="auto" w:fill="E5F5FF"/>
          </w:tcPr>
          <w:p>
            <w:pPr>
              <w:pStyle w:val="BDOITable"/>
            </w:pPr>
            <w:r>
              <w:rPr>
                <w:sz w:val="16"/>
              </w:rPr>
              <w:t>DCR-194</w:t>
            </w:r>
          </w:p>
        </w:tc>
        <w:tc>
          <w:tcPr>
            <w:tcW w:type="dxa" w:w="2103"/>
            <w:tcMar>
              <w:top w:w="50" w:type="dxa"/>
              <w:bottom w:w="50" w:type="dxa"/>
              <w:left w:w="90" w:type="dxa"/>
              <w:right w:w="90" w:type="dxa"/>
            </w:tcMar>
            <w:shd w:val="clear" w:color="auto" w:fill="E5F5FF"/>
          </w:tcPr>
          <w:p>
            <w:pPr>
              <w:pStyle w:val="BDOITable"/>
            </w:pPr>
            <w:r>
              <w:rPr>
                <w:sz w:val="16"/>
              </w:rPr>
              <w:t>Endorsement coexistence</w:t>
            </w:r>
          </w:p>
        </w:tc>
        <w:tc>
          <w:tcPr>
            <w:tcW w:type="dxa" w:w="2343"/>
            <w:tcMar>
              <w:top w:w="50" w:type="dxa"/>
              <w:bottom w:w="50" w:type="dxa"/>
              <w:left w:w="90" w:type="dxa"/>
              <w:right w:w="90" w:type="dxa"/>
            </w:tcMar>
            <w:shd w:val="clear" w:color="auto" w:fill="E5F5FF"/>
          </w:tcPr>
          <w:p>
            <w:pPr>
              <w:pStyle w:val="BDOITable"/>
            </w:pPr>
            <w:r>
              <w:rPr>
                <w:sz w:val="16"/>
              </w:rPr>
              <w:t>P01 condition; DM2-A</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Head, Operations</w:t>
            </w:r>
          </w:p>
        </w:tc>
      </w:tr>
      <w:tr>
        <w:trPr>
          <w:cantSplit w:val="true"/>
        </w:trPr>
        <w:tc>
          <w:tcPr>
            <w:tcW w:type="dxa" w:w="1021"/>
            <w:tcMar>
              <w:top w:w="50" w:type="dxa"/>
              <w:bottom w:w="50" w:type="dxa"/>
              <w:left w:w="90" w:type="dxa"/>
              <w:right w:w="90" w:type="dxa"/>
            </w:tcMar>
          </w:tcPr>
          <w:p>
            <w:pPr>
              <w:pStyle w:val="BDOITable"/>
            </w:pPr>
            <w:r>
              <w:rPr>
                <w:b/>
                <w:sz w:val="16"/>
              </w:rPr>
              <w:t>DMQ23</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Legacy change report</w:t>
            </w:r>
          </w:p>
        </w:tc>
        <w:tc>
          <w:tcPr>
            <w:tcW w:type="dxa" w:w="2343"/>
            <w:tcMar>
              <w:top w:w="50" w:type="dxa"/>
              <w:bottom w:w="50" w:type="dxa"/>
              <w:left w:w="90" w:type="dxa"/>
              <w:right w:w="90" w:type="dxa"/>
            </w:tcMar>
          </w:tcPr>
          <w:p>
            <w:pPr>
              <w:pStyle w:val="BDOITable"/>
            </w:pPr>
            <w:r>
              <w:rPr>
                <w:sz w:val="16"/>
              </w:rPr>
              <w:t>FR-DM-100 report</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Operations - Prod Recon</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DMQ24</w:t>
            </w:r>
          </w:p>
        </w:tc>
        <w:tc>
          <w:tcPr>
            <w:tcW w:type="dxa" w:w="1081"/>
            <w:tcMar>
              <w:top w:w="50" w:type="dxa"/>
              <w:bottom w:w="50" w:type="dxa"/>
              <w:left w:w="90" w:type="dxa"/>
              <w:right w:w="90" w:type="dxa"/>
            </w:tcMar>
            <w:shd w:val="clear" w:color="auto" w:fill="E5F5FF"/>
          </w:tcPr>
          <w:p>
            <w:pPr>
              <w:pStyle w:val="BDOITable"/>
            </w:pPr>
            <w:r>
              <w:rPr>
                <w:sz w:val="16"/>
              </w:rPr>
              <w:t>DCR-209</w:t>
            </w:r>
          </w:p>
        </w:tc>
        <w:tc>
          <w:tcPr>
            <w:tcW w:type="dxa" w:w="2103"/>
            <w:tcMar>
              <w:top w:w="50" w:type="dxa"/>
              <w:bottom w:w="50" w:type="dxa"/>
              <w:left w:w="90" w:type="dxa"/>
              <w:right w:w="90" w:type="dxa"/>
            </w:tcMar>
            <w:shd w:val="clear" w:color="auto" w:fill="E5F5FF"/>
          </w:tcPr>
          <w:p>
            <w:pPr>
              <w:pStyle w:val="BDOITable"/>
            </w:pPr>
            <w:r>
              <w:rPr>
                <w:sz w:val="16"/>
              </w:rPr>
              <w:t>Read-only legacy or archive</w:t>
            </w:r>
          </w:p>
        </w:tc>
        <w:tc>
          <w:tcPr>
            <w:tcW w:type="dxa" w:w="2343"/>
            <w:tcMar>
              <w:top w:w="50" w:type="dxa"/>
              <w:bottom w:w="50" w:type="dxa"/>
              <w:left w:w="90" w:type="dxa"/>
              <w:right w:w="90" w:type="dxa"/>
            </w:tcMar>
            <w:shd w:val="clear" w:color="auto" w:fill="E5F5FF"/>
          </w:tcPr>
          <w:p>
            <w:pPr>
              <w:pStyle w:val="BDOITable"/>
            </w:pPr>
            <w:r>
              <w:rPr>
                <w:sz w:val="16"/>
              </w:rPr>
              <w:t>H01, H02, C04; DM2-B</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Audit / Compliance; BDOI IT</w:t>
            </w:r>
          </w:p>
        </w:tc>
      </w:tr>
      <w:tr>
        <w:trPr>
          <w:cantSplit w:val="true"/>
        </w:trPr>
        <w:tc>
          <w:tcPr>
            <w:tcW w:type="dxa" w:w="1021"/>
            <w:tcMar>
              <w:top w:w="50" w:type="dxa"/>
              <w:bottom w:w="50" w:type="dxa"/>
              <w:left w:w="90" w:type="dxa"/>
              <w:right w:w="90" w:type="dxa"/>
            </w:tcMar>
          </w:tcPr>
          <w:p>
            <w:pPr>
              <w:pStyle w:val="BDOITable"/>
            </w:pPr>
            <w:r>
              <w:rPr>
                <w:b/>
                <w:sz w:val="16"/>
              </w:rPr>
              <w:t>DMQ25</w:t>
            </w:r>
          </w:p>
        </w:tc>
        <w:tc>
          <w:tcPr>
            <w:tcW w:type="dxa" w:w="1081"/>
            <w:tcMar>
              <w:top w:w="50" w:type="dxa"/>
              <w:bottom w:w="50" w:type="dxa"/>
              <w:left w:w="90" w:type="dxa"/>
              <w:right w:w="90" w:type="dxa"/>
            </w:tcMar>
          </w:tcPr>
          <w:p>
            <w:pPr>
              <w:pStyle w:val="BDOITable"/>
            </w:pPr>
            <w:r>
              <w:rPr>
                <w:sz w:val="16"/>
              </w:rPr>
              <w:t>DCR-200</w:t>
            </w:r>
          </w:p>
        </w:tc>
        <w:tc>
          <w:tcPr>
            <w:tcW w:type="dxa" w:w="2103"/>
            <w:tcMar>
              <w:top w:w="50" w:type="dxa"/>
              <w:bottom w:w="50" w:type="dxa"/>
              <w:left w:w="90" w:type="dxa"/>
              <w:right w:w="90" w:type="dxa"/>
            </w:tcMar>
          </w:tcPr>
          <w:p>
            <w:pPr>
              <w:pStyle w:val="BDOITable"/>
            </w:pPr>
            <w:r>
              <w:rPr>
                <w:sz w:val="16"/>
              </w:rPr>
              <w:t>Cutover date and window</w:t>
            </w:r>
          </w:p>
        </w:tc>
        <w:tc>
          <w:tcPr>
            <w:tcW w:type="dxa" w:w="2343"/>
            <w:tcMar>
              <w:top w:w="50" w:type="dxa"/>
              <w:bottom w:w="50" w:type="dxa"/>
              <w:left w:w="90" w:type="dxa"/>
              <w:right w:w="90" w:type="dxa"/>
            </w:tcMar>
          </w:tcPr>
          <w:p>
            <w:pPr>
              <w:pStyle w:val="BDOITable"/>
            </w:pPr>
            <w:r>
              <w:rPr>
                <w:sz w:val="16"/>
              </w:rPr>
              <w:t>Whole calendar; runbook</w:t>
            </w:r>
          </w:p>
        </w:tc>
        <w:tc>
          <w:tcPr>
            <w:tcW w:type="dxa" w:w="1802"/>
            <w:tcMar>
              <w:top w:w="50" w:type="dxa"/>
              <w:bottom w:w="50" w:type="dxa"/>
              <w:left w:w="90" w:type="dxa"/>
              <w:right w:w="90" w:type="dxa"/>
            </w:tcMar>
          </w:tcPr>
          <w:p>
            <w:pPr>
              <w:pStyle w:val="BDOITable"/>
            </w:pPr>
            <w:r>
              <w:rPr>
                <w:sz w:val="16"/>
              </w:rPr>
              <w:t>M1 (16 Oct 2026) (month), M6 (T-6 weeks) (date)</w:t>
            </w:r>
          </w:p>
        </w:tc>
        <w:tc>
          <w:tcPr>
            <w:tcW w:type="dxa" w:w="1622"/>
            <w:tcMar>
              <w:top w:w="50" w:type="dxa"/>
              <w:bottom w:w="50" w:type="dxa"/>
              <w:left w:w="90" w:type="dxa"/>
              <w:right w:w="90" w:type="dxa"/>
            </w:tcMar>
          </w:tcPr>
          <w:p>
            <w:pPr>
              <w:pStyle w:val="BDOITable"/>
            </w:pPr>
            <w:r>
              <w:rPr>
                <w:sz w:val="16"/>
              </w:rPr>
              <w:t>Program Manager</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DMQ26</w:t>
            </w:r>
          </w:p>
        </w:tc>
        <w:tc>
          <w:tcPr>
            <w:tcW w:type="dxa" w:w="1081"/>
            <w:tcMar>
              <w:top w:w="50" w:type="dxa"/>
              <w:bottom w:w="50" w:type="dxa"/>
              <w:left w:w="90" w:type="dxa"/>
              <w:right w:w="90" w:type="dxa"/>
            </w:tcMar>
            <w:shd w:val="clear" w:color="auto" w:fill="E5F5FF"/>
          </w:tcPr>
          <w:p>
            <w:pPr>
              <w:pStyle w:val="BDOITable"/>
            </w:pPr>
            <w:r>
              <w:rPr>
                <w:sz w:val="16"/>
              </w:rPr>
              <w:t>DCR-199</w:t>
            </w:r>
          </w:p>
        </w:tc>
        <w:tc>
          <w:tcPr>
            <w:tcW w:type="dxa" w:w="2103"/>
            <w:tcMar>
              <w:top w:w="50" w:type="dxa"/>
              <w:bottom w:w="50" w:type="dxa"/>
              <w:left w:w="90" w:type="dxa"/>
              <w:right w:w="90" w:type="dxa"/>
            </w:tcMar>
            <w:shd w:val="clear" w:color="auto" w:fill="E5F5FF"/>
          </w:tcPr>
          <w:p>
            <w:pPr>
              <w:pStyle w:val="BDOITable"/>
            </w:pPr>
            <w:r>
              <w:rPr>
                <w:sz w:val="16"/>
              </w:rPr>
              <w:t>RMEL transition</w:t>
            </w:r>
          </w:p>
        </w:tc>
        <w:tc>
          <w:tcPr>
            <w:tcW w:type="dxa" w:w="2343"/>
            <w:tcMar>
              <w:top w:w="50" w:type="dxa"/>
              <w:bottom w:w="50" w:type="dxa"/>
              <w:left w:w="90" w:type="dxa"/>
              <w:right w:w="90" w:type="dxa"/>
            </w:tcMar>
            <w:shd w:val="clear" w:color="auto" w:fill="E5F5FF"/>
          </w:tcPr>
          <w:p>
            <w:pPr>
              <w:pStyle w:val="BDOITable"/>
            </w:pPr>
            <w:r>
              <w:rPr>
                <w:sz w:val="16"/>
              </w:rPr>
              <w:t>P03; Renewal build</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Heads, Retail and Corporate Marketing</w:t>
            </w:r>
          </w:p>
        </w:tc>
      </w:tr>
      <w:tr>
        <w:trPr>
          <w:cantSplit w:val="true"/>
        </w:trPr>
        <w:tc>
          <w:tcPr>
            <w:tcW w:type="dxa" w:w="1021"/>
            <w:tcMar>
              <w:top w:w="50" w:type="dxa"/>
              <w:bottom w:w="50" w:type="dxa"/>
              <w:left w:w="90" w:type="dxa"/>
              <w:right w:w="90" w:type="dxa"/>
            </w:tcMar>
          </w:tcPr>
          <w:p>
            <w:pPr>
              <w:pStyle w:val="BDOITable"/>
            </w:pPr>
            <w:r>
              <w:rPr>
                <w:b/>
                <w:sz w:val="16"/>
              </w:rPr>
              <w:t>DMQ27</w:t>
            </w:r>
          </w:p>
        </w:tc>
        <w:tc>
          <w:tcPr>
            <w:tcW w:type="dxa" w:w="1081"/>
            <w:tcMar>
              <w:top w:w="50" w:type="dxa"/>
              <w:bottom w:w="50" w:type="dxa"/>
              <w:left w:w="90" w:type="dxa"/>
              <w:right w:w="90" w:type="dxa"/>
            </w:tcMar>
          </w:tcPr>
          <w:p>
            <w:pPr>
              <w:pStyle w:val="BDOITable"/>
            </w:pPr>
            <w:r>
              <w:rPr>
                <w:sz w:val="16"/>
              </w:rPr>
              <w:t>-</w:t>
            </w:r>
          </w:p>
        </w:tc>
        <w:tc>
          <w:tcPr>
            <w:tcW w:type="dxa" w:w="2103"/>
            <w:tcMar>
              <w:top w:w="50" w:type="dxa"/>
              <w:bottom w:w="50" w:type="dxa"/>
              <w:left w:w="90" w:type="dxa"/>
              <w:right w:w="90" w:type="dxa"/>
            </w:tcMar>
          </w:tcPr>
          <w:p>
            <w:pPr>
              <w:pStyle w:val="BDOITable"/>
            </w:pPr>
            <w:r>
              <w:rPr>
                <w:sz w:val="16"/>
              </w:rPr>
              <w:t>Decommissioning criteria</w:t>
            </w:r>
          </w:p>
        </w:tc>
        <w:tc>
          <w:tcPr>
            <w:tcW w:type="dxa" w:w="2343"/>
            <w:tcMar>
              <w:top w:w="50" w:type="dxa"/>
              <w:bottom w:w="50" w:type="dxa"/>
              <w:left w:w="90" w:type="dxa"/>
              <w:right w:w="90" w:type="dxa"/>
            </w:tcMar>
          </w:tcPr>
          <w:p>
            <w:pPr>
              <w:pStyle w:val="BDOITable"/>
            </w:pPr>
            <w:r>
              <w:rPr>
                <w:sz w:val="16"/>
              </w:rPr>
              <w:t>Decommissioning checklists</w:t>
            </w:r>
          </w:p>
        </w:tc>
        <w:tc>
          <w:tcPr>
            <w:tcW w:type="dxa" w:w="1802"/>
            <w:tcMar>
              <w:top w:w="50" w:type="dxa"/>
              <w:bottom w:w="50" w:type="dxa"/>
              <w:left w:w="90" w:type="dxa"/>
              <w:right w:w="90" w:type="dxa"/>
            </w:tcMar>
          </w:tcPr>
          <w:p>
            <w:pPr>
              <w:pStyle w:val="BDOITable"/>
            </w:pPr>
            <w:r>
              <w:rPr>
                <w:sz w:val="16"/>
              </w:rPr>
              <w:t>M6 (T-6 weeks)</w:t>
            </w:r>
          </w:p>
        </w:tc>
        <w:tc>
          <w:tcPr>
            <w:tcW w:type="dxa" w:w="1622"/>
            <w:tcMar>
              <w:top w:w="50" w:type="dxa"/>
              <w:bottom w:w="50" w:type="dxa"/>
              <w:left w:w="90" w:type="dxa"/>
              <w:right w:w="90" w:type="dxa"/>
            </w:tcMar>
          </w:tcPr>
          <w:p>
            <w:pPr>
              <w:pStyle w:val="BDOITable"/>
            </w:pPr>
            <w:r>
              <w:rPr>
                <w:sz w:val="16"/>
              </w:rPr>
              <w:t>Program Manager; BDOI IT</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DMQ28</w:t>
            </w:r>
          </w:p>
        </w:tc>
        <w:tc>
          <w:tcPr>
            <w:tcW w:type="dxa" w:w="1081"/>
            <w:tcMar>
              <w:top w:w="50" w:type="dxa"/>
              <w:bottom w:w="50" w:type="dxa"/>
              <w:left w:w="90" w:type="dxa"/>
              <w:right w:w="90" w:type="dxa"/>
            </w:tcMar>
            <w:shd w:val="clear" w:color="auto" w:fill="E5F5FF"/>
          </w:tcPr>
          <w:p>
            <w:pPr>
              <w:pStyle w:val="BDOITable"/>
            </w:pPr>
            <w:r>
              <w:rPr>
                <w:sz w:val="16"/>
              </w:rPr>
              <w:t>DCR-193</w:t>
            </w:r>
          </w:p>
        </w:tc>
        <w:tc>
          <w:tcPr>
            <w:tcW w:type="dxa" w:w="2103"/>
            <w:tcMar>
              <w:top w:w="50" w:type="dxa"/>
              <w:bottom w:w="50" w:type="dxa"/>
              <w:left w:w="90" w:type="dxa"/>
              <w:right w:w="90" w:type="dxa"/>
            </w:tcMar>
            <w:shd w:val="clear" w:color="auto" w:fill="E5F5FF"/>
          </w:tcPr>
          <w:p>
            <w:pPr>
              <w:pStyle w:val="BDOITable"/>
            </w:pPr>
            <w:r>
              <w:rPr>
                <w:sz w:val="16"/>
              </w:rPr>
              <w:t>Volumes and quality</w:t>
            </w:r>
          </w:p>
        </w:tc>
        <w:tc>
          <w:tcPr>
            <w:tcW w:type="dxa" w:w="2343"/>
            <w:tcMar>
              <w:top w:w="50" w:type="dxa"/>
              <w:bottom w:w="50" w:type="dxa"/>
              <w:left w:w="90" w:type="dxa"/>
              <w:right w:w="90" w:type="dxa"/>
            </w:tcMar>
            <w:shd w:val="clear" w:color="auto" w:fill="E5F5FF"/>
          </w:tcPr>
          <w:p>
            <w:pPr>
              <w:pStyle w:val="BDOITable"/>
            </w:pPr>
            <w:r>
              <w:rPr>
                <w:sz w:val="16"/>
              </w:rPr>
              <w:t>Register volumes; performance test</w:t>
            </w:r>
          </w:p>
        </w:tc>
        <w:tc>
          <w:tcPr>
            <w:tcW w:type="dxa" w:w="1802"/>
            <w:tcMar>
              <w:top w:w="50" w:type="dxa"/>
              <w:bottom w:w="50" w:type="dxa"/>
              <w:left w:w="90" w:type="dxa"/>
              <w:right w:w="90" w:type="dxa"/>
            </w:tcMar>
            <w:shd w:val="clear" w:color="auto" w:fill="E5F5FF"/>
          </w:tcPr>
          <w:p>
            <w:pPr>
              <w:pStyle w:val="BDOITable"/>
            </w:pPr>
            <w:r>
              <w:rPr>
                <w:sz w:val="16"/>
              </w:rPr>
              <w:t>M4 (T-14 weeks)</w:t>
            </w:r>
          </w:p>
        </w:tc>
        <w:tc>
          <w:tcPr>
            <w:tcW w:type="dxa" w:w="1622"/>
            <w:tcMar>
              <w:top w:w="50" w:type="dxa"/>
              <w:bottom w:w="50" w:type="dxa"/>
              <w:left w:w="90" w:type="dxa"/>
              <w:right w:w="90" w:type="dxa"/>
            </w:tcMar>
            <w:shd w:val="clear" w:color="auto" w:fill="E5F5FF"/>
          </w:tcPr>
          <w:p>
            <w:pPr>
              <w:pStyle w:val="BDOITable"/>
            </w:pPr>
            <w:r>
              <w:rPr>
                <w:sz w:val="16"/>
              </w:rPr>
              <w:t>BDOI IT</w:t>
            </w:r>
          </w:p>
        </w:tc>
      </w:tr>
      <w:tr>
        <w:trPr>
          <w:cantSplit w:val="true"/>
        </w:trPr>
        <w:tc>
          <w:tcPr>
            <w:tcW w:type="dxa" w:w="1021"/>
            <w:tcMar>
              <w:top w:w="50" w:type="dxa"/>
              <w:bottom w:w="50" w:type="dxa"/>
              <w:left w:w="90" w:type="dxa"/>
              <w:right w:w="90" w:type="dxa"/>
            </w:tcMar>
          </w:tcPr>
          <w:p>
            <w:pPr>
              <w:pStyle w:val="BDOITable"/>
            </w:pPr>
            <w:r>
              <w:rPr>
                <w:b/>
                <w:sz w:val="16"/>
              </w:rPr>
              <w:t>DMQ29</w:t>
            </w:r>
          </w:p>
        </w:tc>
        <w:tc>
          <w:tcPr>
            <w:tcW w:type="dxa" w:w="1081"/>
            <w:tcMar>
              <w:top w:w="50" w:type="dxa"/>
              <w:bottom w:w="50" w:type="dxa"/>
              <w:left w:w="90" w:type="dxa"/>
              <w:right w:w="90" w:type="dxa"/>
            </w:tcMar>
          </w:tcPr>
          <w:p>
            <w:pPr>
              <w:pStyle w:val="BDOITable"/>
            </w:pPr>
            <w:r>
              <w:rPr>
                <w:sz w:val="16"/>
              </w:rPr>
              <w:t>DCR-193</w:t>
            </w:r>
          </w:p>
        </w:tc>
        <w:tc>
          <w:tcPr>
            <w:tcW w:type="dxa" w:w="2103"/>
            <w:tcMar>
              <w:top w:w="50" w:type="dxa"/>
              <w:bottom w:w="50" w:type="dxa"/>
              <w:left w:w="90" w:type="dxa"/>
              <w:right w:w="90" w:type="dxa"/>
            </w:tcMar>
          </w:tcPr>
          <w:p>
            <w:pPr>
              <w:pStyle w:val="BDOITable"/>
            </w:pPr>
            <w:r>
              <w:rPr>
                <w:sz w:val="16"/>
              </w:rPr>
              <w:t>Consolidated NFR</w:t>
            </w:r>
          </w:p>
        </w:tc>
        <w:tc>
          <w:tcPr>
            <w:tcW w:type="dxa" w:w="2343"/>
            <w:tcMar>
              <w:top w:w="50" w:type="dxa"/>
              <w:bottom w:w="50" w:type="dxa"/>
              <w:left w:w="90" w:type="dxa"/>
              <w:right w:w="90" w:type="dxa"/>
            </w:tcMar>
          </w:tcPr>
          <w:p>
            <w:pPr>
              <w:pStyle w:val="BDOITable"/>
            </w:pPr>
            <w:r>
              <w:rPr>
                <w:sz w:val="16"/>
              </w:rPr>
              <w:t>NFR targets</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Program Manager</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DMQ30</w:t>
            </w:r>
          </w:p>
        </w:tc>
        <w:tc>
          <w:tcPr>
            <w:tcW w:type="dxa" w:w="1081"/>
            <w:tcMar>
              <w:top w:w="50" w:type="dxa"/>
              <w:bottom w:w="50" w:type="dxa"/>
              <w:left w:w="90" w:type="dxa"/>
              <w:right w:w="90" w:type="dxa"/>
            </w:tcMar>
            <w:shd w:val="clear" w:color="auto" w:fill="E5F5FF"/>
          </w:tcPr>
          <w:p>
            <w:pPr>
              <w:pStyle w:val="BDOITable"/>
            </w:pPr>
            <w:r>
              <w:rPr>
                <w:sz w:val="16"/>
              </w:rPr>
              <w:t>DCR-196</w:t>
            </w:r>
          </w:p>
        </w:tc>
        <w:tc>
          <w:tcPr>
            <w:tcW w:type="dxa" w:w="2103"/>
            <w:tcMar>
              <w:top w:w="50" w:type="dxa"/>
              <w:bottom w:w="50" w:type="dxa"/>
              <w:left w:w="90" w:type="dxa"/>
              <w:right w:w="90" w:type="dxa"/>
            </w:tcMar>
            <w:shd w:val="clear" w:color="auto" w:fill="E5F5FF"/>
          </w:tcPr>
          <w:p>
            <w:pPr>
              <w:pStyle w:val="BDOITable"/>
            </w:pPr>
            <w:r>
              <w:rPr>
                <w:sz w:val="16"/>
              </w:rPr>
              <w:t>Objects not in the BRD</w:t>
            </w:r>
          </w:p>
        </w:tc>
        <w:tc>
          <w:tcPr>
            <w:tcW w:type="dxa" w:w="2343"/>
            <w:tcMar>
              <w:top w:w="50" w:type="dxa"/>
              <w:bottom w:w="50" w:type="dxa"/>
              <w:left w:w="90" w:type="dxa"/>
              <w:right w:w="90" w:type="dxa"/>
            </w:tcMar>
            <w:shd w:val="clear" w:color="auto" w:fill="E5F5FF"/>
          </w:tcPr>
          <w:p>
            <w:pPr>
              <w:pStyle w:val="BDOITable"/>
            </w:pPr>
            <w:r>
              <w:rPr>
                <w:sz w:val="16"/>
              </w:rPr>
              <w:t>R09, P04, P05, F06, F07</w:t>
            </w:r>
          </w:p>
        </w:tc>
        <w:tc>
          <w:tcPr>
            <w:tcW w:type="dxa" w:w="1802"/>
            <w:tcMar>
              <w:top w:w="50" w:type="dxa"/>
              <w:bottom w:w="50" w:type="dxa"/>
              <w:left w:w="90" w:type="dxa"/>
              <w:right w:w="90" w:type="dxa"/>
            </w:tcMar>
            <w:shd w:val="clear" w:color="auto" w:fill="E5F5FF"/>
          </w:tcPr>
          <w:p>
            <w:pPr>
              <w:pStyle w:val="BDOITable"/>
            </w:pPr>
            <w:r>
              <w:rPr>
                <w:sz w:val="16"/>
              </w:rPr>
              <w:t>M1 (16 Oct 2026)</w:t>
            </w:r>
          </w:p>
        </w:tc>
        <w:tc>
          <w:tcPr>
            <w:tcW w:type="dxa" w:w="1622"/>
            <w:tcMar>
              <w:top w:w="50" w:type="dxa"/>
              <w:bottom w:w="50" w:type="dxa"/>
              <w:left w:w="90" w:type="dxa"/>
              <w:right w:w="90" w:type="dxa"/>
            </w:tcMar>
            <w:shd w:val="clear" w:color="auto" w:fill="E5F5FF"/>
          </w:tcPr>
          <w:p>
            <w:pPr>
              <w:pStyle w:val="BDOITable"/>
            </w:pPr>
            <w:r>
              <w:rPr>
                <w:sz w:val="16"/>
              </w:rPr>
              <w:t>Program Manager</w:t>
            </w:r>
          </w:p>
        </w:tc>
      </w:tr>
      <w:tr>
        <w:trPr>
          <w:cantSplit w:val="true"/>
        </w:trPr>
        <w:tc>
          <w:tcPr>
            <w:tcW w:type="dxa" w:w="1021"/>
            <w:tcMar>
              <w:top w:w="50" w:type="dxa"/>
              <w:bottom w:w="50" w:type="dxa"/>
              <w:left w:w="90" w:type="dxa"/>
              <w:right w:w="90" w:type="dxa"/>
            </w:tcMar>
          </w:tcPr>
          <w:p>
            <w:pPr>
              <w:pStyle w:val="BDOITable"/>
            </w:pPr>
            <w:r>
              <w:rPr>
                <w:b/>
                <w:sz w:val="16"/>
              </w:rPr>
              <w:t>DMQ31</w:t>
            </w:r>
          </w:p>
        </w:tc>
        <w:tc>
          <w:tcPr>
            <w:tcW w:type="dxa" w:w="1081"/>
            <w:tcMar>
              <w:top w:w="50" w:type="dxa"/>
              <w:bottom w:w="50" w:type="dxa"/>
              <w:left w:w="90" w:type="dxa"/>
              <w:right w:w="90" w:type="dxa"/>
            </w:tcMar>
          </w:tcPr>
          <w:p>
            <w:pPr>
              <w:pStyle w:val="BDOITable"/>
            </w:pPr>
            <w:r>
              <w:rPr>
                <w:sz w:val="16"/>
              </w:rPr>
              <w:t>DCR-200</w:t>
            </w:r>
          </w:p>
        </w:tc>
        <w:tc>
          <w:tcPr>
            <w:tcW w:type="dxa" w:w="2103"/>
            <w:tcMar>
              <w:top w:w="50" w:type="dxa"/>
              <w:bottom w:w="50" w:type="dxa"/>
              <w:left w:w="90" w:type="dxa"/>
              <w:right w:w="90" w:type="dxa"/>
            </w:tcMar>
          </w:tcPr>
          <w:p>
            <w:pPr>
              <w:pStyle w:val="BDOITable"/>
            </w:pPr>
            <w:r>
              <w:rPr>
                <w:sz w:val="16"/>
              </w:rPr>
              <w:t>Rehearsals and test data</w:t>
            </w:r>
          </w:p>
        </w:tc>
        <w:tc>
          <w:tcPr>
            <w:tcW w:type="dxa" w:w="2343"/>
            <w:tcMar>
              <w:top w:w="50" w:type="dxa"/>
              <w:bottom w:w="50" w:type="dxa"/>
              <w:left w:w="90" w:type="dxa"/>
              <w:right w:w="90" w:type="dxa"/>
            </w:tcMar>
          </w:tcPr>
          <w:p>
            <w:pPr>
              <w:pStyle w:val="BDOITable"/>
            </w:pPr>
            <w:r>
              <w:rPr>
                <w:sz w:val="16"/>
              </w:rPr>
              <w:t>Migration cycles</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Program Manager; Compliance</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DMQ32</w:t>
            </w:r>
          </w:p>
        </w:tc>
        <w:tc>
          <w:tcPr>
            <w:tcW w:type="dxa" w:w="1081"/>
            <w:tcMar>
              <w:top w:w="50" w:type="dxa"/>
              <w:bottom w:w="50" w:type="dxa"/>
              <w:left w:w="90" w:type="dxa"/>
              <w:right w:w="90" w:type="dxa"/>
            </w:tcMar>
            <w:shd w:val="clear" w:color="auto" w:fill="E5F5FF"/>
          </w:tcPr>
          <w:p>
            <w:pPr>
              <w:pStyle w:val="BDOITable"/>
            </w:pPr>
            <w:r>
              <w:rPr>
                <w:sz w:val="16"/>
              </w:rPr>
              <w:t>DCR-200</w:t>
            </w:r>
          </w:p>
        </w:tc>
        <w:tc>
          <w:tcPr>
            <w:tcW w:type="dxa" w:w="2103"/>
            <w:tcMar>
              <w:top w:w="50" w:type="dxa"/>
              <w:bottom w:w="50" w:type="dxa"/>
              <w:left w:w="90" w:type="dxa"/>
              <w:right w:w="90" w:type="dxa"/>
            </w:tcMar>
            <w:shd w:val="clear" w:color="auto" w:fill="E5F5FF"/>
          </w:tcPr>
          <w:p>
            <w:pPr>
              <w:pStyle w:val="BDOITable"/>
            </w:pPr>
            <w:r>
              <w:rPr>
                <w:sz w:val="16"/>
              </w:rPr>
              <w:t>Fallback</w:t>
            </w:r>
          </w:p>
        </w:tc>
        <w:tc>
          <w:tcPr>
            <w:tcW w:type="dxa" w:w="2343"/>
            <w:tcMar>
              <w:top w:w="50" w:type="dxa"/>
              <w:bottom w:w="50" w:type="dxa"/>
              <w:left w:w="90" w:type="dxa"/>
              <w:right w:w="90" w:type="dxa"/>
            </w:tcMar>
            <w:shd w:val="clear" w:color="auto" w:fill="E5F5FF"/>
          </w:tcPr>
          <w:p>
            <w:pPr>
              <w:pStyle w:val="BDOITable"/>
            </w:pPr>
            <w:r>
              <w:rPr>
                <w:sz w:val="16"/>
              </w:rPr>
              <w:t>Runbook rollback</w:t>
            </w:r>
          </w:p>
        </w:tc>
        <w:tc>
          <w:tcPr>
            <w:tcW w:type="dxa" w:w="1802"/>
            <w:tcMar>
              <w:top w:w="50" w:type="dxa"/>
              <w:bottom w:w="50" w:type="dxa"/>
              <w:left w:w="90" w:type="dxa"/>
              <w:right w:w="90" w:type="dxa"/>
            </w:tcMar>
            <w:shd w:val="clear" w:color="auto" w:fill="E5F5FF"/>
          </w:tcPr>
          <w:p>
            <w:pPr>
              <w:pStyle w:val="BDOITable"/>
            </w:pPr>
            <w:r>
              <w:rPr>
                <w:sz w:val="16"/>
              </w:rPr>
              <w:t>M6 (T-6 weeks)</w:t>
            </w:r>
          </w:p>
        </w:tc>
        <w:tc>
          <w:tcPr>
            <w:tcW w:type="dxa" w:w="1622"/>
            <w:tcMar>
              <w:top w:w="50" w:type="dxa"/>
              <w:bottom w:w="50" w:type="dxa"/>
              <w:left w:w="90" w:type="dxa"/>
              <w:right w:w="90" w:type="dxa"/>
            </w:tcMar>
            <w:shd w:val="clear" w:color="auto" w:fill="E5F5FF"/>
          </w:tcPr>
          <w:p>
            <w:pPr>
              <w:pStyle w:val="BDOITable"/>
            </w:pPr>
            <w:r>
              <w:rPr>
                <w:sz w:val="16"/>
              </w:rPr>
              <w:t>Program Manager</w:t>
            </w:r>
          </w:p>
        </w:tc>
      </w:tr>
      <w:tr>
        <w:trPr>
          <w:cantSplit w:val="true"/>
        </w:trPr>
        <w:tc>
          <w:tcPr>
            <w:tcW w:type="dxa" w:w="1021"/>
            <w:tcMar>
              <w:top w:w="50" w:type="dxa"/>
              <w:bottom w:w="50" w:type="dxa"/>
              <w:left w:w="90" w:type="dxa"/>
              <w:right w:w="90" w:type="dxa"/>
            </w:tcMar>
          </w:tcPr>
          <w:p>
            <w:pPr>
              <w:pStyle w:val="BDOITable"/>
            </w:pPr>
            <w:r>
              <w:rPr>
                <w:b/>
                <w:sz w:val="16"/>
              </w:rPr>
              <w:t>DMQ33</w:t>
            </w:r>
          </w:p>
        </w:tc>
        <w:tc>
          <w:tcPr>
            <w:tcW w:type="dxa" w:w="1081"/>
            <w:tcMar>
              <w:top w:w="50" w:type="dxa"/>
              <w:bottom w:w="50" w:type="dxa"/>
              <w:left w:w="90" w:type="dxa"/>
              <w:right w:w="90" w:type="dxa"/>
            </w:tcMar>
          </w:tcPr>
          <w:p>
            <w:pPr>
              <w:pStyle w:val="BDOITable"/>
            </w:pPr>
            <w:r>
              <w:rPr>
                <w:sz w:val="16"/>
              </w:rPr>
              <w:t>DCR-200</w:t>
            </w:r>
          </w:p>
        </w:tc>
        <w:tc>
          <w:tcPr>
            <w:tcW w:type="dxa" w:w="2103"/>
            <w:tcMar>
              <w:top w:w="50" w:type="dxa"/>
              <w:bottom w:w="50" w:type="dxa"/>
              <w:left w:w="90" w:type="dxa"/>
              <w:right w:w="90" w:type="dxa"/>
            </w:tcMar>
          </w:tcPr>
          <w:p>
            <w:pPr>
              <w:pStyle w:val="BDOITable"/>
            </w:pPr>
            <w:r>
              <w:rPr>
                <w:sz w:val="16"/>
              </w:rPr>
              <w:t>In-flight items at the freeze</w:t>
            </w:r>
          </w:p>
        </w:tc>
        <w:tc>
          <w:tcPr>
            <w:tcW w:type="dxa" w:w="2343"/>
            <w:tcMar>
              <w:top w:w="50" w:type="dxa"/>
              <w:bottom w:w="50" w:type="dxa"/>
              <w:left w:w="90" w:type="dxa"/>
              <w:right w:w="90" w:type="dxa"/>
            </w:tcMar>
          </w:tcPr>
          <w:p>
            <w:pPr>
              <w:pStyle w:val="BDOITable"/>
            </w:pPr>
            <w:r>
              <w:rPr>
                <w:sz w:val="16"/>
              </w:rPr>
              <w:t>F06; freeze plan</w:t>
            </w:r>
          </w:p>
        </w:tc>
        <w:tc>
          <w:tcPr>
            <w:tcW w:type="dxa" w:w="1802"/>
            <w:tcMar>
              <w:top w:w="50" w:type="dxa"/>
              <w:bottom w:w="50" w:type="dxa"/>
              <w:left w:w="90" w:type="dxa"/>
              <w:right w:w="90" w:type="dxa"/>
            </w:tcMar>
          </w:tcPr>
          <w:p>
            <w:pPr>
              <w:pStyle w:val="BDOITable"/>
            </w:pPr>
            <w:r>
              <w:rPr>
                <w:sz w:val="16"/>
              </w:rPr>
              <w:t>M2 (6 Nov 2026)</w:t>
            </w:r>
          </w:p>
        </w:tc>
        <w:tc>
          <w:tcPr>
            <w:tcW w:type="dxa" w:w="1622"/>
            <w:tcMar>
              <w:top w:w="50" w:type="dxa"/>
              <w:bottom w:w="50" w:type="dxa"/>
              <w:left w:w="90" w:type="dxa"/>
              <w:right w:w="90" w:type="dxa"/>
            </w:tcMar>
          </w:tcPr>
          <w:p>
            <w:pPr>
              <w:pStyle w:val="BDOITable"/>
            </w:pPr>
            <w:r>
              <w:rPr>
                <w:sz w:val="16"/>
              </w:rPr>
              <w:t>Head, Operations</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DMQ34</w:t>
            </w:r>
          </w:p>
        </w:tc>
        <w:tc>
          <w:tcPr>
            <w:tcW w:type="dxa" w:w="1081"/>
            <w:tcMar>
              <w:top w:w="50" w:type="dxa"/>
              <w:bottom w:w="50" w:type="dxa"/>
              <w:left w:w="90" w:type="dxa"/>
              <w:right w:w="90" w:type="dxa"/>
            </w:tcMar>
            <w:shd w:val="clear" w:color="auto" w:fill="E5F5FF"/>
          </w:tcPr>
          <w:p>
            <w:pPr>
              <w:pStyle w:val="BDOITable"/>
            </w:pPr>
            <w:r>
              <w:rPr>
                <w:sz w:val="16"/>
              </w:rPr>
              <w:t>DCR-203</w:t>
            </w:r>
          </w:p>
        </w:tc>
        <w:tc>
          <w:tcPr>
            <w:tcW w:type="dxa" w:w="2103"/>
            <w:tcMar>
              <w:top w:w="50" w:type="dxa"/>
              <w:bottom w:w="50" w:type="dxa"/>
              <w:left w:w="90" w:type="dxa"/>
              <w:right w:w="90" w:type="dxa"/>
            </w:tcMar>
            <w:shd w:val="clear" w:color="auto" w:fill="E5F5FF"/>
          </w:tcPr>
          <w:p>
            <w:pPr>
              <w:pStyle w:val="BDOITable"/>
            </w:pPr>
            <w:r>
              <w:rPr>
                <w:sz w:val="16"/>
              </w:rPr>
              <w:t>Collection history</w:t>
            </w:r>
          </w:p>
        </w:tc>
        <w:tc>
          <w:tcPr>
            <w:tcW w:type="dxa" w:w="2343"/>
            <w:tcMar>
              <w:top w:w="50" w:type="dxa"/>
              <w:bottom w:w="50" w:type="dxa"/>
              <w:left w:w="90" w:type="dxa"/>
              <w:right w:w="90" w:type="dxa"/>
            </w:tcMar>
            <w:shd w:val="clear" w:color="auto" w:fill="E5F5FF"/>
          </w:tcPr>
          <w:p>
            <w:pPr>
              <w:pStyle w:val="BDOITable"/>
            </w:pPr>
            <w:r>
              <w:rPr>
                <w:sz w:val="16"/>
              </w:rPr>
              <w:t>F03</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Head, Operations (Collections)</w:t>
            </w:r>
          </w:p>
        </w:tc>
      </w:tr>
      <w:tr>
        <w:trPr>
          <w:cantSplit w:val="true"/>
        </w:trPr>
        <w:tc>
          <w:tcPr>
            <w:tcW w:type="dxa" w:w="1021"/>
            <w:tcMar>
              <w:top w:w="50" w:type="dxa"/>
              <w:bottom w:w="50" w:type="dxa"/>
              <w:left w:w="90" w:type="dxa"/>
              <w:right w:w="90" w:type="dxa"/>
            </w:tcMar>
          </w:tcPr>
          <w:p>
            <w:pPr>
              <w:pStyle w:val="BDOITable"/>
            </w:pPr>
            <w:r>
              <w:rPr>
                <w:b/>
                <w:sz w:val="16"/>
              </w:rPr>
              <w:t>DCR-202</w:t>
            </w:r>
          </w:p>
        </w:tc>
        <w:tc>
          <w:tcPr>
            <w:tcW w:type="dxa" w:w="1081"/>
            <w:tcMar>
              <w:top w:w="50" w:type="dxa"/>
              <w:bottom w:w="50" w:type="dxa"/>
              <w:left w:w="90" w:type="dxa"/>
              <w:right w:w="90" w:type="dxa"/>
            </w:tcMar>
          </w:tcPr>
          <w:p>
            <w:pPr>
              <w:pStyle w:val="BDOITable"/>
            </w:pPr>
            <w:r>
              <w:rPr>
                <w:sz w:val="16"/>
              </w:rPr>
              <w:t>DCR-202</w:t>
            </w:r>
          </w:p>
        </w:tc>
        <w:tc>
          <w:tcPr>
            <w:tcW w:type="dxa" w:w="2103"/>
            <w:tcMar>
              <w:top w:w="50" w:type="dxa"/>
              <w:bottom w:w="50" w:type="dxa"/>
              <w:left w:w="90" w:type="dxa"/>
              <w:right w:w="90" w:type="dxa"/>
            </w:tcMar>
          </w:tcPr>
          <w:p>
            <w:pPr>
              <w:pStyle w:val="BDOITable"/>
            </w:pPr>
            <w:r>
              <w:rPr>
                <w:sz w:val="16"/>
              </w:rPr>
              <w:t>Write-back to legacy</w:t>
            </w:r>
          </w:p>
        </w:tc>
        <w:tc>
          <w:tcPr>
            <w:tcW w:type="dxa" w:w="2343"/>
            <w:tcMar>
              <w:top w:w="50" w:type="dxa"/>
              <w:bottom w:w="50" w:type="dxa"/>
              <w:left w:w="90" w:type="dxa"/>
              <w:right w:w="90" w:type="dxa"/>
            </w:tcMar>
          </w:tcPr>
          <w:p>
            <w:pPr>
              <w:pStyle w:val="BDOITable"/>
            </w:pPr>
            <w:r>
              <w:rPr>
                <w:sz w:val="16"/>
              </w:rPr>
              <w:t>C01 deltas; CSF ContactSyncGateway</w:t>
            </w:r>
          </w:p>
        </w:tc>
        <w:tc>
          <w:tcPr>
            <w:tcW w:type="dxa" w:w="1802"/>
            <w:tcMar>
              <w:top w:w="50" w:type="dxa"/>
              <w:bottom w:w="50" w:type="dxa"/>
              <w:left w:w="90" w:type="dxa"/>
              <w:right w:w="90" w:type="dxa"/>
            </w:tcMar>
          </w:tcPr>
          <w:p>
            <w:pPr>
              <w:pStyle w:val="BDOITable"/>
            </w:pPr>
            <w:r>
              <w:rPr>
                <w:sz w:val="16"/>
              </w:rPr>
              <w:t>M1 (16 Oct 2026)</w:t>
            </w:r>
          </w:p>
        </w:tc>
        <w:tc>
          <w:tcPr>
            <w:tcW w:type="dxa" w:w="1622"/>
            <w:tcMar>
              <w:top w:w="50" w:type="dxa"/>
              <w:bottom w:w="50" w:type="dxa"/>
              <w:left w:w="90" w:type="dxa"/>
              <w:right w:w="90" w:type="dxa"/>
            </w:tcMar>
          </w:tcPr>
          <w:p>
            <w:pPr>
              <w:pStyle w:val="BDOITable"/>
            </w:pPr>
            <w:r>
              <w:rPr>
                <w:sz w:val="16"/>
              </w:rPr>
              <w:t>Product Owner, MBS</w:t>
            </w:r>
          </w:p>
        </w:tc>
      </w:tr>
      <w:tr>
        <w:trPr>
          <w:cantSplit w:val="true"/>
        </w:trPr>
        <w:tc>
          <w:tcPr>
            <w:tcW w:type="dxa" w:w="1021"/>
            <w:tcMar>
              <w:top w:w="50" w:type="dxa"/>
              <w:bottom w:w="50" w:type="dxa"/>
              <w:left w:w="90" w:type="dxa"/>
              <w:right w:w="90" w:type="dxa"/>
            </w:tcMar>
            <w:shd w:val="clear" w:color="auto" w:fill="E5F5FF"/>
          </w:tcPr>
          <w:p>
            <w:pPr>
              <w:pStyle w:val="BDOITable"/>
            </w:pPr>
            <w:r>
              <w:rPr>
                <w:b/>
                <w:sz w:val="16"/>
              </w:rPr>
              <w:t>DMQ35</w:t>
            </w:r>
          </w:p>
        </w:tc>
        <w:tc>
          <w:tcPr>
            <w:tcW w:type="dxa" w:w="1081"/>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Foreign currency</w:t>
            </w:r>
          </w:p>
        </w:tc>
        <w:tc>
          <w:tcPr>
            <w:tcW w:type="dxa" w:w="2343"/>
            <w:tcMar>
              <w:top w:w="50" w:type="dxa"/>
              <w:bottom w:w="50" w:type="dxa"/>
              <w:left w:w="90" w:type="dxa"/>
              <w:right w:w="90" w:type="dxa"/>
            </w:tcMar>
            <w:shd w:val="clear" w:color="auto" w:fill="E5F5FF"/>
          </w:tcPr>
          <w:p>
            <w:pPr>
              <w:pStyle w:val="BDOITable"/>
            </w:pPr>
            <w:r>
              <w:rPr>
                <w:sz w:val="16"/>
              </w:rPr>
              <w:t>F01, F02, G01</w:t>
            </w:r>
          </w:p>
        </w:tc>
        <w:tc>
          <w:tcPr>
            <w:tcW w:type="dxa" w:w="1802"/>
            <w:tcMar>
              <w:top w:w="50" w:type="dxa"/>
              <w:bottom w:w="50" w:type="dxa"/>
              <w:left w:w="90" w:type="dxa"/>
              <w:right w:w="90" w:type="dxa"/>
            </w:tcMar>
            <w:shd w:val="clear" w:color="auto" w:fill="E5F5FF"/>
          </w:tcPr>
          <w:p>
            <w:pPr>
              <w:pStyle w:val="BDOITable"/>
            </w:pPr>
            <w:r>
              <w:rPr>
                <w:sz w:val="16"/>
              </w:rPr>
              <w:t>M2 (6 Nov 2026)</w:t>
            </w:r>
          </w:p>
        </w:tc>
        <w:tc>
          <w:tcPr>
            <w:tcW w:type="dxa" w:w="1622"/>
            <w:tcMar>
              <w:top w:w="50" w:type="dxa"/>
              <w:bottom w:w="50" w:type="dxa"/>
              <w:left w:w="90" w:type="dxa"/>
              <w:right w:w="90" w:type="dxa"/>
            </w:tcMar>
            <w:shd w:val="clear" w:color="auto" w:fill="E5F5FF"/>
          </w:tcPr>
          <w:p>
            <w:pPr>
              <w:pStyle w:val="BDOITable"/>
            </w:pPr>
            <w:r>
              <w:rPr>
                <w:sz w:val="16"/>
              </w:rPr>
              <w:t>Head, Comptrollership</w:t>
            </w:r>
          </w:p>
        </w:tc>
      </w:tr>
    </w:tbl>
    <w:p>
      <w:pPr>
        <w:pStyle w:val="BDOISpacer"/>
      </w:pPr>
    </w:p>
    <w:p>
      <w:pPr>
        <w:pStyle w:val="Heading1"/>
        <w:pageBreakBefore/>
        <w:pBdr>
          <w:bottom w:val="single" w:sz="4" w:space="4" w:color="99C1E7"/>
        </w:pBdr>
      </w:pPr>
      <w:bookmarkStart w:id="164" w:name="_Toc000164"/>
      <w:r>
        <w:rPr/>
        <w:t>16 Timeline</w:t>
      </w:r>
      <w:bookmarkEnd w:id="164"/>
    </w:p>
    <w:p>
      <w:pPr>
        <w:pStyle w:val="Heading2"/>
      </w:pPr>
      <w:bookmarkStart w:id="165" w:name="_Toc000165"/>
      <w:r>
        <w:rPr/>
        <w:t>16.1 Alignment with the build and the UAT readiness programme</w:t>
      </w:r>
      <w:bookmarkEnd w:id="165"/>
    </w:p>
    <w:p>
      <w:r>
        <w:rPr/>
        <w:t>The migration timeline is set relative to go-live (T), which BDOI confirms (DMQ25). It ties into the build of the migration module and into the UAT readiness programme (R7) as follows.</w:t>
      </w:r>
    </w:p>
    <w:p>
      <w:pPr>
        <w:pStyle w:val="Caption"/>
        <w:keepNext/>
        <w:spacing w:after="60"/>
      </w:pPr>
      <w:r>
        <w:rPr>
          <w:b/>
          <w:i w:val="0"/>
        </w:rPr>
        <w:t xml:space="preserve">Table 35: </w:t>
      </w:r>
      <w:r>
        <w:rPr/>
        <w:t>Migration timeline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763"/>
        <w:gridCol w:w="528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Link to build and UAT readiness</w:t>
            </w:r>
          </w:p>
        </w:tc>
      </w:tr>
      <w:tr>
        <w:trPr>
          <w:cantSplit w:val="true"/>
        </w:trPr>
        <w:tc>
          <w:tcPr>
            <w:tcW w:type="dxa" w:w="1922"/>
            <w:tcMar>
              <w:top w:w="50" w:type="dxa"/>
              <w:bottom w:w="50" w:type="dxa"/>
              <w:left w:w="90" w:type="dxa"/>
              <w:right w:w="90" w:type="dxa"/>
            </w:tcMar>
          </w:tcPr>
          <w:p>
            <w:pPr>
              <w:pStyle w:val="BDOITable"/>
            </w:pPr>
            <w:r>
              <w:rPr>
                <w:sz w:val="17"/>
              </w:rPr>
              <w:t>26 Sep 2026 (M0)</w:t>
            </w:r>
          </w:p>
        </w:tc>
        <w:tc>
          <w:tcPr>
            <w:tcW w:type="dxa" w:w="2763"/>
            <w:tcMar>
              <w:top w:w="50" w:type="dxa"/>
              <w:bottom w:w="50" w:type="dxa"/>
              <w:left w:w="90" w:type="dxa"/>
              <w:right w:w="90" w:type="dxa"/>
            </w:tcMar>
          </w:tcPr>
          <w:p>
            <w:pPr>
              <w:pStyle w:val="BDOITable"/>
            </w:pPr>
            <w:r>
              <w:rPr>
                <w:sz w:val="17"/>
              </w:rPr>
              <w:t>This document set issued</w:t>
            </w:r>
          </w:p>
        </w:tc>
        <w:tc>
          <w:tcPr>
            <w:tcW w:type="dxa" w:w="5286"/>
            <w:tcMar>
              <w:top w:w="50" w:type="dxa"/>
              <w:bottom w:w="50" w:type="dxa"/>
              <w:left w:w="90" w:type="dxa"/>
              <w:right w:w="90" w:type="dxa"/>
            </w:tcMar>
          </w:tcPr>
          <w:p>
            <w:pPr>
              <w:pStyle w:val="BDOITable"/>
            </w:pPr>
            <w:r>
              <w:rPr>
                <w:sz w:val="17"/>
              </w:rPr>
              <w:t>FRS BRD-13 v1.0 under review</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16 Oct 2026 (M1)</w:t>
            </w:r>
          </w:p>
        </w:tc>
        <w:tc>
          <w:tcPr>
            <w:tcW w:type="dxa" w:w="2763"/>
            <w:tcMar>
              <w:top w:w="50" w:type="dxa"/>
              <w:bottom w:w="50" w:type="dxa"/>
              <w:left w:w="90" w:type="dxa"/>
              <w:right w:w="90" w:type="dxa"/>
            </w:tcMar>
            <w:shd w:val="clear" w:color="auto" w:fill="E5F5FF"/>
          </w:tcPr>
          <w:p>
            <w:pPr>
              <w:pStyle w:val="BDOITable"/>
            </w:pPr>
            <w:r>
              <w:rPr>
                <w:sz w:val="17"/>
              </w:rPr>
              <w:t>Build-shaping decisions answered</w:t>
            </w:r>
          </w:p>
        </w:tc>
        <w:tc>
          <w:tcPr>
            <w:tcW w:type="dxa" w:w="5286"/>
            <w:tcMar>
              <w:top w:w="50" w:type="dxa"/>
              <w:bottom w:w="50" w:type="dxa"/>
              <w:left w:w="90" w:type="dxa"/>
              <w:right w:w="90" w:type="dxa"/>
            </w:tcMar>
            <w:shd w:val="clear" w:color="auto" w:fill="E5F5FF"/>
          </w:tcPr>
          <w:p>
            <w:pPr>
              <w:pStyle w:val="BDOITable"/>
            </w:pPr>
            <w:r>
              <w:rPr>
                <w:sz w:val="17"/>
              </w:rPr>
              <w:t>Needed before build waves DM1-A to DM2-A start</w:t>
            </w:r>
          </w:p>
        </w:tc>
      </w:tr>
      <w:tr>
        <w:trPr>
          <w:cantSplit w:val="true"/>
        </w:trPr>
        <w:tc>
          <w:tcPr>
            <w:tcW w:type="dxa" w:w="1922"/>
            <w:tcMar>
              <w:top w:w="50" w:type="dxa"/>
              <w:bottom w:w="50" w:type="dxa"/>
              <w:left w:w="90" w:type="dxa"/>
              <w:right w:w="90" w:type="dxa"/>
            </w:tcMar>
          </w:tcPr>
          <w:p>
            <w:pPr>
              <w:pStyle w:val="BDOITable"/>
            </w:pPr>
            <w:r>
              <w:rPr>
                <w:sz w:val="17"/>
              </w:rPr>
              <w:t>6 Nov 2026 (M2)</w:t>
            </w:r>
          </w:p>
        </w:tc>
        <w:tc>
          <w:tcPr>
            <w:tcW w:type="dxa" w:w="2763"/>
            <w:tcMar>
              <w:top w:w="50" w:type="dxa"/>
              <w:bottom w:w="50" w:type="dxa"/>
              <w:left w:w="90" w:type="dxa"/>
              <w:right w:w="90" w:type="dxa"/>
            </w:tcMar>
          </w:tcPr>
          <w:p>
            <w:pPr>
              <w:pStyle w:val="BDOITable"/>
            </w:pPr>
            <w:r>
              <w:rPr>
                <w:sz w:val="17"/>
              </w:rPr>
              <w:t>Owners, stewards, keys, remaining rules</w:t>
            </w:r>
          </w:p>
        </w:tc>
        <w:tc>
          <w:tcPr>
            <w:tcW w:type="dxa" w:w="5286"/>
            <w:tcMar>
              <w:top w:w="50" w:type="dxa"/>
              <w:bottom w:w="50" w:type="dxa"/>
              <w:left w:w="90" w:type="dxa"/>
              <w:right w:w="90" w:type="dxa"/>
            </w:tcMar>
          </w:tcPr>
          <w:p>
            <w:pPr>
              <w:pStyle w:val="BDOITable"/>
            </w:pPr>
            <w:r>
              <w:rPr>
                <w:sz w:val="17"/>
              </w:rPr>
              <w:t>Configuration of the build waves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T-16 weeks (M3)</w:t>
            </w:r>
          </w:p>
        </w:tc>
        <w:tc>
          <w:tcPr>
            <w:tcW w:type="dxa" w:w="2763"/>
            <w:tcMar>
              <w:top w:w="50" w:type="dxa"/>
              <w:bottom w:w="50" w:type="dxa"/>
              <w:left w:w="90" w:type="dxa"/>
              <w:right w:w="90" w:type="dxa"/>
            </w:tcMar>
            <w:shd w:val="clear" w:color="auto" w:fill="E5F5FF"/>
          </w:tcPr>
          <w:p>
            <w:pPr>
              <w:pStyle w:val="BDOITable"/>
            </w:pPr>
            <w:r>
              <w:rPr>
                <w:sz w:val="17"/>
              </w:rPr>
              <w:t>Object decisions signed (G1); layouts frozen</w:t>
            </w:r>
          </w:p>
        </w:tc>
        <w:tc>
          <w:tcPr>
            <w:tcW w:type="dxa" w:w="5286"/>
            <w:tcMar>
              <w:top w:w="50" w:type="dxa"/>
              <w:bottom w:w="50" w:type="dxa"/>
              <w:left w:w="90" w:type="dxa"/>
              <w:right w:w="90" w:type="dxa"/>
            </w:tcMar>
            <w:shd w:val="clear" w:color="auto" w:fill="E5F5FF"/>
          </w:tcPr>
          <w:p>
            <w:pPr>
              <w:pStyle w:val="BDOITable"/>
            </w:pPr>
            <w:r>
              <w:rPr>
                <w:sz w:val="17"/>
              </w:rPr>
              <w:t>Migration test plan cases finalised</w:t>
            </w:r>
          </w:p>
        </w:tc>
      </w:tr>
      <w:tr>
        <w:trPr>
          <w:cantSplit w:val="true"/>
        </w:trPr>
        <w:tc>
          <w:tcPr>
            <w:tcW w:type="dxa" w:w="1922"/>
            <w:tcMar>
              <w:top w:w="50" w:type="dxa"/>
              <w:bottom w:w="50" w:type="dxa"/>
              <w:left w:w="90" w:type="dxa"/>
              <w:right w:w="90" w:type="dxa"/>
            </w:tcMar>
          </w:tcPr>
          <w:p>
            <w:pPr>
              <w:pStyle w:val="BDOITable"/>
            </w:pPr>
            <w:r>
              <w:rPr>
                <w:sz w:val="17"/>
              </w:rPr>
              <w:t>T-14 weeks (M4)</w:t>
            </w:r>
          </w:p>
        </w:tc>
        <w:tc>
          <w:tcPr>
            <w:tcW w:type="dxa" w:w="2763"/>
            <w:tcMar>
              <w:top w:w="50" w:type="dxa"/>
              <w:bottom w:w="50" w:type="dxa"/>
              <w:left w:w="90" w:type="dxa"/>
              <w:right w:w="90" w:type="dxa"/>
            </w:tcMar>
          </w:tcPr>
          <w:p>
            <w:pPr>
              <w:pStyle w:val="BDOITable"/>
            </w:pPr>
            <w:r>
              <w:rPr>
                <w:sz w:val="17"/>
              </w:rPr>
              <w:t>First full extracts with volumes; profiling</w:t>
            </w:r>
          </w:p>
        </w:tc>
        <w:tc>
          <w:tcPr>
            <w:tcW w:type="dxa" w:w="5286"/>
            <w:tcMar>
              <w:top w:w="50" w:type="dxa"/>
              <w:bottom w:w="50" w:type="dxa"/>
              <w:left w:w="90" w:type="dxa"/>
              <w:right w:w="90" w:type="dxa"/>
            </w:tcMar>
          </w:tcPr>
          <w:p>
            <w:pPr>
              <w:pStyle w:val="BDOITable"/>
            </w:pPr>
            <w:r>
              <w:rPr>
                <w:sz w:val="17"/>
              </w:rPr>
              <w:t>Build wave DM3 performance harness sized from the volumes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T-12 weeks</w:t>
            </w:r>
          </w:p>
        </w:tc>
        <w:tc>
          <w:tcPr>
            <w:tcW w:type="dxa" w:w="2763"/>
            <w:tcMar>
              <w:top w:w="50" w:type="dxa"/>
              <w:bottom w:w="50" w:type="dxa"/>
              <w:left w:w="90" w:type="dxa"/>
              <w:right w:w="90" w:type="dxa"/>
            </w:tcMar>
            <w:shd w:val="clear" w:color="auto" w:fill="E5F5FF"/>
          </w:tcPr>
          <w:p>
            <w:pPr>
              <w:pStyle w:val="BDOITable"/>
            </w:pPr>
            <w:r>
              <w:rPr>
                <w:sz w:val="17"/>
              </w:rPr>
              <w:t>Mock 1 on SIT</w:t>
            </w:r>
          </w:p>
        </w:tc>
        <w:tc>
          <w:tcPr>
            <w:tcW w:type="dxa" w:w="5286"/>
            <w:tcMar>
              <w:top w:w="50" w:type="dxa"/>
              <w:bottom w:w="50" w:type="dxa"/>
              <w:left w:w="90" w:type="dxa"/>
              <w:right w:w="90" w:type="dxa"/>
            </w:tcMar>
            <w:shd w:val="clear" w:color="auto" w:fill="E5F5FF"/>
          </w:tcPr>
          <w:p>
            <w:pPr>
              <w:pStyle w:val="BDOITable"/>
            </w:pPr>
            <w:r>
              <w:rPr>
                <w:sz w:val="17"/>
              </w:rPr>
              <w:t>Needs DM0 and DM1-C deployed</w:t>
            </w:r>
          </w:p>
        </w:tc>
      </w:tr>
      <w:tr>
        <w:trPr>
          <w:cantSplit w:val="true"/>
        </w:trPr>
        <w:tc>
          <w:tcPr>
            <w:tcW w:type="dxa" w:w="1922"/>
            <w:tcMar>
              <w:top w:w="50" w:type="dxa"/>
              <w:bottom w:w="50" w:type="dxa"/>
              <w:left w:w="90" w:type="dxa"/>
              <w:right w:w="90" w:type="dxa"/>
            </w:tcMar>
          </w:tcPr>
          <w:p>
            <w:pPr>
              <w:pStyle w:val="BDOITable"/>
            </w:pPr>
            <w:r>
              <w:rPr>
                <w:sz w:val="17"/>
              </w:rPr>
              <w:t>T-10 weeks (M5)</w:t>
            </w:r>
          </w:p>
        </w:tc>
        <w:tc>
          <w:tcPr>
            <w:tcW w:type="dxa" w:w="2763"/>
            <w:tcMar>
              <w:top w:w="50" w:type="dxa"/>
              <w:bottom w:w="50" w:type="dxa"/>
              <w:left w:w="90" w:type="dxa"/>
              <w:right w:w="90" w:type="dxa"/>
            </w:tcMar>
          </w:tcPr>
          <w:p>
            <w:pPr>
              <w:pStyle w:val="BDOITable"/>
            </w:pPr>
            <w:r>
              <w:rPr>
                <w:sz w:val="17"/>
              </w:rPr>
              <w:t>Code maps approved</w:t>
            </w:r>
          </w:p>
        </w:tc>
        <w:tc>
          <w:tcPr>
            <w:tcW w:type="dxa" w:w="5286"/>
            <w:tcMar>
              <w:top w:w="50" w:type="dxa"/>
              <w:bottom w:w="50" w:type="dxa"/>
              <w:left w:w="90" w:type="dxa"/>
              <w:right w:w="90" w:type="dxa"/>
            </w:tcMar>
          </w:tcPr>
          <w:p>
            <w:pPr>
              <w:pStyle w:val="BDOITable"/>
            </w:pPr>
            <w:r>
              <w:rPr>
                <w:sz w:val="17"/>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T-9 weeks</w:t>
            </w:r>
          </w:p>
        </w:tc>
        <w:tc>
          <w:tcPr>
            <w:tcW w:type="dxa" w:w="2763"/>
            <w:tcMar>
              <w:top w:w="50" w:type="dxa"/>
              <w:bottom w:w="50" w:type="dxa"/>
              <w:left w:w="90" w:type="dxa"/>
              <w:right w:w="90" w:type="dxa"/>
            </w:tcMar>
            <w:shd w:val="clear" w:color="auto" w:fill="E5F5FF"/>
          </w:tcPr>
          <w:p>
            <w:pPr>
              <w:pStyle w:val="BDOITable"/>
            </w:pPr>
            <w:r>
              <w:rPr>
                <w:sz w:val="17"/>
              </w:rPr>
              <w:t>Mock 2 on SIT, all objects, L1-L5</w:t>
            </w:r>
          </w:p>
        </w:tc>
        <w:tc>
          <w:tcPr>
            <w:tcW w:type="dxa" w:w="5286"/>
            <w:tcMar>
              <w:top w:w="50" w:type="dxa"/>
              <w:bottom w:w="50" w:type="dxa"/>
              <w:left w:w="90" w:type="dxa"/>
              <w:right w:w="90" w:type="dxa"/>
            </w:tcMar>
            <w:shd w:val="clear" w:color="auto" w:fill="E5F5FF"/>
          </w:tcPr>
          <w:p>
            <w:pPr>
              <w:pStyle w:val="BDOITable"/>
            </w:pPr>
            <w:r>
              <w:rPr>
                <w:sz w:val="17"/>
              </w:rPr>
              <w:t>Needs all build waves except DM2-B; provides the "data migration dry run with reconciliation" of UAT readiness item 11</w:t>
            </w:r>
          </w:p>
        </w:tc>
      </w:tr>
      <w:tr>
        <w:trPr>
          <w:cantSplit w:val="true"/>
        </w:trPr>
        <w:tc>
          <w:tcPr>
            <w:tcW w:type="dxa" w:w="1922"/>
            <w:tcMar>
              <w:top w:w="50" w:type="dxa"/>
              <w:bottom w:w="50" w:type="dxa"/>
              <w:left w:w="90" w:type="dxa"/>
              <w:right w:w="90" w:type="dxa"/>
            </w:tcMar>
          </w:tcPr>
          <w:p>
            <w:pPr>
              <w:pStyle w:val="BDOITable"/>
            </w:pPr>
            <w:r>
              <w:rPr>
                <w:sz w:val="17"/>
              </w:rPr>
              <w:t>T-6 weeks (M6)</w:t>
            </w:r>
          </w:p>
        </w:tc>
        <w:tc>
          <w:tcPr>
            <w:tcW w:type="dxa" w:w="2763"/>
            <w:tcMar>
              <w:top w:w="50" w:type="dxa"/>
              <w:bottom w:w="50" w:type="dxa"/>
              <w:left w:w="90" w:type="dxa"/>
              <w:right w:w="90" w:type="dxa"/>
            </w:tcMar>
          </w:tcPr>
          <w:p>
            <w:pPr>
              <w:pStyle w:val="BDOITable"/>
            </w:pPr>
            <w:r>
              <w:rPr>
                <w:sz w:val="17"/>
              </w:rPr>
              <w:t>Mock 3 = UAT load; cutover calendar, fallback and decommissioning criteria agreed</w:t>
            </w:r>
          </w:p>
        </w:tc>
        <w:tc>
          <w:tcPr>
            <w:tcW w:type="dxa" w:w="5286"/>
            <w:tcMar>
              <w:top w:w="50" w:type="dxa"/>
              <w:bottom w:w="50" w:type="dxa"/>
              <w:left w:w="90" w:type="dxa"/>
              <w:right w:w="90" w:type="dxa"/>
            </w:tcMar>
          </w:tcPr>
          <w:p>
            <w:pPr>
              <w:pStyle w:val="BDOITable"/>
            </w:pPr>
            <w:r>
              <w:rPr>
                <w:sz w:val="17"/>
              </w:rPr>
              <w:t>UAT readiness statement issued; UAT runs on migrated data</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T-6 to T-3 weeks</w:t>
            </w:r>
          </w:p>
        </w:tc>
        <w:tc>
          <w:tcPr>
            <w:tcW w:type="dxa" w:w="2763"/>
            <w:tcMar>
              <w:top w:w="50" w:type="dxa"/>
              <w:bottom w:w="50" w:type="dxa"/>
              <w:left w:w="90" w:type="dxa"/>
              <w:right w:w="90" w:type="dxa"/>
            </w:tcMar>
            <w:shd w:val="clear" w:color="auto" w:fill="E5F5FF"/>
          </w:tcPr>
          <w:p>
            <w:pPr>
              <w:pStyle w:val="BDOITable"/>
            </w:pPr>
            <w:r>
              <w:rPr>
                <w:sz w:val="17"/>
              </w:rPr>
              <w:t>UAT</w:t>
            </w:r>
          </w:p>
        </w:tc>
        <w:tc>
          <w:tcPr>
            <w:tcW w:type="dxa" w:w="5286"/>
            <w:tcMar>
              <w:top w:w="50" w:type="dxa"/>
              <w:bottom w:w="50" w:type="dxa"/>
              <w:left w:w="90" w:type="dxa"/>
              <w:right w:w="90" w:type="dxa"/>
            </w:tcMar>
            <w:shd w:val="clear" w:color="auto" w:fill="E5F5FF"/>
          </w:tcPr>
          <w:p>
            <w:pPr>
              <w:pStyle w:val="BDOITable"/>
            </w:pPr>
            <w:r>
              <w:rPr>
                <w:sz w:val="17"/>
              </w:rPr>
              <w:t>Business owners verify migrated data during UAT</w:t>
            </w:r>
          </w:p>
        </w:tc>
      </w:tr>
      <w:tr>
        <w:trPr>
          <w:cantSplit w:val="true"/>
        </w:trPr>
        <w:tc>
          <w:tcPr>
            <w:tcW w:type="dxa" w:w="1922"/>
            <w:tcMar>
              <w:top w:w="50" w:type="dxa"/>
              <w:bottom w:w="50" w:type="dxa"/>
              <w:left w:w="90" w:type="dxa"/>
              <w:right w:w="90" w:type="dxa"/>
            </w:tcMar>
          </w:tcPr>
          <w:p>
            <w:pPr>
              <w:pStyle w:val="BDOITable"/>
            </w:pPr>
            <w:r>
              <w:rPr>
                <w:sz w:val="17"/>
              </w:rPr>
              <w:t>T-3 weeks</w:t>
            </w:r>
          </w:p>
        </w:tc>
        <w:tc>
          <w:tcPr>
            <w:tcW w:type="dxa" w:w="2763"/>
            <w:tcMar>
              <w:top w:w="50" w:type="dxa"/>
              <w:bottom w:w="50" w:type="dxa"/>
              <w:left w:w="90" w:type="dxa"/>
              <w:right w:w="90" w:type="dxa"/>
            </w:tcMar>
          </w:tcPr>
          <w:p>
            <w:pPr>
              <w:pStyle w:val="BDOITable"/>
            </w:pPr>
            <w:r>
              <w:rPr>
                <w:sz w:val="17"/>
              </w:rPr>
              <w:t>Dress rehearsal</w:t>
            </w:r>
          </w:p>
        </w:tc>
        <w:tc>
          <w:tcPr>
            <w:tcW w:type="dxa" w:w="5286"/>
            <w:tcMar>
              <w:top w:w="50" w:type="dxa"/>
              <w:bottom w:w="50" w:type="dxa"/>
              <w:left w:w="90" w:type="dxa"/>
              <w:right w:w="90" w:type="dxa"/>
            </w:tcMar>
          </w:tcPr>
          <w:p>
            <w:pPr>
              <w:pStyle w:val="BDOITable"/>
            </w:pPr>
            <w:r>
              <w:rPr>
                <w:sz w:val="17"/>
              </w:rPr>
              <w:t>Needs DM2-B; UAT exit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T-30 days to T</w:t>
            </w:r>
          </w:p>
        </w:tc>
        <w:tc>
          <w:tcPr>
            <w:tcW w:type="dxa" w:w="2763"/>
            <w:tcMar>
              <w:top w:w="50" w:type="dxa"/>
              <w:bottom w:w="50" w:type="dxa"/>
              <w:left w:w="90" w:type="dxa"/>
              <w:right w:w="90" w:type="dxa"/>
            </w:tcMar>
            <w:shd w:val="clear" w:color="auto" w:fill="E5F5FF"/>
          </w:tcPr>
          <w:p>
            <w:pPr>
              <w:pStyle w:val="BDOITable"/>
            </w:pPr>
            <w:r>
              <w:rPr>
                <w:sz w:val="17"/>
              </w:rPr>
              <w:t>Production cutover (Cutover Runbook)</w:t>
            </w:r>
          </w:p>
        </w:tc>
        <w:tc>
          <w:tcPr>
            <w:tcW w:type="dxa" w:w="5286"/>
            <w:tcMar>
              <w:top w:w="50" w:type="dxa"/>
              <w:bottom w:w="50" w:type="dxa"/>
              <w:left w:w="90" w:type="dxa"/>
              <w:right w:w="90" w:type="dxa"/>
            </w:tcMar>
            <w:shd w:val="clear" w:color="auto" w:fill="E5F5FF"/>
          </w:tcPr>
          <w:p>
            <w:pPr>
              <w:pStyle w:val="BDOITable"/>
            </w:pPr>
            <w:r>
              <w:rPr>
                <w:sz w:val="17"/>
              </w:rPr>
              <w:t>Production release frozen from T-7</w:t>
            </w:r>
          </w:p>
        </w:tc>
      </w:tr>
      <w:tr>
        <w:trPr>
          <w:cantSplit w:val="true"/>
        </w:trPr>
        <w:tc>
          <w:tcPr>
            <w:tcW w:type="dxa" w:w="1922"/>
            <w:tcMar>
              <w:top w:w="50" w:type="dxa"/>
              <w:bottom w:w="50" w:type="dxa"/>
              <w:left w:w="90" w:type="dxa"/>
              <w:right w:w="90" w:type="dxa"/>
            </w:tcMar>
          </w:tcPr>
          <w:p>
            <w:pPr>
              <w:pStyle w:val="BDOITable"/>
            </w:pPr>
            <w:r>
              <w:rPr>
                <w:sz w:val="17"/>
              </w:rPr>
              <w:t>T to first month-end</w:t>
            </w:r>
          </w:p>
        </w:tc>
        <w:tc>
          <w:tcPr>
            <w:tcW w:type="dxa" w:w="2763"/>
            <w:tcMar>
              <w:top w:w="50" w:type="dxa"/>
              <w:bottom w:w="50" w:type="dxa"/>
              <w:left w:w="90" w:type="dxa"/>
              <w:right w:w="90" w:type="dxa"/>
            </w:tcMar>
          </w:tcPr>
          <w:p>
            <w:pPr>
              <w:pStyle w:val="BDOITable"/>
            </w:pPr>
            <w:r>
              <w:rPr>
                <w:sz w:val="17"/>
              </w:rPr>
              <w:t>Hypercare</w:t>
            </w:r>
          </w:p>
        </w:tc>
        <w:tc>
          <w:tcPr>
            <w:tcW w:type="dxa" w:w="528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Run-off (about 12-15 months)</w:t>
            </w:r>
          </w:p>
        </w:tc>
        <w:tc>
          <w:tcPr>
            <w:tcW w:type="dxa" w:w="2763"/>
            <w:tcMar>
              <w:top w:w="50" w:type="dxa"/>
              <w:bottom w:w="50" w:type="dxa"/>
              <w:left w:w="90" w:type="dxa"/>
              <w:right w:w="90" w:type="dxa"/>
            </w:tcMar>
            <w:shd w:val="clear" w:color="auto" w:fill="E5F5FF"/>
          </w:tcPr>
          <w:p>
            <w:pPr>
              <w:pStyle w:val="BDOITable"/>
            </w:pPr>
            <w:r>
              <w:rPr>
                <w:sz w:val="17"/>
              </w:rPr>
              <w:t>Monthly run-off tracking; archive loads; decommissioning</w:t>
            </w:r>
          </w:p>
        </w:tc>
        <w:tc>
          <w:tcPr>
            <w:tcW w:type="dxa" w:w="5286"/>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earliest go-live date is therefore at least 12 weeks after build waves DM0 and DM1-C are deployed on SIT and at least 9 weeks after the remaining waves (except DM2-B) are deployed.</w:t>
      </w:r>
    </w:p>
    <w:p>
      <w:pPr>
        <w:pStyle w:val="Heading1"/>
        <w:pageBreakBefore/>
        <w:pBdr>
          <w:bottom w:val="single" w:sz="4" w:space="4" w:color="99C1E7"/>
        </w:pBdr>
      </w:pPr>
      <w:bookmarkStart w:id="166" w:name="_Toc000166"/>
      <w:r>
        <w:rPr/>
        <w:t>Glossary</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code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DPPR</w:t>
            </w:r>
          </w:p>
        </w:tc>
        <w:tc>
          <w:tcPr>
            <w:tcW w:type="dxa" w:w="7932"/>
            <w:tcMar>
              <w:top w:w="50" w:type="dxa"/>
              <w:bottom w:w="50" w:type="dxa"/>
              <w:left w:w="90" w:type="dxa"/>
              <w:right w:w="90" w:type="dxa"/>
            </w:tcMar>
            <w:shd w:val="clear" w:color="auto" w:fill="E5F5FF"/>
          </w:tcPr>
          <w:p>
            <w:pPr>
              <w:pStyle w:val="BDOITable"/>
            </w:pPr>
            <w:r>
              <w:rPr>
                <w:sz w:val="18"/>
              </w:rPr>
              <w:t>Direct-payment premium receivable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Freeze</w:t>
            </w:r>
          </w:p>
        </w:tc>
        <w:tc>
          <w:tcPr>
            <w:tcW w:type="dxa" w:w="7932"/>
            <w:tcMar>
              <w:top w:w="50" w:type="dxa"/>
              <w:bottom w:w="50" w:type="dxa"/>
              <w:left w:w="90" w:type="dxa"/>
              <w:right w:w="90" w:type="dxa"/>
            </w:tcMar>
          </w:tcPr>
          <w:p>
            <w:pPr>
              <w:pStyle w:val="BDOITable"/>
            </w:pPr>
            <w:r>
              <w:rPr>
                <w:sz w:val="18"/>
              </w:rPr>
              <w:t>The time from which legacy data may no longer change (T-3 22:00)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G1-G7</w:t>
            </w:r>
          </w:p>
        </w:tc>
        <w:tc>
          <w:tcPr>
            <w:tcW w:type="dxa" w:w="7932"/>
            <w:tcMar>
              <w:top w:w="50" w:type="dxa"/>
              <w:bottom w:w="50" w:type="dxa"/>
              <w:left w:w="90" w:type="dxa"/>
              <w:right w:w="90" w:type="dxa"/>
            </w:tcMar>
            <w:shd w:val="clear" w:color="auto" w:fill="E5F5FF"/>
          </w:tcPr>
          <w:p>
            <w:pPr>
              <w:pStyle w:val="BDOITable"/>
            </w:pPr>
            <w:r>
              <w:rPr>
                <w:sz w:val="18"/>
              </w:rPr>
              <w:t>Sign-off gates of a data object - decision, mapping, validation, load, reconciliation, acceptance, go-live</w:t>
            </w:r>
          </w:p>
        </w:tc>
      </w:tr>
      <w:tr>
        <w:trPr>
          <w:cantSplit w:val="true"/>
        </w:trPr>
        <w:tc>
          <w:tcPr>
            <w:tcW w:type="dxa" w:w="2040"/>
            <w:tcMar>
              <w:top w:w="50" w:type="dxa"/>
              <w:bottom w:w="50" w:type="dxa"/>
              <w:left w:w="90" w:type="dxa"/>
              <w:right w:w="90" w:type="dxa"/>
            </w:tcMar>
          </w:tcPr>
          <w:p>
            <w:pPr>
              <w:pStyle w:val="BDOITable"/>
            </w:pPr>
            <w:r>
              <w:rPr>
                <w:b/>
                <w:sz w:val="18"/>
              </w:rPr>
              <w:t>Go / no-go</w:t>
            </w:r>
          </w:p>
        </w:tc>
        <w:tc>
          <w:tcPr>
            <w:tcW w:type="dxa" w:w="7932"/>
            <w:tcMar>
              <w:top w:w="50" w:type="dxa"/>
              <w:bottom w:w="50" w:type="dxa"/>
              <w:left w:w="90" w:type="dxa"/>
              <w:right w:w="90" w:type="dxa"/>
            </w:tcMar>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field list of one extract file (a sheet of the workbook and a CSV template)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Invoice booked in EBIX or QPS before go-live and still open at the freeze, processed in BIBS</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Migration Clearing</w:t>
            </w:r>
          </w:p>
        </w:tc>
        <w:tc>
          <w:tcPr>
            <w:tcW w:type="dxa" w:w="7932"/>
            <w:tcMar>
              <w:top w:w="50" w:type="dxa"/>
              <w:bottom w:w="50" w:type="dxa"/>
              <w:left w:w="90" w:type="dxa"/>
              <w:right w:w="90" w:type="dxa"/>
            </w:tcMar>
            <w:shd w:val="clear" w:color="auto" w:fill="E5F5FF"/>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tcPr>
          <w:p>
            <w:pPr>
              <w:pStyle w:val="BDOITable"/>
            </w:pPr>
            <w:r>
              <w:rPr>
                <w:b/>
                <w:sz w:val="18"/>
              </w:rPr>
              <w:t>Mock</w:t>
            </w:r>
          </w:p>
        </w:tc>
        <w:tc>
          <w:tcPr>
            <w:tcW w:type="dxa" w:w="7932"/>
            <w:tcMar>
              <w:top w:w="50" w:type="dxa"/>
              <w:bottom w:w="50" w:type="dxa"/>
              <w:left w:w="90" w:type="dxa"/>
              <w:right w:w="90" w:type="dxa"/>
            </w:tcMar>
          </w:tcPr>
          <w:p>
            <w:pPr>
              <w:pStyle w:val="BDOITable"/>
            </w:pPr>
            <w:r>
              <w:rPr>
                <w:sz w:val="18"/>
              </w:rPr>
              <w:t>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Over-the-counter payment</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Renewal Master Expiry List</w:t>
            </w:r>
          </w:p>
        </w:tc>
      </w:tr>
      <w:tr>
        <w:trPr>
          <w:cantSplit w:val="true"/>
        </w:trPr>
        <w:tc>
          <w:tcPr>
            <w:tcW w:type="dxa" w:w="2040"/>
            <w:tcMar>
              <w:top w:w="50" w:type="dxa"/>
              <w:bottom w:w="50" w:type="dxa"/>
              <w:left w:w="90" w:type="dxa"/>
              <w:right w:w="90" w:type="dxa"/>
            </w:tcMar>
          </w:tcPr>
          <w:p>
            <w:pPr>
              <w:pStyle w:val="BDOITable"/>
            </w:pPr>
            <w:r>
              <w:rPr>
                <w:b/>
                <w:sz w:val="18"/>
              </w:rPr>
              <w:t>Run-off</w:t>
            </w:r>
          </w:p>
        </w:tc>
        <w:tc>
          <w:tcPr>
            <w:tcW w:type="dxa" w:w="7932"/>
            <w:tcMar>
              <w:top w:w="50" w:type="dxa"/>
              <w:bottom w:w="50" w:type="dxa"/>
              <w:left w:w="90" w:type="dxa"/>
              <w:right w:w="90" w:type="dxa"/>
            </w:tcMar>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Staging</w:t>
            </w:r>
          </w:p>
        </w:tc>
        <w:tc>
          <w:tcPr>
            <w:tcW w:type="dxa" w:w="7932"/>
            <w:tcMar>
              <w:top w:w="50" w:type="dxa"/>
              <w:bottom w:w="50" w:type="dxa"/>
              <w:left w:w="90" w:type="dxa"/>
              <w:right w:w="90" w:type="dxa"/>
            </w:tcMar>
            <w:shd w:val="clear" w:color="auto" w:fill="E5F5FF"/>
          </w:tcPr>
          <w:p>
            <w:pPr>
              <w:pStyle w:val="BDOITable"/>
            </w:pPr>
            <w:r>
              <w:rPr>
                <w:sz w:val="18"/>
              </w:rPr>
              <w:t>Temporary area in BIBS where extract rows are checked, mapped and validated before load</w:t>
            </w:r>
          </w:p>
        </w:tc>
      </w:tr>
      <w:tr>
        <w:trPr>
          <w:cantSplit w:val="true"/>
        </w:trPr>
        <w:tc>
          <w:tcPr>
            <w:tcW w:type="dxa" w:w="2040"/>
            <w:tcMar>
              <w:top w:w="50" w:type="dxa"/>
              <w:bottom w:w="50" w:type="dxa"/>
              <w:left w:w="90" w:type="dxa"/>
              <w:right w:w="90" w:type="dxa"/>
            </w:tcMar>
          </w:tcPr>
          <w:p>
            <w:pPr>
              <w:pStyle w:val="BDOITable"/>
            </w:pPr>
            <w:r>
              <w:rPr>
                <w:b/>
                <w:sz w:val="18"/>
              </w:rPr>
              <w:t>T</w:t>
            </w:r>
          </w:p>
        </w:tc>
        <w:tc>
          <w:tcPr>
            <w:tcW w:type="dxa" w:w="7932"/>
            <w:tcMar>
              <w:top w:w="50" w:type="dxa"/>
              <w:bottom w:w="50" w:type="dxa"/>
              <w:left w:w="90" w:type="dxa"/>
              <w:right w:w="90" w:type="dxa"/>
            </w:tcMar>
          </w:tcPr>
          <w:p>
            <w:pPr>
              <w:pStyle w:val="BDOITable"/>
            </w:pPr>
            <w:r>
              <w:rPr>
                <w:sz w:val="18"/>
              </w:rPr>
              <w:t>Go-live date (first business day of the go-live month)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Xref</w:t>
            </w:r>
          </w:p>
        </w:tc>
        <w:tc>
          <w:tcPr>
            <w:tcW w:type="dxa" w:w="7932"/>
            <w:tcMar>
              <w:top w:w="50" w:type="dxa"/>
              <w:bottom w:w="50" w:type="dxa"/>
              <w:left w:w="90" w:type="dxa"/>
              <w:right w:w="90" w:type="dxa"/>
            </w:tcMar>
          </w:tcPr>
          <w:p>
            <w:pPr>
              <w:pStyle w:val="BDOITable"/>
            </w:pPr>
            <w:r>
              <w:rPr>
                <w:sz w:val="18"/>
              </w:rPr>
              <w:t>Key cross-reference from a legacy key to the BIBS record created from it</w:t>
            </w:r>
          </w:p>
        </w:tc>
      </w:tr>
    </w:tbl>
    <w:p>
      <w:pPr>
        <w:pStyle w:val="BDOISpacer"/>
      </w:pPr>
    </w:p>
    <w:p>
      <w:pPr>
        <w:pStyle w:val="Heading1"/>
        <w:pageBreakBefore/>
        <w:pBdr>
          <w:bottom w:val="single" w:sz="4" w:space="4" w:color="99C1E7"/>
        </w:pBdr>
      </w:pPr>
      <w:bookmarkStart w:id="167" w:name="_Toc000167"/>
      <w:r>
        <w:rPr/>
        <w:t>Sign-off</w:t>
      </w:r>
      <w:bookmarkEnd w:id="167"/>
    </w:p>
    <w:p>
      <w:r>
        <w:rPr/>
        <w:t>By signing, BDOI approves the approach of this document and the proposed decisions per data object, subject to the open decisions of chapter 15, whose answers are applied through the object register, the code maps and the configuration.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Strategy and Approach</w:t>
    </w:r>
    <w:r>
      <w:rPr>
        <w:color w:val="656565"/>
        <w:sz w:val="16"/>
      </w:rPr>
      <w:t xml:space="preserve">   Strategy and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and Approach Data Migration Strategy and Approach</dc:title>
  <dc:subject>BIBS – BDOI Broker System</dc:subject>
  <dc:creator>iorta TechNXT</dc:creator>
  <cp:keywords>Migration, BRD-13,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