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Claims Test Plan</w:t>
      </w:r>
    </w:p>
    <w:p>
      <w:pPr>
        <w:spacing w:after="40"/>
      </w:pPr>
      <w:r>
        <w:rPr>
          <w:color w:val="2E2E2E"/>
          <w:sz w:val="28"/>
        </w:rPr>
        <w:t>BRD-7 Motor and Non-Motor Claims Logging, Renumbering Addendum and Workshop Addendum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BIBS-TP-BRD-07</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BRD-7 v1.0 and the Claims build design</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Claims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Claims Unit Head</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w:t>
            </w:r>
          </w:p>
        </w:tc>
      </w:tr>
      <w:tr>
        <w:trPr>
          <w:cantSplit w:val="true"/>
        </w:trPr>
        <w:tc>
          <w:tcPr>
            <w:tcW w:type="dxa" w:w="2606"/>
            <w:tcMar>
              <w:top w:w="50" w:type="dxa"/>
              <w:bottom w:w="50" w:type="dxa"/>
              <w:left w:w="90" w:type="dxa"/>
              <w:right w:w="90" w:type="dxa"/>
            </w:tcMar>
          </w:tcPr>
          <w:p>
            <w:pPr>
              <w:pStyle w:val="BDOITable"/>
            </w:pPr>
            <w:r>
              <w:rPr>
                <w:sz w:val="18"/>
              </w:rPr>
              <w:t>Claims teams (Motor HO, Non-Motor HO, branches)</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Recording, handling, closure, follow-up</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Retail and Corporate Marketing</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Loss information and reports</w:t>
            </w:r>
          </w:p>
        </w:tc>
      </w:tr>
      <w:tr>
        <w:trPr>
          <w:cantSplit w:val="true"/>
        </w:trPr>
        <w:tc>
          <w:tcPr>
            <w:tcW w:type="dxa" w:w="2606"/>
            <w:tcMar>
              <w:top w:w="50" w:type="dxa"/>
              <w:bottom w:w="50" w:type="dxa"/>
              <w:left w:w="90" w:type="dxa"/>
              <w:right w:w="90" w:type="dxa"/>
            </w:tcMar>
          </w:tcPr>
          <w:p>
            <w:pPr>
              <w:pStyle w:val="BDOITable"/>
            </w:pPr>
            <w:r>
              <w:rPr>
                <w:sz w:val="18"/>
              </w:rPr>
              <w:t>Operations, Remittance</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Claims special remittance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UAT coordinator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UAT planning and traceability</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System test, defect fixing,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4</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5</w:t>
        </w:r>
      </w:hyperlink>
    </w:p>
    <w:p>
      <w:pPr>
        <w:pStyle w:val="toc2"/>
      </w:pPr>
      <w:hyperlink w:anchor="_Toc000107" w:history="1">
        <w:r>
          <w:t xml:space="preserve">2.1 Test levels</w:t>
        </w:r>
        <w:r>
          <w:t xml:space="preserve">	</w:t>
        </w:r>
        <w:r>
          <w:t xml:space="preserve">5</w:t>
        </w:r>
      </w:hyperlink>
    </w:p>
    <w:p>
      <w:pPr>
        <w:pStyle w:val="toc2"/>
      </w:pPr>
      <w:hyperlink w:anchor="_Toc000108" w:history="1">
        <w:r>
          <w:t xml:space="preserve">2.2 How the cases were derived</w:t>
        </w:r>
        <w:r>
          <w:t xml:space="preserve">	</w:t>
        </w:r>
        <w:r>
          <w:t xml:space="preserve">5</w:t>
        </w:r>
      </w:hyperlink>
    </w:p>
    <w:p>
      <w:pPr>
        <w:pStyle w:val="toc2"/>
      </w:pPr>
      <w:hyperlink w:anchor="_Toc000109" w:history="1">
        <w:r>
          <w:t xml:space="preserve">2.3 Reading the workbook</w:t>
        </w:r>
        <w:r>
          <w:t xml:space="preserve">	</w:t>
        </w:r>
        <w:r>
          <w:t xml:space="preserve">6</w:t>
        </w:r>
      </w:hyperlink>
    </w:p>
    <w:p>
      <w:pPr>
        <w:pStyle w:val="toc1"/>
      </w:pPr>
      <w:hyperlink w:anchor="_Toc000110" w:history="1">
        <w:r>
          <w:t xml:space="preserve">3 Entry and exit criteria</w:t>
        </w:r>
        <w:r>
          <w:t xml:space="preserve">	</w:t>
        </w:r>
        <w:r>
          <w:t xml:space="preserve">6</w:t>
        </w:r>
      </w:hyperlink>
    </w:p>
    <w:p>
      <w:pPr>
        <w:pStyle w:val="toc2"/>
      </w:pPr>
      <w:hyperlink w:anchor="_Toc000111" w:history="1">
        <w:r>
          <w:t xml:space="preserve">3.1 Entry criteria</w:t>
        </w:r>
        <w:r>
          <w:t xml:space="preserve">	</w:t>
        </w:r>
        <w:r>
          <w:t xml:space="preserve">6</w:t>
        </w:r>
      </w:hyperlink>
    </w:p>
    <w:p>
      <w:pPr>
        <w:pStyle w:val="toc2"/>
      </w:pPr>
      <w:hyperlink w:anchor="_Toc000112" w:history="1">
        <w:r>
          <w:t xml:space="preserve">3.2 Exit criteria</w:t>
        </w:r>
        <w:r>
          <w:t xml:space="preserve">	</w:t>
        </w:r>
        <w:r>
          <w:t xml:space="preserve">7</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7</w:t>
        </w:r>
      </w:hyperlink>
    </w:p>
    <w:p>
      <w:pPr>
        <w:pStyle w:val="toc1"/>
      </w:pPr>
      <w:hyperlink w:anchor="_Toc000116" w:history="1">
        <w:r>
          <w:t xml:space="preserve">5 Roles and responsibilities</w:t>
        </w:r>
        <w:r>
          <w:t xml:space="preserve">	</w:t>
        </w:r>
        <w:r>
          <w:t xml:space="preserve">8</w:t>
        </w:r>
      </w:hyperlink>
    </w:p>
    <w:p>
      <w:pPr>
        <w:pStyle w:val="toc1"/>
      </w:pPr>
      <w:hyperlink w:anchor="_Toc000117" w:history="1">
        <w:r>
          <w:t xml:space="preserve">6 Defect management</w:t>
        </w:r>
        <w:r>
          <w:t xml:space="preserve">	</w:t>
        </w:r>
        <w:r>
          <w:t xml:space="preserve">9</w:t>
        </w:r>
      </w:hyperlink>
    </w:p>
    <w:p>
      <w:pPr>
        <w:pStyle w:val="toc2"/>
      </w:pPr>
      <w:hyperlink w:anchor="_Toc000118" w:history="1">
        <w:r>
          <w:t xml:space="preserve">6.1 Severity</w:t>
        </w:r>
        <w:r>
          <w:t xml:space="preserve">	</w:t>
        </w:r>
        <w:r>
          <w:t xml:space="preserve">9</w:t>
        </w:r>
      </w:hyperlink>
    </w:p>
    <w:p>
      <w:pPr>
        <w:pStyle w:val="toc2"/>
      </w:pPr>
      <w:hyperlink w:anchor="_Toc000119" w:history="1">
        <w:r>
          <w:t xml:space="preserve">6.2 Triage and fixing</w:t>
        </w:r>
        <w:r>
          <w:t xml:space="preserve">	</w:t>
        </w:r>
        <w:r>
          <w:t xml:space="preserve">9</w:t>
        </w:r>
      </w:hyperlink>
    </w:p>
    <w:p>
      <w:pPr>
        <w:pStyle w:val="toc1"/>
      </w:pPr>
      <w:hyperlink w:anchor="_Toc000120" w:history="1">
        <w:r>
          <w:t xml:space="preserve">7 Coverage summary</w:t>
        </w:r>
        <w:r>
          <w:t xml:space="preserve">	</w:t>
        </w:r>
        <w:r>
          <w:t xml:space="preserve">9</w:t>
        </w:r>
      </w:hyperlink>
    </w:p>
    <w:p>
      <w:pPr>
        <w:pStyle w:val="toc2"/>
      </w:pPr>
      <w:hyperlink w:anchor="_Toc000121" w:history="1">
        <w:r>
          <w:t xml:space="preserve">7.1 Totals</w:t>
        </w:r>
        <w:r>
          <w:t xml:space="preserve">	</w:t>
        </w:r>
        <w:r>
          <w:t xml:space="preserve">9</w:t>
        </w:r>
      </w:hyperlink>
    </w:p>
    <w:p>
      <w:pPr>
        <w:pStyle w:val="toc2"/>
      </w:pPr>
      <w:hyperlink w:anchor="_Toc000122" w:history="1">
        <w:r>
          <w:t xml:space="preserve">7.2 Coverage by FR</w:t>
        </w:r>
        <w:r>
          <w:t xml:space="preserve">	</w:t>
        </w:r>
        <w:r>
          <w:t xml:space="preserve">10</w:t>
        </w:r>
      </w:hyperlink>
    </w:p>
    <w:p>
      <w:pPr>
        <w:pStyle w:val="toc2"/>
      </w:pPr>
      <w:hyperlink w:anchor="_Toc000123" w:history="1">
        <w:r>
          <w:t xml:space="preserve">7.3 Coverage by BRD ID</w:t>
        </w:r>
        <w:r>
          <w:t xml:space="preserve">	</w:t>
        </w:r>
        <w:r>
          <w:t xml:space="preserve">12</w:t>
        </w:r>
      </w:hyperlink>
    </w:p>
    <w:p>
      <w:pPr>
        <w:pStyle w:val="toc2"/>
      </w:pPr>
      <w:hyperlink w:anchor="_Toc000124" w:history="1">
        <w:r>
          <w:t xml:space="preserve">7.4 Scenarios</w:t>
        </w:r>
        <w:r>
          <w:t xml:space="preserve">	</w:t>
        </w:r>
        <w:r>
          <w:t xml:space="preserve">13</w:t>
        </w:r>
      </w:hyperlink>
    </w:p>
    <w:p>
      <w:pPr>
        <w:pStyle w:val="toc2"/>
      </w:pPr>
      <w:hyperlink w:anchor="_Toc000125" w:history="1">
        <w:r>
          <w:t xml:space="preserve">7.5 Roles and access</w:t>
        </w:r>
        <w:r>
          <w:t xml:space="preserve">	</w:t>
        </w:r>
        <w:r>
          <w:t xml:space="preserve">13</w:t>
        </w:r>
      </w:hyperlink>
    </w:p>
    <w:p>
      <w:pPr>
        <w:pStyle w:val="toc2"/>
      </w:pPr>
      <w:hyperlink w:anchor="_Toc000126" w:history="1">
        <w:r>
          <w:t xml:space="preserve">7.6 Automated tests</w:t>
        </w:r>
        <w:r>
          <w:t xml:space="preserve">	</w:t>
        </w:r>
        <w:r>
          <w:t xml:space="preserve">14</w:t>
        </w:r>
      </w:hyperlink>
    </w:p>
    <w:p>
      <w:pPr>
        <w:pStyle w:val="toc1"/>
      </w:pPr>
      <w:hyperlink w:anchor="_Toc000127" w:history="1">
        <w:r>
          <w:t xml:space="preserve">8 Risks</w:t>
        </w:r>
        <w:r>
          <w:t xml:space="preserve">	</w:t>
        </w:r>
        <w:r>
          <w:t xml:space="preserve">14</w:t>
        </w:r>
      </w:hyperlink>
    </w:p>
    <w:p>
      <w:pPr>
        <w:pStyle w:val="toc1"/>
      </w:pPr>
      <w:hyperlink w:anchor="_Toc000128" w:history="1">
        <w:r>
          <w:t xml:space="preserve">9 FRS findings</w:t>
        </w:r>
        <w:r>
          <w:t xml:space="preserve">	</w:t>
        </w:r>
        <w:r>
          <w:t xml:space="preserve">14</w:t>
        </w:r>
      </w:hyperlink>
    </w:p>
    <w:p>
      <w:pPr>
        <w:pStyle w:val="toc1"/>
      </w:pPr>
      <w:hyperlink w:anchor="_Toc000129" w:history="1">
        <w:r>
          <w:t xml:space="preserve">10 Sign-off</w:t>
        </w:r>
        <w:r>
          <w:t xml:space="preserve">	</w:t>
        </w:r>
        <w:r>
          <w:t xml:space="preserve">16</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BRD-7 Claims in BIBS (BDOI Broker System, on iNXT BrokerVerse). It tells the BDOI departments what will be tested, how, with which data and by whom, and when testing is complete. The test conditions, scenarios and cases are in the Excel workbook of the same version, </w:t>
      </w:r>
      <w:r>
        <w:rPr>
          <w:rFonts w:ascii="Courier New" w:hAnsi="Courier New" w:cs="Courier New" w:eastAsia="Courier New"/>
          <w:color w:val="2E2E2E"/>
          <w:sz w:val="19"/>
        </w:rPr>
        <w:t>BIBS_TestPlan_BRD-07_Claims_v1.0.xlsx</w:t>
      </w:r>
      <w:r>
        <w:rPr/>
        <w:t>, which the testers use during execution.</w:t>
      </w:r>
    </w:p>
    <w:p>
      <w:r>
        <w:rPr/>
        <w:t xml:space="preserve">Every case traces to a functional requirement (FR) of FRS BRD-7 v1.0 and to the BRD requirement IDs (BRCLM.001-043, the NFR items and the process and report pages) that the FR meets. The Claims module is </w:t>
      </w:r>
      <w:r>
        <w:rPr>
          <w:b/>
        </w:rPr>
        <w:t>designed and not yet built</w:t>
      </w:r>
      <w:r>
        <w:rPr/>
        <w:t>. The expected results therefore quote the message texts of the FRS without codes, the screen paths are those of the build design, and no case names an automated test yet. Where a Claims check reuses a message that the platform already shows (log-in, report parameters, e-mail address), the case quotes the text BIBS shows today and a finding records the difference from the FRS (section 9).</w:t>
      </w:r>
    </w:p>
    <w:p>
      <w:pPr>
        <w:pStyle w:val="Heading2"/>
      </w:pPr>
      <w:bookmarkStart w:id="103" w:name="_Toc000103"/>
      <w:r>
        <w:rPr/>
        <w:t>1.2 Scope</w:t>
      </w:r>
      <w:bookmarkEnd w:id="103"/>
    </w:p>
    <w:p>
      <w:r>
        <w:rPr/>
        <w:t>In scope are all 39 FRs of FRS BRD-7 v1.0 and the 52 BRD references they trace to:</w:t>
      </w:r>
    </w:p>
    <w:p>
      <w:pPr>
        <w:tabs>
          <w:tab w:pos="312" w:val="left"/>
        </w:tabs>
        <w:spacing w:after="40"/>
        <w:ind w:left="312" w:hanging="283"/>
      </w:pPr>
      <w:r>
        <w:rPr>
          <w:color w:val="004EA8"/>
        </w:rPr>
        <w:t>•</w:t>
        <w:tab/>
      </w:r>
      <w:r>
        <w:rPr/>
        <w:t>log-in, role-based access and the claim history (FR-CM-001 to 003);</w:t>
      </w:r>
    </w:p>
    <w:p>
      <w:pPr>
        <w:tabs>
          <w:tab w:pos="312" w:val="left"/>
        </w:tabs>
        <w:spacing w:after="40"/>
        <w:ind w:left="312" w:hanging="283"/>
      </w:pPr>
      <w:r>
        <w:rPr>
          <w:color w:val="004EA8"/>
        </w:rPr>
        <w:t>•</w:t>
        <w:tab/>
      </w:r>
      <w:r>
        <w:rPr/>
        <w:t>the cover lookup, recording a claim, the reported date, policy number, Marketing data, cover version, premium check and authorization code (FR-CM-010 to 016);</w:t>
      </w:r>
    </w:p>
    <w:p>
      <w:pPr>
        <w:tabs>
          <w:tab w:pos="312" w:val="left"/>
        </w:tabs>
        <w:spacing w:after="40"/>
        <w:ind w:left="312" w:hanging="283"/>
      </w:pPr>
      <w:r>
        <w:rPr>
          <w:color w:val="004EA8"/>
        </w:rPr>
        <w:t>•</w:t>
        <w:tab/>
      </w:r>
      <w:r>
        <w:rPr/>
        <w:t>several locations and insurers per claim, insurer updates, insurer location references and the loss advice (FR-CM-020 to 024);</w:t>
      </w:r>
    </w:p>
    <w:p>
      <w:pPr>
        <w:tabs>
          <w:tab w:pos="312" w:val="left"/>
        </w:tabs>
        <w:spacing w:after="40"/>
        <w:ind w:left="312" w:hanging="283"/>
      </w:pPr>
      <w:r>
        <w:rPr>
          <w:color w:val="004EA8"/>
        </w:rPr>
        <w:t>•</w:t>
        <w:tab/>
      </w:r>
      <w:r>
        <w:rPr/>
        <w:t>claimant override, adjusters, the insurer reserve and catastrophe codes (FR-CM-030 to 033);</w:t>
      </w:r>
    </w:p>
    <w:p>
      <w:pPr>
        <w:tabs>
          <w:tab w:pos="312" w:val="left"/>
        </w:tabs>
        <w:spacing w:after="40"/>
        <w:ind w:left="312" w:hanging="283"/>
      </w:pPr>
      <w:r>
        <w:rPr>
          <w:color w:val="004EA8"/>
        </w:rPr>
        <w:t>•</w:t>
        <w:tab/>
      </w:r>
      <w:r>
        <w:rPr/>
        <w:t>statuses and the status matrix, settlement types, temporary and permanent closure, reopen and the claims special remittance (FR-CM-040 to 046);</w:t>
      </w:r>
    </w:p>
    <w:p>
      <w:pPr>
        <w:tabs>
          <w:tab w:pos="312" w:val="left"/>
        </w:tabs>
        <w:spacing w:after="40"/>
        <w:ind w:left="312" w:hanging="283"/>
      </w:pPr>
      <w:r>
        <w:rPr>
          <w:color w:val="004EA8"/>
        </w:rPr>
        <w:t>•</w:t>
        <w:tab/>
      </w:r>
      <w:r>
        <w:rPr/>
        <w:t>follow-up dates, the action plan, the diary, ageing, pending actions and Claims Home (FR-CM-050 to 055);</w:t>
      </w:r>
    </w:p>
    <w:p>
      <w:pPr>
        <w:tabs>
          <w:tab w:pos="312" w:val="left"/>
        </w:tabs>
        <w:spacing w:after="120"/>
        <w:ind w:left="312" w:hanging="283"/>
      </w:pPr>
      <w:r>
        <w:rPr>
          <w:color w:val="004EA8"/>
        </w:rPr>
        <w:t>•</w:t>
        <w:tab/>
      </w:r>
      <w:r>
        <w:rPr/>
        <w:t>the ageing, outstanding, settled, pending, loss, location, register and activity reports, the data extract and Marketing access (FR-CM-060 to 066).</w:t>
      </w:r>
    </w:p>
    <w:p>
      <w:r>
        <w:rPr/>
        <w:t>The roles-and-access sheet checks each Claims action against the roles that may and may not perform it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The insurer-side claims function (reserving, claim payments, recoveries, posting). BDOI records the insurer's reserve and settlement as information; a case confirms that a reserve change produces no journal.</w:t>
      </w:r>
    </w:p>
    <w:p>
      <w:pPr>
        <w:tabs>
          <w:tab w:pos="312" w:val="left"/>
        </w:tabs>
        <w:spacing w:after="40"/>
        <w:ind w:left="312" w:hanging="283"/>
      </w:pPr>
      <w:r>
        <w:rPr>
          <w:color w:val="004EA8"/>
        </w:rPr>
        <w:t>•</w:t>
        <w:tab/>
      </w:r>
      <w:r>
        <w:rPr/>
        <w:t>Claim money through BDOI (CLQ10) and insurer portals or feeds for claims (CLQ17).</w:t>
      </w:r>
    </w:p>
    <w:p>
      <w:pPr>
        <w:tabs>
          <w:tab w:pos="312" w:val="left"/>
        </w:tabs>
        <w:spacing w:after="40"/>
        <w:ind w:left="312" w:hanging="283"/>
      </w:pPr>
      <w:r>
        <w:rPr>
          <w:color w:val="004EA8"/>
        </w:rPr>
        <w:t>•</w:t>
        <w:tab/>
      </w:r>
      <w:r>
        <w:rPr/>
        <w:t>Migration of EBIX / ISYS claims (CLQ14). Historical loss figures in the reports cover BIBS claims only.</w:t>
      </w:r>
    </w:p>
    <w:p>
      <w:pPr>
        <w:tabs>
          <w:tab w:pos="312" w:val="left"/>
        </w:tabs>
        <w:spacing w:after="40"/>
        <w:ind w:left="312" w:hanging="283"/>
      </w:pPr>
      <w:r>
        <w:rPr>
          <w:color w:val="004EA8"/>
        </w:rPr>
        <w:t>•</w:t>
        <w:tab/>
      </w:r>
      <w:r>
        <w:rPr/>
        <w:t>Performance and volume testing beyond the timing cases (premium check 5 seconds, Claims Home 5 seconds, status update 1 minute, report 5 minutes). The NFRs of FRS section 8 are tested in the BIBS-wide performance test plan (deliverable 28).</w:t>
      </w:r>
    </w:p>
    <w:p>
      <w:pPr>
        <w:tabs>
          <w:tab w:pos="312" w:val="left"/>
        </w:tabs>
        <w:spacing w:after="120"/>
        <w:ind w:left="312" w:hanging="283"/>
      </w:pPr>
      <w:r>
        <w:rPr>
          <w:color w:val="004EA8"/>
        </w:rPr>
        <w:t>•</w:t>
        <w:tab/>
      </w:r>
      <w:r>
        <w:rPr/>
        <w:t>BDOI's own loss advice layout and notification events (CLQ22). The cases use the draft layout.</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BRD-7 Claims (</w:t>
            </w:r>
            <w:r>
              <w:rPr>
                <w:rFonts w:ascii="Courier New" w:hAnsi="Courier New" w:cs="Courier New" w:eastAsia="Courier New"/>
                <w:color w:val="2E2E2E"/>
                <w:sz w:val="16"/>
              </w:rPr>
              <w:t>BIBS_FRS_BRD-07_Claims_v1.0.docx</w:t>
            </w:r>
            <w:r>
              <w:rPr>
                <w:sz w:val="18"/>
              </w:rPr>
              <w:t>)</w:t>
            </w:r>
          </w:p>
        </w:tc>
        <w:tc>
          <w:tcPr>
            <w:tcW w:type="dxa" w:w="2992"/>
            <w:tcMar>
              <w:top w:w="50" w:type="dxa"/>
              <w:bottom w:w="50" w:type="dxa"/>
              <w:left w:w="90" w:type="dxa"/>
              <w:right w:w="90" w:type="dxa"/>
            </w:tcMar>
          </w:tcPr>
          <w:p>
            <w:pPr>
              <w:pStyle w:val="BDOITable"/>
            </w:pPr>
            <w:r>
              <w:rPr>
                <w:sz w:val="18"/>
              </w:rPr>
              <w:t>1.0, 25 Sep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Claims BRD pack: Workshop addendum, renumbering addendum and Motor and Non-Motor Claims Logging BRD (</w:t>
            </w:r>
            <w:r>
              <w:rPr>
                <w:rFonts w:ascii="Courier New" w:hAnsi="Courier New" w:cs="Courier New" w:eastAsia="Courier New"/>
                <w:color w:val="2E2E2E"/>
                <w:sz w:val="16"/>
              </w:rPr>
              <w:t>docs/source-documents/Claims (CLM).PDF</w:t>
            </w:r>
            <w:r>
              <w:rPr>
                <w:sz w:val="18"/>
              </w:rPr>
              <w:t>)</w:t>
            </w:r>
          </w:p>
        </w:tc>
        <w:tc>
          <w:tcPr>
            <w:tcW w:type="dxa" w:w="2992"/>
            <w:tcMar>
              <w:top w:w="50" w:type="dxa"/>
              <w:bottom w:w="50" w:type="dxa"/>
              <w:left w:w="90" w:type="dxa"/>
              <w:right w:w="90" w:type="dxa"/>
            </w:tcMar>
            <w:shd w:val="clear" w:color="auto" w:fill="E5F5FF"/>
          </w:tcPr>
          <w:p>
            <w:pPr>
              <w:pStyle w:val="BDOITable"/>
            </w:pPr>
            <w:r>
              <w:rPr>
                <w:sz w:val="18"/>
              </w:rPr>
              <w:t>BRD v1 22-Jan-2025; addenda 17-Dec-2025 and 8-Apr-2026</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BRD-7 (</w:t>
            </w:r>
            <w:r>
              <w:rPr>
                <w:rFonts w:ascii="Courier New" w:hAnsi="Courier New" w:cs="Courier New" w:eastAsia="Courier New"/>
                <w:color w:val="2E2E2E"/>
                <w:sz w:val="16"/>
              </w:rPr>
              <w:t>BIBS_TestPlan_BRD-07_Claims_v1.0.xlsx</w:t>
            </w:r>
            <w:r>
              <w:rPr>
                <w:sz w:val="18"/>
              </w:rPr>
              <w:t>)</w:t>
            </w:r>
          </w:p>
        </w:tc>
        <w:tc>
          <w:tcPr>
            <w:tcW w:type="dxa" w:w="2992"/>
            <w:tcMar>
              <w:top w:w="50" w:type="dxa"/>
              <w:bottom w:w="50" w:type="dxa"/>
              <w:left w:w="90" w:type="dxa"/>
              <w:right w:w="90" w:type="dxa"/>
            </w:tcMar>
          </w:tcPr>
          <w:p>
            <w:pPr>
              <w:pStyle w:val="BDOITable"/>
            </w:pPr>
            <w:r>
              <w:rPr>
                <w:sz w:val="18"/>
              </w:rPr>
              <w:t>1.0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R4</w:t>
            </w:r>
          </w:p>
        </w:tc>
        <w:tc>
          <w:tcPr>
            <w:tcW w:type="dxa" w:w="6126"/>
            <w:tcMar>
              <w:top w:w="50" w:type="dxa"/>
              <w:bottom w:w="50" w:type="dxa"/>
              <w:left w:w="90" w:type="dxa"/>
              <w:right w:w="90" w:type="dxa"/>
            </w:tcMar>
            <w:shd w:val="clear" w:color="auto" w:fill="E5F5FF"/>
          </w:tcPr>
          <w:p>
            <w:pPr>
              <w:pStyle w:val="BDOITable"/>
            </w:pPr>
            <w:r>
              <w:rPr>
                <w:sz w:val="18"/>
              </w:rPr>
              <w:t>Claims build design (</w:t>
            </w:r>
            <w:r>
              <w:rPr>
                <w:rFonts w:ascii="Courier New" w:hAnsi="Courier New" w:cs="Courier New" w:eastAsia="Courier New"/>
                <w:color w:val="2E2E2E"/>
                <w:sz w:val="16"/>
              </w:rPr>
              <w:t>docs/architecture/CLAIMS_BROKING_DESIGN.md</w:t>
            </w:r>
            <w:r>
              <w:rPr>
                <w:sz w:val="18"/>
              </w:rPr>
              <w:t>)</w:t>
            </w:r>
          </w:p>
        </w:tc>
        <w:tc>
          <w:tcPr>
            <w:tcW w:type="dxa" w:w="2992"/>
            <w:tcMar>
              <w:top w:w="50" w:type="dxa"/>
              <w:bottom w:w="50" w:type="dxa"/>
              <w:left w:w="90" w:type="dxa"/>
              <w:right w:w="90" w:type="dxa"/>
            </w:tcMar>
            <w:shd w:val="clear" w:color="auto" w:fill="E5F5FF"/>
          </w:tcPr>
          <w:p>
            <w:pPr>
              <w:pStyle w:val="BDOITable"/>
            </w:pPr>
            <w:r>
              <w:rPr>
                <w:sz w:val="18"/>
              </w:rPr>
              <w:t>proposal for review</w:t>
            </w:r>
          </w:p>
        </w:tc>
      </w:tr>
      <w:tr>
        <w:trPr>
          <w:cantSplit w:val="true"/>
        </w:trPr>
        <w:tc>
          <w:tcPr>
            <w:tcW w:type="dxa" w:w="855"/>
            <w:tcMar>
              <w:top w:w="50" w:type="dxa"/>
              <w:bottom w:w="50" w:type="dxa"/>
              <w:left w:w="90" w:type="dxa"/>
              <w:right w:w="90" w:type="dxa"/>
            </w:tcMar>
          </w:tcPr>
          <w:p>
            <w:pPr>
              <w:pStyle w:val="BDOITable"/>
            </w:pPr>
            <w:r>
              <w:rPr>
                <w:sz w:val="18"/>
              </w:rPr>
              <w:t>R5</w:t>
            </w:r>
          </w:p>
        </w:tc>
        <w:tc>
          <w:tcPr>
            <w:tcW w:type="dxa" w:w="6126"/>
            <w:tcMar>
              <w:top w:w="50" w:type="dxa"/>
              <w:bottom w:w="50" w:type="dxa"/>
              <w:left w:w="90" w:type="dxa"/>
              <w:right w:w="90" w:type="dxa"/>
            </w:tcMar>
          </w:tcPr>
          <w:p>
            <w:pPr>
              <w:pStyle w:val="BDOITable"/>
            </w:pPr>
            <w:r>
              <w:rPr>
                <w:sz w:val="18"/>
              </w:rPr>
              <w:t>BDOI Report List as of 27-Apr-2026 (Claims reports)</w:t>
            </w:r>
          </w:p>
        </w:tc>
        <w:tc>
          <w:tcPr>
            <w:tcW w:type="dxa" w:w="2992"/>
            <w:tcMar>
              <w:top w:w="50" w:type="dxa"/>
              <w:bottom w:w="50" w:type="dxa"/>
              <w:left w:w="90" w:type="dxa"/>
              <w:right w:w="90" w:type="dxa"/>
            </w:tcMar>
          </w:tcPr>
          <w:p>
            <w:pPr>
              <w:pStyle w:val="BDOITable"/>
            </w:pPr>
            <w:r>
              <w:rPr>
                <w:sz w:val="18"/>
              </w:rPr>
              <w:t>27-Apr-2026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R6</w:t>
            </w:r>
          </w:p>
        </w:tc>
        <w:tc>
          <w:tcPr>
            <w:tcW w:type="dxa" w:w="6126"/>
            <w:tcMar>
              <w:top w:w="50" w:type="dxa"/>
              <w:bottom w:w="50" w:type="dxa"/>
              <w:left w:w="90" w:type="dxa"/>
              <w:right w:w="90" w:type="dxa"/>
            </w:tcMar>
            <w:shd w:val="clear" w:color="auto" w:fill="E5F5FF"/>
          </w:tcPr>
          <w:p>
            <w:pPr>
              <w:pStyle w:val="BDOITable"/>
            </w:pPr>
            <w:r>
              <w:rPr>
                <w:sz w:val="18"/>
              </w:rPr>
              <w:t>BRD discrepancy and clarification register (</w:t>
            </w:r>
            <w:r>
              <w:rPr>
                <w:rFonts w:ascii="Courier New" w:hAnsi="Courier New" w:cs="Courier New" w:eastAsia="Courier New"/>
                <w:color w:val="2E2E2E"/>
                <w:sz w:val="16"/>
              </w:rPr>
              <w:t>BIBS_Register_BRD-00_Discrepancies_and_Clarifications_v1.0.xlsx</w:t>
            </w:r>
            <w:r>
              <w:rPr>
                <w:sz w:val="18"/>
              </w:rPr>
              <w:t>)</w:t>
            </w:r>
          </w:p>
        </w:tc>
        <w:tc>
          <w:tcPr>
            <w:tcW w:type="dxa" w:w="2992"/>
            <w:tcMar>
              <w:top w:w="50" w:type="dxa"/>
              <w:bottom w:w="50" w:type="dxa"/>
              <w:left w:w="90" w:type="dxa"/>
              <w:right w:w="90" w:type="dxa"/>
            </w:tcMar>
            <w:shd w:val="clear" w:color="auto" w:fill="E5F5FF"/>
          </w:tcPr>
          <w:p>
            <w:pPr>
              <w:pStyle w:val="BDOITable"/>
            </w:pPr>
            <w:r>
              <w:rPr>
                <w:sz w:val="18"/>
              </w:rPr>
              <w:t>1.0</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Unit and integration (automated)</w:t>
            </w:r>
          </w:p>
        </w:tc>
        <w:tc>
          <w:tcPr>
            <w:tcW w:type="dxa" w:w="3724"/>
            <w:tcMar>
              <w:top w:w="50" w:type="dxa"/>
              <w:bottom w:w="50" w:type="dxa"/>
              <w:left w:w="90" w:type="dxa"/>
              <w:right w:w="90" w:type="dxa"/>
            </w:tcMar>
          </w:tcPr>
          <w:p>
            <w:pPr>
              <w:pStyle w:val="BDOITable"/>
            </w:pPr>
            <w:r>
              <w:rPr>
                <w:sz w:val="18"/>
              </w:rPr>
              <w:t>Premium check, status matrix, phases, ages, settlement rules, permissions, uploads and reports of each FR, against a PostgreSQL database</w:t>
            </w:r>
          </w:p>
        </w:tc>
        <w:tc>
          <w:tcPr>
            <w:tcW w:type="dxa" w:w="2163"/>
            <w:tcMar>
              <w:top w:w="50" w:type="dxa"/>
              <w:bottom w:w="50" w:type="dxa"/>
              <w:left w:w="90" w:type="dxa"/>
              <w:right w:w="90" w:type="dxa"/>
            </w:tcMar>
          </w:tcPr>
          <w:p>
            <w:pPr>
              <w:pStyle w:val="BDOITable"/>
            </w:pPr>
            <w:r>
              <w:rPr>
                <w:sz w:val="18"/>
              </w:rPr>
              <w:t>iorta TechNXT developers</w:t>
            </w:r>
          </w:p>
        </w:tc>
        <w:tc>
          <w:tcPr>
            <w:tcW w:type="dxa" w:w="2163"/>
            <w:tcMar>
              <w:top w:w="50" w:type="dxa"/>
              <w:bottom w:w="50" w:type="dxa"/>
              <w:left w:w="90" w:type="dxa"/>
              <w:right w:w="90" w:type="dxa"/>
            </w:tcMar>
          </w:tcPr>
          <w:p>
            <w:pPr>
              <w:pStyle w:val="BDOITable"/>
            </w:pPr>
            <w:r>
              <w:rPr>
                <w:sz w:val="18"/>
              </w:rPr>
              <w:t>Written with the build; every change in CI (</w:t>
            </w:r>
            <w:r>
              <w:rPr>
                <w:rFonts w:ascii="Courier New" w:hAnsi="Courier New" w:cs="Courier New" w:eastAsia="Courier New"/>
                <w:color w:val="2E2E2E"/>
                <w:sz w:val="16"/>
              </w:rPr>
              <w:t>mvn verify</w:t>
            </w:r>
            <w:r>
              <w:rPr>
                <w:sz w:val="18"/>
              </w:rPr>
              <w:t xml:space="preserve">, </w:t>
            </w:r>
            <w:r>
              <w:rPr>
                <w:rFonts w:ascii="Courier New" w:hAnsi="Courier New" w:cs="Courier New" w:eastAsia="Courier New"/>
                <w:color w:val="2E2E2E"/>
                <w:sz w:val="16"/>
              </w:rPr>
              <w:t>npm run verify</w:t>
            </w:r>
            <w:r>
              <w:rPr>
                <w:sz w:val="18"/>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System test</w:t>
            </w:r>
          </w:p>
        </w:tc>
        <w:tc>
          <w:tcPr>
            <w:tcW w:type="dxa" w:w="3724"/>
            <w:tcMar>
              <w:top w:w="50" w:type="dxa"/>
              <w:bottom w:w="50" w:type="dxa"/>
              <w:left w:w="90" w:type="dxa"/>
              <w:right w:w="90" w:type="dxa"/>
            </w:tcMar>
            <w:shd w:val="clear" w:color="auto" w:fill="E5F5FF"/>
          </w:tcPr>
          <w:p>
            <w:pPr>
              <w:pStyle w:val="BDOITable"/>
            </w:pPr>
            <w:r>
              <w:rPr>
                <w:sz w:val="18"/>
              </w:rPr>
              <w:t>Every case of the workbook, screen by screen, with the named data sets</w:t>
            </w:r>
          </w:p>
        </w:tc>
        <w:tc>
          <w:tcPr>
            <w:tcW w:type="dxa" w:w="2163"/>
            <w:tcMar>
              <w:top w:w="50" w:type="dxa"/>
              <w:bottom w:w="50" w:type="dxa"/>
              <w:left w:w="90" w:type="dxa"/>
              <w:right w:w="90" w:type="dxa"/>
            </w:tcMar>
            <w:shd w:val="clear" w:color="auto" w:fill="E5F5FF"/>
          </w:tcPr>
          <w:p>
            <w:pPr>
              <w:pStyle w:val="BDOITable"/>
            </w:pPr>
            <w:r>
              <w:rPr>
                <w:sz w:val="18"/>
              </w:rPr>
              <w:t>iorta TechNXT QA</w:t>
            </w:r>
          </w:p>
        </w:tc>
        <w:tc>
          <w:tcPr>
            <w:tcW w:type="dxa" w:w="2163"/>
            <w:tcMar>
              <w:top w:w="50" w:type="dxa"/>
              <w:bottom w:w="50" w:type="dxa"/>
              <w:left w:w="90" w:type="dxa"/>
              <w:right w:w="90" w:type="dxa"/>
            </w:tcMar>
            <w:shd w:val="clear" w:color="auto" w:fill="E5F5FF"/>
          </w:tcPr>
          <w:p>
            <w:pPr>
              <w:pStyle w:val="BDOITable"/>
            </w:pPr>
            <w:r>
              <w:rPr>
                <w:sz w:val="18"/>
              </w:rPr>
              <w:t>Before UAT, on the SIT environment</w:t>
            </w:r>
          </w:p>
        </w:tc>
      </w:tr>
      <w:tr>
        <w:trPr>
          <w:cantSplit w:val="true"/>
        </w:trPr>
        <w:tc>
          <w:tcPr>
            <w:tcW w:type="dxa" w:w="1922"/>
            <w:tcMar>
              <w:top w:w="50" w:type="dxa"/>
              <w:bottom w:w="50" w:type="dxa"/>
              <w:left w:w="90" w:type="dxa"/>
              <w:right w:w="90" w:type="dxa"/>
            </w:tcMar>
          </w:tcPr>
          <w:p>
            <w:pPr>
              <w:pStyle w:val="BDOITable"/>
            </w:pPr>
            <w:r>
              <w:rPr>
                <w:sz w:val="18"/>
              </w:rPr>
              <w:t>Persona end-to-end</w:t>
            </w:r>
          </w:p>
        </w:tc>
        <w:tc>
          <w:tcPr>
            <w:tcW w:type="dxa" w:w="3724"/>
            <w:tcMar>
              <w:top w:w="50" w:type="dxa"/>
              <w:bottom w:w="50" w:type="dxa"/>
              <w:left w:w="90" w:type="dxa"/>
              <w:right w:w="90" w:type="dxa"/>
            </w:tcMar>
          </w:tcPr>
          <w:p>
            <w:pPr>
              <w:pStyle w:val="BDOITable"/>
            </w:pPr>
            <w:r>
              <w:rPr>
                <w:sz w:val="18"/>
              </w:rPr>
              <w:t>The eight scenarios run from start to finish by the persona that owns each step, with notifications and e-mails checked</w:t>
            </w:r>
          </w:p>
        </w:tc>
        <w:tc>
          <w:tcPr>
            <w:tcW w:type="dxa" w:w="2163"/>
            <w:tcMar>
              <w:top w:w="50" w:type="dxa"/>
              <w:bottom w:w="50" w:type="dxa"/>
              <w:left w:w="90" w:type="dxa"/>
              <w:right w:w="90" w:type="dxa"/>
            </w:tcMar>
          </w:tcPr>
          <w:p>
            <w:pPr>
              <w:pStyle w:val="BDOITable"/>
            </w:pPr>
            <w:r>
              <w:rPr>
                <w:sz w:val="18"/>
              </w:rPr>
              <w:t>iorta TechNXT QA with the BDOI department testers</w:t>
            </w:r>
          </w:p>
        </w:tc>
        <w:tc>
          <w:tcPr>
            <w:tcW w:type="dxa" w:w="2163"/>
            <w:tcMar>
              <w:top w:w="50" w:type="dxa"/>
              <w:bottom w:w="50" w:type="dxa"/>
              <w:left w:w="90" w:type="dxa"/>
              <w:right w:w="90" w:type="dxa"/>
            </w:tcMar>
          </w:tcPr>
          <w:p>
            <w:pPr>
              <w:pStyle w:val="BDOITable"/>
            </w:pPr>
            <w:r>
              <w:rPr>
                <w:sz w:val="18"/>
              </w:rPr>
              <w:t>After the system test passes</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User acceptance test (UAT)</w:t>
            </w:r>
          </w:p>
        </w:tc>
        <w:tc>
          <w:tcPr>
            <w:tcW w:type="dxa" w:w="3724"/>
            <w:tcMar>
              <w:top w:w="50" w:type="dxa"/>
              <w:bottom w:w="50" w:type="dxa"/>
              <w:left w:w="90" w:type="dxa"/>
              <w:right w:w="90" w:type="dxa"/>
            </w:tcMar>
            <w:shd w:val="clear" w:color="auto" w:fill="E5F5FF"/>
          </w:tcPr>
          <w:p>
            <w:pPr>
              <w:pStyle w:val="BDOITable"/>
            </w:pPr>
            <w:r>
              <w:rPr>
                <w:sz w:val="18"/>
              </w:rPr>
              <w:t>The scenarios and the High-priority cases, run by BDOI testers on masked production-like data</w:t>
            </w:r>
          </w:p>
        </w:tc>
        <w:tc>
          <w:tcPr>
            <w:tcW w:type="dxa" w:w="2163"/>
            <w:tcMar>
              <w:top w:w="50" w:type="dxa"/>
              <w:bottom w:w="50" w:type="dxa"/>
              <w:left w:w="90" w:type="dxa"/>
              <w:right w:w="90" w:type="dxa"/>
            </w:tcMar>
            <w:shd w:val="clear" w:color="auto" w:fill="E5F5FF"/>
          </w:tcPr>
          <w:p>
            <w:pPr>
              <w:pStyle w:val="BDOITable"/>
            </w:pPr>
            <w:r>
              <w:rPr>
                <w:sz w:val="18"/>
              </w:rPr>
              <w:t>BDOI Claims, Marketing and Remittance testers</w:t>
            </w:r>
          </w:p>
        </w:tc>
        <w:tc>
          <w:tcPr>
            <w:tcW w:type="dxa" w:w="2163"/>
            <w:tcMar>
              <w:top w:w="50" w:type="dxa"/>
              <w:bottom w:w="50" w:type="dxa"/>
              <w:left w:w="90" w:type="dxa"/>
              <w:right w:w="90" w:type="dxa"/>
            </w:tcMar>
            <w:shd w:val="clear" w:color="auto" w:fill="E5F5FF"/>
          </w:tcPr>
          <w:p>
            <w:pPr>
              <w:pStyle w:val="BDOITable"/>
            </w:pPr>
            <w:r>
              <w:rPr>
                <w:sz w:val="18"/>
              </w:rPr>
              <w:t>After the entry criteria of section 3 are met</w:t>
            </w:r>
          </w:p>
        </w:tc>
      </w:tr>
    </w:tbl>
    <w:p>
      <w:pPr>
        <w:pStyle w:val="BDOISpacer"/>
      </w:pPr>
    </w:p>
    <w:p>
      <w:r>
        <w:rPr/>
        <w:t>The automation reference column is blank in this version. When the module is built, the developers name the integration test that asserts each case; a case with an automation reference is still run on the screen once per cycle.</w:t>
      </w: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alternate flows and field rules became one or more </w:t>
      </w:r>
      <w:r>
        <w:rPr>
          <w:b/>
        </w:rPr>
        <w:t>test conditions</w:t>
      </w:r>
      <w:r>
        <w:rPr/>
        <w:t xml:space="preserve"> (sheet Test Conditions), for example "A status outside the matrix is refused even when called directly".</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the preconditions and data set, numbered steps and the expected result with the message text where BIBS shows one. Values filled in at run time (claim number, dates) are examples from the data sets.</w:t>
      </w:r>
    </w:p>
    <w:p>
      <w:pPr>
        <w:tabs>
          <w:tab w:pos="312" w:val="left"/>
        </w:tabs>
        <w:spacing w:after="40"/>
        <w:ind w:left="312" w:hanging="283"/>
      </w:pPr>
      <w:r>
        <w:rPr>
          <w:color w:val="004EA8"/>
        </w:rPr>
        <w:t>•</w:t>
        <w:tab/>
      </w:r>
      <w:r>
        <w:rPr/>
        <w:t xml:space="preserve">Every FR has at least one </w:t>
      </w:r>
      <w:r>
        <w:rPr>
          <w:b/>
        </w:rPr>
        <w:t>positive</w:t>
      </w:r>
      <w:r>
        <w:rPr/>
        <w:t xml:space="preserve"> and one </w:t>
      </w:r>
      <w:r>
        <w:rPr>
          <w:b/>
        </w:rPr>
        <w:t>negative</w:t>
      </w:r>
      <w:r>
        <w:rPr/>
        <w:t xml:space="preserve"> case. Boundary cases test the limits: the third failed log-in, a reported date one day before the loss date, a zero reserve, 2,000 and 2,001 characters of action plan, follow-up days 365 and 366, age 30 on day 30, 80 and 95 days against the 90-day past due threshold, 2 and 3 claims for a claims-prone location, O/S at zero.</w:t>
      </w:r>
    </w:p>
    <w:p>
      <w:pPr>
        <w:tabs>
          <w:tab w:pos="312" w:val="left"/>
        </w:tabs>
        <w:spacing w:after="40"/>
        <w:ind w:left="312" w:hanging="283"/>
      </w:pPr>
      <w:r>
        <w:rPr>
          <w:color w:val="004EA8"/>
        </w:rPr>
        <w:t>•</w:t>
        <w:tab/>
      </w:r>
      <w:r>
        <w:rPr>
          <w:b/>
        </w:rPr>
        <w:t>Scenarios</w:t>
      </w:r>
      <w:r>
        <w:rPr/>
        <w:t xml:space="preserve"> group the cases into business threads, from the notice of loss to closure and the reports.</w:t>
      </w:r>
    </w:p>
    <w:p>
      <w:pPr>
        <w:tabs>
          <w:tab w:pos="312" w:val="left"/>
        </w:tabs>
        <w:spacing w:after="120"/>
        <w:ind w:left="312" w:hanging="283"/>
      </w:pPr>
      <w:r>
        <w:rPr>
          <w:color w:val="004EA8"/>
        </w:rPr>
        <w:t>•</w:t>
        <w:tab/>
      </w:r>
      <w:r>
        <w:rPr/>
        <w:t xml:space="preserve">The </w:t>
      </w:r>
      <w:r>
        <w:rPr>
          <w:b/>
        </w:rPr>
        <w:t>roles-and-access</w:t>
      </w:r>
      <w:r>
        <w:rPr/>
        <w:t xml:space="preserve"> sheet lists, for each action, the roles that must be allowed and refused, from the matrix of FRS section 3.3.</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 and response times</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records and API calls are open only to the roles that hold the permission; the status matrix; maker-checker</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phase or status change of the claim, closure, reopen, reassignment, a job run</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Reports and exports; content checked against the claims</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Bulk uploads, the loss advice and report downloads</w:t>
            </w:r>
          </w:p>
        </w:tc>
      </w:tr>
    </w:tbl>
    <w:p>
      <w:pPr>
        <w:pStyle w:val="BDOISpacer"/>
      </w:pPr>
    </w:p>
    <w:p>
      <w:pPr>
        <w:pStyle w:val="Heading2"/>
      </w:pPr>
      <w:bookmarkStart w:id="109" w:name="_Toc000109"/>
      <w:r>
        <w:rPr/>
        <w:t>2.3 Reading the workbook</w:t>
      </w:r>
      <w:bookmarkEnd w:id="109"/>
    </w:p>
    <w:p>
      <w:r>
        <w:rPr/>
        <w:t>The workbook has a README sheet that explains every column. Case IDs carry their condition: TC-CM-045.2-01 is the first case of condition 2 of FR-CM-045. Status starts as Not run; testers fill Status, Actual result, Tester, Date and Defect ID.</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The Claims module is deployed on SIT with its jobs (follow-up due, premium re-check, ageing alerts) and the feed CLAIMS_SPECIAL_REMIT; CI is green on the deployed commit; the data sets of section 4.2 are loaded; the insurer test mailboxes receive mail; the developers have added the automation references.</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defect; notifications and the e-mail relay work on SIT; the Remittance screen of BRD-2 reads the feed.</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BRD-7 v1.0 is signed off or its open comments are agreed; the open questions that change expected results (CLQ01, CLQ04, CLQ05, CLQ06, CLQ15) are answered or their test values agreed; the system test exit criteria are met; the UAT environment holds masked data; BDOI testers have user IDs with the roles of section 5.</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100 % of High-priority cases passed; no open Critical or High defect; open Medium and Low defects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eight scenarios passed end to end with the expected notifications and e-mails.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defect; open defects listed with an agreed plan in the UAT sign-off; the sign-off of section 10 is signed.</w:t>
            </w:r>
          </w:p>
        </w:tc>
      </w:tr>
    </w:tbl>
    <w:p>
      <w:pPr>
        <w:pStyle w:val="BDOISpacer"/>
      </w:pPr>
    </w:p>
    <w:p>
      <w:r>
        <w:rPr>
          <w:b/>
        </w:rPr>
        <w:t>Suspension.</w:t>
      </w:r>
      <w:r>
        <w:rPr/>
        <w:t xml:space="preserve"> Testing of a scenario stops when a Critical defect blocks it, when the environment is down for more than half a day, or when the test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CI</w:t>
            </w:r>
          </w:p>
        </w:tc>
        <w:tc>
          <w:tcPr>
            <w:tcW w:type="dxa" w:w="4432"/>
            <w:tcMar>
              <w:top w:w="50" w:type="dxa"/>
              <w:bottom w:w="50" w:type="dxa"/>
              <w:left w:w="90" w:type="dxa"/>
              <w:right w:w="90" w:type="dxa"/>
            </w:tcMar>
          </w:tcPr>
          <w:p>
            <w:pPr>
              <w:pStyle w:val="BDOITable"/>
            </w:pPr>
            <w:r>
              <w:rPr>
                <w:sz w:val="18"/>
              </w:rPr>
              <w:t>Automated unit and integration tests on every change</w:t>
            </w:r>
          </w:p>
        </w:tc>
        <w:tc>
          <w:tcPr>
            <w:tcW w:type="dxa" w:w="3739"/>
            <w:tcMar>
              <w:top w:w="50" w:type="dxa"/>
              <w:bottom w:w="50" w:type="dxa"/>
              <w:left w:w="90" w:type="dxa"/>
              <w:right w:w="90" w:type="dxa"/>
            </w:tcMar>
          </w:tcPr>
          <w:p>
            <w:pPr>
              <w:pStyle w:val="BDOITable"/>
            </w:pPr>
            <w:r>
              <w:rPr>
                <w:sz w:val="18"/>
              </w:rPr>
              <w:t>Created by each test; PostgreSQL in a container</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SIT</w:t>
            </w:r>
          </w:p>
        </w:tc>
        <w:tc>
          <w:tcPr>
            <w:tcW w:type="dxa" w:w="4432"/>
            <w:tcMar>
              <w:top w:w="50" w:type="dxa"/>
              <w:bottom w:w="50" w:type="dxa"/>
              <w:left w:w="90" w:type="dxa"/>
              <w:right w:w="90" w:type="dxa"/>
            </w:tcMar>
            <w:shd w:val="clear" w:color="auto" w:fill="E5F5FF"/>
          </w:tcPr>
          <w:p>
            <w:pPr>
              <w:pStyle w:val="BDOITable"/>
            </w:pPr>
            <w:r>
              <w:rPr>
                <w:sz w:val="18"/>
              </w:rPr>
              <w:t>System test and persona end-to-end runs by iorta TechNXT QA</w:t>
            </w:r>
          </w:p>
        </w:tc>
        <w:tc>
          <w:tcPr>
            <w:tcW w:type="dxa" w:w="3739"/>
            <w:tcMar>
              <w:top w:w="50" w:type="dxa"/>
              <w:bottom w:w="50" w:type="dxa"/>
              <w:left w:w="90" w:type="dxa"/>
              <w:right w:w="90" w:type="dxa"/>
            </w:tcMar>
            <w:shd w:val="clear" w:color="auto" w:fill="E5F5FF"/>
          </w:tcPr>
          <w:p>
            <w:pPr>
              <w:pStyle w:val="BDOITable"/>
            </w:pPr>
            <w:r>
              <w:rPr>
                <w:sz w:val="18"/>
              </w:rPr>
              <w:t>Data sets of section 4.2 on covers booked through BRD-1; insurer test mailboxes</w:t>
            </w:r>
          </w:p>
        </w:tc>
      </w:tr>
      <w:tr>
        <w:trPr>
          <w:cantSplit w:val="true"/>
        </w:trPr>
        <w:tc>
          <w:tcPr>
            <w:tcW w:type="dxa" w:w="1800"/>
            <w:tcMar>
              <w:top w:w="50" w:type="dxa"/>
              <w:bottom w:w="50" w:type="dxa"/>
              <w:left w:w="90" w:type="dxa"/>
              <w:right w:w="90" w:type="dxa"/>
            </w:tcMar>
          </w:tcPr>
          <w:p>
            <w:pPr>
              <w:pStyle w:val="BDOITable"/>
            </w:pPr>
            <w:r>
              <w:rPr>
                <w:sz w:val="18"/>
              </w:rPr>
              <w:t>UAT</w:t>
            </w:r>
          </w:p>
        </w:tc>
        <w:tc>
          <w:tcPr>
            <w:tcW w:type="dxa" w:w="4432"/>
            <w:tcMar>
              <w:top w:w="50" w:type="dxa"/>
              <w:bottom w:w="50" w:type="dxa"/>
              <w:left w:w="90" w:type="dxa"/>
              <w:right w:w="90" w:type="dxa"/>
            </w:tcMar>
          </w:tcPr>
          <w:p>
            <w:pPr>
              <w:pStyle w:val="BDOITable"/>
            </w:pPr>
            <w:r>
              <w:rPr>
                <w:sz w:val="18"/>
              </w:rPr>
              <w:t>Acceptance by BDOI testers</w:t>
            </w:r>
          </w:p>
        </w:tc>
        <w:tc>
          <w:tcPr>
            <w:tcW w:type="dxa" w:w="3739"/>
            <w:tcMar>
              <w:top w:w="50" w:type="dxa"/>
              <w:bottom w:w="50" w:type="dxa"/>
              <w:left w:w="90" w:type="dxa"/>
              <w:right w:w="90" w:type="dxa"/>
            </w:tcMar>
          </w:tcPr>
          <w:p>
            <w:pPr>
              <w:pStyle w:val="BDOITable"/>
            </w:pPr>
            <w:r>
              <w:rPr>
                <w:sz w:val="18"/>
              </w:rPr>
              <w:t>Masked copy of production-like data plus the data sets; no real client, claimant or third-party names, addresses or e-mail addresses</w:t>
            </w:r>
          </w:p>
        </w:tc>
      </w:tr>
    </w:tbl>
    <w:p>
      <w:pPr>
        <w:pStyle w:val="BDOISpacer"/>
      </w:pPr>
    </w:p>
    <w:p>
      <w:r>
        <w:rPr/>
        <w:t>Non-production data is always masked. Client, claimant and third-party names, addresses, e-mail addresses and phone numbers are replaced before data is loaded into SIT or UAT, and insurer claims e-mails point to test mailboxes, so no loss advice can reach a real insurer.</w:t>
      </w:r>
    </w:p>
    <w:p>
      <w:pPr>
        <w:pStyle w:val="Heading2"/>
      </w:pPr>
      <w:bookmarkStart w:id="115" w:name="_Toc000115"/>
      <w:r>
        <w:rPr/>
        <w:t>4.2 Named data sets</w:t>
      </w:r>
      <w:bookmarkEnd w:id="115"/>
    </w:p>
    <w:p>
      <w:r>
        <w:rPr/>
        <w:t>Claims is not built, so no seed provides the data yet. The test lead prepares each set on SIT as its source column says; the ageing sets need reported dates in the past, which the test lead sets in the test database. When the module is built, the sets become a seed data.</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TD-CM-01</w:t>
            </w:r>
          </w:p>
        </w:tc>
        <w:tc>
          <w:tcPr>
            <w:tcW w:type="dxa" w:w="3520"/>
            <w:tcMar>
              <w:top w:w="50" w:type="dxa"/>
              <w:bottom w:w="50" w:type="dxa"/>
              <w:left w:w="90" w:type="dxa"/>
              <w:right w:w="90" w:type="dxa"/>
            </w:tcMar>
          </w:tcPr>
          <w:p>
            <w:pPr>
              <w:pStyle w:val="BDOITable"/>
            </w:pPr>
            <w:r>
              <w:rPr>
                <w:sz w:val="17"/>
              </w:rPr>
              <w:t>Test users per Claims role</w:t>
            </w:r>
          </w:p>
        </w:tc>
        <w:tc>
          <w:tcPr>
            <w:tcW w:type="dxa" w:w="5279"/>
            <w:tcMar>
              <w:top w:w="50" w:type="dxa"/>
              <w:bottom w:w="50" w:type="dxa"/>
              <w:left w:w="90" w:type="dxa"/>
              <w:right w:w="90" w:type="dxa"/>
            </w:tcMar>
          </w:tcPr>
          <w:p>
            <w:pPr>
              <w:pStyle w:val="BDOITable"/>
            </w:pPr>
            <w:r>
              <w:rPr>
                <w:sz w:val="17"/>
              </w:rPr>
              <w:t>Created by the test lead on SIT through approved access requests (BRD-11); grants of FRS section 3.3</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TD-CM-02</w:t>
            </w:r>
          </w:p>
        </w:tc>
        <w:tc>
          <w:tcPr>
            <w:tcW w:type="dxa" w:w="3520"/>
            <w:tcMar>
              <w:top w:w="50" w:type="dxa"/>
              <w:bottom w:w="50" w:type="dxa"/>
              <w:left w:w="90" w:type="dxa"/>
              <w:right w:w="90" w:type="dxa"/>
            </w:tcMar>
            <w:shd w:val="clear" w:color="auto" w:fill="E5F5FF"/>
          </w:tcPr>
          <w:p>
            <w:pPr>
              <w:pStyle w:val="BDOITable"/>
            </w:pPr>
            <w:r>
              <w:rPr>
                <w:sz w:val="17"/>
              </w:rPr>
              <w:t>Motor cover, premium paid</w:t>
            </w:r>
          </w:p>
        </w:tc>
        <w:tc>
          <w:tcPr>
            <w:tcW w:type="dxa" w:w="5279"/>
            <w:tcMar>
              <w:top w:w="50" w:type="dxa"/>
              <w:bottom w:w="50" w:type="dxa"/>
              <w:left w:w="90" w:type="dxa"/>
              <w:right w:w="90" w:type="dxa"/>
            </w:tcMar>
            <w:shd w:val="clear" w:color="auto" w:fill="E5F5FF"/>
          </w:tcPr>
          <w:p>
            <w:pPr>
              <w:pStyle w:val="BDOITable"/>
            </w:pPr>
            <w:r>
              <w:rPr>
                <w:sz w:val="17"/>
              </w:rPr>
              <w:t>Booked and paid through BRD-1 and Cashiering on SIT; masked client</w:t>
            </w:r>
          </w:p>
        </w:tc>
      </w:tr>
      <w:tr>
        <w:trPr>
          <w:cantSplit w:val="true"/>
        </w:trPr>
        <w:tc>
          <w:tcPr>
            <w:tcW w:type="dxa" w:w="1173"/>
            <w:tcMar>
              <w:top w:w="50" w:type="dxa"/>
              <w:bottom w:w="50" w:type="dxa"/>
              <w:left w:w="90" w:type="dxa"/>
              <w:right w:w="90" w:type="dxa"/>
            </w:tcMar>
          </w:tcPr>
          <w:p>
            <w:pPr>
              <w:pStyle w:val="BDOITable"/>
            </w:pPr>
            <w:r>
              <w:rPr>
                <w:sz w:val="17"/>
              </w:rPr>
              <w:t>TD-CM-03</w:t>
            </w:r>
          </w:p>
        </w:tc>
        <w:tc>
          <w:tcPr>
            <w:tcW w:type="dxa" w:w="3520"/>
            <w:tcMar>
              <w:top w:w="50" w:type="dxa"/>
              <w:bottom w:w="50" w:type="dxa"/>
              <w:left w:w="90" w:type="dxa"/>
              <w:right w:w="90" w:type="dxa"/>
            </w:tcMar>
          </w:tcPr>
          <w:p>
            <w:pPr>
              <w:pStyle w:val="BDOITable"/>
            </w:pPr>
            <w:r>
              <w:rPr>
                <w:sz w:val="17"/>
              </w:rPr>
              <w:t>Property cover, three locations, two insurers, unpaid endorsement</w:t>
            </w:r>
          </w:p>
        </w:tc>
        <w:tc>
          <w:tcPr>
            <w:tcW w:type="dxa" w:w="5279"/>
            <w:tcMar>
              <w:top w:w="50" w:type="dxa"/>
              <w:bottom w:w="50" w:type="dxa"/>
              <w:left w:w="90" w:type="dxa"/>
              <w:right w:w="90" w:type="dxa"/>
            </w:tcMar>
          </w:tcPr>
          <w:p>
            <w:pPr>
              <w:pStyle w:val="BDOITable"/>
            </w:pPr>
            <w:r>
              <w:rPr>
                <w:sz w:val="17"/>
              </w:rPr>
              <w:t>Booked on SIT with two insurer shares; endorsement invoice left unpaid</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TD-CM-04</w:t>
            </w:r>
          </w:p>
        </w:tc>
        <w:tc>
          <w:tcPr>
            <w:tcW w:type="dxa" w:w="3520"/>
            <w:tcMar>
              <w:top w:w="50" w:type="dxa"/>
              <w:bottom w:w="50" w:type="dxa"/>
              <w:left w:w="90" w:type="dxa"/>
              <w:right w:w="90" w:type="dxa"/>
            </w:tcMar>
            <w:shd w:val="clear" w:color="auto" w:fill="E5F5FF"/>
          </w:tcPr>
          <w:p>
            <w:pPr>
              <w:pStyle w:val="BDOITable"/>
            </w:pPr>
            <w:r>
              <w:rPr>
                <w:sz w:val="17"/>
              </w:rPr>
              <w:t>Covers for defaults and edge cases</w:t>
            </w:r>
          </w:p>
        </w:tc>
        <w:tc>
          <w:tcPr>
            <w:tcW w:type="dxa" w:w="5279"/>
            <w:tcMar>
              <w:top w:w="50" w:type="dxa"/>
              <w:bottom w:w="50" w:type="dxa"/>
              <w:left w:w="90" w:type="dxa"/>
              <w:right w:w="90" w:type="dxa"/>
            </w:tcMar>
            <w:shd w:val="clear" w:color="auto" w:fill="E5F5FF"/>
          </w:tcPr>
          <w:p>
            <w:pPr>
              <w:pStyle w:val="BDOITable"/>
            </w:pPr>
            <w:r>
              <w:rPr>
                <w:sz w:val="17"/>
              </w:rPr>
              <w:t>Booked on SIT by the test lead</w:t>
            </w:r>
          </w:p>
        </w:tc>
      </w:tr>
      <w:tr>
        <w:trPr>
          <w:cantSplit w:val="true"/>
        </w:trPr>
        <w:tc>
          <w:tcPr>
            <w:tcW w:type="dxa" w:w="1173"/>
            <w:tcMar>
              <w:top w:w="50" w:type="dxa"/>
              <w:bottom w:w="50" w:type="dxa"/>
              <w:left w:w="90" w:type="dxa"/>
              <w:right w:w="90" w:type="dxa"/>
            </w:tcMar>
          </w:tcPr>
          <w:p>
            <w:pPr>
              <w:pStyle w:val="BDOITable"/>
            </w:pPr>
            <w:r>
              <w:rPr>
                <w:sz w:val="17"/>
              </w:rPr>
              <w:t>TD-CM-05</w:t>
            </w:r>
          </w:p>
        </w:tc>
        <w:tc>
          <w:tcPr>
            <w:tcW w:type="dxa" w:w="3520"/>
            <w:tcMar>
              <w:top w:w="50" w:type="dxa"/>
              <w:bottom w:w="50" w:type="dxa"/>
              <w:left w:w="90" w:type="dxa"/>
              <w:right w:w="90" w:type="dxa"/>
            </w:tcMar>
          </w:tcPr>
          <w:p>
            <w:pPr>
              <w:pStyle w:val="BDOITable"/>
            </w:pPr>
            <w:r>
              <w:rPr>
                <w:sz w:val="17"/>
              </w:rPr>
              <w:t>Claims in every phase</w:t>
            </w:r>
          </w:p>
        </w:tc>
        <w:tc>
          <w:tcPr>
            <w:tcW w:type="dxa" w:w="5279"/>
            <w:tcMar>
              <w:top w:w="50" w:type="dxa"/>
              <w:bottom w:w="50" w:type="dxa"/>
              <w:left w:w="90" w:type="dxa"/>
              <w:right w:w="90" w:type="dxa"/>
            </w:tcMar>
          </w:tcPr>
          <w:p>
            <w:pPr>
              <w:pStyle w:val="BDOITable"/>
            </w:pPr>
            <w:r>
              <w:rPr>
                <w:sz w:val="17"/>
              </w:rPr>
              <w:t>Recorded on SIT by the test lead; reported dates set in the test database for ageing</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TD-CM-06</w:t>
            </w:r>
          </w:p>
        </w:tc>
        <w:tc>
          <w:tcPr>
            <w:tcW w:type="dxa" w:w="3520"/>
            <w:tcMar>
              <w:top w:w="50" w:type="dxa"/>
              <w:bottom w:w="50" w:type="dxa"/>
              <w:left w:w="90" w:type="dxa"/>
              <w:right w:w="90" w:type="dxa"/>
            </w:tcMar>
            <w:shd w:val="clear" w:color="auto" w:fill="E5F5FF"/>
          </w:tcPr>
          <w:p>
            <w:pPr>
              <w:pStyle w:val="BDOITable"/>
            </w:pPr>
            <w:r>
              <w:rPr>
                <w:sz w:val="17"/>
              </w:rPr>
              <w:t>Lists and matrix</w:t>
            </w:r>
          </w:p>
        </w:tc>
        <w:tc>
          <w:tcPr>
            <w:tcW w:type="dxa" w:w="5279"/>
            <w:tcMar>
              <w:top w:w="50" w:type="dxa"/>
              <w:bottom w:w="50" w:type="dxa"/>
              <w:left w:w="90" w:type="dxa"/>
              <w:right w:w="90" w:type="dxa"/>
            </w:tcMar>
            <w:shd w:val="clear" w:color="auto" w:fill="E5F5FF"/>
          </w:tcPr>
          <w:p>
            <w:pPr>
              <w:pStyle w:val="BDOITable"/>
            </w:pPr>
            <w:r>
              <w:rPr>
                <w:sz w:val="17"/>
              </w:rPr>
              <w:t>Delivered list values of FRS section 9.2; register keyed in by cl.uh1</w:t>
            </w:r>
          </w:p>
        </w:tc>
      </w:tr>
      <w:tr>
        <w:trPr>
          <w:cantSplit w:val="true"/>
        </w:trPr>
        <w:tc>
          <w:tcPr>
            <w:tcW w:type="dxa" w:w="1173"/>
            <w:tcMar>
              <w:top w:w="50" w:type="dxa"/>
              <w:bottom w:w="50" w:type="dxa"/>
              <w:left w:w="90" w:type="dxa"/>
              <w:right w:w="90" w:type="dxa"/>
            </w:tcMar>
          </w:tcPr>
          <w:p>
            <w:pPr>
              <w:pStyle w:val="BDOITable"/>
            </w:pPr>
            <w:r>
              <w:rPr>
                <w:sz w:val="17"/>
              </w:rPr>
              <w:t>TD-CM-07</w:t>
            </w:r>
          </w:p>
        </w:tc>
        <w:tc>
          <w:tcPr>
            <w:tcW w:type="dxa" w:w="3520"/>
            <w:tcMar>
              <w:top w:w="50" w:type="dxa"/>
              <w:bottom w:w="50" w:type="dxa"/>
              <w:left w:w="90" w:type="dxa"/>
              <w:right w:w="90" w:type="dxa"/>
            </w:tcMar>
          </w:tcPr>
          <w:p>
            <w:pPr>
              <w:pStyle w:val="BDOITable"/>
            </w:pPr>
            <w:r>
              <w:rPr>
                <w:sz w:val="17"/>
              </w:rPr>
              <w:t>Upload files</w:t>
            </w:r>
          </w:p>
        </w:tc>
        <w:tc>
          <w:tcPr>
            <w:tcW w:type="dxa" w:w="5279"/>
            <w:tcMar>
              <w:top w:w="50" w:type="dxa"/>
              <w:bottom w:w="50" w:type="dxa"/>
              <w:left w:w="90" w:type="dxa"/>
              <w:right w:w="90" w:type="dxa"/>
            </w:tcMar>
          </w:tcPr>
          <w:p>
            <w:pPr>
              <w:pStyle w:val="BDOITable"/>
            </w:pPr>
            <w:r>
              <w:rPr>
                <w:sz w:val="17"/>
              </w:rPr>
              <w:t>Prepared from the bulk templates BCL_INSURER_UPDATE and BCL_LOCATION_REF by the test lead</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TD-CM-08</w:t>
            </w:r>
          </w:p>
        </w:tc>
        <w:tc>
          <w:tcPr>
            <w:tcW w:type="dxa" w:w="3520"/>
            <w:tcMar>
              <w:top w:w="50" w:type="dxa"/>
              <w:bottom w:w="50" w:type="dxa"/>
              <w:left w:w="90" w:type="dxa"/>
              <w:right w:w="90" w:type="dxa"/>
            </w:tcMar>
            <w:shd w:val="clear" w:color="auto" w:fill="E5F5FF"/>
          </w:tcPr>
          <w:p>
            <w:pPr>
              <w:pStyle w:val="BDOITable"/>
            </w:pPr>
            <w:r>
              <w:rPr>
                <w:sz w:val="17"/>
              </w:rPr>
              <w:t>Loss figures</w:t>
            </w:r>
          </w:p>
        </w:tc>
        <w:tc>
          <w:tcPr>
            <w:tcW w:type="dxa" w:w="5279"/>
            <w:tcMar>
              <w:top w:w="50" w:type="dxa"/>
              <w:bottom w:w="50" w:type="dxa"/>
              <w:left w:w="90" w:type="dxa"/>
              <w:right w:w="90" w:type="dxa"/>
            </w:tcMar>
            <w:shd w:val="clear" w:color="auto" w:fill="E5F5FF"/>
          </w:tcPr>
          <w:p>
            <w:pPr>
              <w:pStyle w:val="BDOITable"/>
            </w:pPr>
            <w:r>
              <w:rPr>
                <w:sz w:val="17"/>
              </w:rPr>
              <w:t>Recorded on SIT with reserves and settlements; premiums from the booked invoices</w:t>
            </w:r>
          </w:p>
        </w:tc>
      </w:tr>
      <w:tr>
        <w:trPr>
          <w:cantSplit w:val="true"/>
        </w:trPr>
        <w:tc>
          <w:tcPr>
            <w:tcW w:type="dxa" w:w="1173"/>
            <w:tcMar>
              <w:top w:w="50" w:type="dxa"/>
              <w:bottom w:w="50" w:type="dxa"/>
              <w:left w:w="90" w:type="dxa"/>
              <w:right w:w="90" w:type="dxa"/>
            </w:tcMar>
          </w:tcPr>
          <w:p>
            <w:pPr>
              <w:pStyle w:val="BDOITable"/>
            </w:pPr>
            <w:r>
              <w:rPr>
                <w:sz w:val="17"/>
              </w:rPr>
              <w:t>TD-CM-09</w:t>
            </w:r>
          </w:p>
        </w:tc>
        <w:tc>
          <w:tcPr>
            <w:tcW w:type="dxa" w:w="3520"/>
            <w:tcMar>
              <w:top w:w="50" w:type="dxa"/>
              <w:bottom w:w="50" w:type="dxa"/>
              <w:left w:w="90" w:type="dxa"/>
              <w:right w:w="90" w:type="dxa"/>
            </w:tcMar>
          </w:tcPr>
          <w:p>
            <w:pPr>
              <w:pStyle w:val="BDOITable"/>
            </w:pPr>
            <w:r>
              <w:rPr>
                <w:sz w:val="17"/>
              </w:rPr>
              <w:t>Insurer mailboxes</w:t>
            </w:r>
          </w:p>
        </w:tc>
        <w:tc>
          <w:tcPr>
            <w:tcW w:type="dxa" w:w="5279"/>
            <w:tcMar>
              <w:top w:w="50" w:type="dxa"/>
              <w:bottom w:w="50" w:type="dxa"/>
              <w:left w:w="90" w:type="dxa"/>
              <w:right w:w="90" w:type="dxa"/>
            </w:tcMar>
          </w:tcPr>
          <w:p>
            <w:pPr>
              <w:pStyle w:val="BDOITable"/>
            </w:pPr>
            <w:r>
              <w:rPr>
                <w:sz w:val="17"/>
              </w:rPr>
              <w:t>Insurer master on SIT; mailboxes of the SIT relay</w:t>
            </w:r>
          </w:p>
        </w:tc>
      </w:tr>
    </w:tbl>
    <w:p>
      <w:pPr>
        <w:pStyle w:val="BDOISpacer"/>
      </w:pP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and data; runs the daily defect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defects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Write and keep the automated tests green; add the automation references; fix defects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department testers</w:t>
            </w:r>
          </w:p>
        </w:tc>
        <w:tc>
          <w:tcPr>
            <w:tcW w:type="dxa" w:w="3739"/>
            <w:tcMar>
              <w:top w:w="50" w:type="dxa"/>
              <w:bottom w:w="50" w:type="dxa"/>
              <w:left w:w="90" w:type="dxa"/>
              <w:right w:w="90" w:type="dxa"/>
            </w:tcMar>
            <w:shd w:val="clear" w:color="auto" w:fill="E5F5FF"/>
          </w:tcPr>
          <w:p>
            <w:pPr>
              <w:pStyle w:val="BDOITable"/>
            </w:pPr>
            <w:r>
              <w:rPr>
                <w:sz w:val="18"/>
              </w:rPr>
              <w:t>BDOI Claims, Marketing, Remittance</w:t>
            </w:r>
          </w:p>
        </w:tc>
        <w:tc>
          <w:tcPr>
            <w:tcW w:type="dxa" w:w="3462"/>
            <w:tcMar>
              <w:top w:w="50" w:type="dxa"/>
              <w:bottom w:w="50" w:type="dxa"/>
              <w:left w:w="90" w:type="dxa"/>
              <w:right w:w="90" w:type="dxa"/>
            </w:tcMar>
            <w:shd w:val="clear" w:color="auto" w:fill="E5F5FF"/>
          </w:tcPr>
          <w:p>
            <w:pPr>
              <w:pStyle w:val="BDOITable"/>
            </w:pPr>
            <w:r>
              <w:rPr>
                <w:sz w:val="18"/>
              </w:rPr>
              <w:t>Run the UAT scenarios of their department; confirm the expected results; raise defects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BDOI Product Owner, Claims</w:t>
            </w:r>
          </w:p>
        </w:tc>
        <w:tc>
          <w:tcPr>
            <w:tcW w:type="dxa" w:w="3462"/>
            <w:tcMar>
              <w:top w:w="50" w:type="dxa"/>
              <w:bottom w:w="50" w:type="dxa"/>
              <w:left w:w="90" w:type="dxa"/>
              <w:right w:w="90" w:type="dxa"/>
            </w:tcMar>
          </w:tcPr>
          <w:p>
            <w:pPr>
              <w:pStyle w:val="BDOITable"/>
            </w:pPr>
            <w:r>
              <w:rPr>
                <w:sz w:val="18"/>
              </w:rPr>
              <w:t>Decides on disputed expected results and accepted defects; signs off UAT</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UAT coordinator</w:t>
            </w:r>
          </w:p>
        </w:tc>
        <w:tc>
          <w:tcPr>
            <w:tcW w:type="dxa" w:w="3739"/>
            <w:tcMar>
              <w:top w:w="50" w:type="dxa"/>
              <w:bottom w:w="50" w:type="dxa"/>
              <w:left w:w="90" w:type="dxa"/>
              <w:right w:w="90" w:type="dxa"/>
            </w:tcMar>
            <w:shd w:val="clear" w:color="auto" w:fill="E5F5FF"/>
          </w:tcPr>
          <w:p>
            <w:pPr>
              <w:pStyle w:val="BDOITable"/>
            </w:pPr>
            <w:r>
              <w:rPr>
                <w:sz w:val="18"/>
              </w:rPr>
              <w:t>Business Project Services, BDO Unibank ESG</w:t>
            </w:r>
          </w:p>
        </w:tc>
        <w:tc>
          <w:tcPr>
            <w:tcW w:type="dxa" w:w="3462"/>
            <w:tcMar>
              <w:top w:w="50" w:type="dxa"/>
              <w:bottom w:w="50" w:type="dxa"/>
              <w:left w:w="90" w:type="dxa"/>
              <w:right w:w="90" w:type="dxa"/>
            </w:tcMar>
            <w:shd w:val="clear" w:color="auto" w:fill="E5F5FF"/>
          </w:tcPr>
          <w:p>
            <w:pPr>
              <w:pStyle w:val="BDOITable"/>
            </w:pPr>
            <w:r>
              <w:rPr>
                <w:sz w:val="18"/>
              </w:rPr>
              <w:t>Plans the UAT sessions; checks traceability to the BRD</w:t>
            </w:r>
          </w:p>
        </w:tc>
      </w:tr>
    </w:tbl>
    <w:p>
      <w:pPr>
        <w:pStyle w:val="BDOISpacer"/>
      </w:pPr>
    </w:p>
    <w:p>
      <w:r>
        <w:rPr/>
        <w:t>The Claims teams test recording, handling, closure and follow-up (SC-CM-02 to 06); the Unit Head the set-up and reports (SC-CM-07, 08); Marketing the loss information (FR-CM-065); Remittance the special remittance (FR-CM-046). The personas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01"/>
        <w:gridCol w:w="6648"/>
        <w:gridCol w:w="1022"/>
      </w:tblGrid>
      <w:tr>
        <w:trPr>
          <w:tblHeader w:val="true"/>
          <w:cantSplit w:val="true"/>
        </w:trPr>
        <w:tc>
          <w:tcPr>
            <w:tcW w:type="dxa" w:w="2301"/>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6648"/>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301"/>
            <w:tcMar>
              <w:top w:w="50" w:type="dxa"/>
              <w:bottom w:w="50" w:type="dxa"/>
              <w:left w:w="90" w:type="dxa"/>
              <w:right w:w="90" w:type="dxa"/>
            </w:tcMar>
          </w:tcPr>
          <w:p>
            <w:pPr>
              <w:pStyle w:val="BDOITable"/>
            </w:pPr>
            <w:r>
              <w:rPr>
                <w:sz w:val="17"/>
              </w:rPr>
              <w:t>CLM_OFFICER</w:t>
            </w:r>
          </w:p>
        </w:tc>
        <w:tc>
          <w:tcPr>
            <w:tcW w:type="dxa" w:w="6648"/>
            <w:tcMar>
              <w:top w:w="50" w:type="dxa"/>
              <w:bottom w:w="50" w:type="dxa"/>
              <w:left w:w="90" w:type="dxa"/>
              <w:right w:w="90" w:type="dxa"/>
            </w:tcMar>
          </w:tcPr>
          <w:p>
            <w:pPr>
              <w:pStyle w:val="BDOITable"/>
            </w:pPr>
            <w:r>
              <w:rPr>
                <w:sz w:val="17"/>
              </w:rPr>
              <w:t>Claims Officer / Claims Assistant</w:t>
            </w:r>
          </w:p>
        </w:tc>
        <w:tc>
          <w:tcPr>
            <w:tcW w:type="dxa" w:w="1023"/>
            <w:tcMar>
              <w:top w:w="50" w:type="dxa"/>
              <w:bottom w:w="50" w:type="dxa"/>
              <w:left w:w="90" w:type="dxa"/>
              <w:right w:w="90" w:type="dxa"/>
            </w:tcMar>
          </w:tcPr>
          <w:p>
            <w:pPr>
              <w:pStyle w:val="BDOITable"/>
            </w:pPr>
            <w:r>
              <w:rPr>
                <w:sz w:val="17"/>
              </w:rPr>
              <w:t>94</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CLM_TL</w:t>
            </w:r>
          </w:p>
        </w:tc>
        <w:tc>
          <w:tcPr>
            <w:tcW w:type="dxa" w:w="6648"/>
            <w:tcMar>
              <w:top w:w="50" w:type="dxa"/>
              <w:bottom w:w="50" w:type="dxa"/>
              <w:left w:w="90" w:type="dxa"/>
              <w:right w:w="90" w:type="dxa"/>
            </w:tcMar>
            <w:shd w:val="clear" w:color="auto" w:fill="E5F5FF"/>
          </w:tcPr>
          <w:p>
            <w:pPr>
              <w:pStyle w:val="BDOITable"/>
            </w:pPr>
            <w:r>
              <w:rPr>
                <w:sz w:val="17"/>
              </w:rPr>
              <w:t>Claims Team Lead</w:t>
            </w:r>
          </w:p>
        </w:tc>
        <w:tc>
          <w:tcPr>
            <w:tcW w:type="dxa" w:w="1023"/>
            <w:tcMar>
              <w:top w:w="50" w:type="dxa"/>
              <w:bottom w:w="50" w:type="dxa"/>
              <w:left w:w="90" w:type="dxa"/>
              <w:right w:w="90" w:type="dxa"/>
            </w:tcMar>
            <w:shd w:val="clear" w:color="auto" w:fill="E5F5FF"/>
          </w:tcPr>
          <w:p>
            <w:pPr>
              <w:pStyle w:val="BDOITable"/>
            </w:pPr>
            <w:r>
              <w:rPr>
                <w:sz w:val="17"/>
              </w:rPr>
              <w:t>39</w:t>
            </w:r>
          </w:p>
        </w:tc>
      </w:tr>
      <w:tr>
        <w:trPr>
          <w:cantSplit w:val="true"/>
        </w:trPr>
        <w:tc>
          <w:tcPr>
            <w:tcW w:type="dxa" w:w="2301"/>
            <w:tcMar>
              <w:top w:w="50" w:type="dxa"/>
              <w:bottom w:w="50" w:type="dxa"/>
              <w:left w:w="90" w:type="dxa"/>
              <w:right w:w="90" w:type="dxa"/>
            </w:tcMar>
          </w:tcPr>
          <w:p>
            <w:pPr>
              <w:pStyle w:val="BDOITable"/>
            </w:pPr>
            <w:r>
              <w:rPr>
                <w:sz w:val="17"/>
              </w:rPr>
              <w:t>CLM_TH</w:t>
            </w:r>
          </w:p>
        </w:tc>
        <w:tc>
          <w:tcPr>
            <w:tcW w:type="dxa" w:w="6648"/>
            <w:tcMar>
              <w:top w:w="50" w:type="dxa"/>
              <w:bottom w:w="50" w:type="dxa"/>
              <w:left w:w="90" w:type="dxa"/>
              <w:right w:w="90" w:type="dxa"/>
            </w:tcMar>
          </w:tcPr>
          <w:p>
            <w:pPr>
              <w:pStyle w:val="BDOITable"/>
            </w:pPr>
            <w:r>
              <w:rPr>
                <w:sz w:val="17"/>
              </w:rPr>
              <w:t>Claims Team Head</w:t>
            </w:r>
          </w:p>
        </w:tc>
        <w:tc>
          <w:tcPr>
            <w:tcW w:type="dxa" w:w="1023"/>
            <w:tcMar>
              <w:top w:w="50" w:type="dxa"/>
              <w:bottom w:w="50" w:type="dxa"/>
              <w:left w:w="90" w:type="dxa"/>
              <w:right w:w="90" w:type="dxa"/>
            </w:tcMar>
          </w:tcPr>
          <w:p>
            <w:pPr>
              <w:pStyle w:val="BDOITable"/>
            </w:pPr>
            <w:r>
              <w:rPr>
                <w:sz w:val="17"/>
              </w:rPr>
              <w:t>2</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CLM_UH</w:t>
            </w:r>
          </w:p>
        </w:tc>
        <w:tc>
          <w:tcPr>
            <w:tcW w:type="dxa" w:w="6648"/>
            <w:tcMar>
              <w:top w:w="50" w:type="dxa"/>
              <w:bottom w:w="50" w:type="dxa"/>
              <w:left w:w="90" w:type="dxa"/>
              <w:right w:w="90" w:type="dxa"/>
            </w:tcMar>
            <w:shd w:val="clear" w:color="auto" w:fill="E5F5FF"/>
          </w:tcPr>
          <w:p>
            <w:pPr>
              <w:pStyle w:val="BDOITable"/>
            </w:pPr>
            <w:r>
              <w:rPr>
                <w:sz w:val="17"/>
              </w:rPr>
              <w:t>Claims Unit Head</w:t>
            </w:r>
          </w:p>
        </w:tc>
        <w:tc>
          <w:tcPr>
            <w:tcW w:type="dxa" w:w="1023"/>
            <w:tcMar>
              <w:top w:w="50" w:type="dxa"/>
              <w:bottom w:w="50" w:type="dxa"/>
              <w:left w:w="90" w:type="dxa"/>
              <w:right w:w="90" w:type="dxa"/>
            </w:tcMar>
            <w:shd w:val="clear" w:color="auto" w:fill="E5F5FF"/>
          </w:tcPr>
          <w:p>
            <w:pPr>
              <w:pStyle w:val="BDOITable"/>
            </w:pPr>
            <w:r>
              <w:rPr>
                <w:sz w:val="17"/>
              </w:rPr>
              <w:t>31</w:t>
            </w:r>
          </w:p>
        </w:tc>
      </w:tr>
      <w:tr>
        <w:trPr>
          <w:cantSplit w:val="true"/>
        </w:trPr>
        <w:tc>
          <w:tcPr>
            <w:tcW w:type="dxa" w:w="2301"/>
            <w:tcMar>
              <w:top w:w="50" w:type="dxa"/>
              <w:bottom w:w="50" w:type="dxa"/>
              <w:left w:w="90" w:type="dxa"/>
              <w:right w:w="90" w:type="dxa"/>
            </w:tcMar>
          </w:tcPr>
          <w:p>
            <w:pPr>
              <w:pStyle w:val="BDOITable"/>
            </w:pPr>
            <w:r>
              <w:rPr>
                <w:sz w:val="17"/>
              </w:rPr>
              <w:t>CLM_RISK</w:t>
            </w:r>
          </w:p>
        </w:tc>
        <w:tc>
          <w:tcPr>
            <w:tcW w:type="dxa" w:w="6648"/>
            <w:tcMar>
              <w:top w:w="50" w:type="dxa"/>
              <w:bottom w:w="50" w:type="dxa"/>
              <w:left w:w="90" w:type="dxa"/>
              <w:right w:w="90" w:type="dxa"/>
            </w:tcMar>
          </w:tcPr>
          <w:p>
            <w:pPr>
              <w:pStyle w:val="BDOITable"/>
            </w:pPr>
            <w:r>
              <w:rPr>
                <w:sz w:val="17"/>
              </w:rPr>
              <w:t>Claims / Risk user</w:t>
            </w:r>
          </w:p>
        </w:tc>
        <w:tc>
          <w:tcPr>
            <w:tcW w:type="dxa" w:w="1023"/>
            <w:tcMar>
              <w:top w:w="50" w:type="dxa"/>
              <w:bottom w:w="50" w:type="dxa"/>
              <w:left w:w="90" w:type="dxa"/>
              <w:right w:w="90" w:type="dxa"/>
            </w:tcMar>
          </w:tcPr>
          <w:p>
            <w:pPr>
              <w:pStyle w:val="BDOITable"/>
            </w:pPr>
            <w:r>
              <w:rPr>
                <w:sz w:val="17"/>
              </w:rPr>
              <w:t>5</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MKT_AO</w:t>
            </w:r>
          </w:p>
        </w:tc>
        <w:tc>
          <w:tcPr>
            <w:tcW w:type="dxa" w:w="6648"/>
            <w:tcMar>
              <w:top w:w="50" w:type="dxa"/>
              <w:bottom w:w="50" w:type="dxa"/>
              <w:left w:w="90" w:type="dxa"/>
              <w:right w:w="90" w:type="dxa"/>
            </w:tcMar>
            <w:shd w:val="clear" w:color="auto" w:fill="E5F5FF"/>
          </w:tcPr>
          <w:p>
            <w:pPr>
              <w:pStyle w:val="BDOITable"/>
            </w:pPr>
            <w:r>
              <w:rPr>
                <w:sz w:val="17"/>
              </w:rPr>
              <w:t>Marketing AO</w:t>
            </w:r>
          </w:p>
        </w:tc>
        <w:tc>
          <w:tcPr>
            <w:tcW w:type="dxa" w:w="1023"/>
            <w:tcMar>
              <w:top w:w="50" w:type="dxa"/>
              <w:bottom w:w="50" w:type="dxa"/>
              <w:left w:w="90" w:type="dxa"/>
              <w:right w:w="90" w:type="dxa"/>
            </w:tcMar>
            <w:shd w:val="clear" w:color="auto" w:fill="E5F5FF"/>
          </w:tcPr>
          <w:p>
            <w:pPr>
              <w:pStyle w:val="BDOITable"/>
            </w:pPr>
            <w:r>
              <w:rPr>
                <w:sz w:val="17"/>
              </w:rPr>
              <w:t>5</w:t>
            </w:r>
          </w:p>
        </w:tc>
      </w:tr>
      <w:tr>
        <w:trPr>
          <w:cantSplit w:val="true"/>
        </w:trPr>
        <w:tc>
          <w:tcPr>
            <w:tcW w:type="dxa" w:w="2301"/>
            <w:tcMar>
              <w:top w:w="50" w:type="dxa"/>
              <w:bottom w:w="50" w:type="dxa"/>
              <w:left w:w="90" w:type="dxa"/>
              <w:right w:w="90" w:type="dxa"/>
            </w:tcMar>
          </w:tcPr>
          <w:p>
            <w:pPr>
              <w:pStyle w:val="BDOITable"/>
            </w:pPr>
            <w:r>
              <w:rPr>
                <w:sz w:val="17"/>
              </w:rPr>
              <w:t>MKT_TL</w:t>
            </w:r>
          </w:p>
        </w:tc>
        <w:tc>
          <w:tcPr>
            <w:tcW w:type="dxa" w:w="6648"/>
            <w:tcMar>
              <w:top w:w="50" w:type="dxa"/>
              <w:bottom w:w="50" w:type="dxa"/>
              <w:left w:w="90" w:type="dxa"/>
              <w:right w:w="90" w:type="dxa"/>
            </w:tcMar>
          </w:tcPr>
          <w:p>
            <w:pPr>
              <w:pStyle w:val="BDOITable"/>
            </w:pPr>
            <w:r>
              <w:rPr>
                <w:sz w:val="17"/>
              </w:rPr>
              <w:t>Marketing Team Leader</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REMITTANCE</w:t>
            </w:r>
          </w:p>
        </w:tc>
        <w:tc>
          <w:tcPr>
            <w:tcW w:type="dxa" w:w="6648"/>
            <w:tcMar>
              <w:top w:w="50" w:type="dxa"/>
              <w:bottom w:w="50" w:type="dxa"/>
              <w:left w:w="90" w:type="dxa"/>
              <w:right w:w="90" w:type="dxa"/>
            </w:tcMar>
            <w:shd w:val="clear" w:color="auto" w:fill="E5F5FF"/>
          </w:tcPr>
          <w:p>
            <w:pPr>
              <w:pStyle w:val="BDOITable"/>
            </w:pPr>
            <w:r>
              <w:rPr>
                <w:sz w:val="17"/>
              </w:rPr>
              <w:t>Operations Remittance user (BRD-2)</w:t>
            </w:r>
          </w:p>
        </w:tc>
        <w:tc>
          <w:tcPr>
            <w:tcW w:type="dxa" w:w="1023"/>
            <w:tcMar>
              <w:top w:w="50" w:type="dxa"/>
              <w:bottom w:w="50" w:type="dxa"/>
              <w:left w:w="90" w:type="dxa"/>
              <w:right w:w="90" w:type="dxa"/>
            </w:tcMar>
            <w:shd w:val="clear" w:color="auto" w:fill="E5F5FF"/>
          </w:tcPr>
          <w:p>
            <w:pPr>
              <w:pStyle w:val="BDOITable"/>
            </w:pPr>
            <w:r>
              <w:rPr>
                <w:sz w:val="17"/>
              </w:rPr>
              <w:t>2</w:t>
            </w:r>
          </w:p>
        </w:tc>
      </w:tr>
      <w:tr>
        <w:trPr>
          <w:cantSplit w:val="true"/>
        </w:trPr>
        <w:tc>
          <w:tcPr>
            <w:tcW w:type="dxa" w:w="2301"/>
            <w:tcMar>
              <w:top w:w="50" w:type="dxa"/>
              <w:bottom w:w="50" w:type="dxa"/>
              <w:left w:w="90" w:type="dxa"/>
              <w:right w:w="90" w:type="dxa"/>
            </w:tcMar>
          </w:tcPr>
          <w:p>
            <w:pPr>
              <w:pStyle w:val="BDOITable"/>
            </w:pPr>
            <w:r>
              <w:rPr>
                <w:sz w:val="17"/>
              </w:rPr>
              <w:t>SYSADMIN</w:t>
            </w:r>
          </w:p>
        </w:tc>
        <w:tc>
          <w:tcPr>
            <w:tcW w:type="dxa" w:w="6648"/>
            <w:tcMar>
              <w:top w:w="50" w:type="dxa"/>
              <w:bottom w:w="50" w:type="dxa"/>
              <w:left w:w="90" w:type="dxa"/>
              <w:right w:w="90" w:type="dxa"/>
            </w:tcMar>
          </w:tcPr>
          <w:p>
            <w:pPr>
              <w:pStyle w:val="BDOITable"/>
            </w:pPr>
            <w:r>
              <w:rPr>
                <w:sz w:val="17"/>
              </w:rPr>
              <w:t>System Administrator</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AUDITOR</w:t>
            </w:r>
          </w:p>
        </w:tc>
        <w:tc>
          <w:tcPr>
            <w:tcW w:type="dxa" w:w="6648"/>
            <w:tcMar>
              <w:top w:w="50" w:type="dxa"/>
              <w:bottom w:w="50" w:type="dxa"/>
              <w:left w:w="90" w:type="dxa"/>
              <w:right w:w="90" w:type="dxa"/>
            </w:tcMar>
            <w:shd w:val="clear" w:color="auto" w:fill="E5F5FF"/>
          </w:tcPr>
          <w:p>
            <w:pPr>
              <w:pStyle w:val="BDOITable"/>
            </w:pPr>
            <w:r>
              <w:rPr>
                <w:sz w:val="17"/>
              </w:rPr>
              <w:t>Auditor</w:t>
            </w:r>
          </w:p>
        </w:tc>
        <w:tc>
          <w:tcPr>
            <w:tcW w:type="dxa" w:w="1023"/>
            <w:tcMar>
              <w:top w:w="50" w:type="dxa"/>
              <w:bottom w:w="50" w:type="dxa"/>
              <w:left w:w="90" w:type="dxa"/>
              <w:right w:w="90" w:type="dxa"/>
            </w:tcMar>
            <w:shd w:val="clear" w:color="auto" w:fill="E5F5FF"/>
          </w:tcPr>
          <w:p>
            <w:pPr>
              <w:pStyle w:val="BDOITable"/>
            </w:pPr>
            <w:r>
              <w:rPr>
                <w:sz w:val="17"/>
              </w:rPr>
              <w:t>1</w:t>
            </w:r>
          </w:p>
        </w:tc>
      </w:tr>
      <w:tr>
        <w:trPr>
          <w:cantSplit w:val="true"/>
        </w:trPr>
        <w:tc>
          <w:tcPr>
            <w:tcW w:type="dxa" w:w="2301"/>
            <w:tcMar>
              <w:top w:w="50" w:type="dxa"/>
              <w:bottom w:w="50" w:type="dxa"/>
              <w:left w:w="90" w:type="dxa"/>
              <w:right w:w="90" w:type="dxa"/>
            </w:tcMar>
          </w:tcPr>
          <w:p>
            <w:pPr>
              <w:pStyle w:val="BDOITable"/>
            </w:pPr>
            <w:r>
              <w:rPr>
                <w:sz w:val="17"/>
              </w:rPr>
              <w:t>SYSTEM</w:t>
            </w:r>
          </w:p>
        </w:tc>
        <w:tc>
          <w:tcPr>
            <w:tcW w:type="dxa" w:w="6648"/>
            <w:tcMar>
              <w:top w:w="50" w:type="dxa"/>
              <w:bottom w:w="50" w:type="dxa"/>
              <w:left w:w="90" w:type="dxa"/>
              <w:right w:w="90" w:type="dxa"/>
            </w:tcMar>
          </w:tcPr>
          <w:p>
            <w:pPr>
              <w:pStyle w:val="BDOITable"/>
            </w:pPr>
            <w:r>
              <w:rPr>
                <w:sz w:val="17"/>
              </w:rPr>
              <w:t>BIBS scheduled job or event</w:t>
            </w:r>
          </w:p>
        </w:tc>
        <w:tc>
          <w:tcPr>
            <w:tcW w:type="dxa" w:w="1023"/>
            <w:tcMar>
              <w:top w:w="50" w:type="dxa"/>
              <w:bottom w:w="50" w:type="dxa"/>
              <w:left w:w="90" w:type="dxa"/>
              <w:right w:w="90" w:type="dxa"/>
            </w:tcMar>
          </w:tcPr>
          <w:p>
            <w:pPr>
              <w:pStyle w:val="BDOITable"/>
            </w:pPr>
            <w:r>
              <w:rPr>
                <w:sz w:val="17"/>
              </w:rPr>
              <w:t>4</w:t>
            </w:r>
          </w:p>
        </w:tc>
      </w:tr>
    </w:tbl>
    <w:p>
      <w:pPr>
        <w:pStyle w:val="BDOISpacer"/>
      </w:pPr>
    </w:p>
    <w:p>
      <w:pPr>
        <w:pStyle w:val="Heading1"/>
        <w:pBdr>
          <w:bottom w:val="single" w:sz="4" w:space="4" w:color="99C1E7"/>
        </w:pBdr>
      </w:pPr>
      <w:bookmarkStart w:id="117" w:name="_Toc000117"/>
      <w:r>
        <w:rPr/>
        <w:t>6 Defect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Defect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Claims</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data is lost or wrong in a way that reaches a client or insurer, or a security rule is broken</w:t>
            </w:r>
          </w:p>
        </w:tc>
        <w:tc>
          <w:tcPr>
            <w:tcW w:type="dxa" w:w="3196"/>
            <w:tcMar>
              <w:top w:w="50" w:type="dxa"/>
              <w:bottom w:w="50" w:type="dxa"/>
              <w:left w:w="90" w:type="dxa"/>
              <w:right w:w="90" w:type="dxa"/>
            </w:tcMar>
          </w:tcPr>
          <w:p>
            <w:pPr>
              <w:pStyle w:val="BDOITable"/>
            </w:pPr>
            <w:r>
              <w:rPr>
                <w:sz w:val="18"/>
              </w:rPr>
              <w:t>The authorization code is issued on an unpaid cover; a Marketing user maintains a claim; a loss advice goes to the wrong insurer</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A status outside the matrix is accepted; ages are wrong; a closed claim can be edited</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or document is wrong but the data is right</w:t>
            </w:r>
          </w:p>
        </w:tc>
        <w:tc>
          <w:tcPr>
            <w:tcW w:type="dxa" w:w="3196"/>
            <w:tcMar>
              <w:top w:w="50" w:type="dxa"/>
              <w:bottom w:w="50" w:type="dxa"/>
              <w:left w:w="90" w:type="dxa"/>
              <w:right w:w="90" w:type="dxa"/>
            </w:tcMar>
          </w:tcPr>
          <w:p>
            <w:pPr>
              <w:pStyle w:val="BDOITable"/>
            </w:pPr>
            <w:r>
              <w:rPr>
                <w:sz w:val="18"/>
              </w:rPr>
              <w:t>A report column is missing; a message names the wrong claim</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 defect for each failed case, with the case ID, steps, actual result, screenshot and the claim number.</w:t>
      </w:r>
    </w:p>
    <w:p>
      <w:pPr>
        <w:tabs>
          <w:tab w:pos="312" w:val="left"/>
        </w:tabs>
        <w:spacing w:after="40"/>
        <w:ind w:left="312" w:hanging="283"/>
      </w:pPr>
      <w:r>
        <w:rPr>
          <w:color w:val="004EA8"/>
        </w:rPr>
        <w:t>•</w:t>
        <w:tab/>
      </w:r>
      <w:r>
        <w:rPr/>
        <w:t>The test lead triages new defects daily with the development lead and, during UAT, the BDOI process owner. A disputed expected result goes to the BDOI process owner; an FRS change goes to the FRS owner (section 9).</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fixed defect is retested with its case and the cases of the same condition; the automated tests of the FR must also pass.</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39 of 39</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52 of 52</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136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8</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185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107 / 78</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41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52</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17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22</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30</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17</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Test cases with an automation reference</w:t>
            </w:r>
          </w:p>
        </w:tc>
        <w:tc>
          <w:tcPr>
            <w:tcW w:type="dxa" w:w="3324"/>
            <w:tcMar>
              <w:top w:w="50" w:type="dxa"/>
              <w:bottom w:w="50" w:type="dxa"/>
              <w:left w:w="90" w:type="dxa"/>
              <w:right w:w="90" w:type="dxa"/>
            </w:tcMar>
            <w:shd w:val="clear" w:color="auto" w:fill="E5F5FF"/>
          </w:tcPr>
          <w:p>
            <w:pPr>
              <w:pStyle w:val="BDOITable"/>
            </w:pPr>
            <w:r>
              <w:rPr>
                <w:sz w:val="18"/>
              </w:rPr>
              <w:t>0</w:t>
            </w:r>
          </w:p>
        </w:tc>
      </w:tr>
      <w:tr>
        <w:trPr>
          <w:cantSplit w:val="true"/>
        </w:trPr>
        <w:tc>
          <w:tcPr>
            <w:tcW w:type="dxa" w:w="6648"/>
            <w:tcMar>
              <w:top w:w="50" w:type="dxa"/>
              <w:bottom w:w="50" w:type="dxa"/>
              <w:left w:w="90" w:type="dxa"/>
              <w:right w:w="90" w:type="dxa"/>
            </w:tcMar>
          </w:tcPr>
          <w:p>
            <w:pPr>
              <w:pStyle w:val="BDOITable"/>
            </w:pPr>
            <w:r>
              <w:rPr>
                <w:sz w:val="18"/>
              </w:rPr>
              <w:t>Roles-and-access checks (action x role)</w:t>
            </w:r>
          </w:p>
        </w:tc>
        <w:tc>
          <w:tcPr>
            <w:tcW w:type="dxa" w:w="3324"/>
            <w:tcMar>
              <w:top w:w="50" w:type="dxa"/>
              <w:bottom w:w="50" w:type="dxa"/>
              <w:left w:w="90" w:type="dxa"/>
              <w:right w:w="90" w:type="dxa"/>
            </w:tcMar>
          </w:tcPr>
          <w:p>
            <w:pPr>
              <w:pStyle w:val="BDOITable"/>
            </w:pPr>
            <w:r>
              <w:rPr>
                <w:sz w:val="18"/>
              </w:rPr>
              <w:t>85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Named test data sets</w:t>
            </w:r>
          </w:p>
        </w:tc>
        <w:tc>
          <w:tcPr>
            <w:tcW w:type="dxa" w:w="3324"/>
            <w:tcMar>
              <w:top w:w="50" w:type="dxa"/>
              <w:bottom w:w="50" w:type="dxa"/>
              <w:left w:w="90" w:type="dxa"/>
              <w:right w:w="90" w:type="dxa"/>
            </w:tcMar>
            <w:shd w:val="clear" w:color="auto" w:fill="E5F5FF"/>
          </w:tcPr>
          <w:p>
            <w:pPr>
              <w:pStyle w:val="BDOITable"/>
            </w:pPr>
            <w:r>
              <w:rPr>
                <w:sz w:val="18"/>
              </w:rPr>
              <w:t>9</w:t>
            </w:r>
          </w:p>
        </w:tc>
      </w:tr>
    </w:tbl>
    <w:p>
      <w:pPr>
        <w:pStyle w:val="BDOISpacer"/>
      </w:pPr>
    </w:p>
    <w:p>
      <w:r>
        <w:rPr/>
        <w:t>Every FR has at least one positive and one negative case, and every BRD ID is covered. The builder of the workbook checks this each time the plan is built and refuses to produce a plan with a gap.</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8"/>
        <w:gridCol w:w="3307"/>
        <w:gridCol w:w="1653"/>
        <w:gridCol w:w="775"/>
        <w:gridCol w:w="775"/>
        <w:gridCol w:w="775"/>
        <w:gridCol w:w="671"/>
        <w:gridCol w:w="826"/>
      </w:tblGrid>
      <w:tr>
        <w:trPr>
          <w:tblHeader w:val="true"/>
          <w:cantSplit w:val="true"/>
        </w:trPr>
        <w:tc>
          <w:tcPr>
            <w:tcW w:type="dxa" w:w="1188"/>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307"/>
            <w:shd w:val="clear" w:color="auto" w:fill="004EA8"/>
            <w:tcMar>
              <w:top w:w="50" w:type="dxa"/>
              <w:bottom w:w="50" w:type="dxa"/>
              <w:left w:w="90" w:type="dxa"/>
              <w:right w:w="90" w:type="dxa"/>
            </w:tcMar>
            <w:vAlign w:val="center"/>
          </w:tcPr>
          <w:p>
            <w:pPr>
              <w:pStyle w:val="BDOITableHeader"/>
            </w:pPr>
            <w:r>
              <w:rPr>
                <w:b/>
                <w:color w:val="FFFFFF"/>
                <w:sz w:val="16"/>
              </w:rPr>
              <w:t>Title</w:t>
            </w:r>
          </w:p>
        </w:tc>
        <w:tc>
          <w:tcPr>
            <w:tcW w:type="dxa" w:w="1653"/>
            <w:shd w:val="clear" w:color="auto" w:fill="004EA8"/>
            <w:tcMar>
              <w:top w:w="50" w:type="dxa"/>
              <w:bottom w:w="50" w:type="dxa"/>
              <w:left w:w="90" w:type="dxa"/>
              <w:right w:w="90" w:type="dxa"/>
            </w:tcMar>
            <w:vAlign w:val="center"/>
          </w:tcPr>
          <w:p>
            <w:pPr>
              <w:pStyle w:val="BDOITableHeader"/>
            </w:pPr>
            <w:r>
              <w:rPr>
                <w:b/>
                <w:color w:val="FFFFFF"/>
                <w:sz w:val="16"/>
              </w:rPr>
              <w:t>BRD IDs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Cond.</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Pos.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Neg.</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6"/>
              </w:rPr>
              <w:t>Total</w:t>
            </w:r>
          </w:p>
        </w:tc>
        <w:tc>
          <w:tcPr>
            <w:tcW w:type="dxa" w:w="827"/>
            <w:shd w:val="clear" w:color="auto" w:fill="004EA8"/>
            <w:tcMar>
              <w:top w:w="50" w:type="dxa"/>
              <w:bottom w:w="50" w:type="dxa"/>
              <w:left w:w="90" w:type="dxa"/>
              <w:right w:w="90" w:type="dxa"/>
            </w:tcMar>
            <w:vAlign w:val="center"/>
          </w:tcPr>
          <w:p>
            <w:pPr>
              <w:pStyle w:val="BDOITableHeader"/>
            </w:pPr>
            <w:r>
              <w:rPr>
                <w:b/>
                <w:color w:val="FFFFFF"/>
                <w:sz w:val="16"/>
              </w:rPr>
              <w:t>Auto.</w:t>
            </w:r>
          </w:p>
        </w:tc>
      </w:tr>
      <w:tr>
        <w:trPr>
          <w:cantSplit w:val="true"/>
        </w:trPr>
        <w:tc>
          <w:tcPr>
            <w:tcW w:type="dxa" w:w="1188"/>
            <w:tcMar>
              <w:top w:w="50" w:type="dxa"/>
              <w:bottom w:w="50" w:type="dxa"/>
              <w:left w:w="90" w:type="dxa"/>
              <w:right w:w="90" w:type="dxa"/>
            </w:tcMar>
          </w:tcPr>
          <w:p>
            <w:pPr>
              <w:pStyle w:val="BDOITable"/>
            </w:pPr>
            <w:r>
              <w:rPr>
                <w:sz w:val="16"/>
              </w:rPr>
              <w:t>FR-CM-001</w:t>
            </w:r>
          </w:p>
        </w:tc>
        <w:tc>
          <w:tcPr>
            <w:tcW w:type="dxa" w:w="3307"/>
            <w:tcMar>
              <w:top w:w="50" w:type="dxa"/>
              <w:bottom w:w="50" w:type="dxa"/>
              <w:left w:w="90" w:type="dxa"/>
              <w:right w:w="90" w:type="dxa"/>
            </w:tcMar>
          </w:tcPr>
          <w:p>
            <w:pPr>
              <w:pStyle w:val="BDOITable"/>
            </w:pPr>
            <w:r>
              <w:rPr>
                <w:sz w:val="16"/>
              </w:rPr>
              <w:t>Log in to BIBS with lockout and session rules</w:t>
            </w:r>
          </w:p>
        </w:tc>
        <w:tc>
          <w:tcPr>
            <w:tcW w:type="dxa" w:w="1653"/>
            <w:tcMar>
              <w:top w:w="50" w:type="dxa"/>
              <w:bottom w:w="50" w:type="dxa"/>
              <w:left w:w="90" w:type="dxa"/>
              <w:right w:w="90" w:type="dxa"/>
            </w:tcMar>
          </w:tcPr>
          <w:p>
            <w:pPr>
              <w:pStyle w:val="BDOITable"/>
            </w:pPr>
            <w:r>
              <w:rPr>
                <w:sz w:val="16"/>
              </w:rPr>
              <w:t>NFR 1.01-2.03, NFR 10.01-10.06</w:t>
            </w:r>
          </w:p>
        </w:tc>
        <w:tc>
          <w:tcPr>
            <w:tcW w:type="dxa" w:w="775"/>
            <w:tcMar>
              <w:top w:w="50" w:type="dxa"/>
              <w:bottom w:w="50" w:type="dxa"/>
              <w:left w:w="90" w:type="dxa"/>
              <w:right w:w="90" w:type="dxa"/>
            </w:tcMar>
          </w:tcPr>
          <w:p>
            <w:pPr>
              <w:pStyle w:val="BDOITable"/>
            </w:pPr>
            <w:r>
              <w:rPr>
                <w:sz w:val="16"/>
              </w:rPr>
              <w:t>5</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6</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FR-CM-002</w:t>
            </w:r>
          </w:p>
        </w:tc>
        <w:tc>
          <w:tcPr>
            <w:tcW w:type="dxa" w:w="3307"/>
            <w:tcMar>
              <w:top w:w="50" w:type="dxa"/>
              <w:bottom w:w="50" w:type="dxa"/>
              <w:left w:w="90" w:type="dxa"/>
              <w:right w:w="90" w:type="dxa"/>
            </w:tcMar>
            <w:shd w:val="clear" w:color="auto" w:fill="E5F5FF"/>
          </w:tcPr>
          <w:p>
            <w:pPr>
              <w:pStyle w:val="BDOITable"/>
            </w:pPr>
            <w:r>
              <w:rPr>
                <w:sz w:val="16"/>
              </w:rPr>
              <w:t>Restrict each Claims action to authorised roles</w:t>
            </w:r>
          </w:p>
        </w:tc>
        <w:tc>
          <w:tcPr>
            <w:tcW w:type="dxa" w:w="1653"/>
            <w:tcMar>
              <w:top w:w="50" w:type="dxa"/>
              <w:bottom w:w="50" w:type="dxa"/>
              <w:left w:w="90" w:type="dxa"/>
              <w:right w:w="90" w:type="dxa"/>
            </w:tcMar>
            <w:shd w:val="clear" w:color="auto" w:fill="E5F5FF"/>
          </w:tcPr>
          <w:p>
            <w:pPr>
              <w:pStyle w:val="BDOITable"/>
            </w:pPr>
            <w:r>
              <w:rPr>
                <w:sz w:val="16"/>
              </w:rPr>
              <w:t>BRCLM.002, BRCLM.005, BRCLM.006, BRCLM.011, BRCLM.015, BRCLM.018, BRCLM.019, BRCLM.021, BRCLM.024</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672"/>
            <w:tcMar>
              <w:top w:w="50" w:type="dxa"/>
              <w:bottom w:w="50" w:type="dxa"/>
              <w:left w:w="90" w:type="dxa"/>
              <w:right w:w="90" w:type="dxa"/>
            </w:tcMar>
            <w:shd w:val="clear" w:color="auto" w:fill="E5F5FF"/>
          </w:tcPr>
          <w:p>
            <w:pPr>
              <w:pStyle w:val="BDOITable"/>
            </w:pPr>
            <w:r>
              <w:rPr>
                <w:sz w:val="16"/>
              </w:rPr>
              <w:t>6</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FR-CM-003</w:t>
            </w:r>
          </w:p>
        </w:tc>
        <w:tc>
          <w:tcPr>
            <w:tcW w:type="dxa" w:w="3307"/>
            <w:tcMar>
              <w:top w:w="50" w:type="dxa"/>
              <w:bottom w:w="50" w:type="dxa"/>
              <w:left w:w="90" w:type="dxa"/>
              <w:right w:w="90" w:type="dxa"/>
            </w:tcMar>
          </w:tcPr>
          <w:p>
            <w:pPr>
              <w:pStyle w:val="BDOITable"/>
            </w:pPr>
            <w:r>
              <w:rPr>
                <w:sz w:val="16"/>
              </w:rPr>
              <w:t>Keep a complete claim history and audit trail</w:t>
            </w:r>
          </w:p>
        </w:tc>
        <w:tc>
          <w:tcPr>
            <w:tcW w:type="dxa" w:w="1653"/>
            <w:tcMar>
              <w:top w:w="50" w:type="dxa"/>
              <w:bottom w:w="50" w:type="dxa"/>
              <w:left w:w="90" w:type="dxa"/>
              <w:right w:w="90" w:type="dxa"/>
            </w:tcMar>
          </w:tcPr>
          <w:p>
            <w:pPr>
              <w:pStyle w:val="BDOITable"/>
            </w:pPr>
            <w:r>
              <w:rPr>
                <w:sz w:val="16"/>
              </w:rPr>
              <w:t>BRCLM.041, BRCLM.042, NFR 4.01-4.03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FR-CM-010</w:t>
            </w:r>
          </w:p>
        </w:tc>
        <w:tc>
          <w:tcPr>
            <w:tcW w:type="dxa" w:w="3307"/>
            <w:tcMar>
              <w:top w:w="50" w:type="dxa"/>
              <w:bottom w:w="50" w:type="dxa"/>
              <w:left w:w="90" w:type="dxa"/>
              <w:right w:w="90" w:type="dxa"/>
            </w:tcMar>
            <w:shd w:val="clear" w:color="auto" w:fill="E5F5FF"/>
          </w:tcPr>
          <w:p>
            <w:pPr>
              <w:pStyle w:val="BDOITable"/>
            </w:pPr>
            <w:r>
              <w:rPr>
                <w:sz w:val="16"/>
              </w:rPr>
              <w:t>Look up a cover (read-only)</w:t>
            </w:r>
          </w:p>
        </w:tc>
        <w:tc>
          <w:tcPr>
            <w:tcW w:type="dxa" w:w="1653"/>
            <w:tcMar>
              <w:top w:w="50" w:type="dxa"/>
              <w:bottom w:w="50" w:type="dxa"/>
              <w:left w:w="90" w:type="dxa"/>
              <w:right w:w="90" w:type="dxa"/>
            </w:tcMar>
            <w:shd w:val="clear" w:color="auto" w:fill="E5F5FF"/>
          </w:tcPr>
          <w:p>
            <w:pPr>
              <w:pStyle w:val="BDOITable"/>
            </w:pPr>
            <w:r>
              <w:rPr>
                <w:sz w:val="16"/>
              </w:rPr>
              <w:t>BRCLM.002, BRCLM.003</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FR-CM-011</w:t>
            </w:r>
          </w:p>
        </w:tc>
        <w:tc>
          <w:tcPr>
            <w:tcW w:type="dxa" w:w="3307"/>
            <w:tcMar>
              <w:top w:w="50" w:type="dxa"/>
              <w:bottom w:w="50" w:type="dxa"/>
              <w:left w:w="90" w:type="dxa"/>
              <w:right w:w="90" w:type="dxa"/>
            </w:tcMar>
          </w:tcPr>
          <w:p>
            <w:pPr>
              <w:pStyle w:val="BDOITable"/>
            </w:pPr>
            <w:r>
              <w:rPr>
                <w:sz w:val="16"/>
              </w:rPr>
              <w:t>Record a claim on a cover</w:t>
            </w:r>
          </w:p>
        </w:tc>
        <w:tc>
          <w:tcPr>
            <w:tcW w:type="dxa" w:w="1653"/>
            <w:tcMar>
              <w:top w:w="50" w:type="dxa"/>
              <w:bottom w:w="50" w:type="dxa"/>
              <w:left w:w="90" w:type="dxa"/>
              <w:right w:w="90" w:type="dxa"/>
            </w:tcMar>
          </w:tcPr>
          <w:p>
            <w:pPr>
              <w:pStyle w:val="BDOITable"/>
            </w:pPr>
            <w:r>
              <w:rPr>
                <w:sz w:val="16"/>
              </w:rPr>
              <w:t>BRCLM.003, BRCLM.009, BRCLM.041</w:t>
            </w:r>
          </w:p>
        </w:tc>
        <w:tc>
          <w:tcPr>
            <w:tcW w:type="dxa" w:w="775"/>
            <w:tcMar>
              <w:top w:w="50" w:type="dxa"/>
              <w:bottom w:w="50" w:type="dxa"/>
              <w:left w:w="90" w:type="dxa"/>
              <w:right w:w="90" w:type="dxa"/>
            </w:tcMar>
          </w:tcPr>
          <w:p>
            <w:pPr>
              <w:pStyle w:val="BDOITable"/>
            </w:pPr>
            <w:r>
              <w:rPr>
                <w:sz w:val="16"/>
              </w:rPr>
              <w:t>5</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4</w:t>
            </w:r>
          </w:p>
        </w:tc>
        <w:tc>
          <w:tcPr>
            <w:tcW w:type="dxa" w:w="672"/>
            <w:tcMar>
              <w:top w:w="50" w:type="dxa"/>
              <w:bottom w:w="50" w:type="dxa"/>
              <w:left w:w="90" w:type="dxa"/>
              <w:right w:w="90" w:type="dxa"/>
            </w:tcMar>
          </w:tcPr>
          <w:p>
            <w:pPr>
              <w:pStyle w:val="BDOITable"/>
            </w:pPr>
            <w:r>
              <w:rPr>
                <w:sz w:val="16"/>
              </w:rPr>
              <w:t>8</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FR-CM-012</w:t>
            </w:r>
          </w:p>
        </w:tc>
        <w:tc>
          <w:tcPr>
            <w:tcW w:type="dxa" w:w="3307"/>
            <w:tcMar>
              <w:top w:w="50" w:type="dxa"/>
              <w:bottom w:w="50" w:type="dxa"/>
              <w:left w:w="90" w:type="dxa"/>
              <w:right w:w="90" w:type="dxa"/>
            </w:tcMar>
            <w:shd w:val="clear" w:color="auto" w:fill="E5F5FF"/>
          </w:tcPr>
          <w:p>
            <w:pPr>
              <w:pStyle w:val="BDOITable"/>
            </w:pPr>
            <w:r>
              <w:rPr>
                <w:sz w:val="16"/>
              </w:rPr>
              <w:t>Maintain the reported date</w:t>
            </w:r>
          </w:p>
        </w:tc>
        <w:tc>
          <w:tcPr>
            <w:tcW w:type="dxa" w:w="1653"/>
            <w:tcMar>
              <w:top w:w="50" w:type="dxa"/>
              <w:bottom w:w="50" w:type="dxa"/>
              <w:left w:w="90" w:type="dxa"/>
              <w:right w:w="90" w:type="dxa"/>
            </w:tcMar>
            <w:shd w:val="clear" w:color="auto" w:fill="E5F5FF"/>
          </w:tcPr>
          <w:p>
            <w:pPr>
              <w:pStyle w:val="BDOITable"/>
            </w:pPr>
            <w:r>
              <w:rPr>
                <w:sz w:val="16"/>
              </w:rPr>
              <w:t>BRCLM.004</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672"/>
            <w:tcMar>
              <w:top w:w="50" w:type="dxa"/>
              <w:bottom w:w="50" w:type="dxa"/>
              <w:left w:w="90" w:type="dxa"/>
              <w:right w:w="90" w:type="dxa"/>
            </w:tcMar>
            <w:shd w:val="clear" w:color="auto" w:fill="E5F5FF"/>
          </w:tcPr>
          <w:p>
            <w:pPr>
              <w:pStyle w:val="BDOITable"/>
            </w:pPr>
            <w:r>
              <w:rPr>
                <w:sz w:val="16"/>
              </w:rPr>
              <w:t>6</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FR-CM-013</w:t>
            </w:r>
          </w:p>
        </w:tc>
        <w:tc>
          <w:tcPr>
            <w:tcW w:type="dxa" w:w="3307"/>
            <w:tcMar>
              <w:top w:w="50" w:type="dxa"/>
              <w:bottom w:w="50" w:type="dxa"/>
              <w:left w:w="90" w:type="dxa"/>
              <w:right w:w="90" w:type="dxa"/>
            </w:tcMar>
          </w:tcPr>
          <w:p>
            <w:pPr>
              <w:pStyle w:val="BDOITable"/>
            </w:pPr>
            <w:r>
              <w:rPr>
                <w:sz w:val="16"/>
              </w:rPr>
              <w:t>Show the policy number without re-keying</w:t>
            </w:r>
          </w:p>
        </w:tc>
        <w:tc>
          <w:tcPr>
            <w:tcW w:type="dxa" w:w="1653"/>
            <w:tcMar>
              <w:top w:w="50" w:type="dxa"/>
              <w:bottom w:w="50" w:type="dxa"/>
              <w:left w:w="90" w:type="dxa"/>
              <w:right w:w="90" w:type="dxa"/>
            </w:tcMar>
          </w:tcPr>
          <w:p>
            <w:pPr>
              <w:pStyle w:val="BDOITable"/>
            </w:pPr>
            <w:r>
              <w:rPr>
                <w:sz w:val="16"/>
              </w:rPr>
              <w:t>BRCLM.007, BRCLM.008</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FR-CM-014</w:t>
            </w:r>
          </w:p>
        </w:tc>
        <w:tc>
          <w:tcPr>
            <w:tcW w:type="dxa" w:w="3307"/>
            <w:tcMar>
              <w:top w:w="50" w:type="dxa"/>
              <w:bottom w:w="50" w:type="dxa"/>
              <w:left w:w="90" w:type="dxa"/>
              <w:right w:w="90" w:type="dxa"/>
            </w:tcMar>
            <w:shd w:val="clear" w:color="auto" w:fill="E5F5FF"/>
          </w:tcPr>
          <w:p>
            <w:pPr>
              <w:pStyle w:val="BDOITable"/>
            </w:pPr>
            <w:r>
              <w:rPr>
                <w:sz w:val="16"/>
              </w:rPr>
              <w:t>Show the Marketing team, AO and branch of the policy</w:t>
            </w:r>
          </w:p>
        </w:tc>
        <w:tc>
          <w:tcPr>
            <w:tcW w:type="dxa" w:w="1653"/>
            <w:tcMar>
              <w:top w:w="50" w:type="dxa"/>
              <w:bottom w:w="50" w:type="dxa"/>
              <w:left w:w="90" w:type="dxa"/>
              <w:right w:w="90" w:type="dxa"/>
            </w:tcMar>
            <w:shd w:val="clear" w:color="auto" w:fill="E5F5FF"/>
          </w:tcPr>
          <w:p>
            <w:pPr>
              <w:pStyle w:val="BDOITable"/>
            </w:pPr>
            <w:r>
              <w:rPr>
                <w:sz w:val="16"/>
              </w:rPr>
              <w:t>BRCLM.016</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FR-CM-015</w:t>
            </w:r>
          </w:p>
        </w:tc>
        <w:tc>
          <w:tcPr>
            <w:tcW w:type="dxa" w:w="3307"/>
            <w:tcMar>
              <w:top w:w="50" w:type="dxa"/>
              <w:bottom w:w="50" w:type="dxa"/>
              <w:left w:w="90" w:type="dxa"/>
              <w:right w:w="90" w:type="dxa"/>
            </w:tcMar>
          </w:tcPr>
          <w:p>
            <w:pPr>
              <w:pStyle w:val="BDOITable"/>
            </w:pPr>
            <w:r>
              <w:rPr>
                <w:sz w:val="16"/>
              </w:rPr>
              <w:t>Show the cover version and flag a newer version</w:t>
            </w:r>
          </w:p>
        </w:tc>
        <w:tc>
          <w:tcPr>
            <w:tcW w:type="dxa" w:w="1653"/>
            <w:tcMar>
              <w:top w:w="50" w:type="dxa"/>
              <w:bottom w:w="50" w:type="dxa"/>
              <w:left w:w="90" w:type="dxa"/>
              <w:right w:w="90" w:type="dxa"/>
            </w:tcMar>
          </w:tcPr>
          <w:p>
            <w:pPr>
              <w:pStyle w:val="BDOITable"/>
            </w:pPr>
            <w:r>
              <w:rPr>
                <w:sz w:val="16"/>
              </w:rPr>
              <w:t>BRCLM.039, BRCLM.003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FR-CM-016</w:t>
            </w:r>
          </w:p>
        </w:tc>
        <w:tc>
          <w:tcPr>
            <w:tcW w:type="dxa" w:w="3307"/>
            <w:tcMar>
              <w:top w:w="50" w:type="dxa"/>
              <w:bottom w:w="50" w:type="dxa"/>
              <w:left w:w="90" w:type="dxa"/>
              <w:right w:w="90" w:type="dxa"/>
            </w:tcMar>
            <w:shd w:val="clear" w:color="auto" w:fill="E5F5FF"/>
          </w:tcPr>
          <w:p>
            <w:pPr>
              <w:pStyle w:val="BDOITable"/>
            </w:pPr>
            <w:r>
              <w:rPr>
                <w:sz w:val="16"/>
              </w:rPr>
              <w:t>Check premium payment and control the claims authorization code</w:t>
            </w:r>
          </w:p>
        </w:tc>
        <w:tc>
          <w:tcPr>
            <w:tcW w:type="dxa" w:w="1653"/>
            <w:tcMar>
              <w:top w:w="50" w:type="dxa"/>
              <w:bottom w:w="50" w:type="dxa"/>
              <w:left w:w="90" w:type="dxa"/>
              <w:right w:w="90" w:type="dxa"/>
            </w:tcMar>
            <w:shd w:val="clear" w:color="auto" w:fill="E5F5FF"/>
          </w:tcPr>
          <w:p>
            <w:pPr>
              <w:pStyle w:val="BDOITable"/>
            </w:pPr>
            <w:r>
              <w:rPr>
                <w:sz w:val="16"/>
              </w:rPr>
              <w:t>BRCLM.001, NFR 15.05</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7</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FR-CM-020</w:t>
            </w:r>
          </w:p>
        </w:tc>
        <w:tc>
          <w:tcPr>
            <w:tcW w:type="dxa" w:w="3307"/>
            <w:tcMar>
              <w:top w:w="50" w:type="dxa"/>
              <w:bottom w:w="50" w:type="dxa"/>
              <w:left w:w="90" w:type="dxa"/>
              <w:right w:w="90" w:type="dxa"/>
            </w:tcMar>
          </w:tcPr>
          <w:p>
            <w:pPr>
              <w:pStyle w:val="BDOITable"/>
            </w:pPr>
            <w:r>
              <w:rPr>
                <w:sz w:val="16"/>
              </w:rPr>
              <w:t>Link several insured locations to one claim</w:t>
            </w:r>
          </w:p>
        </w:tc>
        <w:tc>
          <w:tcPr>
            <w:tcW w:type="dxa" w:w="1653"/>
            <w:tcMar>
              <w:top w:w="50" w:type="dxa"/>
              <w:bottom w:w="50" w:type="dxa"/>
              <w:left w:w="90" w:type="dxa"/>
              <w:right w:w="90" w:type="dxa"/>
            </w:tcMar>
          </w:tcPr>
          <w:p>
            <w:pPr>
              <w:pStyle w:val="BDOITable"/>
            </w:pPr>
            <w:r>
              <w:rPr>
                <w:sz w:val="16"/>
              </w:rPr>
              <w:t>BRCLM.037</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FR-CM-021</w:t>
            </w:r>
          </w:p>
        </w:tc>
        <w:tc>
          <w:tcPr>
            <w:tcW w:type="dxa" w:w="3307"/>
            <w:tcMar>
              <w:top w:w="50" w:type="dxa"/>
              <w:bottom w:w="50" w:type="dxa"/>
              <w:left w:w="90" w:type="dxa"/>
              <w:right w:w="90" w:type="dxa"/>
            </w:tcMar>
            <w:shd w:val="clear" w:color="auto" w:fill="E5F5FF"/>
          </w:tcPr>
          <w:p>
            <w:pPr>
              <w:pStyle w:val="BDOITable"/>
            </w:pPr>
            <w:r>
              <w:rPr>
                <w:sz w:val="16"/>
              </w:rPr>
              <w:t>Record several insurer claim numbers under one claim</w:t>
            </w:r>
          </w:p>
        </w:tc>
        <w:tc>
          <w:tcPr>
            <w:tcW w:type="dxa" w:w="1653"/>
            <w:tcMar>
              <w:top w:w="50" w:type="dxa"/>
              <w:bottom w:w="50" w:type="dxa"/>
              <w:left w:w="90" w:type="dxa"/>
              <w:right w:w="90" w:type="dxa"/>
            </w:tcMar>
            <w:shd w:val="clear" w:color="auto" w:fill="E5F5FF"/>
          </w:tcPr>
          <w:p>
            <w:pPr>
              <w:pStyle w:val="BDOITable"/>
            </w:pPr>
            <w:r>
              <w:rPr>
                <w:sz w:val="16"/>
              </w:rPr>
              <w:t>BRCLM.043</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6</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FR-CM-022</w:t>
            </w:r>
          </w:p>
        </w:tc>
        <w:tc>
          <w:tcPr>
            <w:tcW w:type="dxa" w:w="3307"/>
            <w:tcMar>
              <w:top w:w="50" w:type="dxa"/>
              <w:bottom w:w="50" w:type="dxa"/>
              <w:left w:w="90" w:type="dxa"/>
              <w:right w:w="90" w:type="dxa"/>
            </w:tcMar>
          </w:tcPr>
          <w:p>
            <w:pPr>
              <w:pStyle w:val="BDOITable"/>
            </w:pPr>
            <w:r>
              <w:rPr>
                <w:sz w:val="16"/>
              </w:rPr>
              <w:t>Record insurer-reported claims and insurer updates</w:t>
            </w:r>
          </w:p>
        </w:tc>
        <w:tc>
          <w:tcPr>
            <w:tcW w:type="dxa" w:w="1653"/>
            <w:tcMar>
              <w:top w:w="50" w:type="dxa"/>
              <w:bottom w:w="50" w:type="dxa"/>
              <w:left w:w="90" w:type="dxa"/>
              <w:right w:w="90" w:type="dxa"/>
            </w:tcMar>
          </w:tcPr>
          <w:p>
            <w:pPr>
              <w:pStyle w:val="BDOITable"/>
            </w:pPr>
            <w:r>
              <w:rPr>
                <w:sz w:val="16"/>
              </w:rPr>
              <w:t>BRCLM.041</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FR-CM-023</w:t>
            </w:r>
          </w:p>
        </w:tc>
        <w:tc>
          <w:tcPr>
            <w:tcW w:type="dxa" w:w="3307"/>
            <w:tcMar>
              <w:top w:w="50" w:type="dxa"/>
              <w:bottom w:w="50" w:type="dxa"/>
              <w:left w:w="90" w:type="dxa"/>
              <w:right w:w="90" w:type="dxa"/>
            </w:tcMar>
            <w:shd w:val="clear" w:color="auto" w:fill="E5F5FF"/>
          </w:tcPr>
          <w:p>
            <w:pPr>
              <w:pStyle w:val="BDOITable"/>
            </w:pPr>
            <w:r>
              <w:rPr>
                <w:sz w:val="16"/>
              </w:rPr>
              <w:t>Maintain insurer location references</w:t>
            </w:r>
          </w:p>
        </w:tc>
        <w:tc>
          <w:tcPr>
            <w:tcW w:type="dxa" w:w="1653"/>
            <w:tcMar>
              <w:top w:w="50" w:type="dxa"/>
              <w:bottom w:w="50" w:type="dxa"/>
              <w:left w:w="90" w:type="dxa"/>
              <w:right w:w="90" w:type="dxa"/>
            </w:tcMar>
            <w:shd w:val="clear" w:color="auto" w:fill="E5F5FF"/>
          </w:tcPr>
          <w:p>
            <w:pPr>
              <w:pStyle w:val="BDOITable"/>
            </w:pPr>
            <w:r>
              <w:rPr>
                <w:sz w:val="16"/>
              </w:rPr>
              <w:t>BRCLM.042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FR-CM-024</w:t>
            </w:r>
          </w:p>
        </w:tc>
        <w:tc>
          <w:tcPr>
            <w:tcW w:type="dxa" w:w="3307"/>
            <w:tcMar>
              <w:top w:w="50" w:type="dxa"/>
              <w:bottom w:w="50" w:type="dxa"/>
              <w:left w:w="90" w:type="dxa"/>
              <w:right w:w="90" w:type="dxa"/>
            </w:tcMar>
          </w:tcPr>
          <w:p>
            <w:pPr>
              <w:pStyle w:val="BDOITable"/>
            </w:pPr>
            <w:r>
              <w:rPr>
                <w:sz w:val="16"/>
              </w:rPr>
              <w:t>Send the loss advice to the insurer</w:t>
            </w:r>
          </w:p>
        </w:tc>
        <w:tc>
          <w:tcPr>
            <w:tcW w:type="dxa" w:w="1653"/>
            <w:tcMar>
              <w:top w:w="50" w:type="dxa"/>
              <w:bottom w:w="50" w:type="dxa"/>
              <w:left w:w="90" w:type="dxa"/>
              <w:right w:w="90" w:type="dxa"/>
            </w:tcMar>
          </w:tcPr>
          <w:p>
            <w:pPr>
              <w:pStyle w:val="BDOITable"/>
            </w:pPr>
            <w:r>
              <w:rPr>
                <w:sz w:val="16"/>
              </w:rPr>
              <w:t>Process p.24-25, NFR 15.14, BRCLM.041</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FR-CM-030</w:t>
            </w:r>
          </w:p>
        </w:tc>
        <w:tc>
          <w:tcPr>
            <w:tcW w:type="dxa" w:w="3307"/>
            <w:tcMar>
              <w:top w:w="50" w:type="dxa"/>
              <w:bottom w:w="50" w:type="dxa"/>
              <w:left w:w="90" w:type="dxa"/>
              <w:right w:w="90" w:type="dxa"/>
            </w:tcMar>
            <w:shd w:val="clear" w:color="auto" w:fill="E5F5FF"/>
          </w:tcPr>
          <w:p>
            <w:pPr>
              <w:pStyle w:val="BDOITable"/>
            </w:pPr>
            <w:r>
              <w:rPr>
                <w:sz w:val="16"/>
              </w:rPr>
              <w:t>Override or input the claimant's name</w:t>
            </w:r>
          </w:p>
        </w:tc>
        <w:tc>
          <w:tcPr>
            <w:tcW w:type="dxa" w:w="1653"/>
            <w:tcMar>
              <w:top w:w="50" w:type="dxa"/>
              <w:bottom w:w="50" w:type="dxa"/>
              <w:left w:w="90" w:type="dxa"/>
              <w:right w:w="90" w:type="dxa"/>
            </w:tcMar>
            <w:shd w:val="clear" w:color="auto" w:fill="E5F5FF"/>
          </w:tcPr>
          <w:p>
            <w:pPr>
              <w:pStyle w:val="BDOITable"/>
            </w:pPr>
            <w:r>
              <w:rPr>
                <w:sz w:val="16"/>
              </w:rPr>
              <w:t>BRCLM.006</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FR-CM-031</w:t>
            </w:r>
          </w:p>
        </w:tc>
        <w:tc>
          <w:tcPr>
            <w:tcW w:type="dxa" w:w="3307"/>
            <w:tcMar>
              <w:top w:w="50" w:type="dxa"/>
              <w:bottom w:w="50" w:type="dxa"/>
              <w:left w:w="90" w:type="dxa"/>
              <w:right w:w="90" w:type="dxa"/>
            </w:tcMar>
          </w:tcPr>
          <w:p>
            <w:pPr>
              <w:pStyle w:val="BDOITable"/>
            </w:pPr>
            <w:r>
              <w:rPr>
                <w:sz w:val="16"/>
              </w:rPr>
              <w:t>Maintain adjusters / appraisers and assign them to claims</w:t>
            </w:r>
          </w:p>
        </w:tc>
        <w:tc>
          <w:tcPr>
            <w:tcW w:type="dxa" w:w="1653"/>
            <w:tcMar>
              <w:top w:w="50" w:type="dxa"/>
              <w:bottom w:w="50" w:type="dxa"/>
              <w:left w:w="90" w:type="dxa"/>
              <w:right w:w="90" w:type="dxa"/>
            </w:tcMar>
          </w:tcPr>
          <w:p>
            <w:pPr>
              <w:pStyle w:val="BDOITable"/>
            </w:pPr>
            <w:r>
              <w:rPr>
                <w:sz w:val="16"/>
              </w:rPr>
              <w:t>BRCLM.017, BRCLM.018</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6</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FR-CM-032</w:t>
            </w:r>
          </w:p>
        </w:tc>
        <w:tc>
          <w:tcPr>
            <w:tcW w:type="dxa" w:w="3307"/>
            <w:tcMar>
              <w:top w:w="50" w:type="dxa"/>
              <w:bottom w:w="50" w:type="dxa"/>
              <w:left w:w="90" w:type="dxa"/>
              <w:right w:w="90" w:type="dxa"/>
            </w:tcMar>
            <w:shd w:val="clear" w:color="auto" w:fill="E5F5FF"/>
          </w:tcPr>
          <w:p>
            <w:pPr>
              <w:pStyle w:val="BDOITable"/>
            </w:pPr>
            <w:r>
              <w:rPr>
                <w:sz w:val="16"/>
              </w:rPr>
              <w:t>Record and amend the insurer reserve</w:t>
            </w:r>
          </w:p>
        </w:tc>
        <w:tc>
          <w:tcPr>
            <w:tcW w:type="dxa" w:w="1653"/>
            <w:tcMar>
              <w:top w:w="50" w:type="dxa"/>
              <w:bottom w:w="50" w:type="dxa"/>
              <w:left w:w="90" w:type="dxa"/>
              <w:right w:w="90" w:type="dxa"/>
            </w:tcMar>
            <w:shd w:val="clear" w:color="auto" w:fill="E5F5FF"/>
          </w:tcPr>
          <w:p>
            <w:pPr>
              <w:pStyle w:val="BDOITable"/>
            </w:pPr>
            <w:r>
              <w:rPr>
                <w:sz w:val="16"/>
              </w:rPr>
              <w:t>BRCLM.023, BRCLM.024</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6</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FR-CM-033</w:t>
            </w:r>
          </w:p>
        </w:tc>
        <w:tc>
          <w:tcPr>
            <w:tcW w:type="dxa" w:w="3307"/>
            <w:tcMar>
              <w:top w:w="50" w:type="dxa"/>
              <w:bottom w:w="50" w:type="dxa"/>
              <w:left w:w="90" w:type="dxa"/>
              <w:right w:w="90" w:type="dxa"/>
            </w:tcMar>
          </w:tcPr>
          <w:p>
            <w:pPr>
              <w:pStyle w:val="BDOITable"/>
            </w:pPr>
            <w:r>
              <w:rPr>
                <w:sz w:val="16"/>
              </w:rPr>
              <w:t>Maintain catastrophe codes and tag claims</w:t>
            </w:r>
          </w:p>
        </w:tc>
        <w:tc>
          <w:tcPr>
            <w:tcW w:type="dxa" w:w="1653"/>
            <w:tcMar>
              <w:top w:w="50" w:type="dxa"/>
              <w:bottom w:w="50" w:type="dxa"/>
              <w:left w:w="90" w:type="dxa"/>
              <w:right w:w="90" w:type="dxa"/>
            </w:tcMar>
          </w:tcPr>
          <w:p>
            <w:pPr>
              <w:pStyle w:val="BDOITable"/>
            </w:pPr>
            <w:r>
              <w:rPr>
                <w:sz w:val="16"/>
              </w:rPr>
              <w:t>BRCLM.036</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FR-CM-040</w:t>
            </w:r>
          </w:p>
        </w:tc>
        <w:tc>
          <w:tcPr>
            <w:tcW w:type="dxa" w:w="3307"/>
            <w:tcMar>
              <w:top w:w="50" w:type="dxa"/>
              <w:bottom w:w="50" w:type="dxa"/>
              <w:left w:w="90" w:type="dxa"/>
              <w:right w:w="90" w:type="dxa"/>
            </w:tcMar>
            <w:shd w:val="clear" w:color="auto" w:fill="E5F5FF"/>
          </w:tcPr>
          <w:p>
            <w:pPr>
              <w:pStyle w:val="BDOITable"/>
            </w:pPr>
            <w:r>
              <w:rPr>
                <w:sz w:val="16"/>
              </w:rPr>
              <w:t>Maintain the claim status values</w:t>
            </w:r>
          </w:p>
        </w:tc>
        <w:tc>
          <w:tcPr>
            <w:tcW w:type="dxa" w:w="1653"/>
            <w:tcMar>
              <w:top w:w="50" w:type="dxa"/>
              <w:bottom w:w="50" w:type="dxa"/>
              <w:left w:w="90" w:type="dxa"/>
              <w:right w:w="90" w:type="dxa"/>
            </w:tcMar>
            <w:shd w:val="clear" w:color="auto" w:fill="E5F5FF"/>
          </w:tcPr>
          <w:p>
            <w:pPr>
              <w:pStyle w:val="BDOITable"/>
            </w:pPr>
            <w:r>
              <w:rPr>
                <w:sz w:val="16"/>
              </w:rPr>
              <w:t>BRCLM.010</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FR-CM-041</w:t>
            </w:r>
          </w:p>
        </w:tc>
        <w:tc>
          <w:tcPr>
            <w:tcW w:type="dxa" w:w="3307"/>
            <w:tcMar>
              <w:top w:w="50" w:type="dxa"/>
              <w:bottom w:w="50" w:type="dxa"/>
              <w:left w:w="90" w:type="dxa"/>
              <w:right w:w="90" w:type="dxa"/>
            </w:tcMar>
          </w:tcPr>
          <w:p>
            <w:pPr>
              <w:pStyle w:val="BDOITable"/>
            </w:pPr>
            <w:r>
              <w:rPr>
                <w:sz w:val="16"/>
              </w:rPr>
              <w:t>Restrict status selection by role and unit</w:t>
            </w:r>
          </w:p>
        </w:tc>
        <w:tc>
          <w:tcPr>
            <w:tcW w:type="dxa" w:w="1653"/>
            <w:tcMar>
              <w:top w:w="50" w:type="dxa"/>
              <w:bottom w:w="50" w:type="dxa"/>
              <w:left w:w="90" w:type="dxa"/>
              <w:right w:w="90" w:type="dxa"/>
            </w:tcMar>
          </w:tcPr>
          <w:p>
            <w:pPr>
              <w:pStyle w:val="BDOITable"/>
            </w:pPr>
            <w:r>
              <w:rPr>
                <w:sz w:val="16"/>
              </w:rPr>
              <w:t>BRCLM.012, BRCLM.013</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FR-CM-042</w:t>
            </w:r>
          </w:p>
        </w:tc>
        <w:tc>
          <w:tcPr>
            <w:tcW w:type="dxa" w:w="3307"/>
            <w:tcMar>
              <w:top w:w="50" w:type="dxa"/>
              <w:bottom w:w="50" w:type="dxa"/>
              <w:left w:w="90" w:type="dxa"/>
              <w:right w:w="90" w:type="dxa"/>
            </w:tcMar>
            <w:shd w:val="clear" w:color="auto" w:fill="E5F5FF"/>
          </w:tcPr>
          <w:p>
            <w:pPr>
              <w:pStyle w:val="BDOITable"/>
            </w:pPr>
            <w:r>
              <w:rPr>
                <w:sz w:val="16"/>
              </w:rPr>
              <w:t>Change the claim status</w:t>
            </w:r>
          </w:p>
        </w:tc>
        <w:tc>
          <w:tcPr>
            <w:tcW w:type="dxa" w:w="1653"/>
            <w:tcMar>
              <w:top w:w="50" w:type="dxa"/>
              <w:bottom w:w="50" w:type="dxa"/>
              <w:left w:w="90" w:type="dxa"/>
              <w:right w:w="90" w:type="dxa"/>
            </w:tcMar>
            <w:shd w:val="clear" w:color="auto" w:fill="E5F5FF"/>
          </w:tcPr>
          <w:p>
            <w:pPr>
              <w:pStyle w:val="BDOITable"/>
            </w:pPr>
            <w:r>
              <w:rPr>
                <w:sz w:val="16"/>
              </w:rPr>
              <w:t>BRCLM.011, BRCLM.027</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FR-CM-043</w:t>
            </w:r>
          </w:p>
        </w:tc>
        <w:tc>
          <w:tcPr>
            <w:tcW w:type="dxa" w:w="3307"/>
            <w:tcMar>
              <w:top w:w="50" w:type="dxa"/>
              <w:bottom w:w="50" w:type="dxa"/>
              <w:left w:w="90" w:type="dxa"/>
              <w:right w:w="90" w:type="dxa"/>
            </w:tcMar>
          </w:tcPr>
          <w:p>
            <w:pPr>
              <w:pStyle w:val="BDOITable"/>
            </w:pPr>
            <w:r>
              <w:rPr>
                <w:sz w:val="16"/>
              </w:rPr>
              <w:t>Maintain the requested types of settlement</w:t>
            </w:r>
          </w:p>
        </w:tc>
        <w:tc>
          <w:tcPr>
            <w:tcW w:type="dxa" w:w="1653"/>
            <w:tcMar>
              <w:top w:w="50" w:type="dxa"/>
              <w:bottom w:w="50" w:type="dxa"/>
              <w:left w:w="90" w:type="dxa"/>
              <w:right w:w="90" w:type="dxa"/>
            </w:tcMar>
          </w:tcPr>
          <w:p>
            <w:pPr>
              <w:pStyle w:val="BDOITable"/>
            </w:pPr>
            <w:r>
              <w:rPr>
                <w:sz w:val="16"/>
              </w:rPr>
              <w:t>BRCLM.014</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FR-CM-044</w:t>
            </w:r>
          </w:p>
        </w:tc>
        <w:tc>
          <w:tcPr>
            <w:tcW w:type="dxa" w:w="3307"/>
            <w:tcMar>
              <w:top w:w="50" w:type="dxa"/>
              <w:bottom w:w="50" w:type="dxa"/>
              <w:left w:w="90" w:type="dxa"/>
              <w:right w:w="90" w:type="dxa"/>
            </w:tcMar>
            <w:shd w:val="clear" w:color="auto" w:fill="E5F5FF"/>
          </w:tcPr>
          <w:p>
            <w:pPr>
              <w:pStyle w:val="BDOITable"/>
            </w:pPr>
            <w:r>
              <w:rPr>
                <w:sz w:val="16"/>
              </w:rPr>
              <w:t>Set the requested type of settlement</w:t>
            </w:r>
          </w:p>
        </w:tc>
        <w:tc>
          <w:tcPr>
            <w:tcW w:type="dxa" w:w="1653"/>
            <w:tcMar>
              <w:top w:w="50" w:type="dxa"/>
              <w:bottom w:w="50" w:type="dxa"/>
              <w:left w:w="90" w:type="dxa"/>
              <w:right w:w="90" w:type="dxa"/>
            </w:tcMar>
            <w:shd w:val="clear" w:color="auto" w:fill="E5F5FF"/>
          </w:tcPr>
          <w:p>
            <w:pPr>
              <w:pStyle w:val="BDOITable"/>
            </w:pPr>
            <w:r>
              <w:rPr>
                <w:sz w:val="16"/>
              </w:rPr>
              <w:t>BRCLM.015, BRCLM.029</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672"/>
            <w:tcMar>
              <w:top w:w="50" w:type="dxa"/>
              <w:bottom w:w="50" w:type="dxa"/>
              <w:left w:w="90" w:type="dxa"/>
              <w:right w:w="90" w:type="dxa"/>
            </w:tcMar>
            <w:shd w:val="clear" w:color="auto" w:fill="E5F5FF"/>
          </w:tcPr>
          <w:p>
            <w:pPr>
              <w:pStyle w:val="BDOITable"/>
            </w:pPr>
            <w:r>
              <w:rPr>
                <w:sz w:val="16"/>
              </w:rPr>
              <w:t>6</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FR-CM-045</w:t>
            </w:r>
          </w:p>
        </w:tc>
        <w:tc>
          <w:tcPr>
            <w:tcW w:type="dxa" w:w="3307"/>
            <w:tcMar>
              <w:top w:w="50" w:type="dxa"/>
              <w:bottom w:w="50" w:type="dxa"/>
              <w:left w:w="90" w:type="dxa"/>
              <w:right w:w="90" w:type="dxa"/>
            </w:tcMar>
          </w:tcPr>
          <w:p>
            <w:pPr>
              <w:pStyle w:val="BDOITable"/>
            </w:pPr>
            <w:r>
              <w:rPr>
                <w:sz w:val="16"/>
              </w:rPr>
              <w:t>Close a claim temporarily or permanently and reopen it</w:t>
            </w:r>
          </w:p>
        </w:tc>
        <w:tc>
          <w:tcPr>
            <w:tcW w:type="dxa" w:w="1653"/>
            <w:tcMar>
              <w:top w:w="50" w:type="dxa"/>
              <w:bottom w:w="50" w:type="dxa"/>
              <w:left w:w="90" w:type="dxa"/>
              <w:right w:w="90" w:type="dxa"/>
            </w:tcMar>
          </w:tcPr>
          <w:p>
            <w:pPr>
              <w:pStyle w:val="BDOITable"/>
            </w:pPr>
            <w:r>
              <w:rPr>
                <w:sz w:val="16"/>
              </w:rPr>
              <w:t>BRCLM.005, BRCLM.035</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7</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FR-CM-046</w:t>
            </w:r>
          </w:p>
        </w:tc>
        <w:tc>
          <w:tcPr>
            <w:tcW w:type="dxa" w:w="3307"/>
            <w:tcMar>
              <w:top w:w="50" w:type="dxa"/>
              <w:bottom w:w="50" w:type="dxa"/>
              <w:left w:w="90" w:type="dxa"/>
              <w:right w:w="90" w:type="dxa"/>
            </w:tcMar>
            <w:shd w:val="clear" w:color="auto" w:fill="E5F5FF"/>
          </w:tcPr>
          <w:p>
            <w:pPr>
              <w:pStyle w:val="BDOITable"/>
            </w:pPr>
            <w:r>
              <w:rPr>
                <w:sz w:val="16"/>
              </w:rPr>
              <w:t>Request the claims special remittance for claims awaiting premium remittance</w:t>
            </w:r>
          </w:p>
        </w:tc>
        <w:tc>
          <w:tcPr>
            <w:tcW w:type="dxa" w:w="1653"/>
            <w:tcMar>
              <w:top w:w="50" w:type="dxa"/>
              <w:bottom w:w="50" w:type="dxa"/>
              <w:left w:w="90" w:type="dxa"/>
              <w:right w:w="90" w:type="dxa"/>
            </w:tcMar>
            <w:shd w:val="clear" w:color="auto" w:fill="E5F5FF"/>
          </w:tcPr>
          <w:p>
            <w:pPr>
              <w:pStyle w:val="BDOITable"/>
            </w:pPr>
            <w:r>
              <w:rPr>
                <w:sz w:val="16"/>
              </w:rPr>
              <w:t>BRCLM.010, BRCLM.001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FR-CM-050</w:t>
            </w:r>
          </w:p>
        </w:tc>
        <w:tc>
          <w:tcPr>
            <w:tcW w:type="dxa" w:w="3307"/>
            <w:tcMar>
              <w:top w:w="50" w:type="dxa"/>
              <w:bottom w:w="50" w:type="dxa"/>
              <w:left w:w="90" w:type="dxa"/>
              <w:right w:w="90" w:type="dxa"/>
            </w:tcMar>
          </w:tcPr>
          <w:p>
            <w:pPr>
              <w:pStyle w:val="BDOITable"/>
            </w:pPr>
            <w:r>
              <w:rPr>
                <w:sz w:val="16"/>
              </w:rPr>
              <w:t>Compute and override the next follow-up date</w:t>
            </w:r>
          </w:p>
        </w:tc>
        <w:tc>
          <w:tcPr>
            <w:tcW w:type="dxa" w:w="1653"/>
            <w:tcMar>
              <w:top w:w="50" w:type="dxa"/>
              <w:bottom w:w="50" w:type="dxa"/>
              <w:left w:w="90" w:type="dxa"/>
              <w:right w:w="90" w:type="dxa"/>
            </w:tcMar>
          </w:tcPr>
          <w:p>
            <w:pPr>
              <w:pStyle w:val="BDOITable"/>
            </w:pPr>
            <w:r>
              <w:rPr>
                <w:sz w:val="16"/>
              </w:rPr>
              <w:t>BRCLM.019</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FR-CM-051</w:t>
            </w:r>
          </w:p>
        </w:tc>
        <w:tc>
          <w:tcPr>
            <w:tcW w:type="dxa" w:w="3307"/>
            <w:tcMar>
              <w:top w:w="50" w:type="dxa"/>
              <w:bottom w:w="50" w:type="dxa"/>
              <w:left w:w="90" w:type="dxa"/>
              <w:right w:w="90" w:type="dxa"/>
            </w:tcMar>
            <w:shd w:val="clear" w:color="auto" w:fill="E5F5FF"/>
          </w:tcPr>
          <w:p>
            <w:pPr>
              <w:pStyle w:val="BDOITable"/>
            </w:pPr>
            <w:r>
              <w:rPr>
                <w:sz w:val="16"/>
              </w:rPr>
              <w:t>Encode the next action plan summary</w:t>
            </w:r>
          </w:p>
        </w:tc>
        <w:tc>
          <w:tcPr>
            <w:tcW w:type="dxa" w:w="1653"/>
            <w:tcMar>
              <w:top w:w="50" w:type="dxa"/>
              <w:bottom w:w="50" w:type="dxa"/>
              <w:left w:w="90" w:type="dxa"/>
              <w:right w:w="90" w:type="dxa"/>
            </w:tcMar>
            <w:shd w:val="clear" w:color="auto" w:fill="E5F5FF"/>
          </w:tcPr>
          <w:p>
            <w:pPr>
              <w:pStyle w:val="BDOITable"/>
            </w:pPr>
            <w:r>
              <w:rPr>
                <w:sz w:val="16"/>
              </w:rPr>
              <w:t>BRCLM.020, BRCLM.021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FR-CM-052</w:t>
            </w:r>
          </w:p>
        </w:tc>
        <w:tc>
          <w:tcPr>
            <w:tcW w:type="dxa" w:w="3307"/>
            <w:tcMar>
              <w:top w:w="50" w:type="dxa"/>
              <w:bottom w:w="50" w:type="dxa"/>
              <w:left w:w="90" w:type="dxa"/>
              <w:right w:w="90" w:type="dxa"/>
            </w:tcMar>
          </w:tcPr>
          <w:p>
            <w:pPr>
              <w:pStyle w:val="BDOITable"/>
            </w:pPr>
            <w:r>
              <w:rPr>
                <w:sz w:val="16"/>
              </w:rPr>
              <w:t>Keep a diary per claim and per handler</w:t>
            </w:r>
          </w:p>
        </w:tc>
        <w:tc>
          <w:tcPr>
            <w:tcW w:type="dxa" w:w="1653"/>
            <w:tcMar>
              <w:top w:w="50" w:type="dxa"/>
              <w:bottom w:w="50" w:type="dxa"/>
              <w:left w:w="90" w:type="dxa"/>
              <w:right w:w="90" w:type="dxa"/>
            </w:tcMar>
          </w:tcPr>
          <w:p>
            <w:pPr>
              <w:pStyle w:val="BDOITable"/>
            </w:pPr>
            <w:r>
              <w:rPr>
                <w:sz w:val="16"/>
              </w:rPr>
              <w:t>BRCLM.022, NFR 15.08</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FR-CM-053</w:t>
            </w:r>
          </w:p>
        </w:tc>
        <w:tc>
          <w:tcPr>
            <w:tcW w:type="dxa" w:w="3307"/>
            <w:tcMar>
              <w:top w:w="50" w:type="dxa"/>
              <w:bottom w:w="50" w:type="dxa"/>
              <w:left w:w="90" w:type="dxa"/>
              <w:right w:w="90" w:type="dxa"/>
            </w:tcMar>
            <w:shd w:val="clear" w:color="auto" w:fill="E5F5FF"/>
          </w:tcPr>
          <w:p>
            <w:pPr>
              <w:pStyle w:val="BDOITable"/>
            </w:pPr>
            <w:r>
              <w:rPr>
                <w:sz w:val="16"/>
              </w:rPr>
              <w:t>Compute the age of claims overall and per status</w:t>
            </w:r>
          </w:p>
        </w:tc>
        <w:tc>
          <w:tcPr>
            <w:tcW w:type="dxa" w:w="1653"/>
            <w:tcMar>
              <w:top w:w="50" w:type="dxa"/>
              <w:bottom w:w="50" w:type="dxa"/>
              <w:left w:w="90" w:type="dxa"/>
              <w:right w:w="90" w:type="dxa"/>
            </w:tcMar>
            <w:shd w:val="clear" w:color="auto" w:fill="E5F5FF"/>
          </w:tcPr>
          <w:p>
            <w:pPr>
              <w:pStyle w:val="BDOITable"/>
            </w:pPr>
            <w:r>
              <w:rPr>
                <w:sz w:val="16"/>
              </w:rPr>
              <w:t>BRCLM.025, BRCLM.027</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FR-CM-054</w:t>
            </w:r>
          </w:p>
        </w:tc>
        <w:tc>
          <w:tcPr>
            <w:tcW w:type="dxa" w:w="3307"/>
            <w:tcMar>
              <w:top w:w="50" w:type="dxa"/>
              <w:bottom w:w="50" w:type="dxa"/>
              <w:left w:w="90" w:type="dxa"/>
              <w:right w:w="90" w:type="dxa"/>
            </w:tcMar>
          </w:tcPr>
          <w:p>
            <w:pPr>
              <w:pStyle w:val="BDOITable"/>
            </w:pPr>
            <w:r>
              <w:rPr>
                <w:sz w:val="16"/>
              </w:rPr>
              <w:t>Track pending actions and remind handlers</w:t>
            </w:r>
          </w:p>
        </w:tc>
        <w:tc>
          <w:tcPr>
            <w:tcW w:type="dxa" w:w="1653"/>
            <w:tcMar>
              <w:top w:w="50" w:type="dxa"/>
              <w:bottom w:w="50" w:type="dxa"/>
              <w:left w:w="90" w:type="dxa"/>
              <w:right w:w="90" w:type="dxa"/>
            </w:tcMar>
          </w:tcPr>
          <w:p>
            <w:pPr>
              <w:pStyle w:val="BDOITable"/>
            </w:pPr>
            <w:r>
              <w:rPr>
                <w:sz w:val="16"/>
              </w:rPr>
              <w:t>BRCLM.034, BRCLM.019, BRCLM.022</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FR-CM-055</w:t>
            </w:r>
          </w:p>
        </w:tc>
        <w:tc>
          <w:tcPr>
            <w:tcW w:type="dxa" w:w="3307"/>
            <w:tcMar>
              <w:top w:w="50" w:type="dxa"/>
              <w:bottom w:w="50" w:type="dxa"/>
              <w:left w:w="90" w:type="dxa"/>
              <w:right w:w="90" w:type="dxa"/>
            </w:tcMar>
            <w:shd w:val="clear" w:color="auto" w:fill="E5F5FF"/>
          </w:tcPr>
          <w:p>
            <w:pPr>
              <w:pStyle w:val="BDOITable"/>
            </w:pPr>
            <w:r>
              <w:rPr>
                <w:sz w:val="16"/>
              </w:rPr>
              <w:t>Claims home and worklist</w:t>
            </w:r>
          </w:p>
        </w:tc>
        <w:tc>
          <w:tcPr>
            <w:tcW w:type="dxa" w:w="1653"/>
            <w:tcMar>
              <w:top w:w="50" w:type="dxa"/>
              <w:bottom w:w="50" w:type="dxa"/>
              <w:left w:w="90" w:type="dxa"/>
              <w:right w:w="90" w:type="dxa"/>
            </w:tcMar>
            <w:shd w:val="clear" w:color="auto" w:fill="E5F5FF"/>
          </w:tcPr>
          <w:p>
            <w:pPr>
              <w:pStyle w:val="BDOITable"/>
            </w:pPr>
            <w:r>
              <w:rPr>
                <w:sz w:val="16"/>
              </w:rPr>
              <w:t>NFR 15.03, BRCLM.034, BRCLM.043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FR-CM-060</w:t>
            </w:r>
          </w:p>
        </w:tc>
        <w:tc>
          <w:tcPr>
            <w:tcW w:type="dxa" w:w="3307"/>
            <w:tcMar>
              <w:top w:w="50" w:type="dxa"/>
              <w:bottom w:w="50" w:type="dxa"/>
              <w:left w:w="90" w:type="dxa"/>
              <w:right w:w="90" w:type="dxa"/>
            </w:tcMar>
          </w:tcPr>
          <w:p>
            <w:pPr>
              <w:pStyle w:val="BDOITable"/>
            </w:pPr>
            <w:r>
              <w:rPr>
                <w:sz w:val="16"/>
              </w:rPr>
              <w:t>Claims ageing reports</w:t>
            </w:r>
          </w:p>
        </w:tc>
        <w:tc>
          <w:tcPr>
            <w:tcW w:type="dxa" w:w="1653"/>
            <w:tcMar>
              <w:top w:w="50" w:type="dxa"/>
              <w:bottom w:w="50" w:type="dxa"/>
              <w:left w:w="90" w:type="dxa"/>
              <w:right w:w="90" w:type="dxa"/>
            </w:tcMar>
          </w:tcPr>
          <w:p>
            <w:pPr>
              <w:pStyle w:val="BDOITable"/>
            </w:pPr>
            <w:r>
              <w:rPr>
                <w:sz w:val="16"/>
              </w:rPr>
              <w:t>BRCLM.026, BRCLM.028, Report list</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FR-CM-061</w:t>
            </w:r>
          </w:p>
        </w:tc>
        <w:tc>
          <w:tcPr>
            <w:tcW w:type="dxa" w:w="3307"/>
            <w:tcMar>
              <w:top w:w="50" w:type="dxa"/>
              <w:bottom w:w="50" w:type="dxa"/>
              <w:left w:w="90" w:type="dxa"/>
              <w:right w:w="90" w:type="dxa"/>
            </w:tcMar>
            <w:shd w:val="clear" w:color="auto" w:fill="E5F5FF"/>
          </w:tcPr>
          <w:p>
            <w:pPr>
              <w:pStyle w:val="BDOITable"/>
            </w:pPr>
            <w:r>
              <w:rPr>
                <w:sz w:val="16"/>
              </w:rPr>
              <w:t>Outstanding, past due, settled and pending actions reports</w:t>
            </w:r>
          </w:p>
        </w:tc>
        <w:tc>
          <w:tcPr>
            <w:tcW w:type="dxa" w:w="1653"/>
            <w:tcMar>
              <w:top w:w="50" w:type="dxa"/>
              <w:bottom w:w="50" w:type="dxa"/>
              <w:left w:w="90" w:type="dxa"/>
              <w:right w:w="90" w:type="dxa"/>
            </w:tcMar>
            <w:shd w:val="clear" w:color="auto" w:fill="E5F5FF"/>
          </w:tcPr>
          <w:p>
            <w:pPr>
              <w:pStyle w:val="BDOITable"/>
            </w:pPr>
            <w:r>
              <w:rPr>
                <w:sz w:val="16"/>
              </w:rPr>
              <w:t>BRCLM.029, BRCLM.031, BRCLM.034, Report list</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6</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FR-CM-062</w:t>
            </w:r>
          </w:p>
        </w:tc>
        <w:tc>
          <w:tcPr>
            <w:tcW w:type="dxa" w:w="3307"/>
            <w:tcMar>
              <w:top w:w="50" w:type="dxa"/>
              <w:bottom w:w="50" w:type="dxa"/>
              <w:left w:w="90" w:type="dxa"/>
              <w:right w:w="90" w:type="dxa"/>
            </w:tcMar>
          </w:tcPr>
          <w:p>
            <w:pPr>
              <w:pStyle w:val="BDOITable"/>
            </w:pPr>
            <w:r>
              <w:rPr>
                <w:sz w:val="16"/>
              </w:rPr>
              <w:t>Loss experience and loss ratio reports</w:t>
            </w:r>
          </w:p>
        </w:tc>
        <w:tc>
          <w:tcPr>
            <w:tcW w:type="dxa" w:w="1653"/>
            <w:tcMar>
              <w:top w:w="50" w:type="dxa"/>
              <w:bottom w:w="50" w:type="dxa"/>
              <w:left w:w="90" w:type="dxa"/>
              <w:right w:w="90" w:type="dxa"/>
            </w:tcMar>
          </w:tcPr>
          <w:p>
            <w:pPr>
              <w:pStyle w:val="BDOITable"/>
            </w:pPr>
            <w:r>
              <w:rPr>
                <w:sz w:val="16"/>
              </w:rPr>
              <w:t>BRCLM.030, BRCLM.032, Report list</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FR-CM-063</w:t>
            </w:r>
          </w:p>
        </w:tc>
        <w:tc>
          <w:tcPr>
            <w:tcW w:type="dxa" w:w="3307"/>
            <w:tcMar>
              <w:top w:w="50" w:type="dxa"/>
              <w:bottom w:w="50" w:type="dxa"/>
              <w:left w:w="90" w:type="dxa"/>
              <w:right w:w="90" w:type="dxa"/>
            </w:tcMar>
            <w:shd w:val="clear" w:color="auto" w:fill="E5F5FF"/>
          </w:tcPr>
          <w:p>
            <w:pPr>
              <w:pStyle w:val="BDOITable"/>
            </w:pPr>
            <w:r>
              <w:rPr>
                <w:sz w:val="16"/>
              </w:rPr>
              <w:t>Identify claims-prone locations</w:t>
            </w:r>
          </w:p>
        </w:tc>
        <w:tc>
          <w:tcPr>
            <w:tcW w:type="dxa" w:w="1653"/>
            <w:tcMar>
              <w:top w:w="50" w:type="dxa"/>
              <w:bottom w:w="50" w:type="dxa"/>
              <w:left w:w="90" w:type="dxa"/>
              <w:right w:w="90" w:type="dxa"/>
            </w:tcMar>
            <w:shd w:val="clear" w:color="auto" w:fill="E5F5FF"/>
          </w:tcPr>
          <w:p>
            <w:pPr>
              <w:pStyle w:val="BDOITable"/>
            </w:pPr>
            <w:r>
              <w:rPr>
                <w:sz w:val="16"/>
              </w:rPr>
              <w:t>BRCLM.038</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FR-CM-064</w:t>
            </w:r>
          </w:p>
        </w:tc>
        <w:tc>
          <w:tcPr>
            <w:tcW w:type="dxa" w:w="3307"/>
            <w:tcMar>
              <w:top w:w="50" w:type="dxa"/>
              <w:bottom w:w="50" w:type="dxa"/>
              <w:left w:w="90" w:type="dxa"/>
              <w:right w:w="90" w:type="dxa"/>
            </w:tcMar>
          </w:tcPr>
          <w:p>
            <w:pPr>
              <w:pStyle w:val="BDOITable"/>
            </w:pPr>
            <w:r>
              <w:rPr>
                <w:sz w:val="16"/>
              </w:rPr>
              <w:t>Give authorised users the data for their own analysis</w:t>
            </w:r>
          </w:p>
        </w:tc>
        <w:tc>
          <w:tcPr>
            <w:tcW w:type="dxa" w:w="1653"/>
            <w:tcMar>
              <w:top w:w="50" w:type="dxa"/>
              <w:bottom w:w="50" w:type="dxa"/>
              <w:left w:w="90" w:type="dxa"/>
              <w:right w:w="90" w:type="dxa"/>
            </w:tcMar>
          </w:tcPr>
          <w:p>
            <w:pPr>
              <w:pStyle w:val="BDOITable"/>
            </w:pPr>
            <w:r>
              <w:rPr>
                <w:sz w:val="16"/>
              </w:rPr>
              <w:t>BRCLM.033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FR-CM-065</w:t>
            </w:r>
          </w:p>
        </w:tc>
        <w:tc>
          <w:tcPr>
            <w:tcW w:type="dxa" w:w="3307"/>
            <w:tcMar>
              <w:top w:w="50" w:type="dxa"/>
              <w:bottom w:w="50" w:type="dxa"/>
              <w:left w:w="90" w:type="dxa"/>
              <w:right w:w="90" w:type="dxa"/>
            </w:tcMar>
            <w:shd w:val="clear" w:color="auto" w:fill="E5F5FF"/>
          </w:tcPr>
          <w:p>
            <w:pPr>
              <w:pStyle w:val="BDOITable"/>
            </w:pPr>
            <w:r>
              <w:rPr>
                <w:sz w:val="16"/>
              </w:rPr>
              <w:t>Give Marketing controlled access to loss information</w:t>
            </w:r>
          </w:p>
        </w:tc>
        <w:tc>
          <w:tcPr>
            <w:tcW w:type="dxa" w:w="1653"/>
            <w:tcMar>
              <w:top w:w="50" w:type="dxa"/>
              <w:bottom w:w="50" w:type="dxa"/>
              <w:left w:w="90" w:type="dxa"/>
              <w:right w:w="90" w:type="dxa"/>
            </w:tcMar>
            <w:shd w:val="clear" w:color="auto" w:fill="E5F5FF"/>
          </w:tcPr>
          <w:p>
            <w:pPr>
              <w:pStyle w:val="BDOITable"/>
            </w:pPr>
            <w:r>
              <w:rPr>
                <w:sz w:val="16"/>
              </w:rPr>
              <w:t>BRCLM.040</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FR-CM-066</w:t>
            </w:r>
          </w:p>
        </w:tc>
        <w:tc>
          <w:tcPr>
            <w:tcW w:type="dxa" w:w="3307"/>
            <w:tcMar>
              <w:top w:w="50" w:type="dxa"/>
              <w:bottom w:w="50" w:type="dxa"/>
              <w:left w:w="90" w:type="dxa"/>
              <w:right w:w="90" w:type="dxa"/>
            </w:tcMar>
          </w:tcPr>
          <w:p>
            <w:pPr>
              <w:pStyle w:val="BDOITable"/>
            </w:pPr>
            <w:r>
              <w:rPr>
                <w:sz w:val="16"/>
              </w:rPr>
              <w:t>Insurer claim number register and claims activity log</w:t>
            </w:r>
          </w:p>
        </w:tc>
        <w:tc>
          <w:tcPr>
            <w:tcW w:type="dxa" w:w="1653"/>
            <w:tcMar>
              <w:top w:w="50" w:type="dxa"/>
              <w:bottom w:w="50" w:type="dxa"/>
              <w:left w:w="90" w:type="dxa"/>
              <w:right w:w="90" w:type="dxa"/>
            </w:tcMar>
          </w:tcPr>
          <w:p>
            <w:pPr>
              <w:pStyle w:val="BDOITable"/>
            </w:pPr>
            <w:r>
              <w:rPr>
                <w:sz w:val="16"/>
              </w:rPr>
              <w:t>BRCLM.043, BRCLM.041, BRCLM.042, NFR 15.08</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bl>
    <w:p>
      <w:pPr>
        <w:pStyle w:val="BDOISpacer"/>
      </w:pPr>
    </w:p>
    <w:p>
      <w:pPr>
        <w:pStyle w:val="Heading2"/>
      </w:pPr>
      <w:bookmarkStart w:id="123" w:name="_Toc000123"/>
      <w:r>
        <w:rPr/>
        <w:t>7.3 Coverage by BRD ID</w:t>
      </w:r>
      <w:bookmarkEnd w:id="123"/>
    </w:p>
    <w:p>
      <w:pPr>
        <w:pStyle w:val="Caption"/>
        <w:keepNext/>
        <w:spacing w:after="60"/>
      </w:pPr>
      <w:r>
        <w:rPr>
          <w:b/>
          <w:i w:val="0"/>
        </w:rPr>
        <w:t xml:space="preserve">Table 13: </w:t>
      </w:r>
      <w:r>
        <w:rPr/>
        <w:t>Coverage by BRD ID (FRs without the FR- prefix)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15"/>
        <w:gridCol w:w="2216"/>
        <w:gridCol w:w="677"/>
        <w:gridCol w:w="677"/>
        <w:gridCol w:w="1415"/>
        <w:gridCol w:w="2216"/>
        <w:gridCol w:w="677"/>
        <w:gridCol w:w="677"/>
      </w:tblGrid>
      <w:tr>
        <w:trPr>
          <w:tblHeader w:val="true"/>
          <w:cantSplit w:val="true"/>
        </w:trPr>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r>
      <w:tr>
        <w:trPr>
          <w:cantSplit w:val="true"/>
        </w:trPr>
        <w:tc>
          <w:tcPr>
            <w:tcW w:type="dxa" w:w="1416"/>
            <w:tcMar>
              <w:top w:w="50" w:type="dxa"/>
              <w:bottom w:w="50" w:type="dxa"/>
              <w:left w:w="90" w:type="dxa"/>
              <w:right w:w="90" w:type="dxa"/>
            </w:tcMar>
          </w:tcPr>
          <w:p>
            <w:pPr>
              <w:pStyle w:val="BDOITable"/>
            </w:pPr>
            <w:r>
              <w:rPr>
                <w:sz w:val="15"/>
              </w:rPr>
              <w:t>BRCLM.001</w:t>
            </w:r>
          </w:p>
        </w:tc>
        <w:tc>
          <w:tcPr>
            <w:tcW w:type="dxa" w:w="2216"/>
            <w:tcMar>
              <w:top w:w="50" w:type="dxa"/>
              <w:bottom w:w="50" w:type="dxa"/>
              <w:left w:w="90" w:type="dxa"/>
              <w:right w:w="90" w:type="dxa"/>
            </w:tcMar>
          </w:tcPr>
          <w:p>
            <w:pPr>
              <w:pStyle w:val="BDOITable"/>
            </w:pPr>
            <w:r>
              <w:rPr>
                <w:sz w:val="15"/>
              </w:rPr>
              <w:t>CM-016, CM-046</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BRCLM.027</w:t>
            </w:r>
          </w:p>
        </w:tc>
        <w:tc>
          <w:tcPr>
            <w:tcW w:type="dxa" w:w="2216"/>
            <w:tcMar>
              <w:top w:w="50" w:type="dxa"/>
              <w:bottom w:w="50" w:type="dxa"/>
              <w:left w:w="90" w:type="dxa"/>
              <w:right w:w="90" w:type="dxa"/>
            </w:tcMar>
          </w:tcPr>
          <w:p>
            <w:pPr>
              <w:pStyle w:val="BDOITable"/>
            </w:pPr>
            <w:r>
              <w:rPr>
                <w:sz w:val="15"/>
              </w:rPr>
              <w:t>CM-042, CM-053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0</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BRCLM.002</w:t>
            </w:r>
          </w:p>
        </w:tc>
        <w:tc>
          <w:tcPr>
            <w:tcW w:type="dxa" w:w="2216"/>
            <w:tcMar>
              <w:top w:w="50" w:type="dxa"/>
              <w:bottom w:w="50" w:type="dxa"/>
              <w:left w:w="90" w:type="dxa"/>
              <w:right w:w="90" w:type="dxa"/>
            </w:tcMar>
            <w:shd w:val="clear" w:color="auto" w:fill="E5F5FF"/>
          </w:tcPr>
          <w:p>
            <w:pPr>
              <w:pStyle w:val="BDOITable"/>
            </w:pPr>
            <w:r>
              <w:rPr>
                <w:sz w:val="15"/>
              </w:rPr>
              <w:t>CM-002, CM-010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BRCLM.028</w:t>
            </w:r>
          </w:p>
        </w:tc>
        <w:tc>
          <w:tcPr>
            <w:tcW w:type="dxa" w:w="2216"/>
            <w:tcMar>
              <w:top w:w="50" w:type="dxa"/>
              <w:bottom w:w="50" w:type="dxa"/>
              <w:left w:w="90" w:type="dxa"/>
              <w:right w:w="90" w:type="dxa"/>
            </w:tcMar>
            <w:shd w:val="clear" w:color="auto" w:fill="E5F5FF"/>
          </w:tcPr>
          <w:p>
            <w:pPr>
              <w:pStyle w:val="BDOITable"/>
            </w:pPr>
            <w:r>
              <w:rPr>
                <w:sz w:val="15"/>
              </w:rPr>
              <w:t>CM-060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416"/>
            <w:tcMar>
              <w:top w:w="50" w:type="dxa"/>
              <w:bottom w:w="50" w:type="dxa"/>
              <w:left w:w="90" w:type="dxa"/>
              <w:right w:w="90" w:type="dxa"/>
            </w:tcMar>
          </w:tcPr>
          <w:p>
            <w:pPr>
              <w:pStyle w:val="BDOITable"/>
            </w:pPr>
            <w:r>
              <w:rPr>
                <w:sz w:val="15"/>
              </w:rPr>
              <w:t>BRCLM.003</w:t>
            </w:r>
          </w:p>
        </w:tc>
        <w:tc>
          <w:tcPr>
            <w:tcW w:type="dxa" w:w="2216"/>
            <w:tcMar>
              <w:top w:w="50" w:type="dxa"/>
              <w:bottom w:w="50" w:type="dxa"/>
              <w:left w:w="90" w:type="dxa"/>
              <w:right w:w="90" w:type="dxa"/>
            </w:tcMar>
          </w:tcPr>
          <w:p>
            <w:pPr>
              <w:pStyle w:val="BDOITable"/>
            </w:pPr>
            <w:r>
              <w:rPr>
                <w:sz w:val="15"/>
              </w:rPr>
              <w:t>CM-010, CM-011, CM-015</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BRCLM.029</w:t>
            </w:r>
          </w:p>
        </w:tc>
        <w:tc>
          <w:tcPr>
            <w:tcW w:type="dxa" w:w="2216"/>
            <w:tcMar>
              <w:top w:w="50" w:type="dxa"/>
              <w:bottom w:w="50" w:type="dxa"/>
              <w:left w:w="90" w:type="dxa"/>
              <w:right w:w="90" w:type="dxa"/>
            </w:tcMar>
          </w:tcPr>
          <w:p>
            <w:pPr>
              <w:pStyle w:val="BDOITable"/>
            </w:pPr>
            <w:r>
              <w:rPr>
                <w:sz w:val="15"/>
              </w:rPr>
              <w:t>CM-044, CM-061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0</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BRCLM.004</w:t>
            </w:r>
          </w:p>
        </w:tc>
        <w:tc>
          <w:tcPr>
            <w:tcW w:type="dxa" w:w="2216"/>
            <w:tcMar>
              <w:top w:w="50" w:type="dxa"/>
              <w:bottom w:w="50" w:type="dxa"/>
              <w:left w:w="90" w:type="dxa"/>
              <w:right w:w="90" w:type="dxa"/>
            </w:tcMar>
            <w:shd w:val="clear" w:color="auto" w:fill="E5F5FF"/>
          </w:tcPr>
          <w:p>
            <w:pPr>
              <w:pStyle w:val="BDOITable"/>
            </w:pPr>
            <w:r>
              <w:rPr>
                <w:sz w:val="15"/>
              </w:rPr>
              <w:t>CM-012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BRCLM.030</w:t>
            </w:r>
          </w:p>
        </w:tc>
        <w:tc>
          <w:tcPr>
            <w:tcW w:type="dxa" w:w="2216"/>
            <w:tcMar>
              <w:top w:w="50" w:type="dxa"/>
              <w:bottom w:w="50" w:type="dxa"/>
              <w:left w:w="90" w:type="dxa"/>
              <w:right w:w="90" w:type="dxa"/>
            </w:tcMar>
            <w:shd w:val="clear" w:color="auto" w:fill="E5F5FF"/>
          </w:tcPr>
          <w:p>
            <w:pPr>
              <w:pStyle w:val="BDOITable"/>
            </w:pPr>
            <w:r>
              <w:rPr>
                <w:sz w:val="15"/>
              </w:rPr>
              <w:t>CM-062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416"/>
            <w:tcMar>
              <w:top w:w="50" w:type="dxa"/>
              <w:bottom w:w="50" w:type="dxa"/>
              <w:left w:w="90" w:type="dxa"/>
              <w:right w:w="90" w:type="dxa"/>
            </w:tcMar>
          </w:tcPr>
          <w:p>
            <w:pPr>
              <w:pStyle w:val="BDOITable"/>
            </w:pPr>
            <w:r>
              <w:rPr>
                <w:sz w:val="15"/>
              </w:rPr>
              <w:t>BRCLM.005</w:t>
            </w:r>
          </w:p>
        </w:tc>
        <w:tc>
          <w:tcPr>
            <w:tcW w:type="dxa" w:w="2216"/>
            <w:tcMar>
              <w:top w:w="50" w:type="dxa"/>
              <w:bottom w:w="50" w:type="dxa"/>
              <w:left w:w="90" w:type="dxa"/>
              <w:right w:w="90" w:type="dxa"/>
            </w:tcMar>
          </w:tcPr>
          <w:p>
            <w:pPr>
              <w:pStyle w:val="BDOITable"/>
            </w:pPr>
            <w:r>
              <w:rPr>
                <w:sz w:val="15"/>
              </w:rPr>
              <w:t>CM-002, CM-045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BRCLM.031</w:t>
            </w:r>
          </w:p>
        </w:tc>
        <w:tc>
          <w:tcPr>
            <w:tcW w:type="dxa" w:w="2216"/>
            <w:tcMar>
              <w:top w:w="50" w:type="dxa"/>
              <w:bottom w:w="50" w:type="dxa"/>
              <w:left w:w="90" w:type="dxa"/>
              <w:right w:w="90" w:type="dxa"/>
            </w:tcMar>
          </w:tcPr>
          <w:p>
            <w:pPr>
              <w:pStyle w:val="BDOITable"/>
            </w:pPr>
            <w:r>
              <w:rPr>
                <w:sz w:val="15"/>
              </w:rPr>
              <w:t>CM-061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0</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BRCLM.006</w:t>
            </w:r>
          </w:p>
        </w:tc>
        <w:tc>
          <w:tcPr>
            <w:tcW w:type="dxa" w:w="2216"/>
            <w:tcMar>
              <w:top w:w="50" w:type="dxa"/>
              <w:bottom w:w="50" w:type="dxa"/>
              <w:left w:w="90" w:type="dxa"/>
              <w:right w:w="90" w:type="dxa"/>
            </w:tcMar>
            <w:shd w:val="clear" w:color="auto" w:fill="E5F5FF"/>
          </w:tcPr>
          <w:p>
            <w:pPr>
              <w:pStyle w:val="BDOITable"/>
            </w:pPr>
            <w:r>
              <w:rPr>
                <w:sz w:val="15"/>
              </w:rPr>
              <w:t>CM-002, CM-030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BRCLM.032</w:t>
            </w:r>
          </w:p>
        </w:tc>
        <w:tc>
          <w:tcPr>
            <w:tcW w:type="dxa" w:w="2216"/>
            <w:tcMar>
              <w:top w:w="50" w:type="dxa"/>
              <w:bottom w:w="50" w:type="dxa"/>
              <w:left w:w="90" w:type="dxa"/>
              <w:right w:w="90" w:type="dxa"/>
            </w:tcMar>
            <w:shd w:val="clear" w:color="auto" w:fill="E5F5FF"/>
          </w:tcPr>
          <w:p>
            <w:pPr>
              <w:pStyle w:val="BDOITable"/>
            </w:pPr>
            <w:r>
              <w:rPr>
                <w:sz w:val="15"/>
              </w:rPr>
              <w:t>CM-062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BRCLM.007</w:t>
            </w:r>
          </w:p>
        </w:tc>
        <w:tc>
          <w:tcPr>
            <w:tcW w:type="dxa" w:w="2216"/>
            <w:tcMar>
              <w:top w:w="50" w:type="dxa"/>
              <w:bottom w:w="50" w:type="dxa"/>
              <w:left w:w="90" w:type="dxa"/>
              <w:right w:w="90" w:type="dxa"/>
            </w:tcMar>
          </w:tcPr>
          <w:p>
            <w:pPr>
              <w:pStyle w:val="BDOITable"/>
            </w:pPr>
            <w:r>
              <w:rPr>
                <w:sz w:val="15"/>
              </w:rPr>
              <w:t>CM-013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BRCLM.033</w:t>
            </w:r>
          </w:p>
        </w:tc>
        <w:tc>
          <w:tcPr>
            <w:tcW w:type="dxa" w:w="2216"/>
            <w:tcMar>
              <w:top w:w="50" w:type="dxa"/>
              <w:bottom w:w="50" w:type="dxa"/>
              <w:left w:w="90" w:type="dxa"/>
              <w:right w:w="90" w:type="dxa"/>
            </w:tcMar>
          </w:tcPr>
          <w:p>
            <w:pPr>
              <w:pStyle w:val="BDOITable"/>
            </w:pPr>
            <w:r>
              <w:rPr>
                <w:sz w:val="15"/>
              </w:rPr>
              <w:t>CM-064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BRCLM.008</w:t>
            </w:r>
          </w:p>
        </w:tc>
        <w:tc>
          <w:tcPr>
            <w:tcW w:type="dxa" w:w="2216"/>
            <w:tcMar>
              <w:top w:w="50" w:type="dxa"/>
              <w:bottom w:w="50" w:type="dxa"/>
              <w:left w:w="90" w:type="dxa"/>
              <w:right w:w="90" w:type="dxa"/>
            </w:tcMar>
            <w:shd w:val="clear" w:color="auto" w:fill="E5F5FF"/>
          </w:tcPr>
          <w:p>
            <w:pPr>
              <w:pStyle w:val="BDOITable"/>
            </w:pPr>
            <w:r>
              <w:rPr>
                <w:sz w:val="15"/>
              </w:rPr>
              <w:t>CM-013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0</w:t>
            </w:r>
          </w:p>
        </w:tc>
        <w:tc>
          <w:tcPr>
            <w:tcW w:type="dxa" w:w="1416"/>
            <w:tcMar>
              <w:top w:w="50" w:type="dxa"/>
              <w:bottom w:w="50" w:type="dxa"/>
              <w:left w:w="90" w:type="dxa"/>
              <w:right w:w="90" w:type="dxa"/>
            </w:tcMar>
            <w:shd w:val="clear" w:color="auto" w:fill="E5F5FF"/>
          </w:tcPr>
          <w:p>
            <w:pPr>
              <w:pStyle w:val="BDOITable"/>
            </w:pPr>
            <w:r>
              <w:rPr>
                <w:sz w:val="15"/>
              </w:rPr>
              <w:t>BRCLM.034</w:t>
            </w:r>
          </w:p>
        </w:tc>
        <w:tc>
          <w:tcPr>
            <w:tcW w:type="dxa" w:w="2216"/>
            <w:tcMar>
              <w:top w:w="50" w:type="dxa"/>
              <w:bottom w:w="50" w:type="dxa"/>
              <w:left w:w="90" w:type="dxa"/>
              <w:right w:w="90" w:type="dxa"/>
            </w:tcMar>
            <w:shd w:val="clear" w:color="auto" w:fill="E5F5FF"/>
          </w:tcPr>
          <w:p>
            <w:pPr>
              <w:pStyle w:val="BDOITable"/>
            </w:pPr>
            <w:r>
              <w:rPr>
                <w:sz w:val="15"/>
              </w:rPr>
              <w:t>CM-054, CM-055, CM-061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BRCLM.009</w:t>
            </w:r>
          </w:p>
        </w:tc>
        <w:tc>
          <w:tcPr>
            <w:tcW w:type="dxa" w:w="2216"/>
            <w:tcMar>
              <w:top w:w="50" w:type="dxa"/>
              <w:bottom w:w="50" w:type="dxa"/>
              <w:left w:w="90" w:type="dxa"/>
              <w:right w:w="90" w:type="dxa"/>
            </w:tcMar>
          </w:tcPr>
          <w:p>
            <w:pPr>
              <w:pStyle w:val="BDOITable"/>
            </w:pPr>
            <w:r>
              <w:rPr>
                <w:sz w:val="15"/>
              </w:rPr>
              <w:t>CM-011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0</w:t>
            </w:r>
          </w:p>
        </w:tc>
        <w:tc>
          <w:tcPr>
            <w:tcW w:type="dxa" w:w="1416"/>
            <w:tcMar>
              <w:top w:w="50" w:type="dxa"/>
              <w:bottom w:w="50" w:type="dxa"/>
              <w:left w:w="90" w:type="dxa"/>
              <w:right w:w="90" w:type="dxa"/>
            </w:tcMar>
          </w:tcPr>
          <w:p>
            <w:pPr>
              <w:pStyle w:val="BDOITable"/>
            </w:pPr>
            <w:r>
              <w:rPr>
                <w:sz w:val="15"/>
              </w:rPr>
              <w:t>BRCLM.035</w:t>
            </w:r>
          </w:p>
        </w:tc>
        <w:tc>
          <w:tcPr>
            <w:tcW w:type="dxa" w:w="2216"/>
            <w:tcMar>
              <w:top w:w="50" w:type="dxa"/>
              <w:bottom w:w="50" w:type="dxa"/>
              <w:left w:w="90" w:type="dxa"/>
              <w:right w:w="90" w:type="dxa"/>
            </w:tcMar>
          </w:tcPr>
          <w:p>
            <w:pPr>
              <w:pStyle w:val="BDOITable"/>
            </w:pPr>
            <w:r>
              <w:rPr>
                <w:sz w:val="15"/>
              </w:rPr>
              <w:t>CM-045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0</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BRCLM.010</w:t>
            </w:r>
          </w:p>
        </w:tc>
        <w:tc>
          <w:tcPr>
            <w:tcW w:type="dxa" w:w="2216"/>
            <w:tcMar>
              <w:top w:w="50" w:type="dxa"/>
              <w:bottom w:w="50" w:type="dxa"/>
              <w:left w:w="90" w:type="dxa"/>
              <w:right w:w="90" w:type="dxa"/>
            </w:tcMar>
            <w:shd w:val="clear" w:color="auto" w:fill="E5F5FF"/>
          </w:tcPr>
          <w:p>
            <w:pPr>
              <w:pStyle w:val="BDOITable"/>
            </w:pPr>
            <w:r>
              <w:rPr>
                <w:sz w:val="15"/>
              </w:rPr>
              <w:t>CM-040, CM-046</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BRCLM.036</w:t>
            </w:r>
          </w:p>
        </w:tc>
        <w:tc>
          <w:tcPr>
            <w:tcW w:type="dxa" w:w="2216"/>
            <w:tcMar>
              <w:top w:w="50" w:type="dxa"/>
              <w:bottom w:w="50" w:type="dxa"/>
              <w:left w:w="90" w:type="dxa"/>
              <w:right w:w="90" w:type="dxa"/>
            </w:tcMar>
            <w:shd w:val="clear" w:color="auto" w:fill="E5F5FF"/>
          </w:tcPr>
          <w:p>
            <w:pPr>
              <w:pStyle w:val="BDOITable"/>
            </w:pPr>
            <w:r>
              <w:rPr>
                <w:sz w:val="15"/>
              </w:rPr>
              <w:t>CM-033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BRCLM.011</w:t>
            </w:r>
          </w:p>
        </w:tc>
        <w:tc>
          <w:tcPr>
            <w:tcW w:type="dxa" w:w="2216"/>
            <w:tcMar>
              <w:top w:w="50" w:type="dxa"/>
              <w:bottom w:w="50" w:type="dxa"/>
              <w:left w:w="90" w:type="dxa"/>
              <w:right w:w="90" w:type="dxa"/>
            </w:tcMar>
          </w:tcPr>
          <w:p>
            <w:pPr>
              <w:pStyle w:val="BDOITable"/>
            </w:pPr>
            <w:r>
              <w:rPr>
                <w:sz w:val="15"/>
              </w:rPr>
              <w:t>CM-002, CM-042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BRCLM.037</w:t>
            </w:r>
          </w:p>
        </w:tc>
        <w:tc>
          <w:tcPr>
            <w:tcW w:type="dxa" w:w="2216"/>
            <w:tcMar>
              <w:top w:w="50" w:type="dxa"/>
              <w:bottom w:w="50" w:type="dxa"/>
              <w:left w:w="90" w:type="dxa"/>
              <w:right w:w="90" w:type="dxa"/>
            </w:tcMar>
          </w:tcPr>
          <w:p>
            <w:pPr>
              <w:pStyle w:val="BDOITable"/>
            </w:pPr>
            <w:r>
              <w:rPr>
                <w:sz w:val="15"/>
              </w:rPr>
              <w:t>CM-020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BRCLM.012</w:t>
            </w:r>
          </w:p>
        </w:tc>
        <w:tc>
          <w:tcPr>
            <w:tcW w:type="dxa" w:w="2216"/>
            <w:tcMar>
              <w:top w:w="50" w:type="dxa"/>
              <w:bottom w:w="50" w:type="dxa"/>
              <w:left w:w="90" w:type="dxa"/>
              <w:right w:w="90" w:type="dxa"/>
            </w:tcMar>
            <w:shd w:val="clear" w:color="auto" w:fill="E5F5FF"/>
          </w:tcPr>
          <w:p>
            <w:pPr>
              <w:pStyle w:val="BDOITable"/>
            </w:pPr>
            <w:r>
              <w:rPr>
                <w:sz w:val="15"/>
              </w:rPr>
              <w:t>CM-041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BRCLM.038</w:t>
            </w:r>
          </w:p>
        </w:tc>
        <w:tc>
          <w:tcPr>
            <w:tcW w:type="dxa" w:w="2216"/>
            <w:tcMar>
              <w:top w:w="50" w:type="dxa"/>
              <w:bottom w:w="50" w:type="dxa"/>
              <w:left w:w="90" w:type="dxa"/>
              <w:right w:w="90" w:type="dxa"/>
            </w:tcMar>
            <w:shd w:val="clear" w:color="auto" w:fill="E5F5FF"/>
          </w:tcPr>
          <w:p>
            <w:pPr>
              <w:pStyle w:val="BDOITable"/>
            </w:pPr>
            <w:r>
              <w:rPr>
                <w:sz w:val="15"/>
              </w:rPr>
              <w:t>CM-063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BRCLM.013</w:t>
            </w:r>
          </w:p>
        </w:tc>
        <w:tc>
          <w:tcPr>
            <w:tcW w:type="dxa" w:w="2216"/>
            <w:tcMar>
              <w:top w:w="50" w:type="dxa"/>
              <w:bottom w:w="50" w:type="dxa"/>
              <w:left w:w="90" w:type="dxa"/>
              <w:right w:w="90" w:type="dxa"/>
            </w:tcMar>
          </w:tcPr>
          <w:p>
            <w:pPr>
              <w:pStyle w:val="BDOITable"/>
            </w:pPr>
            <w:r>
              <w:rPr>
                <w:sz w:val="15"/>
              </w:rPr>
              <w:t>CM-041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BRCLM.039</w:t>
            </w:r>
          </w:p>
        </w:tc>
        <w:tc>
          <w:tcPr>
            <w:tcW w:type="dxa" w:w="2216"/>
            <w:tcMar>
              <w:top w:w="50" w:type="dxa"/>
              <w:bottom w:w="50" w:type="dxa"/>
              <w:left w:w="90" w:type="dxa"/>
              <w:right w:w="90" w:type="dxa"/>
            </w:tcMar>
          </w:tcPr>
          <w:p>
            <w:pPr>
              <w:pStyle w:val="BDOITable"/>
            </w:pPr>
            <w:r>
              <w:rPr>
                <w:sz w:val="15"/>
              </w:rPr>
              <w:t>CM-015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0</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BRCLM.014</w:t>
            </w:r>
          </w:p>
        </w:tc>
        <w:tc>
          <w:tcPr>
            <w:tcW w:type="dxa" w:w="2216"/>
            <w:tcMar>
              <w:top w:w="50" w:type="dxa"/>
              <w:bottom w:w="50" w:type="dxa"/>
              <w:left w:w="90" w:type="dxa"/>
              <w:right w:w="90" w:type="dxa"/>
            </w:tcMar>
            <w:shd w:val="clear" w:color="auto" w:fill="E5F5FF"/>
          </w:tcPr>
          <w:p>
            <w:pPr>
              <w:pStyle w:val="BDOITable"/>
            </w:pPr>
            <w:r>
              <w:rPr>
                <w:sz w:val="15"/>
              </w:rPr>
              <w:t>CM-043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BRCLM.040</w:t>
            </w:r>
          </w:p>
        </w:tc>
        <w:tc>
          <w:tcPr>
            <w:tcW w:type="dxa" w:w="2216"/>
            <w:tcMar>
              <w:top w:w="50" w:type="dxa"/>
              <w:bottom w:w="50" w:type="dxa"/>
              <w:left w:w="90" w:type="dxa"/>
              <w:right w:w="90" w:type="dxa"/>
            </w:tcMar>
            <w:shd w:val="clear" w:color="auto" w:fill="E5F5FF"/>
          </w:tcPr>
          <w:p>
            <w:pPr>
              <w:pStyle w:val="BDOITable"/>
            </w:pPr>
            <w:r>
              <w:rPr>
                <w:sz w:val="15"/>
              </w:rPr>
              <w:t>CM-065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BRCLM.015</w:t>
            </w:r>
          </w:p>
        </w:tc>
        <w:tc>
          <w:tcPr>
            <w:tcW w:type="dxa" w:w="2216"/>
            <w:tcMar>
              <w:top w:w="50" w:type="dxa"/>
              <w:bottom w:w="50" w:type="dxa"/>
              <w:left w:w="90" w:type="dxa"/>
              <w:right w:w="90" w:type="dxa"/>
            </w:tcMar>
          </w:tcPr>
          <w:p>
            <w:pPr>
              <w:pStyle w:val="BDOITable"/>
            </w:pPr>
            <w:r>
              <w:rPr>
                <w:sz w:val="15"/>
              </w:rPr>
              <w:t>CM-002, CM-044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BRCLM.041</w:t>
            </w:r>
          </w:p>
        </w:tc>
        <w:tc>
          <w:tcPr>
            <w:tcW w:type="dxa" w:w="2216"/>
            <w:tcMar>
              <w:top w:w="50" w:type="dxa"/>
              <w:bottom w:w="50" w:type="dxa"/>
              <w:left w:w="90" w:type="dxa"/>
              <w:right w:w="90" w:type="dxa"/>
            </w:tcMar>
          </w:tcPr>
          <w:p>
            <w:pPr>
              <w:pStyle w:val="BDOITable"/>
            </w:pPr>
            <w:r>
              <w:rPr>
                <w:sz w:val="15"/>
              </w:rPr>
              <w:t>CM-003, CM-011, CM-022, CM-024, CM-066</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BRCLM.016</w:t>
            </w:r>
          </w:p>
        </w:tc>
        <w:tc>
          <w:tcPr>
            <w:tcW w:type="dxa" w:w="2216"/>
            <w:tcMar>
              <w:top w:w="50" w:type="dxa"/>
              <w:bottom w:w="50" w:type="dxa"/>
              <w:left w:w="90" w:type="dxa"/>
              <w:right w:w="90" w:type="dxa"/>
            </w:tcMar>
            <w:shd w:val="clear" w:color="auto" w:fill="E5F5FF"/>
          </w:tcPr>
          <w:p>
            <w:pPr>
              <w:pStyle w:val="BDOITable"/>
            </w:pPr>
            <w:r>
              <w:rPr>
                <w:sz w:val="15"/>
              </w:rPr>
              <w:t>CM-014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BRCLM.042</w:t>
            </w:r>
          </w:p>
        </w:tc>
        <w:tc>
          <w:tcPr>
            <w:tcW w:type="dxa" w:w="2216"/>
            <w:tcMar>
              <w:top w:w="50" w:type="dxa"/>
              <w:bottom w:w="50" w:type="dxa"/>
              <w:left w:w="90" w:type="dxa"/>
              <w:right w:w="90" w:type="dxa"/>
            </w:tcMar>
            <w:shd w:val="clear" w:color="auto" w:fill="E5F5FF"/>
          </w:tcPr>
          <w:p>
            <w:pPr>
              <w:pStyle w:val="BDOITable"/>
            </w:pPr>
            <w:r>
              <w:rPr>
                <w:sz w:val="15"/>
              </w:rPr>
              <w:t>CM-003, CM-023, CM-066</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BRCLM.017</w:t>
            </w:r>
          </w:p>
        </w:tc>
        <w:tc>
          <w:tcPr>
            <w:tcW w:type="dxa" w:w="2216"/>
            <w:tcMar>
              <w:top w:w="50" w:type="dxa"/>
              <w:bottom w:w="50" w:type="dxa"/>
              <w:left w:w="90" w:type="dxa"/>
              <w:right w:w="90" w:type="dxa"/>
            </w:tcMar>
          </w:tcPr>
          <w:p>
            <w:pPr>
              <w:pStyle w:val="BDOITable"/>
            </w:pPr>
            <w:r>
              <w:rPr>
                <w:sz w:val="15"/>
              </w:rPr>
              <w:t>CM-031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0</w:t>
            </w:r>
          </w:p>
        </w:tc>
        <w:tc>
          <w:tcPr>
            <w:tcW w:type="dxa" w:w="1416"/>
            <w:tcMar>
              <w:top w:w="50" w:type="dxa"/>
              <w:bottom w:w="50" w:type="dxa"/>
              <w:left w:w="90" w:type="dxa"/>
              <w:right w:w="90" w:type="dxa"/>
            </w:tcMar>
          </w:tcPr>
          <w:p>
            <w:pPr>
              <w:pStyle w:val="BDOITable"/>
            </w:pPr>
            <w:r>
              <w:rPr>
                <w:sz w:val="15"/>
              </w:rPr>
              <w:t>BRCLM.043</w:t>
            </w:r>
          </w:p>
        </w:tc>
        <w:tc>
          <w:tcPr>
            <w:tcW w:type="dxa" w:w="2216"/>
            <w:tcMar>
              <w:top w:w="50" w:type="dxa"/>
              <w:bottom w:w="50" w:type="dxa"/>
              <w:left w:w="90" w:type="dxa"/>
              <w:right w:w="90" w:type="dxa"/>
            </w:tcMar>
          </w:tcPr>
          <w:p>
            <w:pPr>
              <w:pStyle w:val="BDOITable"/>
            </w:pPr>
            <w:r>
              <w:rPr>
                <w:sz w:val="15"/>
              </w:rPr>
              <w:t>CM-021, CM-055, CM-066</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BRCLM.018</w:t>
            </w:r>
          </w:p>
        </w:tc>
        <w:tc>
          <w:tcPr>
            <w:tcW w:type="dxa" w:w="2216"/>
            <w:tcMar>
              <w:top w:w="50" w:type="dxa"/>
              <w:bottom w:w="50" w:type="dxa"/>
              <w:left w:w="90" w:type="dxa"/>
              <w:right w:w="90" w:type="dxa"/>
            </w:tcMar>
            <w:shd w:val="clear" w:color="auto" w:fill="E5F5FF"/>
          </w:tcPr>
          <w:p>
            <w:pPr>
              <w:pStyle w:val="BDOITable"/>
            </w:pPr>
            <w:r>
              <w:rPr>
                <w:sz w:val="15"/>
              </w:rPr>
              <w:t>CM-002, CM-031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NFR 1.01-2.03</w:t>
            </w:r>
          </w:p>
        </w:tc>
        <w:tc>
          <w:tcPr>
            <w:tcW w:type="dxa" w:w="2216"/>
            <w:tcMar>
              <w:top w:w="50" w:type="dxa"/>
              <w:bottom w:w="50" w:type="dxa"/>
              <w:left w:w="90" w:type="dxa"/>
              <w:right w:w="90" w:type="dxa"/>
            </w:tcMar>
            <w:shd w:val="clear" w:color="auto" w:fill="E5F5FF"/>
          </w:tcPr>
          <w:p>
            <w:pPr>
              <w:pStyle w:val="BDOITable"/>
            </w:pPr>
            <w:r>
              <w:rPr>
                <w:sz w:val="15"/>
              </w:rPr>
              <w:t>CM-001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BRCLM.019</w:t>
            </w:r>
          </w:p>
        </w:tc>
        <w:tc>
          <w:tcPr>
            <w:tcW w:type="dxa" w:w="2216"/>
            <w:tcMar>
              <w:top w:w="50" w:type="dxa"/>
              <w:bottom w:w="50" w:type="dxa"/>
              <w:left w:w="90" w:type="dxa"/>
              <w:right w:w="90" w:type="dxa"/>
            </w:tcMar>
          </w:tcPr>
          <w:p>
            <w:pPr>
              <w:pStyle w:val="BDOITable"/>
            </w:pPr>
            <w:r>
              <w:rPr>
                <w:sz w:val="15"/>
              </w:rPr>
              <w:t>CM-002, CM-050, CM-054</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NFR 10.01-10.06</w:t>
            </w:r>
          </w:p>
        </w:tc>
        <w:tc>
          <w:tcPr>
            <w:tcW w:type="dxa" w:w="2216"/>
            <w:tcMar>
              <w:top w:w="50" w:type="dxa"/>
              <w:bottom w:w="50" w:type="dxa"/>
              <w:left w:w="90" w:type="dxa"/>
              <w:right w:w="90" w:type="dxa"/>
            </w:tcMar>
          </w:tcPr>
          <w:p>
            <w:pPr>
              <w:pStyle w:val="BDOITable"/>
            </w:pPr>
            <w:r>
              <w:rPr>
                <w:sz w:val="15"/>
              </w:rPr>
              <w:t>CM-001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BRCLM.020</w:t>
            </w:r>
          </w:p>
        </w:tc>
        <w:tc>
          <w:tcPr>
            <w:tcW w:type="dxa" w:w="2216"/>
            <w:tcMar>
              <w:top w:w="50" w:type="dxa"/>
              <w:bottom w:w="50" w:type="dxa"/>
              <w:left w:w="90" w:type="dxa"/>
              <w:right w:w="90" w:type="dxa"/>
            </w:tcMar>
            <w:shd w:val="clear" w:color="auto" w:fill="E5F5FF"/>
          </w:tcPr>
          <w:p>
            <w:pPr>
              <w:pStyle w:val="BDOITable"/>
            </w:pPr>
            <w:r>
              <w:rPr>
                <w:sz w:val="15"/>
              </w:rPr>
              <w:t>CM-051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NFR 15.03</w:t>
            </w:r>
          </w:p>
        </w:tc>
        <w:tc>
          <w:tcPr>
            <w:tcW w:type="dxa" w:w="2216"/>
            <w:tcMar>
              <w:top w:w="50" w:type="dxa"/>
              <w:bottom w:w="50" w:type="dxa"/>
              <w:left w:w="90" w:type="dxa"/>
              <w:right w:w="90" w:type="dxa"/>
            </w:tcMar>
            <w:shd w:val="clear" w:color="auto" w:fill="E5F5FF"/>
          </w:tcPr>
          <w:p>
            <w:pPr>
              <w:pStyle w:val="BDOITable"/>
            </w:pPr>
            <w:r>
              <w:rPr>
                <w:sz w:val="15"/>
              </w:rPr>
              <w:t>CM-055</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416"/>
            <w:tcMar>
              <w:top w:w="50" w:type="dxa"/>
              <w:bottom w:w="50" w:type="dxa"/>
              <w:left w:w="90" w:type="dxa"/>
              <w:right w:w="90" w:type="dxa"/>
            </w:tcMar>
          </w:tcPr>
          <w:p>
            <w:pPr>
              <w:pStyle w:val="BDOITable"/>
            </w:pPr>
            <w:r>
              <w:rPr>
                <w:sz w:val="15"/>
              </w:rPr>
              <w:t>BRCLM.021</w:t>
            </w:r>
          </w:p>
        </w:tc>
        <w:tc>
          <w:tcPr>
            <w:tcW w:type="dxa" w:w="2216"/>
            <w:tcMar>
              <w:top w:w="50" w:type="dxa"/>
              <w:bottom w:w="50" w:type="dxa"/>
              <w:left w:w="90" w:type="dxa"/>
              <w:right w:w="90" w:type="dxa"/>
            </w:tcMar>
          </w:tcPr>
          <w:p>
            <w:pPr>
              <w:pStyle w:val="BDOITable"/>
            </w:pPr>
            <w:r>
              <w:rPr>
                <w:sz w:val="15"/>
              </w:rPr>
              <w:t>CM-002, CM-051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NFR 15.05</w:t>
            </w:r>
          </w:p>
        </w:tc>
        <w:tc>
          <w:tcPr>
            <w:tcW w:type="dxa" w:w="2216"/>
            <w:tcMar>
              <w:top w:w="50" w:type="dxa"/>
              <w:bottom w:w="50" w:type="dxa"/>
              <w:left w:w="90" w:type="dxa"/>
              <w:right w:w="90" w:type="dxa"/>
            </w:tcMar>
          </w:tcPr>
          <w:p>
            <w:pPr>
              <w:pStyle w:val="BDOITable"/>
            </w:pPr>
            <w:r>
              <w:rPr>
                <w:sz w:val="15"/>
              </w:rPr>
              <w:t>CM-016</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0</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BRCLM.022</w:t>
            </w:r>
          </w:p>
        </w:tc>
        <w:tc>
          <w:tcPr>
            <w:tcW w:type="dxa" w:w="2216"/>
            <w:tcMar>
              <w:top w:w="50" w:type="dxa"/>
              <w:bottom w:w="50" w:type="dxa"/>
              <w:left w:w="90" w:type="dxa"/>
              <w:right w:w="90" w:type="dxa"/>
            </w:tcMar>
            <w:shd w:val="clear" w:color="auto" w:fill="E5F5FF"/>
          </w:tcPr>
          <w:p>
            <w:pPr>
              <w:pStyle w:val="BDOITable"/>
            </w:pPr>
            <w:r>
              <w:rPr>
                <w:sz w:val="15"/>
              </w:rPr>
              <w:t>CM-052, CM-054</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NFR 15.08</w:t>
            </w:r>
          </w:p>
        </w:tc>
        <w:tc>
          <w:tcPr>
            <w:tcW w:type="dxa" w:w="2216"/>
            <w:tcMar>
              <w:top w:w="50" w:type="dxa"/>
              <w:bottom w:w="50" w:type="dxa"/>
              <w:left w:w="90" w:type="dxa"/>
              <w:right w:w="90" w:type="dxa"/>
            </w:tcMar>
            <w:shd w:val="clear" w:color="auto" w:fill="E5F5FF"/>
          </w:tcPr>
          <w:p>
            <w:pPr>
              <w:pStyle w:val="BDOITable"/>
            </w:pPr>
            <w:r>
              <w:rPr>
                <w:sz w:val="15"/>
              </w:rPr>
              <w:t>CM-052, CM-066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416"/>
            <w:tcMar>
              <w:top w:w="50" w:type="dxa"/>
              <w:bottom w:w="50" w:type="dxa"/>
              <w:left w:w="90" w:type="dxa"/>
              <w:right w:w="90" w:type="dxa"/>
            </w:tcMar>
          </w:tcPr>
          <w:p>
            <w:pPr>
              <w:pStyle w:val="BDOITable"/>
            </w:pPr>
            <w:r>
              <w:rPr>
                <w:sz w:val="15"/>
              </w:rPr>
              <w:t>BRCLM.023</w:t>
            </w:r>
          </w:p>
        </w:tc>
        <w:tc>
          <w:tcPr>
            <w:tcW w:type="dxa" w:w="2216"/>
            <w:tcMar>
              <w:top w:w="50" w:type="dxa"/>
              <w:bottom w:w="50" w:type="dxa"/>
              <w:left w:w="90" w:type="dxa"/>
              <w:right w:w="90" w:type="dxa"/>
            </w:tcMar>
          </w:tcPr>
          <w:p>
            <w:pPr>
              <w:pStyle w:val="BDOITable"/>
            </w:pPr>
            <w:r>
              <w:rPr>
                <w:sz w:val="15"/>
              </w:rPr>
              <w:t>CM-032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NFR 15.14</w:t>
            </w:r>
          </w:p>
        </w:tc>
        <w:tc>
          <w:tcPr>
            <w:tcW w:type="dxa" w:w="2216"/>
            <w:tcMar>
              <w:top w:w="50" w:type="dxa"/>
              <w:bottom w:w="50" w:type="dxa"/>
              <w:left w:w="90" w:type="dxa"/>
              <w:right w:w="90" w:type="dxa"/>
            </w:tcMar>
          </w:tcPr>
          <w:p>
            <w:pPr>
              <w:pStyle w:val="BDOITable"/>
            </w:pPr>
            <w:r>
              <w:rPr>
                <w:sz w:val="15"/>
              </w:rPr>
              <w:t>CM-024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0</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BRCLM.024</w:t>
            </w:r>
          </w:p>
        </w:tc>
        <w:tc>
          <w:tcPr>
            <w:tcW w:type="dxa" w:w="2216"/>
            <w:tcMar>
              <w:top w:w="50" w:type="dxa"/>
              <w:bottom w:w="50" w:type="dxa"/>
              <w:left w:w="90" w:type="dxa"/>
              <w:right w:w="90" w:type="dxa"/>
            </w:tcMar>
            <w:shd w:val="clear" w:color="auto" w:fill="E5F5FF"/>
          </w:tcPr>
          <w:p>
            <w:pPr>
              <w:pStyle w:val="BDOITable"/>
            </w:pPr>
            <w:r>
              <w:rPr>
                <w:sz w:val="15"/>
              </w:rPr>
              <w:t>CM-002, CM-032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NFR 4.01-4.03</w:t>
            </w:r>
          </w:p>
        </w:tc>
        <w:tc>
          <w:tcPr>
            <w:tcW w:type="dxa" w:w="2216"/>
            <w:tcMar>
              <w:top w:w="50" w:type="dxa"/>
              <w:bottom w:w="50" w:type="dxa"/>
              <w:left w:w="90" w:type="dxa"/>
              <w:right w:w="90" w:type="dxa"/>
            </w:tcMar>
            <w:shd w:val="clear" w:color="auto" w:fill="E5F5FF"/>
          </w:tcPr>
          <w:p>
            <w:pPr>
              <w:pStyle w:val="BDOITable"/>
            </w:pPr>
            <w:r>
              <w:rPr>
                <w:sz w:val="15"/>
              </w:rPr>
              <w:t>CM-003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BRCLM.025</w:t>
            </w:r>
          </w:p>
        </w:tc>
        <w:tc>
          <w:tcPr>
            <w:tcW w:type="dxa" w:w="2216"/>
            <w:tcMar>
              <w:top w:w="50" w:type="dxa"/>
              <w:bottom w:w="50" w:type="dxa"/>
              <w:left w:w="90" w:type="dxa"/>
              <w:right w:w="90" w:type="dxa"/>
            </w:tcMar>
          </w:tcPr>
          <w:p>
            <w:pPr>
              <w:pStyle w:val="BDOITable"/>
            </w:pPr>
            <w:r>
              <w:rPr>
                <w:sz w:val="15"/>
              </w:rPr>
              <w:t>CM-053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Process p.24-25</w:t>
            </w:r>
          </w:p>
        </w:tc>
        <w:tc>
          <w:tcPr>
            <w:tcW w:type="dxa" w:w="2216"/>
            <w:tcMar>
              <w:top w:w="50" w:type="dxa"/>
              <w:bottom w:w="50" w:type="dxa"/>
              <w:left w:w="90" w:type="dxa"/>
              <w:right w:w="90" w:type="dxa"/>
            </w:tcMar>
          </w:tcPr>
          <w:p>
            <w:pPr>
              <w:pStyle w:val="BDOITable"/>
            </w:pPr>
            <w:r>
              <w:rPr>
                <w:sz w:val="15"/>
              </w:rPr>
              <w:t>CM-024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BRCLM.026</w:t>
            </w:r>
          </w:p>
        </w:tc>
        <w:tc>
          <w:tcPr>
            <w:tcW w:type="dxa" w:w="2216"/>
            <w:tcMar>
              <w:top w:w="50" w:type="dxa"/>
              <w:bottom w:w="50" w:type="dxa"/>
              <w:left w:w="90" w:type="dxa"/>
              <w:right w:w="90" w:type="dxa"/>
            </w:tcMar>
            <w:shd w:val="clear" w:color="auto" w:fill="E5F5FF"/>
          </w:tcPr>
          <w:p>
            <w:pPr>
              <w:pStyle w:val="BDOITable"/>
            </w:pPr>
            <w:r>
              <w:rPr>
                <w:sz w:val="15"/>
              </w:rPr>
              <w:t>CM-060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Report list</w:t>
            </w:r>
          </w:p>
        </w:tc>
        <w:tc>
          <w:tcPr>
            <w:tcW w:type="dxa" w:w="2216"/>
            <w:tcMar>
              <w:top w:w="50" w:type="dxa"/>
              <w:bottom w:w="50" w:type="dxa"/>
              <w:left w:w="90" w:type="dxa"/>
              <w:right w:w="90" w:type="dxa"/>
            </w:tcMar>
            <w:shd w:val="clear" w:color="auto" w:fill="E5F5FF"/>
          </w:tcPr>
          <w:p>
            <w:pPr>
              <w:pStyle w:val="BDOITable"/>
            </w:pPr>
            <w:r>
              <w:rPr>
                <w:sz w:val="15"/>
              </w:rPr>
              <w:t>CM-060, CM-061, CM-062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SC-CM-01</w:t>
            </w:r>
          </w:p>
        </w:tc>
        <w:tc>
          <w:tcPr>
            <w:tcW w:type="dxa" w:w="2464"/>
            <w:tcMar>
              <w:top w:w="50" w:type="dxa"/>
              <w:bottom w:w="50" w:type="dxa"/>
              <w:left w:w="90" w:type="dxa"/>
              <w:right w:w="90" w:type="dxa"/>
            </w:tcMar>
          </w:tcPr>
          <w:p>
            <w:pPr>
              <w:pStyle w:val="BDOITable"/>
            </w:pPr>
            <w:r>
              <w:rPr>
                <w:sz w:val="17"/>
              </w:rPr>
              <w:t>SYSADMIN – System Administrator</w:t>
            </w:r>
          </w:p>
        </w:tc>
        <w:tc>
          <w:tcPr>
            <w:tcW w:type="dxa" w:w="5631"/>
            <w:tcMar>
              <w:top w:w="50" w:type="dxa"/>
              <w:bottom w:w="50" w:type="dxa"/>
              <w:left w:w="90" w:type="dxa"/>
              <w:right w:w="90" w:type="dxa"/>
            </w:tcMar>
          </w:tcPr>
          <w:p>
            <w:pPr>
              <w:pStyle w:val="BDOITable"/>
            </w:pPr>
            <w:r>
              <w:rPr>
                <w:sz w:val="17"/>
              </w:rPr>
              <w:t>Access and audit. Claims users log in, see only the Claims actions of their role, and every change on a claim is kept in its history and the audit trail.</w:t>
            </w:r>
          </w:p>
        </w:tc>
        <w:tc>
          <w:tcPr>
            <w:tcW w:type="dxa" w:w="821"/>
            <w:tcMar>
              <w:top w:w="50" w:type="dxa"/>
              <w:bottom w:w="50" w:type="dxa"/>
              <w:left w:w="90" w:type="dxa"/>
              <w:right w:w="90" w:type="dxa"/>
            </w:tcMar>
          </w:tcPr>
          <w:p>
            <w:pPr>
              <w:pStyle w:val="BDOITable"/>
            </w:pPr>
            <w:r>
              <w:rPr>
                <w:sz w:val="17"/>
              </w:rPr>
              <w:t>15</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SC-CM-02</w:t>
            </w:r>
          </w:p>
        </w:tc>
        <w:tc>
          <w:tcPr>
            <w:tcW w:type="dxa" w:w="2464"/>
            <w:tcMar>
              <w:top w:w="50" w:type="dxa"/>
              <w:bottom w:w="50" w:type="dxa"/>
              <w:left w:w="90" w:type="dxa"/>
              <w:right w:w="90" w:type="dxa"/>
            </w:tcMar>
            <w:shd w:val="clear" w:color="auto" w:fill="E5F5FF"/>
          </w:tcPr>
          <w:p>
            <w:pPr>
              <w:pStyle w:val="BDOITable"/>
            </w:pPr>
            <w:r>
              <w:rPr>
                <w:sz w:val="17"/>
              </w:rPr>
              <w:t>CLM_OFFICER – Claims Officer / Claims Assistant</w:t>
            </w:r>
          </w:p>
        </w:tc>
        <w:tc>
          <w:tcPr>
            <w:tcW w:type="dxa" w:w="5631"/>
            <w:tcMar>
              <w:top w:w="50" w:type="dxa"/>
              <w:bottom w:w="50" w:type="dxa"/>
              <w:left w:w="90" w:type="dxa"/>
              <w:right w:w="90" w:type="dxa"/>
            </w:tcMar>
            <w:shd w:val="clear" w:color="auto" w:fill="E5F5FF"/>
          </w:tcPr>
          <w:p>
            <w:pPr>
              <w:pStyle w:val="BDOITable"/>
            </w:pPr>
            <w:r>
              <w:rPr>
                <w:sz w:val="17"/>
              </w:rPr>
              <w:t>Cover and premium. The Claims Officer looks up a cover, records a claim with cover, version, policy number and sales data, and gets the authorization code only when the premium is paid.</w:t>
            </w:r>
          </w:p>
        </w:tc>
        <w:tc>
          <w:tcPr>
            <w:tcW w:type="dxa" w:w="821"/>
            <w:tcMar>
              <w:top w:w="50" w:type="dxa"/>
              <w:bottom w:w="50" w:type="dxa"/>
              <w:left w:w="90" w:type="dxa"/>
              <w:right w:w="90" w:type="dxa"/>
            </w:tcMar>
            <w:shd w:val="clear" w:color="auto" w:fill="E5F5FF"/>
          </w:tcPr>
          <w:p>
            <w:pPr>
              <w:pStyle w:val="BDOITable"/>
            </w:pPr>
            <w:r>
              <w:rPr>
                <w:sz w:val="17"/>
              </w:rPr>
              <w:t>37</w:t>
            </w:r>
          </w:p>
        </w:tc>
      </w:tr>
      <w:tr>
        <w:trPr>
          <w:cantSplit w:val="true"/>
        </w:trPr>
        <w:tc>
          <w:tcPr>
            <w:tcW w:type="dxa" w:w="1056"/>
            <w:tcMar>
              <w:top w:w="50" w:type="dxa"/>
              <w:bottom w:w="50" w:type="dxa"/>
              <w:left w:w="90" w:type="dxa"/>
              <w:right w:w="90" w:type="dxa"/>
            </w:tcMar>
          </w:tcPr>
          <w:p>
            <w:pPr>
              <w:pStyle w:val="BDOITable"/>
            </w:pPr>
            <w:r>
              <w:rPr>
                <w:sz w:val="17"/>
              </w:rPr>
              <w:t>SC-CM-03</w:t>
            </w:r>
          </w:p>
        </w:tc>
        <w:tc>
          <w:tcPr>
            <w:tcW w:type="dxa" w:w="2464"/>
            <w:tcMar>
              <w:top w:w="50" w:type="dxa"/>
              <w:bottom w:w="50" w:type="dxa"/>
              <w:left w:w="90" w:type="dxa"/>
              <w:right w:w="90" w:type="dxa"/>
            </w:tcMar>
          </w:tcPr>
          <w:p>
            <w:pPr>
              <w:pStyle w:val="BDOITable"/>
            </w:pPr>
            <w:r>
              <w:rPr>
                <w:sz w:val="17"/>
              </w:rPr>
              <w:t>CLM_OFFICER – Claims Officer / Claims Assistant</w:t>
            </w:r>
          </w:p>
        </w:tc>
        <w:tc>
          <w:tcPr>
            <w:tcW w:type="dxa" w:w="5631"/>
            <w:tcMar>
              <w:top w:w="50" w:type="dxa"/>
              <w:bottom w:w="50" w:type="dxa"/>
              <w:left w:w="90" w:type="dxa"/>
              <w:right w:w="90" w:type="dxa"/>
            </w:tcMar>
          </w:tcPr>
          <w:p>
            <w:pPr>
              <w:pStyle w:val="BDOITable"/>
            </w:pPr>
            <w:r>
              <w:rPr>
                <w:sz w:val="17"/>
              </w:rPr>
              <w:t>Locations and insurers. The officer links several locations and insurers to one claim, records insurer claim numbers and updates, maintains insurer location references and sends the loss advice.</w:t>
            </w:r>
          </w:p>
        </w:tc>
        <w:tc>
          <w:tcPr>
            <w:tcW w:type="dxa" w:w="821"/>
            <w:tcMar>
              <w:top w:w="50" w:type="dxa"/>
              <w:bottom w:w="50" w:type="dxa"/>
              <w:left w:w="90" w:type="dxa"/>
              <w:right w:w="90" w:type="dxa"/>
            </w:tcMar>
          </w:tcPr>
          <w:p>
            <w:pPr>
              <w:pStyle w:val="BDOITable"/>
            </w:pPr>
            <w:r>
              <w:rPr>
                <w:sz w:val="17"/>
              </w:rPr>
              <w:t>26</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SC-CM-04</w:t>
            </w:r>
          </w:p>
        </w:tc>
        <w:tc>
          <w:tcPr>
            <w:tcW w:type="dxa" w:w="2464"/>
            <w:tcMar>
              <w:top w:w="50" w:type="dxa"/>
              <w:bottom w:w="50" w:type="dxa"/>
              <w:left w:w="90" w:type="dxa"/>
              <w:right w:w="90" w:type="dxa"/>
            </w:tcMar>
            <w:shd w:val="clear" w:color="auto" w:fill="E5F5FF"/>
          </w:tcPr>
          <w:p>
            <w:pPr>
              <w:pStyle w:val="BDOITable"/>
            </w:pPr>
            <w:r>
              <w:rPr>
                <w:sz w:val="17"/>
              </w:rPr>
              <w:t>CLM_TL – Claims Team Lead</w:t>
            </w:r>
          </w:p>
        </w:tc>
        <w:tc>
          <w:tcPr>
            <w:tcW w:type="dxa" w:w="5631"/>
            <w:tcMar>
              <w:top w:w="50" w:type="dxa"/>
              <w:bottom w:w="50" w:type="dxa"/>
              <w:left w:w="90" w:type="dxa"/>
              <w:right w:w="90" w:type="dxa"/>
            </w:tcMar>
            <w:shd w:val="clear" w:color="auto" w:fill="E5F5FF"/>
          </w:tcPr>
          <w:p>
            <w:pPr>
              <w:pStyle w:val="BDOITable"/>
            </w:pPr>
            <w:r>
              <w:rPr>
                <w:sz w:val="17"/>
              </w:rPr>
              <w:t>Claim handling. The Team Lead overrides the claimant, assigns adjusters, amends the reserve and tags catastrophes.</w:t>
            </w:r>
          </w:p>
        </w:tc>
        <w:tc>
          <w:tcPr>
            <w:tcW w:type="dxa" w:w="821"/>
            <w:tcMar>
              <w:top w:w="50" w:type="dxa"/>
              <w:bottom w:w="50" w:type="dxa"/>
              <w:left w:w="90" w:type="dxa"/>
              <w:right w:w="90" w:type="dxa"/>
            </w:tcMar>
            <w:shd w:val="clear" w:color="auto" w:fill="E5F5FF"/>
          </w:tcPr>
          <w:p>
            <w:pPr>
              <w:pStyle w:val="BDOITable"/>
            </w:pPr>
            <w:r>
              <w:rPr>
                <w:sz w:val="17"/>
              </w:rPr>
              <w:t>19</w:t>
            </w:r>
          </w:p>
        </w:tc>
      </w:tr>
      <w:tr>
        <w:trPr>
          <w:cantSplit w:val="true"/>
        </w:trPr>
        <w:tc>
          <w:tcPr>
            <w:tcW w:type="dxa" w:w="1056"/>
            <w:tcMar>
              <w:top w:w="50" w:type="dxa"/>
              <w:bottom w:w="50" w:type="dxa"/>
              <w:left w:w="90" w:type="dxa"/>
              <w:right w:w="90" w:type="dxa"/>
            </w:tcMar>
          </w:tcPr>
          <w:p>
            <w:pPr>
              <w:pStyle w:val="BDOITable"/>
            </w:pPr>
            <w:r>
              <w:rPr>
                <w:sz w:val="17"/>
              </w:rPr>
              <w:t>SC-CM-05</w:t>
            </w:r>
          </w:p>
        </w:tc>
        <w:tc>
          <w:tcPr>
            <w:tcW w:type="dxa" w:w="2464"/>
            <w:tcMar>
              <w:top w:w="50" w:type="dxa"/>
              <w:bottom w:w="50" w:type="dxa"/>
              <w:left w:w="90" w:type="dxa"/>
              <w:right w:w="90" w:type="dxa"/>
            </w:tcMar>
          </w:tcPr>
          <w:p>
            <w:pPr>
              <w:pStyle w:val="BDOITable"/>
            </w:pPr>
            <w:r>
              <w:rPr>
                <w:sz w:val="17"/>
              </w:rPr>
              <w:t>CLM_TL – Claims Team Lead</w:t>
            </w:r>
          </w:p>
        </w:tc>
        <w:tc>
          <w:tcPr>
            <w:tcW w:type="dxa" w:w="5631"/>
            <w:tcMar>
              <w:top w:w="50" w:type="dxa"/>
              <w:bottom w:w="50" w:type="dxa"/>
              <w:left w:w="90" w:type="dxa"/>
              <w:right w:w="90" w:type="dxa"/>
            </w:tcMar>
          </w:tcPr>
          <w:p>
            <w:pPr>
              <w:pStyle w:val="BDOITable"/>
            </w:pPr>
            <w:r>
              <w:rPr>
                <w:sz w:val="17"/>
              </w:rPr>
              <w:t>Status, settlement and closure. Handlers change statuses within the matrix, set the settlement, close temporarily or permanently, reopen, and request the special remittance.</w:t>
            </w:r>
          </w:p>
        </w:tc>
        <w:tc>
          <w:tcPr>
            <w:tcW w:type="dxa" w:w="821"/>
            <w:tcMar>
              <w:top w:w="50" w:type="dxa"/>
              <w:bottom w:w="50" w:type="dxa"/>
              <w:left w:w="90" w:type="dxa"/>
              <w:right w:w="90" w:type="dxa"/>
            </w:tcMar>
          </w:tcPr>
          <w:p>
            <w:pPr>
              <w:pStyle w:val="BDOITable"/>
            </w:pPr>
            <w:r>
              <w:rPr>
                <w:sz w:val="17"/>
              </w:rPr>
              <w:t>25</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SC-CM-06</w:t>
            </w:r>
          </w:p>
        </w:tc>
        <w:tc>
          <w:tcPr>
            <w:tcW w:type="dxa" w:w="2464"/>
            <w:tcMar>
              <w:top w:w="50" w:type="dxa"/>
              <w:bottom w:w="50" w:type="dxa"/>
              <w:left w:w="90" w:type="dxa"/>
              <w:right w:w="90" w:type="dxa"/>
            </w:tcMar>
            <w:shd w:val="clear" w:color="auto" w:fill="E5F5FF"/>
          </w:tcPr>
          <w:p>
            <w:pPr>
              <w:pStyle w:val="BDOITable"/>
            </w:pPr>
            <w:r>
              <w:rPr>
                <w:sz w:val="17"/>
              </w:rPr>
              <w:t>CLM_OFFICER – Claims Officer / Claims Assistant</w:t>
            </w:r>
          </w:p>
        </w:tc>
        <w:tc>
          <w:tcPr>
            <w:tcW w:type="dxa" w:w="5631"/>
            <w:tcMar>
              <w:top w:w="50" w:type="dxa"/>
              <w:bottom w:w="50" w:type="dxa"/>
              <w:left w:w="90" w:type="dxa"/>
              <w:right w:w="90" w:type="dxa"/>
            </w:tcMar>
            <w:shd w:val="clear" w:color="auto" w:fill="E5F5FF"/>
          </w:tcPr>
          <w:p>
            <w:pPr>
              <w:pStyle w:val="BDOITable"/>
            </w:pPr>
            <w:r>
              <w:rPr>
                <w:sz w:val="17"/>
              </w:rPr>
              <w:t>Follow-up and ageing. BIBS computes follow-up dates and ages; handlers keep the action plan and diary and work the follow-ups due from Claims Home.</w:t>
            </w:r>
          </w:p>
        </w:tc>
        <w:tc>
          <w:tcPr>
            <w:tcW w:type="dxa" w:w="821"/>
            <w:tcMar>
              <w:top w:w="50" w:type="dxa"/>
              <w:bottom w:w="50" w:type="dxa"/>
              <w:left w:w="90" w:type="dxa"/>
              <w:right w:w="90" w:type="dxa"/>
            </w:tcMar>
            <w:shd w:val="clear" w:color="auto" w:fill="E5F5FF"/>
          </w:tcPr>
          <w:p>
            <w:pPr>
              <w:pStyle w:val="BDOITable"/>
            </w:pPr>
            <w:r>
              <w:rPr>
                <w:sz w:val="17"/>
              </w:rPr>
              <w:t>27</w:t>
            </w:r>
          </w:p>
        </w:tc>
      </w:tr>
      <w:tr>
        <w:trPr>
          <w:cantSplit w:val="true"/>
        </w:trPr>
        <w:tc>
          <w:tcPr>
            <w:tcW w:type="dxa" w:w="1056"/>
            <w:tcMar>
              <w:top w:w="50" w:type="dxa"/>
              <w:bottom w:w="50" w:type="dxa"/>
              <w:left w:w="90" w:type="dxa"/>
              <w:right w:w="90" w:type="dxa"/>
            </w:tcMar>
          </w:tcPr>
          <w:p>
            <w:pPr>
              <w:pStyle w:val="BDOITable"/>
            </w:pPr>
            <w:r>
              <w:rPr>
                <w:sz w:val="17"/>
              </w:rPr>
              <w:t>SC-CM-07</w:t>
            </w:r>
          </w:p>
        </w:tc>
        <w:tc>
          <w:tcPr>
            <w:tcW w:type="dxa" w:w="2464"/>
            <w:tcMar>
              <w:top w:w="50" w:type="dxa"/>
              <w:bottom w:w="50" w:type="dxa"/>
              <w:left w:w="90" w:type="dxa"/>
              <w:right w:w="90" w:type="dxa"/>
            </w:tcMar>
          </w:tcPr>
          <w:p>
            <w:pPr>
              <w:pStyle w:val="BDOITable"/>
            </w:pPr>
            <w:r>
              <w:rPr>
                <w:sz w:val="17"/>
              </w:rPr>
              <w:t>CLM_UH – Claims Unit Head</w:t>
            </w:r>
          </w:p>
        </w:tc>
        <w:tc>
          <w:tcPr>
            <w:tcW w:type="dxa" w:w="5631"/>
            <w:tcMar>
              <w:top w:w="50" w:type="dxa"/>
              <w:bottom w:w="50" w:type="dxa"/>
              <w:left w:w="90" w:type="dxa"/>
              <w:right w:w="90" w:type="dxa"/>
            </w:tcMar>
          </w:tcPr>
          <w:p>
            <w:pPr>
              <w:pStyle w:val="BDOITable"/>
            </w:pPr>
            <w:r>
              <w:rPr>
                <w:sz w:val="17"/>
              </w:rPr>
              <w:t>Reports and analytics. Claims users and Marketing run the ageing, outstanding, settled, loss, location and register reports and the data extract within their rights.</w:t>
            </w:r>
          </w:p>
        </w:tc>
        <w:tc>
          <w:tcPr>
            <w:tcW w:type="dxa" w:w="821"/>
            <w:tcMar>
              <w:top w:w="50" w:type="dxa"/>
              <w:bottom w:w="50" w:type="dxa"/>
              <w:left w:w="90" w:type="dxa"/>
              <w:right w:w="90" w:type="dxa"/>
            </w:tcMar>
          </w:tcPr>
          <w:p>
            <w:pPr>
              <w:pStyle w:val="BDOITable"/>
            </w:pPr>
            <w:r>
              <w:rPr>
                <w:sz w:val="17"/>
              </w:rPr>
              <w:t>29</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SC-CM-08</w:t>
            </w:r>
          </w:p>
        </w:tc>
        <w:tc>
          <w:tcPr>
            <w:tcW w:type="dxa" w:w="2464"/>
            <w:tcMar>
              <w:top w:w="50" w:type="dxa"/>
              <w:bottom w:w="50" w:type="dxa"/>
              <w:left w:w="90" w:type="dxa"/>
              <w:right w:w="90" w:type="dxa"/>
            </w:tcMar>
            <w:shd w:val="clear" w:color="auto" w:fill="E5F5FF"/>
          </w:tcPr>
          <w:p>
            <w:pPr>
              <w:pStyle w:val="BDOITable"/>
            </w:pPr>
            <w:r>
              <w:rPr>
                <w:sz w:val="17"/>
              </w:rPr>
              <w:t>CLM_UH – Claims Unit Head</w:t>
            </w:r>
          </w:p>
        </w:tc>
        <w:tc>
          <w:tcPr>
            <w:tcW w:type="dxa" w:w="5631"/>
            <w:tcMar>
              <w:top w:w="50" w:type="dxa"/>
              <w:bottom w:w="50" w:type="dxa"/>
              <w:left w:w="90" w:type="dxa"/>
              <w:right w:w="90" w:type="dxa"/>
            </w:tcMar>
            <w:shd w:val="clear" w:color="auto" w:fill="E5F5FF"/>
          </w:tcPr>
          <w:p>
            <w:pPr>
              <w:pStyle w:val="BDOITable"/>
            </w:pPr>
            <w:r>
              <w:rPr>
                <w:sz w:val="17"/>
              </w:rPr>
              <w:t>Set-up. The Unit Head maintains statuses, settlement types, adjusters, catastrophe codes and the status matrix under maker-checker.</w:t>
            </w:r>
          </w:p>
        </w:tc>
        <w:tc>
          <w:tcPr>
            <w:tcW w:type="dxa" w:w="821"/>
            <w:tcMar>
              <w:top w:w="50" w:type="dxa"/>
              <w:bottom w:w="50" w:type="dxa"/>
              <w:left w:w="90" w:type="dxa"/>
              <w:right w:w="90" w:type="dxa"/>
            </w:tcMar>
            <w:shd w:val="clear" w:color="auto" w:fill="E5F5FF"/>
          </w:tcPr>
          <w:p>
            <w:pPr>
              <w:pStyle w:val="BDOITable"/>
            </w:pPr>
            <w:r>
              <w:rPr>
                <w:sz w:val="17"/>
              </w:rPr>
              <w:t>7</w:t>
            </w:r>
          </w:p>
        </w:tc>
      </w:tr>
    </w:tbl>
    <w:p>
      <w:pPr>
        <w:pStyle w:val="BDOISpacer"/>
      </w:pPr>
    </w:p>
    <w:p>
      <w:pPr>
        <w:pStyle w:val="Heading2"/>
      </w:pPr>
      <w:bookmarkStart w:id="125" w:name="_Toc000125"/>
      <w:r>
        <w:rPr/>
        <w:t>7.5 Roles and access</w:t>
      </w:r>
      <w:bookmarkEnd w:id="125"/>
    </w:p>
    <w:p>
      <w:r>
        <w:rPr/>
        <w:t>The table shows the actions checked per role. Each Y and N is one row of the Roles and Access sheet.</w:t>
      </w:r>
    </w:p>
    <w:p>
      <w:pPr>
        <w:pStyle w:val="Caption"/>
        <w:keepNext/>
        <w:spacing w:after="60"/>
      </w:pPr>
      <w:r>
        <w:rPr>
          <w:b/>
          <w:i w:val="0"/>
        </w:rPr>
        <w:t xml:space="preserve">Table 15: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21"/>
        <w:gridCol w:w="765"/>
        <w:gridCol w:w="765"/>
        <w:gridCol w:w="765"/>
        <w:gridCol w:w="765"/>
        <w:gridCol w:w="765"/>
        <w:gridCol w:w="765"/>
        <w:gridCol w:w="765"/>
        <w:gridCol w:w="765"/>
        <w:gridCol w:w="765"/>
        <w:gridCol w:w="765"/>
      </w:tblGrid>
      <w:tr>
        <w:trPr>
          <w:tblHeader w:val="true"/>
          <w:cantSplit w:val="true"/>
        </w:trPr>
        <w:tc>
          <w:tcPr>
            <w:tcW w:type="dxa" w:w="2322"/>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CLM Off.</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CLM TL</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CLM TH</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CLM UH</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CLM Risk</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MKT AO</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MKT TL</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Remit.</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Sys. Admin</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Audit.</w:t>
            </w:r>
          </w:p>
        </w:tc>
      </w:tr>
      <w:tr>
        <w:trPr>
          <w:cantSplit w:val="true"/>
        </w:trPr>
        <w:tc>
          <w:tcPr>
            <w:tcW w:type="dxa" w:w="2322"/>
            <w:tcMar>
              <w:top w:w="50" w:type="dxa"/>
              <w:bottom w:w="50" w:type="dxa"/>
              <w:left w:w="90" w:type="dxa"/>
              <w:right w:w="90" w:type="dxa"/>
            </w:tcMar>
          </w:tcPr>
          <w:p>
            <w:pPr>
              <w:pStyle w:val="BDOITable"/>
            </w:pPr>
            <w:r>
              <w:rPr>
                <w:sz w:val="15"/>
              </w:rPr>
              <w:t>Look up a cover</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Record a claim, locations, insurer numbers and updates</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Generate the claims authorization code</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Change the claim status (within the matrix)</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Close a claim permanently</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Reopen a closed claim</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Override the claimant</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Set the settlement type</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Assign the adjuster</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Override the follow-up date</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Amend the insurer reserve</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Maintain insurer location references</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Maintain statuses, settlement types, matrix and Claims lists</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Run the Claims reports</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r>
      <w:tr>
        <w:trPr>
          <w:cantSplit w:val="true"/>
        </w:trPr>
        <w:tc>
          <w:tcPr>
            <w:tcW w:type="dxa" w:w="2322"/>
            <w:tcMar>
              <w:top w:w="50" w:type="dxa"/>
              <w:bottom w:w="50" w:type="dxa"/>
              <w:left w:w="90" w:type="dxa"/>
              <w:right w:w="90" w:type="dxa"/>
            </w:tcMar>
          </w:tcPr>
          <w:p>
            <w:pPr>
              <w:pStyle w:val="BDOITable"/>
            </w:pPr>
            <w:r>
              <w:rPr>
                <w:sz w:val="15"/>
              </w:rPr>
              <w:t>Download the Claims reports</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N</w:t>
            </w: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Run the Claims Data Extract</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Reassign claims between handlers</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Open the Claims worklist and claim records</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r>
    </w:tbl>
    <w:p>
      <w:pPr>
        <w:pStyle w:val="BDOISpacer"/>
      </w:pPr>
    </w:p>
    <w:p>
      <w:pPr>
        <w:pStyle w:val="Heading2"/>
      </w:pPr>
      <w:bookmarkStart w:id="126" w:name="_Toc000126"/>
      <w:r>
        <w:rPr/>
        <w:t>7.6 Automated tests</w:t>
      </w:r>
      <w:bookmarkEnd w:id="126"/>
    </w:p>
    <w:p>
      <w:r>
        <w:rPr/>
        <w:t>No automated test exists yet for this BRD; every case is run manually.</w:t>
      </w:r>
    </w:p>
    <w:p>
      <w:pPr>
        <w:pStyle w:val="Heading1"/>
        <w:pBdr>
          <w:bottom w:val="single" w:sz="4" w:space="4" w:color="99C1E7"/>
        </w:pBdr>
      </w:pPr>
      <w:bookmarkStart w:id="127" w:name="_Toc000127"/>
      <w:r>
        <w:rPr/>
        <w:t>8 Risks</w:t>
      </w:r>
      <w:bookmarkEnd w:id="127"/>
    </w:p>
    <w:p>
      <w:pPr>
        <w:pStyle w:val="Caption"/>
        <w:keepNext/>
        <w:spacing w:after="60"/>
      </w:pPr>
      <w:r>
        <w:rPr>
          <w:b/>
          <w:i w:val="0"/>
        </w:rPr>
        <w:t xml:space="preserve">Table 16: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Claims is not built; screen names, labels and messages may change at build</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The cases name the design's screens and the FRS texts; the test lead updates the workbook from the build before the system test</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Open questions change expected results (CLQ01 code, CLQ04 matrix and units, CLQ05 closing types, CLQ06 closure rights and ageing, CLQ15 Marketing rights)</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The matrix, lists and roles are configuration; the cases use the delivered defaults and are re-run with BDOI's values</w:t>
            </w:r>
          </w:p>
        </w:tc>
      </w:tr>
      <w:tr>
        <w:trPr>
          <w:cantSplit w:val="true"/>
        </w:trPr>
        <w:tc>
          <w:tcPr>
            <w:tcW w:type="dxa" w:w="3688"/>
            <w:tcMar>
              <w:top w:w="50" w:type="dxa"/>
              <w:bottom w:w="50" w:type="dxa"/>
              <w:left w:w="90" w:type="dxa"/>
              <w:right w:w="90" w:type="dxa"/>
            </w:tcMar>
          </w:tcPr>
          <w:p>
            <w:pPr>
              <w:pStyle w:val="BDOITable"/>
            </w:pPr>
            <w:r>
              <w:rPr>
                <w:sz w:val="18"/>
              </w:rPr>
              <w:t>Ageing and follow-up cases need past dates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test lead sets reported and status dates in the test database and runs the jobs on demand</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The Remittance feed and the BRD-1 endorsement events are needed by FR-CM-015, 016 and 046</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Run those cases after the BRD-2 remittance change is deployed; they are marked in their preconditions</w:t>
            </w:r>
          </w:p>
        </w:tc>
      </w:tr>
      <w:tr>
        <w:trPr>
          <w:cantSplit w:val="true"/>
        </w:trPr>
        <w:tc>
          <w:tcPr>
            <w:tcW w:type="dxa" w:w="3688"/>
            <w:tcMar>
              <w:top w:w="50" w:type="dxa"/>
              <w:bottom w:w="50" w:type="dxa"/>
              <w:left w:w="90" w:type="dxa"/>
              <w:right w:w="90" w:type="dxa"/>
            </w:tcMar>
          </w:tcPr>
          <w:p>
            <w:pPr>
              <w:pStyle w:val="BDOITable"/>
            </w:pPr>
            <w:r>
              <w:rPr>
                <w:sz w:val="18"/>
              </w:rPr>
              <w:t>Insurer test mailboxes not reachable from SIT or UAT</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Check the relay before the cycle; loss advice cases read the send log when the mailbox is down and are re-run later</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BDOI Claims testers from the branches are not available in the UAT window</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Agree named testers and dates in the UAT plan (deliverable 30)</w:t>
            </w:r>
          </w:p>
        </w:tc>
      </w:tr>
    </w:tbl>
    <w:p>
      <w:pPr>
        <w:pStyle w:val="BDOISpacer"/>
      </w:pPr>
    </w:p>
    <w:p>
      <w:pPr>
        <w:pStyle w:val="Heading1"/>
        <w:pBdr>
          <w:bottom w:val="single" w:sz="4" w:space="4" w:color="99C1E7"/>
        </w:pBdr>
      </w:pPr>
      <w:bookmarkStart w:id="128" w:name="_Toc000128"/>
      <w:r>
        <w:rPr/>
        <w:t>9 FRS findings</w:t>
      </w:r>
      <w:bookmarkEnd w:id="128"/>
    </w:p>
    <w:p>
      <w:r>
        <w:rPr/>
        <w:t>Writing the cases showed the points below, where the FRS is ambiguous, cannot be tested as written, or differs from what the platform shows today. The cases follow the proposed resolution; the FRS owner decides the correction for FRS v1.1.</w:t>
      </w:r>
    </w:p>
    <w:p>
      <w:pPr>
        <w:pStyle w:val="Caption"/>
        <w:keepNext/>
        <w:spacing w:after="60"/>
      </w:pPr>
      <w:r>
        <w:rPr>
          <w:b/>
          <w:i w:val="0"/>
        </w:rPr>
        <w:t xml:space="preserve">Table 17: </w:t>
      </w:r>
      <w:r>
        <w:rPr/>
        <w:t>FRS findings for the FRS owner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1290"/>
        <w:gridCol w:w="4223"/>
        <w:gridCol w:w="3402"/>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1290"/>
            <w:shd w:val="clear" w:color="auto" w:fill="004EA8"/>
            <w:tcMar>
              <w:top w:w="50" w:type="dxa"/>
              <w:bottom w:w="50" w:type="dxa"/>
              <w:left w:w="90" w:type="dxa"/>
              <w:right w:w="90" w:type="dxa"/>
            </w:tcMar>
            <w:vAlign w:val="center"/>
          </w:tcPr>
          <w:p>
            <w:pPr>
              <w:pStyle w:val="BDOITableHeader"/>
            </w:pPr>
            <w:r>
              <w:rPr>
                <w:b/>
                <w:color w:val="FFFFFF"/>
                <w:sz w:val="17"/>
              </w:rPr>
              <w:t>FR</w:t>
            </w:r>
          </w:p>
        </w:tc>
        <w:tc>
          <w:tcPr>
            <w:tcW w:type="dxa" w:w="4223"/>
            <w:shd w:val="clear" w:color="auto" w:fill="004EA8"/>
            <w:tcMar>
              <w:top w:w="50" w:type="dxa"/>
              <w:bottom w:w="50" w:type="dxa"/>
              <w:left w:w="90" w:type="dxa"/>
              <w:right w:w="90" w:type="dxa"/>
            </w:tcMar>
            <w:vAlign w:val="center"/>
          </w:tcPr>
          <w:p>
            <w:pPr>
              <w:pStyle w:val="BDOITableHeader"/>
            </w:pPr>
            <w:r>
              <w:rPr>
                <w:b/>
                <w:color w:val="FFFFFF"/>
                <w:sz w:val="17"/>
              </w:rPr>
              <w:t>Finding</w:t>
            </w:r>
          </w:p>
        </w:tc>
        <w:tc>
          <w:tcPr>
            <w:tcW w:type="dxa" w:w="3402"/>
            <w:shd w:val="clear" w:color="auto" w:fill="004EA8"/>
            <w:tcMar>
              <w:top w:w="50" w:type="dxa"/>
              <w:bottom w:w="50" w:type="dxa"/>
              <w:left w:w="90" w:type="dxa"/>
              <w:right w:w="90" w:type="dxa"/>
            </w:tcMar>
            <w:vAlign w:val="center"/>
          </w:tcPr>
          <w:p>
            <w:pPr>
              <w:pStyle w:val="BDOITableHeader"/>
            </w:pPr>
            <w:r>
              <w:rPr>
                <w:b/>
                <w:color w:val="FFFFFF"/>
                <w:sz w:val="17"/>
              </w:rPr>
              <w:t>Proposed resolution</w:t>
            </w:r>
          </w:p>
        </w:tc>
      </w:tr>
      <w:tr>
        <w:trPr>
          <w:cantSplit w:val="true"/>
        </w:trPr>
        <w:tc>
          <w:tcPr>
            <w:tcW w:type="dxa" w:w="1056"/>
            <w:tcMar>
              <w:top w:w="50" w:type="dxa"/>
              <w:bottom w:w="50" w:type="dxa"/>
              <w:left w:w="90" w:type="dxa"/>
              <w:right w:w="90" w:type="dxa"/>
            </w:tcMar>
          </w:tcPr>
          <w:p>
            <w:pPr>
              <w:pStyle w:val="BDOITable"/>
            </w:pPr>
            <w:r>
              <w:rPr>
                <w:sz w:val="17"/>
              </w:rPr>
              <w:t>TF-CM-01</w:t>
            </w:r>
          </w:p>
        </w:tc>
        <w:tc>
          <w:tcPr>
            <w:tcW w:type="dxa" w:w="1290"/>
            <w:tcMar>
              <w:top w:w="50" w:type="dxa"/>
              <w:bottom w:w="50" w:type="dxa"/>
              <w:left w:w="90" w:type="dxa"/>
              <w:right w:w="90" w:type="dxa"/>
            </w:tcMar>
          </w:tcPr>
          <w:p>
            <w:pPr>
              <w:pStyle w:val="BDOITable"/>
            </w:pPr>
            <w:r>
              <w:rPr>
                <w:sz w:val="17"/>
              </w:rPr>
              <w:t>FR-CM-001</w:t>
            </w:r>
          </w:p>
        </w:tc>
        <w:tc>
          <w:tcPr>
            <w:tcW w:type="dxa" w:w="4223"/>
            <w:tcMar>
              <w:top w:w="50" w:type="dxa"/>
              <w:bottom w:w="50" w:type="dxa"/>
              <w:left w:w="90" w:type="dxa"/>
              <w:right w:w="90" w:type="dxa"/>
            </w:tcMar>
          </w:tcPr>
          <w:p>
            <w:pPr>
              <w:pStyle w:val="BDOITable"/>
            </w:pPr>
            <w:r>
              <w:rPr>
                <w:sz w:val="17"/>
              </w:rPr>
              <w:t>The FRS messages "Invalid user ID or password" and "Your account is locked. Contact the System Administrator" differ from the platform log-in ("Invalid user name or password"; "Account is locked. Contact your administrator."). The idle timeout of 15 minutes differs from the BIBS session policy (CLQ24).</w:t>
            </w:r>
          </w:p>
        </w:tc>
        <w:tc>
          <w:tcPr>
            <w:tcW w:type="dxa" w:w="3402"/>
            <w:tcMar>
              <w:top w:w="50" w:type="dxa"/>
              <w:bottom w:w="50" w:type="dxa"/>
              <w:left w:w="90" w:type="dxa"/>
              <w:right w:w="90" w:type="dxa"/>
            </w:tcMar>
          </w:tcPr>
          <w:p>
            <w:pPr>
              <w:pStyle w:val="BDOITable"/>
            </w:pPr>
            <w:r>
              <w:rPr>
                <w:sz w:val="17"/>
              </w:rPr>
              <w:t>Quote the platform texts in FRS v1.1 and close CLQ24; the cases use the platform texts and a 15-minute test setting.</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TF-CM-02</w:t>
            </w:r>
          </w:p>
        </w:tc>
        <w:tc>
          <w:tcPr>
            <w:tcW w:type="dxa" w:w="1290"/>
            <w:tcMar>
              <w:top w:w="50" w:type="dxa"/>
              <w:bottom w:w="50" w:type="dxa"/>
              <w:left w:w="90" w:type="dxa"/>
              <w:right w:w="90" w:type="dxa"/>
            </w:tcMar>
            <w:shd w:val="clear" w:color="auto" w:fill="E5F5FF"/>
          </w:tcPr>
          <w:p>
            <w:pPr>
              <w:pStyle w:val="BDOITable"/>
            </w:pPr>
            <w:r>
              <w:rPr>
                <w:sz w:val="17"/>
              </w:rPr>
              <w:t>FR-CM-024</w:t>
            </w:r>
          </w:p>
        </w:tc>
        <w:tc>
          <w:tcPr>
            <w:tcW w:type="dxa" w:w="4223"/>
            <w:tcMar>
              <w:top w:w="50" w:type="dxa"/>
              <w:bottom w:w="50" w:type="dxa"/>
              <w:left w:w="90" w:type="dxa"/>
              <w:right w:w="90" w:type="dxa"/>
            </w:tcMar>
            <w:shd w:val="clear" w:color="auto" w:fill="E5F5FF"/>
          </w:tcPr>
          <w:p>
            <w:pPr>
              <w:pStyle w:val="BDOITable"/>
            </w:pPr>
            <w:r>
              <w:rPr>
                <w:sz w:val="17"/>
              </w:rPr>
              <w:t>The FRS pairs EMAIL_ADDRESS_INVALID with "Enter a valid e-mail address"; the platform returns "Invalid e-mail address - &lt;address&gt;" for that code.</w:t>
            </w:r>
          </w:p>
        </w:tc>
        <w:tc>
          <w:tcPr>
            <w:tcW w:type="dxa" w:w="3402"/>
            <w:tcMar>
              <w:top w:w="50" w:type="dxa"/>
              <w:bottom w:w="50" w:type="dxa"/>
              <w:left w:w="90" w:type="dxa"/>
              <w:right w:w="90" w:type="dxa"/>
            </w:tcMar>
            <w:shd w:val="clear" w:color="auto" w:fill="E5F5FF"/>
          </w:tcPr>
          <w:p>
            <w:pPr>
              <w:pStyle w:val="BDOITable"/>
            </w:pPr>
            <w:r>
              <w:rPr>
                <w:sz w:val="17"/>
              </w:rPr>
              <w:t>Quote the platform text.</w:t>
            </w:r>
          </w:p>
        </w:tc>
      </w:tr>
      <w:tr>
        <w:trPr>
          <w:cantSplit w:val="true"/>
        </w:trPr>
        <w:tc>
          <w:tcPr>
            <w:tcW w:type="dxa" w:w="1056"/>
            <w:tcMar>
              <w:top w:w="50" w:type="dxa"/>
              <w:bottom w:w="50" w:type="dxa"/>
              <w:left w:w="90" w:type="dxa"/>
              <w:right w:w="90" w:type="dxa"/>
            </w:tcMar>
          </w:tcPr>
          <w:p>
            <w:pPr>
              <w:pStyle w:val="BDOITable"/>
            </w:pPr>
            <w:r>
              <w:rPr>
                <w:sz w:val="17"/>
              </w:rPr>
              <w:t>TF-CM-03</w:t>
            </w:r>
          </w:p>
        </w:tc>
        <w:tc>
          <w:tcPr>
            <w:tcW w:type="dxa" w:w="1290"/>
            <w:tcMar>
              <w:top w:w="50" w:type="dxa"/>
              <w:bottom w:w="50" w:type="dxa"/>
              <w:left w:w="90" w:type="dxa"/>
              <w:right w:w="90" w:type="dxa"/>
            </w:tcMar>
          </w:tcPr>
          <w:p>
            <w:pPr>
              <w:pStyle w:val="BDOITable"/>
            </w:pPr>
            <w:r>
              <w:rPr>
                <w:sz w:val="17"/>
              </w:rPr>
              <w:t>FR-CM-060</w:t>
            </w:r>
          </w:p>
        </w:tc>
        <w:tc>
          <w:tcPr>
            <w:tcW w:type="dxa" w:w="4223"/>
            <w:tcMar>
              <w:top w:w="50" w:type="dxa"/>
              <w:bottom w:w="50" w:type="dxa"/>
              <w:left w:w="90" w:type="dxa"/>
              <w:right w:w="90" w:type="dxa"/>
            </w:tcMar>
          </w:tcPr>
          <w:p>
            <w:pPr>
              <w:pStyle w:val="BDOITable"/>
            </w:pPr>
            <w:r>
              <w:rPr>
                <w:sz w:val="17"/>
              </w:rPr>
              <w:t>FR-CM-060 to 066 pair INVALID_REPORT_PARAMETERS with FRS texts ("The as-of date cannot be in the future", "The end date must be on or after the start date"). The report engine builds its own texts from the parameter labels, for example "&lt;to&gt; must not be before &lt;from&gt;". The future as-of date check does not exist in the engine today.</w:t>
            </w:r>
          </w:p>
        </w:tc>
        <w:tc>
          <w:tcPr>
            <w:tcW w:type="dxa" w:w="3402"/>
            <w:tcMar>
              <w:top w:w="50" w:type="dxa"/>
              <w:bottom w:w="50" w:type="dxa"/>
              <w:left w:w="90" w:type="dxa"/>
              <w:right w:w="90" w:type="dxa"/>
            </w:tcMar>
          </w:tcPr>
          <w:p>
            <w:pPr>
              <w:pStyle w:val="BDOITable"/>
            </w:pPr>
            <w:r>
              <w:rPr>
                <w:sz w:val="17"/>
              </w:rPr>
              <w:t>Quote the engine texts, and add the as-of date rule to the report definition at build; the range cases use the engine pattern, TC-CM-060.3-01 uses the FRS text.</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TF-CM-04</w:t>
            </w:r>
          </w:p>
        </w:tc>
        <w:tc>
          <w:tcPr>
            <w:tcW w:type="dxa" w:w="1290"/>
            <w:tcMar>
              <w:top w:w="50" w:type="dxa"/>
              <w:bottom w:w="50" w:type="dxa"/>
              <w:left w:w="90" w:type="dxa"/>
              <w:right w:w="90" w:type="dxa"/>
            </w:tcMar>
            <w:shd w:val="clear" w:color="auto" w:fill="E5F5FF"/>
          </w:tcPr>
          <w:p>
            <w:pPr>
              <w:pStyle w:val="BDOITable"/>
            </w:pPr>
            <w:r>
              <w:rPr>
                <w:sz w:val="17"/>
              </w:rPr>
              <w:t>FR-CM-012</w:t>
            </w:r>
          </w:p>
        </w:tc>
        <w:tc>
          <w:tcPr>
            <w:tcW w:type="dxa" w:w="4223"/>
            <w:tcMar>
              <w:top w:w="50" w:type="dxa"/>
              <w:bottom w:w="50" w:type="dxa"/>
              <w:left w:w="90" w:type="dxa"/>
              <w:right w:w="90" w:type="dxa"/>
            </w:tcMar>
            <w:shd w:val="clear" w:color="auto" w:fill="E5F5FF"/>
          </w:tcPr>
          <w:p>
            <w:pPr>
              <w:pStyle w:val="BDOITable"/>
            </w:pPr>
            <w:r>
              <w:rPr>
                <w:sz w:val="17"/>
              </w:rPr>
              <w:t>Acceptance criterion 3 says a Claims Officer without BCL_STATUS_UPDATE cannot correct the date, but the matrix of section 3.3 grants BCL_STATUS_UPDATE to officers (within the matrix). As written every officer can correct the reported date.</w:t>
            </w:r>
          </w:p>
        </w:tc>
        <w:tc>
          <w:tcPr>
            <w:tcW w:type="dxa" w:w="3402"/>
            <w:tcMar>
              <w:top w:w="50" w:type="dxa"/>
              <w:bottom w:w="50" w:type="dxa"/>
              <w:left w:w="90" w:type="dxa"/>
              <w:right w:w="90" w:type="dxa"/>
            </w:tcMar>
            <w:shd w:val="clear" w:color="auto" w:fill="E5F5FF"/>
          </w:tcPr>
          <w:p>
            <w:pPr>
              <w:pStyle w:val="BDOITable"/>
            </w:pPr>
            <w:r>
              <w:rPr>
                <w:sz w:val="17"/>
              </w:rPr>
              <w:t>State whether the correction needs its own permission or is limited to TL / TH (CLQ03); the case removes the permission from a test role until then.</w:t>
            </w:r>
          </w:p>
        </w:tc>
      </w:tr>
      <w:tr>
        <w:trPr>
          <w:cantSplit w:val="true"/>
        </w:trPr>
        <w:tc>
          <w:tcPr>
            <w:tcW w:type="dxa" w:w="1056"/>
            <w:tcMar>
              <w:top w:w="50" w:type="dxa"/>
              <w:bottom w:w="50" w:type="dxa"/>
              <w:left w:w="90" w:type="dxa"/>
              <w:right w:w="90" w:type="dxa"/>
            </w:tcMar>
          </w:tcPr>
          <w:p>
            <w:pPr>
              <w:pStyle w:val="BDOITable"/>
            </w:pPr>
            <w:r>
              <w:rPr>
                <w:sz w:val="17"/>
              </w:rPr>
              <w:t>TF-CM-05</w:t>
            </w:r>
          </w:p>
        </w:tc>
        <w:tc>
          <w:tcPr>
            <w:tcW w:type="dxa" w:w="1290"/>
            <w:tcMar>
              <w:top w:w="50" w:type="dxa"/>
              <w:bottom w:w="50" w:type="dxa"/>
              <w:left w:w="90" w:type="dxa"/>
              <w:right w:w="90" w:type="dxa"/>
            </w:tcMar>
          </w:tcPr>
          <w:p>
            <w:pPr>
              <w:pStyle w:val="BDOITable"/>
            </w:pPr>
            <w:r>
              <w:rPr>
                <w:sz w:val="17"/>
              </w:rPr>
              <w:t>FR-CM-045</w:t>
            </w:r>
          </w:p>
        </w:tc>
        <w:tc>
          <w:tcPr>
            <w:tcW w:type="dxa" w:w="4223"/>
            <w:tcMar>
              <w:top w:w="50" w:type="dxa"/>
              <w:bottom w:w="50" w:type="dxa"/>
              <w:left w:w="90" w:type="dxa"/>
              <w:right w:w="90" w:type="dxa"/>
            </w:tcMar>
          </w:tcPr>
          <w:p>
            <w:pPr>
              <w:pStyle w:val="BDOITable"/>
            </w:pPr>
            <w:r>
              <w:rPr>
                <w:sz w:val="17"/>
              </w:rPr>
              <w:t>The persona table gives reopen to the Team Head (CLM_TH) and the matrix gives BCL_REOPEN to TH and UH, while R1 says "TH / UH reopen (to confirm, CLQ06)". Temporarily closed claims keep ageing "to confirm" (R2 of FR-CM-053), so the ageing and outstanding cases depend on CLQ06.</w:t>
            </w:r>
          </w:p>
        </w:tc>
        <w:tc>
          <w:tcPr>
            <w:tcW w:type="dxa" w:w="3402"/>
            <w:tcMar>
              <w:top w:w="50" w:type="dxa"/>
              <w:bottom w:w="50" w:type="dxa"/>
              <w:left w:w="90" w:type="dxa"/>
              <w:right w:w="90" w:type="dxa"/>
            </w:tcMar>
          </w:tcPr>
          <w:p>
            <w:pPr>
              <w:pStyle w:val="BDOITable"/>
            </w:pPr>
            <w:r>
              <w:rPr>
                <w:sz w:val="17"/>
              </w:rPr>
              <w:t>Close CLQ06 before UAT.</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TF-CM-06</w:t>
            </w:r>
          </w:p>
        </w:tc>
        <w:tc>
          <w:tcPr>
            <w:tcW w:type="dxa" w:w="1290"/>
            <w:tcMar>
              <w:top w:w="50" w:type="dxa"/>
              <w:bottom w:w="50" w:type="dxa"/>
              <w:left w:w="90" w:type="dxa"/>
              <w:right w:w="90" w:type="dxa"/>
            </w:tcMar>
            <w:shd w:val="clear" w:color="auto" w:fill="E5F5FF"/>
          </w:tcPr>
          <w:p>
            <w:pPr>
              <w:pStyle w:val="BDOITable"/>
            </w:pPr>
            <w:r>
              <w:rPr>
                <w:sz w:val="17"/>
              </w:rPr>
              <w:t>FR-CM-043</w:t>
            </w:r>
          </w:p>
        </w:tc>
        <w:tc>
          <w:tcPr>
            <w:tcW w:type="dxa" w:w="4223"/>
            <w:tcMar>
              <w:top w:w="50" w:type="dxa"/>
              <w:bottom w:w="50" w:type="dxa"/>
              <w:left w:w="90" w:type="dxa"/>
              <w:right w:w="90" w:type="dxa"/>
            </w:tcMar>
            <w:shd w:val="clear" w:color="auto" w:fill="E5F5FF"/>
          </w:tcPr>
          <w:p>
            <w:pPr>
              <w:pStyle w:val="BDOITable"/>
            </w:pPr>
            <w:r>
              <w:rPr>
                <w:sz w:val="17"/>
              </w:rPr>
              <w:t>Two settlement types ("Settled - LOA Issued - For Schedule of Repair", "... Vehicle Under Repair") have "Closes the claim" to confirm (CLQ05), so their closure behaviour cannot be tested yet.</w:t>
            </w:r>
          </w:p>
        </w:tc>
        <w:tc>
          <w:tcPr>
            <w:tcW w:type="dxa" w:w="3402"/>
            <w:tcMar>
              <w:top w:w="50" w:type="dxa"/>
              <w:bottom w:w="50" w:type="dxa"/>
              <w:left w:w="90" w:type="dxa"/>
              <w:right w:w="90" w:type="dxa"/>
            </w:tcMar>
            <w:shd w:val="clear" w:color="auto" w:fill="E5F5FF"/>
          </w:tcPr>
          <w:p>
            <w:pPr>
              <w:pStyle w:val="BDOITable"/>
            </w:pPr>
            <w:r>
              <w:rPr>
                <w:sz w:val="17"/>
              </w:rPr>
              <w:t>Answer CLQ05; the cases treat both as not closing.</w:t>
            </w:r>
          </w:p>
        </w:tc>
      </w:tr>
      <w:tr>
        <w:trPr>
          <w:cantSplit w:val="true"/>
        </w:trPr>
        <w:tc>
          <w:tcPr>
            <w:tcW w:type="dxa" w:w="1056"/>
            <w:tcMar>
              <w:top w:w="50" w:type="dxa"/>
              <w:bottom w:w="50" w:type="dxa"/>
              <w:left w:w="90" w:type="dxa"/>
              <w:right w:w="90" w:type="dxa"/>
            </w:tcMar>
          </w:tcPr>
          <w:p>
            <w:pPr>
              <w:pStyle w:val="BDOITable"/>
            </w:pPr>
            <w:r>
              <w:rPr>
                <w:sz w:val="17"/>
              </w:rPr>
              <w:t>TF-CM-07</w:t>
            </w:r>
          </w:p>
        </w:tc>
        <w:tc>
          <w:tcPr>
            <w:tcW w:type="dxa" w:w="1290"/>
            <w:tcMar>
              <w:top w:w="50" w:type="dxa"/>
              <w:bottom w:w="50" w:type="dxa"/>
              <w:left w:w="90" w:type="dxa"/>
              <w:right w:w="90" w:type="dxa"/>
            </w:tcMar>
          </w:tcPr>
          <w:p>
            <w:pPr>
              <w:pStyle w:val="BDOITable"/>
            </w:pPr>
            <w:r>
              <w:rPr>
                <w:sz w:val="17"/>
              </w:rPr>
              <w:t>FR-CM-016</w:t>
            </w:r>
          </w:p>
        </w:tc>
        <w:tc>
          <w:tcPr>
            <w:tcW w:type="dxa" w:w="4223"/>
            <w:tcMar>
              <w:top w:w="50" w:type="dxa"/>
              <w:bottom w:w="50" w:type="dxa"/>
              <w:left w:w="90" w:type="dxa"/>
              <w:right w:w="90" w:type="dxa"/>
            </w:tcMar>
          </w:tcPr>
          <w:p>
            <w:pPr>
              <w:pStyle w:val="BDOITable"/>
            </w:pPr>
            <w:r>
              <w:rPr>
                <w:sz w:val="17"/>
              </w:rPr>
              <w:t>The meaning of the claims authorization code and any TL / TH override are open (CLQ01); the FRS tests only that the button is disabled while premium is unpaid.</w:t>
            </w:r>
          </w:p>
        </w:tc>
        <w:tc>
          <w:tcPr>
            <w:tcW w:type="dxa" w:w="3402"/>
            <w:tcMar>
              <w:top w:w="50" w:type="dxa"/>
              <w:bottom w:w="50" w:type="dxa"/>
              <w:left w:w="90" w:type="dxa"/>
              <w:right w:w="90" w:type="dxa"/>
            </w:tcMar>
          </w:tcPr>
          <w:p>
            <w:pPr>
              <w:pStyle w:val="BDOITable"/>
            </w:pPr>
            <w:r>
              <w:rPr>
                <w:sz w:val="17"/>
              </w:rPr>
              <w:t>Answer CLQ01 before UAT and add the override case if one is agreed.</w:t>
            </w:r>
          </w:p>
        </w:tc>
      </w:tr>
    </w:tbl>
    <w:p>
      <w:pPr>
        <w:pStyle w:val="BDOISpacer"/>
      </w:pPr>
    </w:p>
    <w:p>
      <w:pPr>
        <w:spacing w:after="0"/>
      </w:pPr>
      <w:r>
        <w:br w:type="page"/>
      </w:r>
    </w:p>
    <w:p>
      <w:pPr>
        <w:pStyle w:val="Heading1"/>
        <w:pBdr>
          <w:bottom w:val="single" w:sz="4" w:space="4" w:color="99C1E7"/>
        </w:pBdr>
      </w:pPr>
      <w:bookmarkStart w:id="129" w:name="_Toc000129"/>
      <w:r>
        <w:rPr/>
        <w:t>10 Sign-off</w:t>
      </w:r>
      <w:bookmarkEnd w:id="129"/>
    </w:p>
    <w:p>
      <w:r>
        <w:rPr/>
        <w:t>By signing, BDOI confirms that this test plan and its workbook cover the Claims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Claims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Claims Unit Head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BRD-7 Claims</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Claims Test Plan</dc:title>
  <dc:subject>BIBS – BDOI Broker System</dc:subject>
  <dc:creator>iorta TechNXT</dc:creator>
  <cp:keywords>TestPlan, BRD-07,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