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92</w:t>
          </w:r>
        </w:p>
        <w:p>
          <w:pPr>
            <w:pStyle w:val="TOC2"/>
            <w:tabs>
              <w:tab w:val="right" w:leader="dot" w:pos="9630"/>
            </w:tabs>
            <w:rPr>
              <w:rStyle w:val="Hyperlink"/>
            </w:rPr>
          </w:pPr>
          <w:r>
            <w:t xml:space="preserve">G.2 Package Requests (SCR-PM-02)</w:t>
          </w:r>
          <w:r>
            <w:tab/>
          </w:r>
          <w:r>
            <w:t xml:space="preserve">94</w:t>
          </w:r>
        </w:p>
        <w:p>
          <w:pPr>
            <w:pStyle w:val="TOC2"/>
            <w:tabs>
              <w:tab w:val="right" w:leader="dot" w:pos="9630"/>
            </w:tabs>
            <w:rPr>
              <w:rStyle w:val="Hyperlink"/>
            </w:rPr>
          </w:pPr>
          <w:r>
            <w:t xml:space="preserve">G.3 New Package Request and Edit Package Request (SCR-PM-03)</w:t>
          </w:r>
          <w:r>
            <w:tab/>
          </w:r>
          <w:r>
            <w:t xml:space="preserve">96</w:t>
          </w:r>
        </w:p>
        <w:p>
          <w:pPr>
            <w:pStyle w:val="TOC2"/>
            <w:tabs>
              <w:tab w:val="right" w:leader="dot" w:pos="9630"/>
            </w:tabs>
            <w:rPr>
              <w:rStyle w:val="Hyperlink"/>
            </w:rPr>
          </w:pPr>
          <w:r>
            <w:t xml:space="preserve">G.4 Package Request Record (SCR-PM-04)</w:t>
          </w:r>
          <w:r>
            <w:tab/>
          </w:r>
          <w:r>
            <w:t xml:space="preserve">100</w:t>
          </w:r>
        </w:p>
        <w:p>
          <w:pPr>
            <w:pStyle w:val="TOC2"/>
            <w:tabs>
              <w:tab w:val="right" w:leader="dot" w:pos="9630"/>
            </w:tabs>
            <w:rPr>
              <w:rStyle w:val="Hyperlink"/>
            </w:rPr>
          </w:pPr>
          <w:r>
            <w:t xml:space="preserve">G.5 Package Request Record: Negotiation Tab (SCR-PM-05)</w:t>
          </w:r>
          <w:r>
            <w:tab/>
          </w:r>
          <w:r>
            <w:t xml:space="preserve">103</w:t>
          </w:r>
        </w:p>
        <w:p>
          <w:pPr>
            <w:pStyle w:val="TOC2"/>
            <w:tabs>
              <w:tab w:val="right" w:leader="dot" w:pos="9630"/>
            </w:tabs>
            <w:rPr>
              <w:rStyle w:val="Hyperlink"/>
            </w:rPr>
          </w:pPr>
          <w:r>
            <w:t xml:space="preserve">G.6 Package Request Record: Comparative Tab (SCR-PM-06)</w:t>
          </w:r>
          <w:r>
            <w:tab/>
          </w:r>
          <w:r>
            <w:t xml:space="preserve">107</w:t>
          </w:r>
        </w:p>
        <w:p>
          <w:pPr>
            <w:pStyle w:val="TOC2"/>
            <w:tabs>
              <w:tab w:val="right" w:leader="dot" w:pos="9630"/>
            </w:tabs>
            <w:rPr>
              <w:rStyle w:val="Hyperlink"/>
            </w:rPr>
          </w:pPr>
          <w:r>
            <w:t xml:space="preserve">G.7 Package Request Record: Requirements &amp; Sign-off Tab (SCR-PM-07)</w:t>
          </w:r>
          <w:r>
            <w:tab/>
          </w:r>
          <w:r>
            <w:t xml:space="preserve">108</w:t>
          </w:r>
        </w:p>
        <w:p>
          <w:pPr>
            <w:pStyle w:val="TOC2"/>
            <w:tabs>
              <w:tab w:val="right" w:leader="dot" w:pos="9630"/>
            </w:tabs>
            <w:rPr>
              <w:rStyle w:val="Hyperlink"/>
            </w:rPr>
          </w:pPr>
          <w:r>
            <w:t xml:space="preserve">G.8 Package Request Record: Set-up and Advisories Tabs (SCR-PM-08)</w:t>
          </w:r>
          <w:r>
            <w:tab/>
          </w:r>
          <w:r>
            <w:t xml:space="preserve">111</w:t>
          </w:r>
        </w:p>
        <w:p>
          <w:pPr>
            <w:pStyle w:val="TOC2"/>
            <w:tabs>
              <w:tab w:val="right" w:leader="dot" w:pos="9630"/>
            </w:tabs>
            <w:rPr>
              <w:rStyle w:val="Hyperlink"/>
            </w:rPr>
          </w:pPr>
          <w:r>
            <w:t xml:space="preserve">G.9 TSU Workbench (SCR-PM-09)</w:t>
          </w:r>
          <w:r>
            <w:tab/>
          </w:r>
          <w:r>
            <w:t xml:space="preserve">113</w:t>
          </w:r>
        </w:p>
        <w:p>
          <w:pPr>
            <w:pStyle w:val="TOC2"/>
            <w:tabs>
              <w:tab w:val="right" w:leader="dot" w:pos="9630"/>
            </w:tabs>
            <w:rPr>
              <w:rStyle w:val="Hyperlink"/>
            </w:rPr>
          </w:pPr>
          <w:r>
            <w:t xml:space="preserve">G.10 Package Expiry (SCR-PM-10)</w:t>
          </w:r>
          <w:r>
            <w:tab/>
          </w:r>
          <w:r>
            <w:t xml:space="preserve">115</w:t>
          </w:r>
        </w:p>
        <w:p>
          <w:pPr>
            <w:pStyle w:val="TOC2"/>
            <w:tabs>
              <w:tab w:val="right" w:leader="dot" w:pos="9630"/>
            </w:tabs>
            <w:rPr>
              <w:rStyle w:val="Hyperlink"/>
            </w:rPr>
          </w:pPr>
          <w:r>
            <w:t xml:space="preserve">G.11 Products (SCR-PM-11)</w:t>
          </w:r>
          <w:r>
            <w:tab/>
          </w:r>
          <w:r>
            <w:t xml:space="preserve">116</w:t>
          </w:r>
        </w:p>
        <w:p>
          <w:pPr>
            <w:pStyle w:val="TOC2"/>
            <w:tabs>
              <w:tab w:val="right" w:leader="dot" w:pos="9630"/>
            </w:tabs>
            <w:rPr>
              <w:rStyle w:val="Hyperlink"/>
            </w:rPr>
          </w:pPr>
          <w:r>
            <w:t xml:space="preserve">G.12 Product Record (SCR-PM-12)</w:t>
          </w:r>
          <w:r>
            <w:tab/>
          </w:r>
          <w:r>
            <w:t xml:space="preserve">119</w:t>
          </w:r>
        </w:p>
        <w:p>
          <w:pPr>
            <w:pStyle w:val="TOC2"/>
            <w:tabs>
              <w:tab w:val="right" w:leader="dot" w:pos="9630"/>
            </w:tabs>
            <w:rPr>
              <w:rStyle w:val="Hyperlink"/>
            </w:rPr>
          </w:pPr>
          <w:r>
            <w:t xml:space="preserve">G.13 Package Version (SCR-PM-13)</w:t>
          </w:r>
          <w:r>
            <w:tab/>
          </w:r>
          <w:r>
            <w:t xml:space="preserve">122</w:t>
          </w:r>
        </w:p>
        <w:p>
          <w:pPr>
            <w:pStyle w:val="TOC2"/>
            <w:tabs>
              <w:tab w:val="right" w:leader="dot" w:pos="9630"/>
            </w:tabs>
            <w:rPr>
              <w:rStyle w:val="Hyperlink"/>
            </w:rPr>
          </w:pPr>
          <w:r>
            <w:t xml:space="preserve">G.14 Validation Queue (SCR-PM-14)</w:t>
          </w:r>
          <w:r>
            <w:tab/>
          </w:r>
          <w:r>
            <w:t xml:space="preserve">125</w:t>
          </w:r>
        </w:p>
        <w:p>
          <w:pPr>
            <w:pStyle w:val="TOC2"/>
            <w:tabs>
              <w:tab w:val="right" w:leader="dot" w:pos="9630"/>
            </w:tabs>
            <w:rPr>
              <w:rStyle w:val="Hyperlink"/>
            </w:rPr>
          </w:pPr>
          <w:r>
            <w:t xml:space="preserve">G.15 Coverages &amp; Clauses (SCR-PM-15)</w:t>
          </w:r>
          <w:r>
            <w:tab/>
          </w:r>
          <w:r>
            <w:t xml:space="preserve">126</w:t>
          </w:r>
        </w:p>
        <w:p>
          <w:pPr>
            <w:pStyle w:val="TOC2"/>
            <w:tabs>
              <w:tab w:val="right" w:leader="dot" w:pos="9630"/>
            </w:tabs>
            <w:rPr>
              <w:rStyle w:val="Hyperlink"/>
            </w:rPr>
          </w:pPr>
          <w:r>
            <w:t xml:space="preserve">G.16 Incentive Criteria (SCR-PM-16)</w:t>
          </w:r>
          <w:r>
            <w:tab/>
          </w:r>
          <w:r>
            <w:t xml:space="preserve">128</w:t>
          </w:r>
        </w:p>
        <w:p>
          <w:pPr>
            <w:pStyle w:val="TOC2"/>
            <w:tabs>
              <w:tab w:val="right" w:leader="dot" w:pos="9630"/>
            </w:tabs>
            <w:rPr>
              <w:rStyle w:val="Hyperlink"/>
            </w:rPr>
          </w:pPr>
          <w:r>
            <w:t xml:space="preserve">G.17 Insurers (SCR-PM-17)</w:t>
          </w:r>
          <w:r>
            <w:tab/>
          </w:r>
          <w:r>
            <w:t xml:space="preserve">130</w:t>
          </w:r>
        </w:p>
        <w:p>
          <w:pPr>
            <w:pStyle w:val="TOC2"/>
            <w:tabs>
              <w:tab w:val="right" w:leader="dot" w:pos="9630"/>
            </w:tabs>
            <w:rPr>
              <w:rStyle w:val="Hyperlink"/>
            </w:rPr>
          </w:pPr>
          <w:r>
            <w:t xml:space="preserve">G.18 Insurer Record (SCR-PM-18)</w:t>
          </w:r>
          <w:r>
            <w:tab/>
          </w:r>
          <w:r>
            <w:t xml:space="preserve">131</w:t>
          </w:r>
        </w:p>
        <w:p>
          <w:pPr>
            <w:pStyle w:val="TOC2"/>
            <w:tabs>
              <w:tab w:val="right" w:leader="dot" w:pos="9630"/>
            </w:tabs>
            <w:rPr>
              <w:rStyle w:val="Hyperlink"/>
            </w:rPr>
          </w:pPr>
          <w:r>
            <w:t xml:space="preserve">G.19 Rates &amp; Taxes (SCR-PM-19)</w:t>
          </w:r>
          <w:r>
            <w:tab/>
          </w:r>
          <w:r>
            <w:t xml:space="preserve">133</w:t>
          </w:r>
        </w:p>
        <w:p>
          <w:pPr>
            <w:pStyle w:val="TOC2"/>
            <w:tabs>
              <w:tab w:val="right" w:leader="dot" w:pos="9630"/>
            </w:tabs>
            <w:rPr>
              <w:rStyle w:val="Hyperlink"/>
            </w:rPr>
          </w:pPr>
          <w:r>
            <w:t xml:space="preserve">G.20 Sales Organisation (SCR-PM-20)</w:t>
          </w:r>
          <w:r>
            <w:tab/>
          </w:r>
          <w:r>
            <w:t xml:space="preserve">134</w:t>
          </w:r>
        </w:p>
        <w:p>
          <w:pPr>
            <w:pStyle w:val="TOC2"/>
            <w:tabs>
              <w:tab w:val="right" w:leader="dot" w:pos="9630"/>
            </w:tabs>
            <w:rPr>
              <w:rStyle w:val="Hyperlink"/>
            </w:rPr>
          </w:pPr>
          <w:r>
            <w:t xml:space="preserve">G.21 Premium Calculator (SCR-PM-21)</w:t>
          </w:r>
          <w:r>
            <w:tab/>
          </w:r>
          <w:r>
            <w:t xml:space="preserve">136</w:t>
          </w:r>
        </w:p>
        <w:p>
          <w:pPr>
            <w:pStyle w:val="TOC2"/>
            <w:tabs>
              <w:tab w:val="right" w:leader="dot" w:pos="9630"/>
            </w:tabs>
            <w:rPr>
              <w:rStyle w:val="Hyperlink"/>
            </w:rPr>
          </w:pPr>
          <w:r>
            <w:t xml:space="preserve">G.22 Quotation: Package Rate Scheme and Rate Exception (SCR-PM-22)</w:t>
          </w:r>
          <w:r>
            <w:tab/>
          </w:r>
          <w:r>
            <w:t xml:space="preserve">139</w:t>
          </w:r>
        </w:p>
        <w:p>
          <w:pPr>
            <w:pStyle w:val="TOC2"/>
            <w:tabs>
              <w:tab w:val="right" w:leader="dot" w:pos="9630"/>
            </w:tabs>
            <w:rPr>
              <w:rStyle w:val="Hyperlink"/>
            </w:rPr>
          </w:pPr>
          <w:r>
            <w:t xml:space="preserve">G.23 Product Maintenance Dashboard (SCR-PM-23)</w:t>
          </w:r>
          <w:r>
            <w:tab/>
          </w:r>
          <w:r>
            <w:t xml:space="preserve">141</w:t>
          </w:r>
        </w:p>
        <w:p>
          <w:pPr>
            <w:pStyle w:val="TOC2"/>
            <w:tabs>
              <w:tab w:val="right" w:leader="dot" w:pos="9630"/>
            </w:tabs>
            <w:rPr>
              <w:rStyle w:val="Hyperlink"/>
            </w:rPr>
          </w:pPr>
          <w:r>
            <w:t xml:space="preserve">G.24 Deactivation Requests (SCR-PM-24)</w:t>
          </w:r>
          <w:r>
            <w:tab/>
          </w:r>
          <w:r>
            <w:t xml:space="preserve">144</w:t>
          </w:r>
        </w:p>
        <w:p>
          <w:pPr>
            <w:pStyle w:val="TOC2"/>
            <w:tabs>
              <w:tab w:val="right" w:leader="dot" w:pos="9630"/>
            </w:tabs>
            <w:rPr>
              <w:rStyle w:val="Hyperlink"/>
            </w:rPr>
          </w:pPr>
          <w:r>
            <w:t xml:space="preserve">G.25 Product Master Transfers (SCR-PM-25)</w:t>
          </w:r>
          <w:r>
            <w:tab/>
          </w:r>
          <w:r>
            <w:t xml:space="preserve">146</w:t>
          </w:r>
        </w:p>
        <w:p>
          <w:pPr>
            <w:pStyle w:val="TOC2"/>
            <w:tabs>
              <w:tab w:val="right" w:leader="dot" w:pos="9630"/>
            </w:tabs>
            <w:rPr>
              <w:rStyle w:val="Hyperlink"/>
            </w:rPr>
          </w:pPr>
          <w:r>
            <w:t xml:space="preserve">G.26 Placement Update Reports (SCR-PM-26)</w:t>
          </w:r>
          <w:r>
            <w:tab/>
          </w:r>
          <w:r>
            <w:t xml:space="preserve">147</w:t>
          </w:r>
        </w:p>
        <w:p>
          <w:pPr>
            <w:pStyle w:val="TOC2"/>
            <w:tabs>
              <w:tab w:val="right" w:leader="dot" w:pos="9630"/>
            </w:tabs>
            <w:rPr>
              <w:rStyle w:val="Hyperlink"/>
            </w:rPr>
          </w:pPr>
          <w:r>
            <w:t xml:space="preserve">G.27 Audit Logs (SCR-PM-27)</w:t>
          </w:r>
          <w:r>
            <w:tab/>
          </w:r>
          <w:r>
            <w:t xml:space="preserve">148</w:t>
          </w:r>
        </w:p>
        <w:p>
          <w:pPr>
            <w:pStyle w:val="TOC2"/>
            <w:tabs>
              <w:tab w:val="right" w:leader="dot" w:pos="9630"/>
            </w:tabs>
            <w:rPr>
              <w:rStyle w:val="Hyperlink"/>
            </w:rPr>
          </w:pPr>
          <w:r>
            <w:t xml:space="preserve">G.28 Proposal Request: Comparative Table, Proposal Slips and Client Response (SCR-PM-28)</w:t>
          </w:r>
          <w:r>
            <w:tab/>
          </w:r>
          <w:r>
            <w:t xml:space="preserve">149</w:t>
          </w:r>
        </w:p>
        <w:p>
          <w:pPr>
            <w:pStyle w:val="TOC2"/>
            <w:tabs>
              <w:tab w:val="right" w:leader="dot" w:pos="9630"/>
            </w:tabs>
            <w:rPr>
              <w:rStyle w:val="Hyperlink"/>
            </w:rPr>
          </w:pPr>
          <w:r>
            <w:t xml:space="preserve">G.29 Package Request Record: Routing &amp; Approvals Tab (SCR-PM-29)</w:t>
          </w:r>
          <w:r>
            <w:tab/>
          </w:r>
          <w:r>
            <w:t xml:space="preserve">151</w:t>
          </w:r>
        </w:p>
        <w:p>
          <w:pPr>
            <w:pStyle w:val="TOC2"/>
            <w:tabs>
              <w:tab w:val="right" w:leader="dot" w:pos="9630"/>
            </w:tabs>
            <w:rPr>
              <w:rStyle w:val="Hyperlink"/>
            </w:rPr>
          </w:pPr>
          <w:r>
            <w:t xml:space="preserve">G.30 Navigation: Menu by Persona</w:t>
          </w:r>
          <w:r>
            <w:tab/>
          </w:r>
          <w:r>
            <w:t xml:space="preserve">154</w:t>
          </w:r>
        </w:p>
        <w:p>
          <w:pPr>
            <w:pStyle w:val="TOC1"/>
            <w:tabs>
              <w:tab w:val="right" w:leader="dot" w:pos="9630"/>
            </w:tabs>
            <w:rPr>
              <w:rStyle w:val="Hyperlink"/>
            </w:rPr>
          </w:pPr>
          <w:r>
            <w:t xml:space="preserve">Annex H – Messages and Validations</w:t>
          </w:r>
          <w:r>
            <w:tab/>
          </w:r>
          <w:r>
            <w:t xml:space="preserve">155</w:t>
          </w:r>
        </w:p>
        <w:p>
          <w:pPr>
            <w:pStyle w:val="TOC1"/>
            <w:tabs>
              <w:tab w:val="right" w:leader="dot" w:pos="9630"/>
            </w:tabs>
            <w:rPr>
              <w:rStyle w:val="Hyperlink"/>
            </w:rPr>
          </w:pPr>
          <w:r>
            <w:t xml:space="preserve">Annex I – Notifications and E-mails</w:t>
          </w:r>
          <w:r>
            <w:tab/>
          </w:r>
          <w:r>
            <w:t xml:space="preserve">170</w:t>
          </w:r>
        </w:p>
        <w:p>
          <w:pPr>
            <w:pStyle w:val="TOC1"/>
            <w:tabs>
              <w:tab w:val="right" w:leader="dot" w:pos="9630"/>
            </w:tabs>
            <w:rPr>
              <w:rStyle w:val="Hyperlink"/>
            </w:rPr>
          </w:pPr>
          <w:r>
            <w:t xml:space="preserve">Annex J – Business Rules and Configurable Parameters</w:t>
          </w:r>
          <w:r>
            <w:tab/>
          </w:r>
          <w:r>
            <w:t xml:space="preserve">172</w:t>
          </w:r>
        </w:p>
        <w:p>
          <w:pPr>
            <w:pStyle w:val="TOC2"/>
            <w:tabs>
              <w:tab w:val="right" w:leader="dot" w:pos="9630"/>
            </w:tabs>
            <w:rPr>
              <w:rStyle w:val="Hyperlink"/>
            </w:rPr>
          </w:pPr>
          <w:r>
            <w:t xml:space="preserve">J.1 Business Rules</w:t>
          </w:r>
          <w:r>
            <w:tab/>
          </w:r>
          <w:r>
            <w:t xml:space="preserve">172</w:t>
          </w:r>
        </w:p>
        <w:p>
          <w:pPr>
            <w:pStyle w:val="TOC2"/>
            <w:tabs>
              <w:tab w:val="right" w:leader="dot" w:pos="9630"/>
            </w:tabs>
            <w:rPr>
              <w:rStyle w:val="Hyperlink"/>
            </w:rPr>
          </w:pPr>
          <w:r>
            <w:t xml:space="preserve">J.2 Configurable Parameters</w:t>
          </w:r>
          <w:r>
            <w:tab/>
          </w:r>
          <w:r>
            <w:t xml:space="preserve">172</w:t>
          </w:r>
        </w:p>
        <w:p>
          <w:pPr>
            <w:pStyle w:val="TOC2"/>
            <w:tabs>
              <w:tab w:val="right" w:leader="dot" w:pos="9630"/>
            </w:tabs>
            <w:rPr>
              <w:rStyle w:val="Hyperlink"/>
            </w:rPr>
          </w:pPr>
          <w:r>
            <w:t xml:space="preserve">J.3 Lists of Values</w:t>
          </w:r>
          <w:r>
            <w:tab/>
          </w:r>
          <w:r>
            <w:t xml:space="preserve">173</w:t>
          </w:r>
        </w:p>
        <w:p>
          <w:pPr>
            <w:pStyle w:val="TOC2"/>
            <w:tabs>
              <w:tab w:val="right" w:leader="dot" w:pos="9630"/>
            </w:tabs>
            <w:rPr>
              <w:rStyle w:val="Hyperlink"/>
            </w:rPr>
          </w:pPr>
          <w:r>
            <w:t xml:space="preserve">J.4 Workflow Stages and Service Levels</w:t>
          </w:r>
          <w:r>
            <w:tab/>
          </w:r>
          <w:r>
            <w:t xml:space="preserve">173</w:t>
          </w:r>
        </w:p>
        <w:p>
          <w:pPr>
            <w:pStyle w:val="TOC2"/>
            <w:tabs>
              <w:tab w:val="right" w:leader="dot" w:pos="9630"/>
            </w:tabs>
            <w:rPr>
              <w:rStyle w:val="Hyperlink"/>
            </w:rPr>
          </w:pPr>
          <w:r>
            <w:t xml:space="preserve">J.5 Proposed Role-to-action Matrix</w:t>
          </w:r>
          <w:r>
            <w:tab/>
          </w:r>
          <w:r>
            <w:t xml:space="preserve">173</w:t>
          </w:r>
        </w:p>
        <w:p>
          <w:pPr>
            <w:pStyle w:val="TOC2"/>
            <w:tabs>
              <w:tab w:val="right" w:leader="dot" w:pos="9630"/>
            </w:tabs>
            <w:rPr>
              <w:rStyle w:val="Hyperlink"/>
            </w:rPr>
          </w:pPr>
          <w:r>
            <w:t xml:space="preserve">J.6 Masters Maintained by the Business</w:t>
          </w:r>
          <w:r>
            <w:tab/>
          </w:r>
          <w:r>
            <w:t xml:space="preserve">174</w:t>
          </w:r>
        </w:p>
        <w:p>
          <w:pPr>
            <w:pStyle w:val="TOC2"/>
            <w:tabs>
              <w:tab w:val="right" w:leader="dot" w:pos="9630"/>
            </w:tabs>
            <w:rPr>
              <w:rStyle w:val="Hyperlink"/>
            </w:rPr>
          </w:pPr>
          <w:r>
            <w:t xml:space="preserve">J.7 Settings for the Points BDOI Decides</w:t>
          </w:r>
          <w:r>
            <w:tab/>
          </w:r>
          <w:r>
            <w:t xml:space="preserve">174</w:t>
          </w:r>
        </w:p>
        <w:p>
          <w:pPr>
            <w:pStyle w:val="TOC1"/>
            <w:tabs>
              <w:tab w:val="right" w:leader="dot" w:pos="9630"/>
            </w:tabs>
            <w:rPr>
              <w:rStyle w:val="Hyperlink"/>
            </w:rPr>
          </w:pPr>
          <w:r>
            <w:t xml:space="preserve">Annex K – Process Walkthroughs</w:t>
          </w:r>
          <w:r>
            <w:tab/>
          </w:r>
          <w:r>
            <w:t xml:space="preserve">176</w:t>
          </w:r>
        </w:p>
        <w:p>
          <w:pPr>
            <w:pStyle w:val="TOC2"/>
            <w:tabs>
              <w:tab w:val="right" w:leader="dot" w:pos="9630"/>
            </w:tabs>
            <w:rPr>
              <w:rStyle w:val="Hyperlink"/>
            </w:rPr>
          </w:pPr>
          <w:r>
            <w:t xml:space="preserve">WT-A A New Package from the Request to its First New Business Quotation</w:t>
          </w:r>
          <w:r>
            <w:tab/>
          </w:r>
          <w:r>
            <w:t xml:space="preserve">176</w:t>
          </w:r>
        </w:p>
        <w:p>
          <w:pPr>
            <w:pStyle w:val="TOC2"/>
            <w:tabs>
              <w:tab w:val="right" w:leader="dot" w:pos="9630"/>
            </w:tabs>
            <w:rPr>
              <w:rStyle w:val="Hyperlink"/>
            </w:rPr>
          </w:pPr>
          <w:r>
            <w:t xml:space="preserve">WT-B Returns and Refusals, and the Messages the User Sees</w:t>
          </w:r>
          <w:r>
            <w:tab/>
          </w:r>
          <w:r>
            <w:t xml:space="preserve">178</w:t>
          </w:r>
        </w:p>
        <w:p>
          <w:pPr>
            <w:pStyle w:val="TOC1"/>
            <w:tabs>
              <w:tab w:val="right" w:leader="dot" w:pos="9630"/>
            </w:tabs>
            <w:rPr>
              <w:rStyle w:val="Hyperlink"/>
            </w:rPr>
          </w:pPr>
          <w:r>
            <w:t xml:space="preserve">Annex L – Requirements Traceability</w:t>
          </w:r>
          <w:r>
            <w:tab/>
          </w:r>
          <w:r>
            <w:t xml:space="preserve">180</w:t>
          </w:r>
        </w:p>
        <w:p>
          <w:pPr>
            <w:pStyle w:val="TOC2"/>
            <w:tabs>
              <w:tab w:val="right" w:leader="dot" w:pos="9630"/>
            </w:tabs>
            <w:rPr>
              <w:rStyle w:val="Hyperlink"/>
            </w:rPr>
          </w:pPr>
          <w:r>
            <w:t xml:space="preserve">L.1 BRD Requirement to FRPM and Test Conditions</w:t>
          </w:r>
          <w:r>
            <w:tab/>
          </w:r>
          <w:r>
            <w:t xml:space="preserve">180</w:t>
          </w:r>
        </w:p>
        <w:p>
          <w:pPr>
            <w:pStyle w:val="TOC2"/>
            <w:tabs>
              <w:tab w:val="right" w:leader="dot" w:pos="9630"/>
            </w:tabs>
            <w:rPr>
              <w:rStyle w:val="Hyperlink"/>
            </w:rPr>
          </w:pPr>
          <w:r>
            <w:t xml:space="preserve">L.2 FRPM Item to BRD IDs and Test Conditions</w:t>
          </w:r>
          <w:r>
            <w:tab/>
          </w:r>
          <w:r>
            <w:t xml:space="preserve">181</w:t>
          </w:r>
        </w:p>
        <w:p>
          <w:pPr>
            <w:pStyle w:val="TOC1"/>
            <w:tabs>
              <w:tab w:val="right" w:leader="dot" w:pos="9630"/>
            </w:tabs>
            <w:rPr>
              <w:rStyle w:val="Hyperlink"/>
            </w:rPr>
          </w:pPr>
          <w:r>
            <w:t xml:space="preserve">Annex M – Observations and Points for BDOI Decision</w:t>
          </w:r>
          <w:r>
            <w:tab/>
          </w:r>
          <w:r>
            <w:t xml:space="preserve">184</w:t>
          </w:r>
        </w:p>
        <w:p>
          <w:pPr>
            <w:pStyle w:val="TOC2"/>
            <w:tabs>
              <w:tab w:val="right" w:leader="dot" w:pos="9630"/>
            </w:tabs>
            <w:rPr>
              <w:rStyle w:val="Hyperlink"/>
            </w:rPr>
          </w:pPr>
          <w:r>
            <w:t xml:space="preserve">M.1 Points Where the Proposed Behaviour Differs from the Original Text of This FRS</w:t>
          </w:r>
          <w:r>
            <w:tab/>
          </w:r>
          <w:r>
            <w:t xml:space="preserve">184</w:t>
          </w:r>
        </w:p>
        <w:p>
          <w:pPr>
            <w:pStyle w:val="TOC2"/>
            <w:tabs>
              <w:tab w:val="right" w:leader="dot" w:pos="9630"/>
            </w:tabs>
            <w:rPr>
              <w:rStyle w:val="Hyperlink"/>
            </w:rPr>
          </w:pPr>
          <w:r>
            <w:t xml:space="preserve">M.2 BDOI's Open Item and Changes to the Business Requirements Mapping</w:t>
          </w:r>
          <w:r>
            <w:tab/>
          </w:r>
          <w:r>
            <w:t xml:space="preserve">189</w:t>
          </w:r>
        </w:p>
        <w:p>
          <w:pPr>
            <w:pStyle w:val="TOC2"/>
            <w:tabs>
              <w:tab w:val="right" w:leader="dot" w:pos="9630"/>
            </w:tabs>
            <w:rPr>
              <w:rStyle w:val="Hyperlink"/>
            </w:rPr>
          </w:pPr>
          <w:r>
            <w:t xml:space="preserve">M.3 Slips Noticed in BDOI's FRS (Proposed Corrections; the Text is not Changed)</w:t>
          </w:r>
          <w:r>
            <w:tab/>
          </w:r>
          <w:r>
            <w:t xml:space="preserve">194</w:t>
          </w:r>
        </w:p>
        <w:p>
          <w:pPr>
            <w:pStyle w:val="TOC2"/>
            <w:tabs>
              <w:tab w:val="right" w:leader="dot" w:pos="9630"/>
            </w:tabs>
            <w:rPr>
              <w:rStyle w:val="Hyperlink"/>
            </w:rPr>
          </w:pPr>
          <w:r>
            <w:t xml:space="preserve">M.4 Scope, Added Requirements and Added Annex Rows</w:t>
          </w:r>
          <w:r>
            <w:tab/>
          </w:r>
          <w:r>
            <w:t xml:space="preserve">195</w:t>
          </w:r>
        </w:p>
        <w:p>
          <w:pPr>
            <w:pStyle w:val="TOC2"/>
            <w:tabs>
              <w:tab w:val="right" w:leader="dot" w:pos="9630"/>
            </w:tabs>
            <w:rPr>
              <w:rStyle w:val="Hyperlink"/>
            </w:rPr>
          </w:pPr>
          <w:r>
            <w:t xml:space="preserve">M.5 Observations of Version 1.2</w:t>
          </w:r>
          <w:r>
            <w:tab/>
          </w:r>
          <w:r>
            <w:t xml:space="preserve">198</w:t>
          </w:r>
        </w:p>
        <w:p>
          <w:pPr>
            <w:pStyle w:val="TOC1"/>
            <w:tabs>
              <w:tab w:val="right" w:leader="dot" w:pos="9630"/>
            </w:tabs>
            <w:rPr>
              <w:rStyle w:val="Hyperlink"/>
            </w:rPr>
          </w:pPr>
          <w:r>
            <w:t xml:space="preserve">Annex N – Glossary</w:t>
          </w:r>
          <w:r>
            <w:tab/>
          </w:r>
          <w:r>
            <w:t xml:space="preserve">199</w:t>
          </w:r>
        </w:p>
        <w:p>
          <w:pPr>
            <w:pStyle w:val="TOC2"/>
            <w:tabs>
              <w:tab w:val="right" w:leader="dot" w:pos="9630"/>
            </w:tabs>
            <w:rPr>
              <w:rStyle w:val="Hyperlink"/>
            </w:rPr>
          </w:pPr>
          <w:r>
            <w:t xml:space="preserve">N.2 Terms Added in Version 1.2</w:t>
          </w:r>
          <w:r>
            <w:tab/>
          </w:r>
          <w:r>
            <w:t xml:space="preserve">199</w:t>
          </w:r>
        </w:p>
        <w:p>
          <w:pPr>
            <w:pStyle w:val="TOC1"/>
            <w:tabs>
              <w:tab w:val="right" w:leader="dot" w:pos="9630"/>
            </w:tabs>
            <w:rPr>
              <w:rStyle w:val="Hyperlink"/>
            </w:rPr>
          </w:pPr>
          <w:r>
            <w:t xml:space="preserve">Annex O – Workflow and Approvals</w:t>
          </w:r>
          <w:r>
            <w:tab/>
          </w:r>
          <w:r>
            <w:t xml:space="preserve">201</w:t>
          </w:r>
        </w:p>
        <w:p>
          <w:pPr>
            <w:pStyle w:val="TOC2"/>
            <w:tabs>
              <w:tab w:val="right" w:leader="dot" w:pos="9630"/>
            </w:tabs>
            <w:rPr>
              <w:rStyle w:val="Hyperlink"/>
            </w:rPr>
          </w:pPr>
          <w:r>
            <w:t xml:space="preserve">O.1 Who Makes, Checks and Approves (Picture)</w:t>
          </w:r>
          <w:r>
            <w:tab/>
          </w:r>
          <w:r>
            <w:t xml:space="preserve">201</w:t>
          </w:r>
        </w:p>
        <w:p>
          <w:pPr>
            <w:pStyle w:val="TOC2"/>
            <w:tabs>
              <w:tab w:val="right" w:leader="dot" w:pos="9630"/>
            </w:tabs>
            <w:rPr>
              <w:rStyle w:val="Hyperlink"/>
            </w:rPr>
          </w:pPr>
          <w:r>
            <w:t xml:space="preserve">O.2 Stages, Approvals and Service Levels per Process</w:t>
          </w:r>
          <w:r>
            <w:tab/>
          </w:r>
          <w:r>
            <w:t xml:space="preserve">202</w:t>
          </w:r>
        </w:p>
        <w:p>
          <w:pPr>
            <w:pStyle w:val="TOC2"/>
            <w:tabs>
              <w:tab w:val="right" w:leader="dot" w:pos="9630"/>
            </w:tabs>
            <w:rPr>
              <w:rStyle w:val="Hyperlink"/>
            </w:rPr>
          </w:pPr>
          <w:r>
            <w:t xml:space="preserve">O.3 Role-to-stage Matrix (Table)</w:t>
          </w:r>
          <w:r>
            <w:tab/>
          </w:r>
          <w:r>
            <w:t xml:space="preserve">205</w:t>
          </w:r>
        </w:p>
        <w:p>
          <w:pPr>
            <w:pStyle w:val="TOC2"/>
            <w:tabs>
              <w:tab w:val="right" w:leader="dot" w:pos="9630"/>
            </w:tabs>
            <w:rPr>
              <w:rStyle w:val="Hyperlink"/>
            </w:rPr>
          </w:pPr>
          <w:r>
            <w:t xml:space="preserve">O.4 Status Names: BDOI's FRS and the Screens</w:t>
          </w:r>
          <w:r>
            <w:tab/>
          </w:r>
          <w:r>
            <w:t xml:space="preserve">206</w:t>
          </w:r>
        </w:p>
        <w:p>
          <w:pPr>
            <w:pStyle w:val="TOC1"/>
            <w:tabs>
              <w:tab w:val="right" w:leader="dot" w:pos="9630"/>
            </w:tabs>
            <w:rPr>
              <w:rStyle w:val="Hyperlink"/>
            </w:rPr>
          </w:pPr>
          <w:r>
            <w:t xml:space="preserve">Annex P – E-mail and Notification Texts</w:t>
          </w:r>
          <w:r>
            <w:tab/>
          </w:r>
          <w:r>
            <w:t xml:space="preserve">207</w:t>
          </w:r>
        </w:p>
        <w:p>
          <w:pPr>
            <w:pStyle w:val="TOC2"/>
            <w:tabs>
              <w:tab w:val="right" w:leader="dot" w:pos="9630"/>
            </w:tabs>
            <w:rPr>
              <w:rStyle w:val="Hyperlink"/>
            </w:rPr>
          </w:pPr>
          <w:r>
            <w:t xml:space="preserve">P.1 Overview</w:t>
          </w:r>
          <w:r>
            <w:tab/>
          </w:r>
          <w:r>
            <w:t xml:space="preserve">207</w:t>
          </w:r>
        </w:p>
        <w:p>
          <w:pPr>
            <w:pStyle w:val="TOC2"/>
            <w:tabs>
              <w:tab w:val="right" w:leader="dot" w:pos="9630"/>
            </w:tabs>
            <w:rPr>
              <w:rStyle w:val="Hyperlink"/>
            </w:rPr>
          </w:pPr>
          <w:r>
            <w:t xml:space="preserve">P.2 The Texts</w:t>
          </w:r>
          <w:r>
            <w:tab/>
          </w:r>
          <w:r>
            <w:t xml:space="preserve">208</w:t>
          </w:r>
        </w:p>
        <w:p>
          <w:pPr>
            <w:pStyle w:val="TOC1"/>
            <w:tabs>
              <w:tab w:val="right" w:leader="dot" w:pos="9630"/>
            </w:tabs>
            <w:rPr>
              <w:rStyle w:val="Hyperlink"/>
            </w:rPr>
          </w:pPr>
          <w:r>
            <w:t xml:space="preserve">Annex Q – Document Prints and Output Formats</w:t>
          </w:r>
          <w:r>
            <w:tab/>
          </w:r>
          <w:r>
            <w:t xml:space="preserve">216</w:t>
          </w:r>
        </w:p>
        <w:p>
          <w:pPr>
            <w:pStyle w:val="TOC2"/>
            <w:tabs>
              <w:tab w:val="right" w:leader="dot" w:pos="9630"/>
            </w:tabs>
            <w:rPr>
              <w:rStyle w:val="Hyperlink"/>
            </w:rPr>
          </w:pPr>
          <w:r>
            <w:t xml:space="preserve">Q.1 Overview</w:t>
          </w:r>
          <w:r>
            <w:tab/>
          </w:r>
          <w:r>
            <w:t xml:space="preserve">216</w:t>
          </w:r>
        </w:p>
        <w:p>
          <w:pPr>
            <w:pStyle w:val="TOC2"/>
            <w:tabs>
              <w:tab w:val="right" w:leader="dot" w:pos="9630"/>
            </w:tabs>
            <w:rPr>
              <w:rStyle w:val="Hyperlink"/>
            </w:rPr>
          </w:pPr>
          <w:r>
            <w:t xml:space="preserve">Q.2 The Documents</w:t>
          </w:r>
          <w:r>
            <w:tab/>
          </w:r>
          <w:r>
            <w:t xml:space="preserve">216</w:t>
          </w:r>
        </w:p>
        <w:p>
          <w:pPr>
            <w:pStyle w:val="TOC1"/>
            <w:tabs>
              <w:tab w:val="right" w:leader="dot" w:pos="9630"/>
            </w:tabs>
            <w:rPr>
              <w:rStyle w:val="Hyperlink"/>
            </w:rPr>
          </w:pPr>
          <w:r>
            <w:t xml:space="preserve">Annex R – Reports and Schedules</w:t>
          </w:r>
          <w:r>
            <w:tab/>
          </w:r>
          <w:r>
            <w:t xml:space="preserve">226</w:t>
          </w:r>
        </w:p>
        <w:p>
          <w:pPr>
            <w:pStyle w:val="TOC2"/>
            <w:tabs>
              <w:tab w:val="right" w:leader="dot" w:pos="9630"/>
            </w:tabs>
            <w:rPr>
              <w:rStyle w:val="Hyperlink"/>
            </w:rPr>
          </w:pPr>
          <w:r>
            <w:t xml:space="preserve">R.1 Reports</w:t>
          </w:r>
          <w:r>
            <w:tab/>
          </w:r>
          <w:r>
            <w:t xml:space="preserve">226</w:t>
          </w:r>
        </w:p>
        <w:p>
          <w:pPr>
            <w:pStyle w:val="TOC2"/>
            <w:tabs>
              <w:tab w:val="right" w:leader="dot" w:pos="9630"/>
            </w:tabs>
            <w:rPr>
              <w:rStyle w:val="Hyperlink"/>
            </w:rPr>
          </w:pPr>
          <w:r>
            <w:t xml:space="preserve">R.2 Scheduled Runs</w:t>
          </w:r>
          <w:r>
            <w:tab/>
          </w:r>
          <w:r>
            <w:t xml:space="preserve">226</w:t>
          </w:r>
        </w:p>
        <w:p>
          <w:pPr>
            <w:pStyle w:val="TOC1"/>
            <w:tabs>
              <w:tab w:val="right" w:leader="dot" w:pos="9630"/>
            </w:tabs>
            <w:rPr>
              <w:rStyle w:val="Hyperlink"/>
            </w:rPr>
          </w:pPr>
          <w:r>
            <w:t xml:space="preserve">Annex S – Integrations [Integration Scope]</w:t>
          </w:r>
          <w:r>
            <w:tab/>
          </w:r>
          <w:r>
            <w:t xml:space="preserve">228</w:t>
          </w:r>
        </w:p>
        <w:p>
          <w:pPr>
            <w:pStyle w:val="TOC1"/>
            <w:tabs>
              <w:tab w:val="right" w:leader="dot" w:pos="9630"/>
            </w:tabs>
            <w:rPr>
              <w:rStyle w:val="Hyperlink"/>
            </w:rPr>
          </w:pPr>
          <w:r>
            <w:t xml:space="preserve">Annex T – Non-functional Requirements</w:t>
          </w:r>
          <w:r>
            <w:tab/>
          </w:r>
          <w:r>
            <w:t xml:space="preserve">230</w:t>
          </w:r>
        </w:p>
        <w:p>
          <w:pPr>
            <w:pStyle w:val="TOC1"/>
            <w:tabs>
              <w:tab w:val="right" w:leader="dot" w:pos="9630"/>
            </w:tabs>
            <w:rPr>
              <w:rStyle w:val="Hyperlink"/>
            </w:rPr>
          </w:pPr>
          <w:r>
            <w:t xml:space="preserve">Annex U – Data Set-up and Migration at Go-live [Data Migration Scope]</w:t>
          </w:r>
          <w:r>
            <w:tab/>
          </w:r>
          <w:r>
            <w:t xml:space="preserve">232</w:t>
          </w:r>
        </w:p>
        <w:p>
          <w:pPr>
            <w:pStyle w:val="TOC1"/>
            <w:tabs>
              <w:tab w:val="right" w:leader="dot" w:pos="9630"/>
            </w:tabs>
            <w:rPr>
              <w:rStyle w:val="Hyperlink"/>
            </w:rPr>
          </w:pPr>
          <w:r>
            <w:t xml:space="preserve">Annex V – Assumptions, Dependencies and Open Questions</w:t>
          </w:r>
          <w:r>
            <w:tab/>
          </w:r>
          <w:r>
            <w:t xml:space="preserve">233</w:t>
          </w:r>
        </w:p>
        <w:p>
          <w:pPr>
            <w:pStyle w:val="TOC2"/>
            <w:tabs>
              <w:tab w:val="right" w:leader="dot" w:pos="9630"/>
            </w:tabs>
            <w:rPr>
              <w:rStyle w:val="Hyperlink"/>
            </w:rPr>
          </w:pPr>
          <w:r>
            <w:t xml:space="preserve">V.1 Assumptions</w:t>
          </w:r>
          <w:r>
            <w:tab/>
          </w:r>
          <w:r>
            <w:t xml:space="preserve">233</w:t>
          </w:r>
        </w:p>
        <w:p>
          <w:pPr>
            <w:pStyle w:val="TOC2"/>
            <w:tabs>
              <w:tab w:val="right" w:leader="dot" w:pos="9630"/>
            </w:tabs>
            <w:rPr>
              <w:rStyle w:val="Hyperlink"/>
            </w:rPr>
          </w:pPr>
          <w:r>
            <w:t xml:space="preserve">V.2 Dependencies</w:t>
          </w:r>
          <w:r>
            <w:tab/>
          </w:r>
          <w:r>
            <w:t xml:space="preserve">233</w:t>
          </w:r>
        </w:p>
        <w:p>
          <w:pPr>
            <w:pStyle w:val="TOC2"/>
            <w:tabs>
              <w:tab w:val="right" w:leader="dot" w:pos="9630"/>
            </w:tabs>
            <w:rPr>
              <w:rStyle w:val="Hyperlink"/>
            </w:rPr>
          </w:pPr>
          <w:r>
            <w:t xml:space="preserve">V.3 Open Questions</w:t>
          </w:r>
          <w:r>
            <w:tab/>
          </w:r>
          <w:r>
            <w:t xml:space="preserve">234</w:t>
          </w:r>
        </w:p>
        <w:p>
          <w:pPr>
            <w:pStyle w:val="TOC2"/>
            <w:tabs>
              <w:tab w:val="right" w:leader="dot" w:pos="9630"/>
            </w:tabs>
            <w:rPr>
              <w:rStyle w:val="Hyperlink"/>
            </w:rPr>
          </w:pPr>
          <w:r>
            <w:t xml:space="preserve">V.4 Proposed Rules to Confirm</w:t>
          </w:r>
          <w:r>
            <w:tab/>
          </w:r>
          <w:r>
            <w:t xml:space="preserve">235</w:t>
          </w:r>
        </w:p>
        <w:p>
          <w:pPr>
            <w:pStyle w:val="TOC1"/>
            <w:tabs>
              <w:tab w:val="right" w:leader="dot" w:pos="9630"/>
            </w:tabs>
            <w:rPr>
              <w:rStyle w:val="Hyperlink"/>
            </w:rPr>
          </w:pPr>
          <w:r>
            <w:t xml:space="preserve">Annex W – Change Control After Sign-off</w:t>
          </w:r>
          <w:r>
            <w:tab/>
          </w:r>
          <w:r>
            <w:t xml:space="preserve">236</w:t>
          </w:r>
        </w:p>
        <w:p>
          <w:pPr>
            <w:pStyle w:val="TOC2"/>
            <w:tabs>
              <w:tab w:val="right" w:leader="dot" w:pos="9630"/>
            </w:tabs>
            <w:rPr>
              <w:rStyle w:val="Hyperlink"/>
            </w:rPr>
          </w:pPr>
          <w:r>
            <w:t xml:space="preserve">W.1 What Signing Freezes</w:t>
          </w:r>
          <w:r>
            <w:tab/>
          </w:r>
          <w:r>
            <w:t xml:space="preserve">236</w:t>
          </w:r>
        </w:p>
        <w:p>
          <w:pPr>
            <w:pStyle w:val="TOC2"/>
            <w:tabs>
              <w:tab w:val="right" w:leader="dot" w:pos="9630"/>
            </w:tabs>
            <w:rPr>
              <w:rStyle w:val="Hyperlink"/>
            </w:rPr>
          </w:pPr>
          <w:r>
            <w:t xml:space="preserve">W.2 How a Change is Raised, Assessed and Approved</w:t>
          </w:r>
          <w:r>
            <w:tab/>
          </w:r>
          <w:r>
            <w:t xml:space="preserve">236</w:t>
          </w:r>
        </w:p>
        <w:p>
          <w:pPr>
            <w:pStyle w:val="TOC1"/>
            <w:tabs>
              <w:tab w:val="right" w:leader="dot" w:pos="9630"/>
            </w:tabs>
            <w:rPr>
              <w:rStyle w:val="Hyperlink"/>
            </w:rPr>
          </w:pPr>
          <w:r>
            <w:t xml:space="preserve">Annex X – Business Unit Review Checklist</w:t>
          </w:r>
          <w:r>
            <w:tab/>
          </w:r>
          <w:r>
            <w:t xml:space="preserve">237</w:t>
          </w:r>
        </w:p>
        <w:p>
          <w:pPr>
            <w:pStyle w:val="TOC1"/>
            <w:tabs>
              <w:tab w:val="right" w:leader="dot" w:pos="9630"/>
            </w:tabs>
            <w:rPr>
              <w:rStyle w:val="Hyperlink"/>
            </w:rPr>
          </w:pPr>
          <w:r>
            <w:t xml:space="preserve">Annex Y – Points Beyond the BRD and Change Requests</w:t>
          </w:r>
          <w:r>
            <w:tab/>
          </w:r>
          <w:r>
            <w:t xml:space="preserve">239</w:t>
          </w:r>
        </w:p>
        <w:p>
          <w:pPr>
            <w:pStyle w:val="TOC2"/>
            <w:tabs>
              <w:tab w:val="right" w:leader="dot" w:pos="9630"/>
            </w:tabs>
            <w:rPr>
              <w:rStyle w:val="Hyperlink"/>
            </w:rPr>
          </w:pPr>
          <w:r>
            <w:t xml:space="preserve">Y.1 How the Points Were Classified</w:t>
          </w:r>
          <w:r>
            <w:tab/>
          </w:r>
          <w:r>
            <w:t xml:space="preserve">239</w:t>
          </w:r>
        </w:p>
        <w:p>
          <w:pPr>
            <w:pStyle w:val="TOC2"/>
            <w:tabs>
              <w:tab w:val="right" w:leader="dot" w:pos="9630"/>
            </w:tabs>
            <w:rPr>
              <w:rStyle w:val="Hyperlink"/>
            </w:rPr>
          </w:pPr>
          <w:r>
            <w:t xml:space="preserve">Y.2 Change Requests (Orange)</w:t>
          </w:r>
          <w:r>
            <w:tab/>
          </w:r>
          <w:r>
            <w:t xml:space="preserve">239</w:t>
          </w:r>
        </w:p>
        <w:p>
          <w:pPr>
            <w:pStyle w:val="TOC2"/>
            <w:tabs>
              <w:tab w:val="right" w:leader="dot" w:pos="9630"/>
            </w:tabs>
            <w:rPr>
              <w:rStyle w:val="Hyperlink"/>
            </w:rPr>
          </w:pPr>
          <w:r>
            <w:t xml:space="preserve">Y.3 Points Beyond the BRD Available OOTB in iNXT BrokerVerse (Green)</w:t>
          </w:r>
          <w:r>
            <w:tab/>
          </w:r>
          <w:r>
            <w:t xml:space="preserve">240</w:t>
          </w:r>
        </w:p>
        <w:p>
          <w:pPr>
            <w:pStyle w:val="TOC2"/>
            <w:tabs>
              <w:tab w:val="right" w:leader="dot" w:pos="9630"/>
            </w:tabs>
            <w:rPr>
              <w:rStyle w:val="Hyperlink"/>
            </w:rPr>
          </w:pPr>
          <w:r>
            <w:t xml:space="preserve">Y.4 Check of the BRD Lines Outside the Requirement Table</w:t>
          </w:r>
          <w:r>
            <w:tab/>
          </w:r>
          <w:r>
            <w:t xml:space="preserve">240</w:t>
          </w:r>
        </w:p>
        <w:p>
          <w:pPr>
            <w:pStyle w:val="TOC2"/>
            <w:tabs>
              <w:tab w:val="right" w:leader="dot" w:pos="9630"/>
            </w:tabs>
            <w:rPr>
              <w:rStyle w:val="Hyperlink"/>
            </w:rPr>
          </w:pPr>
          <w:r>
            <w:t xml:space="preserve">Y.5 Covered by the Integration Scope and the Data Migration Scope</w:t>
          </w:r>
          <w:r>
            <w:tab/>
          </w:r>
          <w:r>
            <w:t xml:space="preserve">241</w:t>
          </w:r>
        </w:p>
        <w:p>
          <w:pPr>
            <w:pStyle w:val="TOC2"/>
            <w:tabs>
              <w:tab w:val="right" w:leader="dot" w:pos="9630"/>
            </w:tabs>
            <w:rPr>
              <w:rStyle w:val="Hyperlink"/>
            </w:rPr>
          </w:pPr>
          <w:r>
            <w:t xml:space="preserve">Y.6 Best-practice Recommendations (Blue)</w:t>
          </w:r>
          <w:r>
            <w:tab/>
          </w:r>
          <w:r>
            <w:t xml:space="preserve">242</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keepNext/>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6"/>
                <w:szCs w:val="16"/>
              </w:rPr>
              <w:t xml:space="preserve">Black text</w:t>
            </w:r>
          </w:p>
        </w:tc>
        <w:tc>
          <w:tcPr>
            <w:tcW w:w="6192" w:type="dxa"/>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(by default); with the setting off new packages come only from package requests (FRPM.003.01, FRPM.001.01).</w:t>
      </w:r>
    </w:p>
    <w:p>
      <w:pPr>
        <w:pStyle w:val="Heading2"/>
        <w:keepNext/>
        <w:keepLines/>
        <w:numPr>
          <w:ilvl w:val="0"/>
          <w:numId w:val="0"/>
        </w:numPr>
        <w:rPr>
          <w:rFonts w:ascii="Arial" w:hAnsi="Arial" w:cs="Arial"/>
        </w:rPr>
      </w:pPr>
      <w:r>
        <w:rPr>
          <w:sz w:val="24"/>
          <w:szCs w:val="24"/>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As Save Draft</w:t>
            </w:r>
          </w:p>
        </w:tc>
        <w:tc>
          <w:tcPr>
            <w:tcW w:w="1728" w:type="dxa"/>
          </w:tcPr>
          <w:p>
            <w:pPr>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sz w:val="24"/>
          <w:szCs w:val="24"/>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Terms final</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Arial" w:hAnsi="Arial" w:cs="Arial"/>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Send Advisory</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Arial" w:hAnsi="Arial" w:cs="Arial"/>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sz w:val="24"/>
          <w:szCs w:val="24"/>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sz w:val="24"/>
          <w:szCs w:val="24"/>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sz w:val="24"/>
          <w:szCs w:val="24"/>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sz w:val="24"/>
          <w:szCs w:val="24"/>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MBS</w:t>
            </w:r>
          </w:p>
        </w:tc>
        <w:tc>
          <w:tcPr>
            <w:tcW w:w="1944" w:type="dxa"/>
          </w:tcPr>
          <w:p>
            <w:pPr>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spacing w:after="20" w:before="20"/>
              <w:rPr>
                <w:rFonts w:ascii="Arial" w:hAnsi="Arial" w:cs="Arial"/>
                <w:sz w:val="16"/>
                <w:szCs w:val="16"/>
              </w:rPr>
            </w:pPr>
            <w:r>
              <w:rPr>
                <w:rFonts w:ascii="Arial" w:hAnsi="Arial" w:cs="Arial"/>
                <w:sz w:val="16"/>
                <w:szCs w:val="16"/>
              </w:rPr>
              <w:t xml:space="preserve">For validation</w:t>
            </w:r>
          </w:p>
        </w:tc>
        <w:tc>
          <w:tcPr>
            <w:tcW w:w="3600" w:type="dxa"/>
          </w:tcPr>
          <w:p>
            <w:pPr>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sz w:val="24"/>
          <w:szCs w:val="24"/>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sz w:val="24"/>
          <w:szCs w:val="24"/>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sz w:val="24"/>
          <w:szCs w:val="24"/>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sz w:val="24"/>
          <w:szCs w:val="24"/>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sz w:val="24"/>
          <w:szCs w:val="24"/>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Insurers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As on Insurers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sz w:val="24"/>
          <w:szCs w:val="24"/>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sz w:val="24"/>
          <w:szCs w:val="24"/>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Calculate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Reject</w:t>
            </w:r>
          </w:p>
        </w:tc>
        <w:tc>
          <w:tcPr>
            <w:tcW w:w="1944" w:type="dxa"/>
          </w:tcPr>
          <w:p>
            <w:pPr>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Arial" w:hAnsi="Arial" w:cs="Arial"/>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sz w:val="24"/>
          <w:szCs w:val="24"/>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Withdraw</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spacing w:after="20" w:before="20"/>
              <w:rPr>
                <w:rFonts w:ascii="Arial" w:hAnsi="Arial" w:cs="Arial"/>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By default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sz w:val="24"/>
          <w:szCs w:val="24"/>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Send Now</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Arial" w:hAnsi="Arial" w:cs="Arial"/>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sz w:val="24"/>
          <w:szCs w:val="24"/>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CSV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Sent to Client</w:t>
            </w:r>
          </w:p>
        </w:tc>
        <w:tc>
          <w:tcPr>
            <w:tcW w:w="3600" w:type="dxa"/>
          </w:tcPr>
          <w:p>
            <w:pPr>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Arial" w:hAnsi="Arial" w:cs="Arial"/>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(by default),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20"/>
          <w:szCs w:val="20"/>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WT-A.24</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spacing w:after="20" w:before="20"/>
              <w:rPr>
                <w:rFonts w:ascii="Arial" w:hAnsi="Arial" w:cs="Arial"/>
                <w:sz w:val="15"/>
                <w:szCs w:val="15"/>
              </w:rPr>
            </w:pPr>
            <w:r>
              <w:rPr>
                <w:rFonts w:ascii="Arial" w:hAnsi="Arial" w:cs="Arial"/>
                <w:sz w:val="16"/>
                <w:szCs w:val="16"/>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20"/>
          <w:szCs w:val="20"/>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himself,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PKR-2026-900002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himself,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PKR-2026-900003 and clicks Terms final while Luzon Assurance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PKR-2026-900004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PKR-2026-900005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WT-B.12</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spacing w:after="20" w:before="20"/>
              <w:rPr>
                <w:rFonts w:ascii="Arial" w:hAnsi="Arial" w:cs="Arial"/>
                <w:sz w:val="15"/>
                <w:szCs w:val="15"/>
              </w:rPr>
            </w:pPr>
            <w:r>
              <w:rPr>
                <w:rFonts w:ascii="Arial" w:hAnsi="Arial" w:cs="Arial"/>
                <w:sz w:val="16"/>
                <w:szCs w:val="16"/>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Service level</w:t>
            </w:r>
          </w:p>
        </w:tc>
        <w:tc>
          <w:tcPr>
            <w:tcW w:w="7776" w:type="dxa"/>
          </w:tcPr>
          <w:p>
            <w:pPr>
              <w:keepNext/>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Sign-in ID</w:t>
            </w:r>
          </w:p>
        </w:tc>
        <w:tc>
          <w:tcPr>
            <w:tcW w:w="7776" w:type="dxa"/>
          </w:tcPr>
          <w:p>
            <w:pPr>
              <w:spacing w:after="20" w:before="20"/>
              <w:rPr>
                <w:rFonts w:ascii="Arial" w:hAnsi="Arial" w:cs="Arial"/>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at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156"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spacing w:after="20" w:before="20"/>
              <w:rPr>
                <w:rFonts w:ascii="Arial" w:hAnsi="Arial" w:cs="Arial"/>
                <w:sz w:val="15"/>
                <w:szCs w:val="15"/>
              </w:rPr>
            </w:pPr>
          </w:p>
        </w:tc>
        <w:tc>
          <w:tcPr>
            <w:tcW w:w="816" w:type="dxa"/>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D-PM-03</w:t>
            </w:r>
          </w:p>
        </w:tc>
        <w:tc>
          <w:tcPr>
            <w:tcW w:w="2448" w:type="dxa"/>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tcPr>
          <w:p>
            <w:pPr>
              <w:spacing w:after="20" w:before="20"/>
              <w:rPr>
                <w:rFonts w:ascii="Arial" w:hAnsi="Arial" w:cs="Arial"/>
                <w:sz w:val="15"/>
                <w:szCs w:val="15"/>
              </w:rPr>
            </w:pPr>
            <w:r>
              <w:rPr>
                <w:rFonts w:ascii="Arial" w:hAnsi="Arial" w:cs="Arial"/>
                <w:sz w:val="16"/>
                <w:szCs w:val="16"/>
              </w:rPr>
              <w:t xml:space="preserve">FRPM.001.01</w:t>
            </w:r>
          </w:p>
        </w:tc>
        <w:tc>
          <w:tcPr>
            <w:tcW w:w="1007" w:type="dxa"/>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160" w:type="dxa"/>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tcPr>
          <w:p>
            <w:pPr>
              <w:spacing w:after="20" w:before="20"/>
              <w:rPr>
                <w:rFonts w:ascii="Arial" w:hAnsi="Arial" w:cs="Arial"/>
                <w:sz w:val="15"/>
                <w:szCs w:val="15"/>
              </w:rPr>
            </w:pPr>
            <w:r>
              <w:rPr>
                <w:rFonts w:ascii="Arial" w:hAnsi="Arial" w:cs="Arial"/>
                <w:sz w:val="16"/>
                <w:szCs w:val="16"/>
              </w:rPr>
              <w:t xml:space="preserve">FRPM.002.01</w:t>
            </w:r>
          </w:p>
        </w:tc>
        <w:tc>
          <w:tcPr>
            <w:tcW w:w="1584" w:type="dxa"/>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G-03</w:t>
            </w:r>
          </w:p>
        </w:tc>
        <w:tc>
          <w:tcPr>
            <w:tcW w:w="2160" w:type="dxa"/>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G-04</w:t>
            </w:r>
          </w:p>
        </w:tc>
        <w:tc>
          <w:tcPr>
            <w:tcW w:w="2160" w:type="dxa"/>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160" w:type="dxa"/>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Benefits</w:t>
            </w:r>
          </w:p>
        </w:tc>
        <w:tc>
          <w:tcPr>
            <w:tcW w:w="4176" w:type="dxa"/>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Arial" w:hAnsi="Arial" w:cs="Arial"/>
                <w:sz w:val="16"/>
                <w:szCs w:val="16"/>
              </w:rPr>
            </w:pPr>
            <w:r>
              <w:rPr>
                <w:rFonts w:ascii="Arial" w:hAnsi="Arial" w:cs="Arial"/>
                <w:sz w:val="16"/>
                <w:szCs w:val="16"/>
              </w:rPr>
              <w:t xml:space="preserve">FRPM.001.01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Arial" w:hAnsi="Arial" w:cs="Arial"/>
                <w:sz w:val="16"/>
                <w:szCs w:val="16"/>
              </w:rPr>
            </w:pPr>
            <w:r>
              <w:rPr>
                <w:rFonts w:ascii="Arial" w:hAnsi="Arial" w:cs="Arial"/>
                <w:sz w:val="16"/>
                <w:szCs w:val="16"/>
              </w:rPr>
              <w:t xml:space="preserve">FRPM.027.01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Arial" w:hAnsi="Arial" w:cs="Arial"/>
                <w:sz w:val="16"/>
                <w:szCs w:val="16"/>
              </w:rPr>
            </w:pPr>
            <w:r>
              <w:rPr>
                <w:rFonts w:ascii="Arial" w:hAnsi="Arial" w:cs="Arial"/>
                <w:sz w:val="16"/>
                <w:szCs w:val="16"/>
              </w:rPr>
              <w:t xml:space="preserve">Annex T T-01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tcPr>
          <w:p>
            <w:pPr>
              <w:spacing w:after="20" w:before="20"/>
              <w:rPr>
                <w:rFonts w:ascii="Arial" w:hAnsi="Arial" w:cs="Arial"/>
                <w:sz w:val="16"/>
                <w:szCs w:val="16"/>
              </w:rPr>
            </w:pPr>
            <w:r>
              <w:rPr>
                <w:rFonts w:ascii="Arial" w:hAnsi="Arial" w:cs="Arial"/>
                <w:sz w:val="16"/>
                <w:szCs w:val="16"/>
              </w:rPr>
              <w:t xml:space="preserve">Annex T T-03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Arial" w:hAnsi="Arial" w:cs="Arial"/>
                <w:sz w:val="16"/>
                <w:szCs w:val="16"/>
              </w:rPr>
            </w:pPr>
            <w:r>
              <w:rPr>
                <w:rFonts w:ascii="Arial" w:hAnsi="Arial" w:cs="Arial"/>
                <w:sz w:val="16"/>
                <w:szCs w:val="16"/>
              </w:rPr>
              <w:t xml:space="preserve">Annex T T-06</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tcPr>
          <w:p>
            <w:pPr>
              <w:spacing w:after="20" w:before="20"/>
              <w:rPr>
                <w:rFonts w:ascii="Arial" w:hAnsi="Arial" w:cs="Arial"/>
                <w:sz w:val="16"/>
                <w:szCs w:val="16"/>
              </w:rPr>
            </w:pPr>
            <w:r>
              <w:rPr>
                <w:rFonts w:ascii="Arial" w:hAnsi="Arial" w:cs="Arial"/>
                <w:sz w:val="16"/>
                <w:szCs w:val="16"/>
              </w:rPr>
              <w:t xml:space="preserve">Annex T T-09</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tcPr>
          <w:p>
            <w:pPr>
              <w:spacing w:after="20" w:before="20"/>
              <w:rPr>
                <w:rFonts w:ascii="Arial" w:hAnsi="Arial" w:cs="Arial"/>
                <w:sz w:val="16"/>
                <w:szCs w:val="16"/>
              </w:rPr>
            </w:pPr>
            <w:r>
              <w:rPr>
                <w:rFonts w:ascii="Arial" w:hAnsi="Arial" w:cs="Arial"/>
                <w:sz w:val="16"/>
                <w:szCs w:val="16"/>
              </w:rPr>
              <w:t xml:space="preserve">Annex T T-07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tcPr>
          <w:p>
            <w:pPr>
              <w:spacing w:after="20" w:before="20"/>
              <w:rPr>
                <w:rFonts w:ascii="Arial" w:hAnsi="Arial" w:cs="Arial"/>
                <w:sz w:val="16"/>
                <w:szCs w:val="16"/>
              </w:rPr>
            </w:pPr>
            <w:r>
              <w:rPr>
                <w:rFonts w:ascii="Arial" w:hAnsi="Arial" w:cs="Arial"/>
                <w:sz w:val="16"/>
                <w:szCs w:val="16"/>
              </w:rPr>
              <w:t xml:space="preserve">Annex T T-08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IN-09 Insurers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U-04</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U-05</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U-07</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U-08</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U-09</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U-10</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U-11</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U-12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rPr>
        <w:t xml:space="preserve">Y.6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