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20"/>
          <w:szCs w:val="20"/>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1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New Annex Y: change requests with their effort (11.5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67</w:t>
          </w:r>
        </w:p>
        <w:p>
          <w:pPr>
            <w:pStyle w:val="TOC1"/>
            <w:tabs>
              <w:tab w:val="right" w:leader="dot" w:pos="9630"/>
            </w:tabs>
            <w:rPr>
              <w:rStyle w:val="Hyperlink"/>
            </w:rPr>
          </w:pPr>
          <w:r>
            <w:t xml:space="preserve">End-to-End Process Flow (All Actors and Systems)</w:t>
          </w:r>
          <w:r>
            <w:tab/>
          </w:r>
          <w:r>
            <w:t xml:space="preserve">67</w:t>
          </w:r>
        </w:p>
        <w:p>
          <w:pPr>
            <w:pStyle w:val="TOC1"/>
            <w:tabs>
              <w:tab w:val="right" w:leader="dot" w:pos="9630"/>
            </w:tabs>
            <w:rPr>
              <w:rStyle w:val="Hyperlink"/>
            </w:rPr>
          </w:pPr>
          <w:r>
            <w:t xml:space="preserve">Non-Package Request Process Flow</w:t>
          </w:r>
          <w:r>
            <w:tab/>
          </w:r>
          <w:r>
            <w:t xml:space="preserve">68</w:t>
          </w:r>
        </w:p>
        <w:p>
          <w:pPr>
            <w:pStyle w:val="TOC1"/>
            <w:tabs>
              <w:tab w:val="right" w:leader="dot" w:pos="9630"/>
            </w:tabs>
            <w:rPr>
              <w:rStyle w:val="Hyperlink"/>
            </w:rPr>
          </w:pPr>
          <w:r>
            <w:t xml:space="preserve">New Request Process Flow</w:t>
          </w:r>
          <w:r>
            <w:tab/>
          </w:r>
          <w:r>
            <w:t xml:space="preserve">69</w:t>
          </w:r>
        </w:p>
        <w:p>
          <w:pPr>
            <w:pStyle w:val="TOC1"/>
            <w:tabs>
              <w:tab w:val="right" w:leader="dot" w:pos="9630"/>
            </w:tabs>
            <w:rPr>
              <w:rStyle w:val="Hyperlink"/>
            </w:rPr>
          </w:pPr>
          <w:r>
            <w:t xml:space="preserve">Package Set-up, Validation and Release Process Flow</w:t>
          </w:r>
          <w:r>
            <w:tab/>
          </w:r>
          <w:r>
            <w:t xml:space="preserve">70</w:t>
          </w:r>
        </w:p>
        <w:p>
          <w:pPr>
            <w:pStyle w:val="TOC1"/>
            <w:tabs>
              <w:tab w:val="right" w:leader="dot" w:pos="9630"/>
            </w:tabs>
            <w:rPr>
              <w:rStyle w:val="Hyperlink"/>
            </w:rPr>
          </w:pPr>
          <w:r>
            <w:t xml:space="preserve">Package Expiry, Renewal and Deactivation Process Flow</w:t>
          </w:r>
          <w:r>
            <w:tab/>
          </w:r>
          <w:r>
            <w:t xml:space="preserve">71</w:t>
          </w:r>
        </w:p>
        <w:p>
          <w:pPr>
            <w:pStyle w:val="TOC1"/>
            <w:tabs>
              <w:tab w:val="right" w:leader="dot" w:pos="9630"/>
            </w:tabs>
            <w:rPr>
              <w:rStyle w:val="Hyperlink"/>
            </w:rPr>
          </w:pPr>
          <w:r>
            <w:t xml:space="preserve">Rate Exception Process Flow (New Business on a Package)</w:t>
          </w:r>
          <w:r>
            <w:tab/>
          </w:r>
          <w:r>
            <w:t xml:space="preserve">72</w:t>
          </w:r>
        </w:p>
        <w:p>
          <w:pPr>
            <w:pStyle w:val="TOC1"/>
            <w:tabs>
              <w:tab w:val="right" w:leader="dot" w:pos="9630"/>
            </w:tabs>
            <w:rPr>
              <w:rStyle w:val="Hyperlink"/>
            </w:rPr>
          </w:pPr>
          <w:r>
            <w:t xml:space="preserve">Package Request and Approval Process Flow (Marketing and TSU)</w:t>
          </w:r>
          <w:r>
            <w:tab/>
          </w:r>
          <w:r>
            <w:t xml:space="preserve">73</w:t>
          </w:r>
        </w:p>
        <w:p>
          <w:pPr>
            <w:pStyle w:val="TOC1"/>
            <w:tabs>
              <w:tab w:val="right" w:leader="dot" w:pos="9630"/>
            </w:tabs>
            <w:rPr>
              <w:rStyle w:val="Hyperlink"/>
            </w:rPr>
          </w:pPr>
          <w:r>
            <w:t xml:space="preserve">Negotiation, Comparative Table and Terms Review Process Flow</w:t>
          </w:r>
          <w:r>
            <w:tab/>
          </w:r>
          <w:r>
            <w:t xml:space="preserve">74</w:t>
          </w:r>
        </w:p>
        <w:p>
          <w:pPr>
            <w:pStyle w:val="TOC1"/>
            <w:tabs>
              <w:tab w:val="right" w:leader="dot" w:pos="9630"/>
            </w:tabs>
            <w:rPr>
              <w:rStyle w:val="Hyperlink"/>
            </w:rPr>
          </w:pPr>
          <w:r>
            <w:t xml:space="preserve">Product Master Maintenance Process Flow (Maker-Checker)</w:t>
          </w:r>
          <w:r>
            <w:tab/>
          </w:r>
          <w:r>
            <w:t xml:space="preserve">75</w:t>
          </w:r>
        </w:p>
        <w:p>
          <w:pPr>
            <w:pStyle w:val="TOC1"/>
            <w:tabs>
              <w:tab w:val="right" w:leader="dot" w:pos="9630"/>
            </w:tabs>
            <w:rPr>
              <w:rStyle w:val="Hyperlink"/>
            </w:rPr>
          </w:pPr>
          <w:r>
            <w:t xml:space="preserve">Status Life-cycles</w:t>
          </w:r>
          <w:r>
            <w:tab/>
          </w:r>
          <w:r>
            <w:t xml:space="preserve">76</w:t>
          </w:r>
        </w:p>
        <w:p>
          <w:pPr>
            <w:pStyle w:val="TOC1"/>
            <w:tabs>
              <w:tab w:val="right" w:leader="dot" w:pos="9630"/>
            </w:tabs>
            <w:rPr>
              <w:rStyle w:val="Hyperlink"/>
            </w:rPr>
          </w:pPr>
          <w:r>
            <w:t xml:space="preserve">Integration Context Diagram</w:t>
          </w:r>
          <w:r>
            <w:tab/>
          </w:r>
          <w:r>
            <w:t xml:space="preserve">78</w:t>
          </w:r>
        </w:p>
        <w:p>
          <w:pPr>
            <w:pStyle w:val="TOC1"/>
            <w:tabs>
              <w:tab w:val="right" w:leader="dot" w:pos="9630"/>
            </w:tabs>
            <w:rPr>
              <w:rStyle w:val="Hyperlink"/>
            </w:rPr>
          </w:pPr>
          <w:r>
            <w:t xml:space="preserve">SIgNOff Sheet</w:t>
          </w:r>
          <w:r>
            <w:tab/>
          </w:r>
          <w:r>
            <w:t xml:space="preserve">79</w:t>
          </w:r>
        </w:p>
        <w:p>
          <w:pPr>
            <w:pStyle w:val="TOC1"/>
            <w:tabs>
              <w:tab w:val="right" w:leader="dot" w:pos="9630"/>
            </w:tabs>
            <w:rPr>
              <w:rStyle w:val="Hyperlink"/>
            </w:rPr>
          </w:pPr>
          <w:r>
            <w:t xml:space="preserve">ANneX A – Package Product Fields</w:t>
          </w:r>
          <w:r>
            <w:tab/>
          </w:r>
          <w:r>
            <w:t xml:space="preserve">80</w:t>
          </w:r>
        </w:p>
        <w:p>
          <w:pPr>
            <w:pStyle w:val="TOC1"/>
            <w:tabs>
              <w:tab w:val="right" w:leader="dot" w:pos="9630"/>
            </w:tabs>
            <w:rPr>
              <w:rStyle w:val="Hyperlink"/>
            </w:rPr>
          </w:pPr>
          <w:r>
            <w:t xml:space="preserve">ANneX B – Non-Package Product Fields</w:t>
          </w:r>
          <w:r>
            <w:tab/>
          </w:r>
          <w:r>
            <w:t xml:space="preserve">82</w:t>
          </w:r>
        </w:p>
        <w:p>
          <w:pPr>
            <w:pStyle w:val="TOC1"/>
            <w:tabs>
              <w:tab w:val="right" w:leader="dot" w:pos="9630"/>
            </w:tabs>
            <w:rPr>
              <w:rStyle w:val="Hyperlink"/>
            </w:rPr>
          </w:pPr>
          <w:r>
            <w:t xml:space="preserve">ANneX C – Non-Package Quotation Request Fields</w:t>
          </w:r>
          <w:r>
            <w:tab/>
          </w:r>
          <w:r>
            <w:t xml:space="preserve">86</w:t>
          </w:r>
        </w:p>
        <w:p>
          <w:pPr>
            <w:pStyle w:val="TOC1"/>
            <w:tabs>
              <w:tab w:val="right" w:leader="dot" w:pos="9630"/>
            </w:tabs>
            <w:rPr>
              <w:rStyle w:val="Hyperlink"/>
            </w:rPr>
          </w:pPr>
          <w:r>
            <w:t xml:space="preserve">ANneX D – Non-Package Quotation Slip Templates</w:t>
          </w:r>
          <w:r>
            <w:tab/>
          </w:r>
          <w:r>
            <w:t xml:space="preserve">90</w:t>
          </w:r>
        </w:p>
        <w:p>
          <w:pPr>
            <w:pStyle w:val="TOC1"/>
            <w:tabs>
              <w:tab w:val="right" w:leader="dot" w:pos="9630"/>
            </w:tabs>
            <w:rPr>
              <w:rStyle w:val="Hyperlink"/>
            </w:rPr>
          </w:pPr>
          <w:r>
            <w:t xml:space="preserve">Annex E – Package Request Fields</w:t>
          </w:r>
          <w:r>
            <w:tab/>
          </w:r>
          <w:r>
            <w:t xml:space="preserve">90</w:t>
          </w:r>
        </w:p>
        <w:p>
          <w:pPr>
            <w:pStyle w:val="TOC1"/>
            <w:tabs>
              <w:tab w:val="right" w:leader="dot" w:pos="9630"/>
            </w:tabs>
            <w:rPr>
              <w:rStyle w:val="Hyperlink"/>
            </w:rPr>
          </w:pPr>
          <w:r>
            <w:t xml:space="preserve">ANneX F– Package Quotation Slip Templates</w:t>
          </w:r>
          <w:r>
            <w:tab/>
          </w:r>
          <w:r>
            <w:t xml:space="preserve">92</w:t>
          </w:r>
        </w:p>
        <w:p>
          <w:pPr>
            <w:pStyle w:val="TOC1"/>
            <w:tabs>
              <w:tab w:val="right" w:leader="dot" w:pos="9630"/>
            </w:tabs>
            <w:rPr>
              <w:rStyle w:val="Hyperlink"/>
            </w:rPr>
          </w:pPr>
          <w:r>
            <w:t xml:space="preserve">Annex G – Screen Specifications</w:t>
          </w:r>
          <w:r>
            <w:tab/>
          </w:r>
          <w:r>
            <w:t xml:space="preserve">93</w:t>
          </w:r>
        </w:p>
        <w:p>
          <w:pPr>
            <w:pStyle w:val="TOC2"/>
            <w:tabs>
              <w:tab w:val="right" w:leader="dot" w:pos="9630"/>
            </w:tabs>
            <w:rPr>
              <w:rStyle w:val="Hyperlink"/>
            </w:rPr>
          </w:pPr>
          <w:r>
            <w:t xml:space="preserve">G.1 Product Maintenance Home (SCR-PM-01)</w:t>
          </w:r>
          <w:r>
            <w:tab/>
          </w:r>
          <w:r>
            <w:t xml:space="preserve">93</w:t>
          </w:r>
        </w:p>
        <w:p>
          <w:pPr>
            <w:pStyle w:val="TOC2"/>
            <w:tabs>
              <w:tab w:val="right" w:leader="dot" w:pos="9630"/>
            </w:tabs>
            <w:rPr>
              <w:rStyle w:val="Hyperlink"/>
            </w:rPr>
          </w:pPr>
          <w:r>
            <w:t xml:space="preserve">G.2 Package Requests (SCR-PM-02)</w:t>
          </w:r>
          <w:r>
            <w:tab/>
          </w:r>
          <w:r>
            <w:t xml:space="preserve">95</w:t>
          </w:r>
        </w:p>
        <w:p>
          <w:pPr>
            <w:pStyle w:val="TOC2"/>
            <w:tabs>
              <w:tab w:val="right" w:leader="dot" w:pos="9630"/>
            </w:tabs>
            <w:rPr>
              <w:rStyle w:val="Hyperlink"/>
            </w:rPr>
          </w:pPr>
          <w:r>
            <w:t xml:space="preserve">G.3 New Package Request and Edit Package Request (SCR-PM-03)</w:t>
          </w:r>
          <w:r>
            <w:tab/>
          </w:r>
          <w:r>
            <w:t xml:space="preserve">97</w:t>
          </w:r>
        </w:p>
        <w:p>
          <w:pPr>
            <w:pStyle w:val="TOC2"/>
            <w:tabs>
              <w:tab w:val="right" w:leader="dot" w:pos="9630"/>
            </w:tabs>
            <w:rPr>
              <w:rStyle w:val="Hyperlink"/>
            </w:rPr>
          </w:pPr>
          <w:r>
            <w:t xml:space="preserve">G.4 Package Request Record (SCR-PM-04)</w:t>
          </w:r>
          <w:r>
            <w:tab/>
          </w:r>
          <w:r>
            <w:t xml:space="preserve">101</w:t>
          </w:r>
        </w:p>
        <w:p>
          <w:pPr>
            <w:pStyle w:val="TOC2"/>
            <w:tabs>
              <w:tab w:val="right" w:leader="dot" w:pos="9630"/>
            </w:tabs>
            <w:rPr>
              <w:rStyle w:val="Hyperlink"/>
            </w:rPr>
          </w:pPr>
          <w:r>
            <w:t xml:space="preserve">G.5 Package Request Record: Negotiation Tab (SCR-PM-05)</w:t>
          </w:r>
          <w:r>
            <w:tab/>
          </w:r>
          <w:r>
            <w:t xml:space="preserve">104</w:t>
          </w:r>
        </w:p>
        <w:p>
          <w:pPr>
            <w:pStyle w:val="TOC2"/>
            <w:tabs>
              <w:tab w:val="right" w:leader="dot" w:pos="9630"/>
            </w:tabs>
            <w:rPr>
              <w:rStyle w:val="Hyperlink"/>
            </w:rPr>
          </w:pPr>
          <w:r>
            <w:t xml:space="preserve">G.6 Package Request Record: Comparative Tab (SCR-PM-06)</w:t>
          </w:r>
          <w:r>
            <w:tab/>
          </w:r>
          <w:r>
            <w:t xml:space="preserve">108</w:t>
          </w:r>
        </w:p>
        <w:p>
          <w:pPr>
            <w:pStyle w:val="TOC2"/>
            <w:tabs>
              <w:tab w:val="right" w:leader="dot" w:pos="9630"/>
            </w:tabs>
            <w:rPr>
              <w:rStyle w:val="Hyperlink"/>
            </w:rPr>
          </w:pPr>
          <w:r>
            <w:t xml:space="preserve">G.7 Package Request Record: Requirements &amp; Sign-off Tab (SCR-PM-07)</w:t>
          </w:r>
          <w:r>
            <w:tab/>
          </w:r>
          <w:r>
            <w:t xml:space="preserve">109</w:t>
          </w:r>
        </w:p>
        <w:p>
          <w:pPr>
            <w:pStyle w:val="TOC2"/>
            <w:tabs>
              <w:tab w:val="right" w:leader="dot" w:pos="9630"/>
            </w:tabs>
            <w:rPr>
              <w:rStyle w:val="Hyperlink"/>
            </w:rPr>
          </w:pPr>
          <w:r>
            <w:t xml:space="preserve">G.8 Package Request Record: Set-up and Advisories Tabs (SCR-PM-08)</w:t>
          </w:r>
          <w:r>
            <w:tab/>
          </w:r>
          <w:r>
            <w:t xml:space="preserve">112</w:t>
          </w:r>
        </w:p>
        <w:p>
          <w:pPr>
            <w:pStyle w:val="TOC2"/>
            <w:tabs>
              <w:tab w:val="right" w:leader="dot" w:pos="9630"/>
            </w:tabs>
            <w:rPr>
              <w:rStyle w:val="Hyperlink"/>
            </w:rPr>
          </w:pPr>
          <w:r>
            <w:t xml:space="preserve">G.9 TSU Workbench (SCR-PM-09)</w:t>
          </w:r>
          <w:r>
            <w:tab/>
          </w:r>
          <w:r>
            <w:t xml:space="preserve">114</w:t>
          </w:r>
        </w:p>
        <w:p>
          <w:pPr>
            <w:pStyle w:val="TOC2"/>
            <w:tabs>
              <w:tab w:val="right" w:leader="dot" w:pos="9630"/>
            </w:tabs>
            <w:rPr>
              <w:rStyle w:val="Hyperlink"/>
            </w:rPr>
          </w:pPr>
          <w:r>
            <w:t xml:space="preserve">G.10 Package Expiry (SCR-PM-10)</w:t>
          </w:r>
          <w:r>
            <w:tab/>
          </w:r>
          <w:r>
            <w:t xml:space="preserve">116</w:t>
          </w:r>
        </w:p>
        <w:p>
          <w:pPr>
            <w:pStyle w:val="TOC2"/>
            <w:tabs>
              <w:tab w:val="right" w:leader="dot" w:pos="9630"/>
            </w:tabs>
            <w:rPr>
              <w:rStyle w:val="Hyperlink"/>
            </w:rPr>
          </w:pPr>
          <w:r>
            <w:t xml:space="preserve">G.11 Products (SCR-PM-11)</w:t>
          </w:r>
          <w:r>
            <w:tab/>
          </w:r>
          <w:r>
            <w:t xml:space="preserve">117</w:t>
          </w:r>
        </w:p>
        <w:p>
          <w:pPr>
            <w:pStyle w:val="TOC2"/>
            <w:tabs>
              <w:tab w:val="right" w:leader="dot" w:pos="9630"/>
            </w:tabs>
            <w:rPr>
              <w:rStyle w:val="Hyperlink"/>
            </w:rPr>
          </w:pPr>
          <w:r>
            <w:t xml:space="preserve">G.12 Product Record (SCR-PM-12)</w:t>
          </w:r>
          <w:r>
            <w:tab/>
          </w:r>
          <w:r>
            <w:t xml:space="preserve">120</w:t>
          </w:r>
        </w:p>
        <w:p>
          <w:pPr>
            <w:pStyle w:val="TOC2"/>
            <w:tabs>
              <w:tab w:val="right" w:leader="dot" w:pos="9630"/>
            </w:tabs>
            <w:rPr>
              <w:rStyle w:val="Hyperlink"/>
            </w:rPr>
          </w:pPr>
          <w:r>
            <w:t xml:space="preserve">G.13 Package Version (SCR-PM-13)</w:t>
          </w:r>
          <w:r>
            <w:tab/>
          </w:r>
          <w:r>
            <w:t xml:space="preserve">123</w:t>
          </w:r>
        </w:p>
        <w:p>
          <w:pPr>
            <w:pStyle w:val="TOC2"/>
            <w:tabs>
              <w:tab w:val="right" w:leader="dot" w:pos="9630"/>
            </w:tabs>
            <w:rPr>
              <w:rStyle w:val="Hyperlink"/>
            </w:rPr>
          </w:pPr>
          <w:r>
            <w:t xml:space="preserve">G.14 Validation Queue (SCR-PM-14)</w:t>
          </w:r>
          <w:r>
            <w:tab/>
          </w:r>
          <w:r>
            <w:t xml:space="preserve">126</w:t>
          </w:r>
        </w:p>
        <w:p>
          <w:pPr>
            <w:pStyle w:val="TOC2"/>
            <w:tabs>
              <w:tab w:val="right" w:leader="dot" w:pos="9630"/>
            </w:tabs>
            <w:rPr>
              <w:rStyle w:val="Hyperlink"/>
            </w:rPr>
          </w:pPr>
          <w:r>
            <w:t xml:space="preserve">G.15 Coverages &amp; Clauses (SCR-PM-15)</w:t>
          </w:r>
          <w:r>
            <w:tab/>
          </w:r>
          <w:r>
            <w:t xml:space="preserve">127</w:t>
          </w:r>
        </w:p>
        <w:p>
          <w:pPr>
            <w:pStyle w:val="TOC2"/>
            <w:tabs>
              <w:tab w:val="right" w:leader="dot" w:pos="9630"/>
            </w:tabs>
            <w:rPr>
              <w:rStyle w:val="Hyperlink"/>
            </w:rPr>
          </w:pPr>
          <w:r>
            <w:t xml:space="preserve">G.16 Incentive Criteria (SCR-PM-16)</w:t>
          </w:r>
          <w:r>
            <w:tab/>
          </w:r>
          <w:r>
            <w:t xml:space="preserve">129</w:t>
          </w:r>
        </w:p>
        <w:p>
          <w:pPr>
            <w:pStyle w:val="TOC2"/>
            <w:tabs>
              <w:tab w:val="right" w:leader="dot" w:pos="9630"/>
            </w:tabs>
            <w:rPr>
              <w:rStyle w:val="Hyperlink"/>
            </w:rPr>
          </w:pPr>
          <w:r>
            <w:t xml:space="preserve">G.17 Insurers (SCR-PM-17)</w:t>
          </w:r>
          <w:r>
            <w:tab/>
          </w:r>
          <w:r>
            <w:t xml:space="preserve">131</w:t>
          </w:r>
        </w:p>
        <w:p>
          <w:pPr>
            <w:pStyle w:val="TOC2"/>
            <w:tabs>
              <w:tab w:val="right" w:leader="dot" w:pos="9630"/>
            </w:tabs>
            <w:rPr>
              <w:rStyle w:val="Hyperlink"/>
            </w:rPr>
          </w:pPr>
          <w:r>
            <w:t xml:space="preserve">G.18 Insurer Record (SCR-PM-18)</w:t>
          </w:r>
          <w:r>
            <w:tab/>
          </w:r>
          <w:r>
            <w:t xml:space="preserve">132</w:t>
          </w:r>
        </w:p>
        <w:p>
          <w:pPr>
            <w:pStyle w:val="TOC2"/>
            <w:tabs>
              <w:tab w:val="right" w:leader="dot" w:pos="9630"/>
            </w:tabs>
            <w:rPr>
              <w:rStyle w:val="Hyperlink"/>
            </w:rPr>
          </w:pPr>
          <w:r>
            <w:t xml:space="preserve">G.19 Rates &amp; Taxes (SCR-PM-19)</w:t>
          </w:r>
          <w:r>
            <w:tab/>
          </w:r>
          <w:r>
            <w:t xml:space="preserve">134</w:t>
          </w:r>
        </w:p>
        <w:p>
          <w:pPr>
            <w:pStyle w:val="TOC2"/>
            <w:tabs>
              <w:tab w:val="right" w:leader="dot" w:pos="9630"/>
            </w:tabs>
            <w:rPr>
              <w:rStyle w:val="Hyperlink"/>
            </w:rPr>
          </w:pPr>
          <w:r>
            <w:t xml:space="preserve">G.20 Sales Organisation (SCR-PM-20)</w:t>
          </w:r>
          <w:r>
            <w:tab/>
          </w:r>
          <w:r>
            <w:t xml:space="preserve">135</w:t>
          </w:r>
        </w:p>
        <w:p>
          <w:pPr>
            <w:pStyle w:val="TOC2"/>
            <w:tabs>
              <w:tab w:val="right" w:leader="dot" w:pos="9630"/>
            </w:tabs>
            <w:rPr>
              <w:rStyle w:val="Hyperlink"/>
            </w:rPr>
          </w:pPr>
          <w:r>
            <w:t xml:space="preserve">G.21 Premium Calculator (SCR-PM-21)</w:t>
          </w:r>
          <w:r>
            <w:tab/>
          </w:r>
          <w:r>
            <w:t xml:space="preserve">137</w:t>
          </w:r>
        </w:p>
        <w:p>
          <w:pPr>
            <w:pStyle w:val="TOC2"/>
            <w:tabs>
              <w:tab w:val="right" w:leader="dot" w:pos="9630"/>
            </w:tabs>
            <w:rPr>
              <w:rStyle w:val="Hyperlink"/>
            </w:rPr>
          </w:pPr>
          <w:r>
            <w:t xml:space="preserve">G.22 Quotation: Package Rate Scheme and Rate Exception (SCR-PM-22)</w:t>
          </w:r>
          <w:r>
            <w:tab/>
          </w:r>
          <w:r>
            <w:t xml:space="preserve">140</w:t>
          </w:r>
        </w:p>
        <w:p>
          <w:pPr>
            <w:pStyle w:val="TOC2"/>
            <w:tabs>
              <w:tab w:val="right" w:leader="dot" w:pos="9630"/>
            </w:tabs>
            <w:rPr>
              <w:rStyle w:val="Hyperlink"/>
            </w:rPr>
          </w:pPr>
          <w:r>
            <w:t xml:space="preserve">G.23 Product Maintenance Dashboard (SCR-PM-23)</w:t>
          </w:r>
          <w:r>
            <w:tab/>
          </w:r>
          <w:r>
            <w:t xml:space="preserve">142</w:t>
          </w:r>
        </w:p>
        <w:p>
          <w:pPr>
            <w:pStyle w:val="TOC2"/>
            <w:tabs>
              <w:tab w:val="right" w:leader="dot" w:pos="9630"/>
            </w:tabs>
            <w:rPr>
              <w:rStyle w:val="Hyperlink"/>
            </w:rPr>
          </w:pPr>
          <w:r>
            <w:t xml:space="preserve">G.24 Deactivation Requests (SCR-PM-24)</w:t>
          </w:r>
          <w:r>
            <w:tab/>
          </w:r>
          <w:r>
            <w:t xml:space="preserve">145</w:t>
          </w:r>
        </w:p>
        <w:p>
          <w:pPr>
            <w:pStyle w:val="TOC2"/>
            <w:tabs>
              <w:tab w:val="right" w:leader="dot" w:pos="9630"/>
            </w:tabs>
            <w:rPr>
              <w:rStyle w:val="Hyperlink"/>
            </w:rPr>
          </w:pPr>
          <w:r>
            <w:t xml:space="preserve">G.25 Product Master Transfers (SCR-PM-25)</w:t>
          </w:r>
          <w:r>
            <w:tab/>
          </w:r>
          <w:r>
            <w:t xml:space="preserve">147</w:t>
          </w:r>
        </w:p>
        <w:p>
          <w:pPr>
            <w:pStyle w:val="TOC2"/>
            <w:tabs>
              <w:tab w:val="right" w:leader="dot" w:pos="9630"/>
            </w:tabs>
            <w:rPr>
              <w:rStyle w:val="Hyperlink"/>
            </w:rPr>
          </w:pPr>
          <w:r>
            <w:t xml:space="preserve">G.26 Placement Update Reports (SCR-PM-26)</w:t>
          </w:r>
          <w:r>
            <w:tab/>
          </w:r>
          <w:r>
            <w:t xml:space="preserve">148</w:t>
          </w:r>
        </w:p>
        <w:p>
          <w:pPr>
            <w:pStyle w:val="TOC2"/>
            <w:tabs>
              <w:tab w:val="right" w:leader="dot" w:pos="9630"/>
            </w:tabs>
            <w:rPr>
              <w:rStyle w:val="Hyperlink"/>
            </w:rPr>
          </w:pPr>
          <w:r>
            <w:t xml:space="preserve">G.27 Audit Logs (SCR-PM-27)</w:t>
          </w:r>
          <w:r>
            <w:tab/>
          </w:r>
          <w:r>
            <w:t xml:space="preserve">149</w:t>
          </w:r>
        </w:p>
        <w:p>
          <w:pPr>
            <w:pStyle w:val="TOC2"/>
            <w:tabs>
              <w:tab w:val="right" w:leader="dot" w:pos="9630"/>
            </w:tabs>
            <w:rPr>
              <w:rStyle w:val="Hyperlink"/>
            </w:rPr>
          </w:pPr>
          <w:r>
            <w:t xml:space="preserve">G.28 Proposal Request: Comparative Table, Proposal Slips and Client Response (SCR-PM-28)</w:t>
          </w:r>
          <w:r>
            <w:tab/>
          </w:r>
          <w:r>
            <w:t xml:space="preserve">150</w:t>
          </w:r>
        </w:p>
        <w:p>
          <w:pPr>
            <w:pStyle w:val="TOC2"/>
            <w:tabs>
              <w:tab w:val="right" w:leader="dot" w:pos="9630"/>
            </w:tabs>
            <w:rPr>
              <w:rStyle w:val="Hyperlink"/>
            </w:rPr>
          </w:pPr>
          <w:r>
            <w:t xml:space="preserve">G.29 Package Request Record: Routing &amp; Approvals Tab (SCR-PM-29)</w:t>
          </w:r>
          <w:r>
            <w:tab/>
          </w:r>
          <w:r>
            <w:t xml:space="preserve">152</w:t>
          </w:r>
        </w:p>
        <w:p>
          <w:pPr>
            <w:pStyle w:val="TOC2"/>
            <w:tabs>
              <w:tab w:val="right" w:leader="dot" w:pos="9630"/>
            </w:tabs>
            <w:rPr>
              <w:rStyle w:val="Hyperlink"/>
            </w:rPr>
          </w:pPr>
          <w:r>
            <w:t xml:space="preserve">G.30 Navigation: Menu by Persona</w:t>
          </w:r>
          <w:r>
            <w:tab/>
          </w:r>
          <w:r>
            <w:t xml:space="preserve">155</w:t>
          </w:r>
        </w:p>
        <w:p>
          <w:pPr>
            <w:pStyle w:val="TOC1"/>
            <w:tabs>
              <w:tab w:val="right" w:leader="dot" w:pos="9630"/>
            </w:tabs>
            <w:rPr>
              <w:rStyle w:val="Hyperlink"/>
            </w:rPr>
          </w:pPr>
          <w:r>
            <w:t xml:space="preserve">Annex H – Messages and Validations</w:t>
          </w:r>
          <w:r>
            <w:tab/>
          </w:r>
          <w:r>
            <w:t xml:space="preserve">156</w:t>
          </w:r>
        </w:p>
        <w:p>
          <w:pPr>
            <w:pStyle w:val="TOC1"/>
            <w:tabs>
              <w:tab w:val="right" w:leader="dot" w:pos="9630"/>
            </w:tabs>
            <w:rPr>
              <w:rStyle w:val="Hyperlink"/>
            </w:rPr>
          </w:pPr>
          <w:r>
            <w:t xml:space="preserve">Annex I – Notifications and E-mails</w:t>
          </w:r>
          <w:r>
            <w:tab/>
          </w:r>
          <w:r>
            <w:t xml:space="preserve">171</w:t>
          </w:r>
        </w:p>
        <w:p>
          <w:pPr>
            <w:pStyle w:val="TOC1"/>
            <w:tabs>
              <w:tab w:val="right" w:leader="dot" w:pos="9630"/>
            </w:tabs>
            <w:rPr>
              <w:rStyle w:val="Hyperlink"/>
            </w:rPr>
          </w:pPr>
          <w:r>
            <w:t xml:space="preserve">Annex J – Business Rules and Configurable Parameters</w:t>
          </w:r>
          <w:r>
            <w:tab/>
          </w:r>
          <w:r>
            <w:t xml:space="preserve">173</w:t>
          </w:r>
        </w:p>
        <w:p>
          <w:pPr>
            <w:pStyle w:val="TOC2"/>
            <w:tabs>
              <w:tab w:val="right" w:leader="dot" w:pos="9630"/>
            </w:tabs>
            <w:rPr>
              <w:rStyle w:val="Hyperlink"/>
            </w:rPr>
          </w:pPr>
          <w:r>
            <w:t xml:space="preserve">J.1 Business Rules</w:t>
          </w:r>
          <w:r>
            <w:tab/>
          </w:r>
          <w:r>
            <w:t xml:space="preserve">173</w:t>
          </w:r>
        </w:p>
        <w:p>
          <w:pPr>
            <w:pStyle w:val="TOC2"/>
            <w:tabs>
              <w:tab w:val="right" w:leader="dot" w:pos="9630"/>
            </w:tabs>
            <w:rPr>
              <w:rStyle w:val="Hyperlink"/>
            </w:rPr>
          </w:pPr>
          <w:r>
            <w:t xml:space="preserve">J.2 Configurable Parameters</w:t>
          </w:r>
          <w:r>
            <w:tab/>
          </w:r>
          <w:r>
            <w:t xml:space="preserve">173</w:t>
          </w:r>
        </w:p>
        <w:p>
          <w:pPr>
            <w:pStyle w:val="TOC2"/>
            <w:tabs>
              <w:tab w:val="right" w:leader="dot" w:pos="9630"/>
            </w:tabs>
            <w:rPr>
              <w:rStyle w:val="Hyperlink"/>
            </w:rPr>
          </w:pPr>
          <w:r>
            <w:t xml:space="preserve">J.3 Lists of Values</w:t>
          </w:r>
          <w:r>
            <w:tab/>
          </w:r>
          <w:r>
            <w:t xml:space="preserve">174</w:t>
          </w:r>
        </w:p>
        <w:p>
          <w:pPr>
            <w:pStyle w:val="TOC2"/>
            <w:tabs>
              <w:tab w:val="right" w:leader="dot" w:pos="9630"/>
            </w:tabs>
            <w:rPr>
              <w:rStyle w:val="Hyperlink"/>
            </w:rPr>
          </w:pPr>
          <w:r>
            <w:t xml:space="preserve">J.4 Workflow Stages and Service Levels</w:t>
          </w:r>
          <w:r>
            <w:tab/>
          </w:r>
          <w:r>
            <w:t xml:space="preserve">174</w:t>
          </w:r>
        </w:p>
        <w:p>
          <w:pPr>
            <w:pStyle w:val="TOC2"/>
            <w:tabs>
              <w:tab w:val="right" w:leader="dot" w:pos="9630"/>
            </w:tabs>
            <w:rPr>
              <w:rStyle w:val="Hyperlink"/>
            </w:rPr>
          </w:pPr>
          <w:r>
            <w:t xml:space="preserve">J.5 Proposed Role-to-action Matrix</w:t>
          </w:r>
          <w:r>
            <w:tab/>
          </w:r>
          <w:r>
            <w:t xml:space="preserve">174</w:t>
          </w:r>
        </w:p>
        <w:p>
          <w:pPr>
            <w:pStyle w:val="TOC2"/>
            <w:tabs>
              <w:tab w:val="right" w:leader="dot" w:pos="9630"/>
            </w:tabs>
            <w:rPr>
              <w:rStyle w:val="Hyperlink"/>
            </w:rPr>
          </w:pPr>
          <w:r>
            <w:t xml:space="preserve">J.6 Masters Maintained by the Business</w:t>
          </w:r>
          <w:r>
            <w:tab/>
          </w:r>
          <w:r>
            <w:t xml:space="preserve">175</w:t>
          </w:r>
        </w:p>
        <w:p>
          <w:pPr>
            <w:pStyle w:val="TOC2"/>
            <w:tabs>
              <w:tab w:val="right" w:leader="dot" w:pos="9630"/>
            </w:tabs>
            <w:rPr>
              <w:rStyle w:val="Hyperlink"/>
            </w:rPr>
          </w:pPr>
          <w:r>
            <w:t xml:space="preserve">J.7 Settings for the Points BDOI Decides</w:t>
          </w:r>
          <w:r>
            <w:tab/>
          </w:r>
          <w:r>
            <w:t xml:space="preserve">175</w:t>
          </w:r>
        </w:p>
        <w:p>
          <w:pPr>
            <w:pStyle w:val="TOC1"/>
            <w:tabs>
              <w:tab w:val="right" w:leader="dot" w:pos="9630"/>
            </w:tabs>
            <w:rPr>
              <w:rStyle w:val="Hyperlink"/>
            </w:rPr>
          </w:pPr>
          <w:r>
            <w:t xml:space="preserve">Annex K – Process Walkthroughs</w:t>
          </w:r>
          <w:r>
            <w:tab/>
          </w:r>
          <w:r>
            <w:t xml:space="preserve">177</w:t>
          </w:r>
        </w:p>
        <w:p>
          <w:pPr>
            <w:pStyle w:val="TOC2"/>
            <w:tabs>
              <w:tab w:val="right" w:leader="dot" w:pos="9630"/>
            </w:tabs>
            <w:rPr>
              <w:rStyle w:val="Hyperlink"/>
            </w:rPr>
          </w:pPr>
          <w:r>
            <w:t xml:space="preserve">WT-A A New Package from the Request to its First New Business Quotation</w:t>
          </w:r>
          <w:r>
            <w:tab/>
          </w:r>
          <w:r>
            <w:t xml:space="preserve">177</w:t>
          </w:r>
        </w:p>
        <w:p>
          <w:pPr>
            <w:pStyle w:val="TOC2"/>
            <w:tabs>
              <w:tab w:val="right" w:leader="dot" w:pos="9630"/>
            </w:tabs>
            <w:rPr>
              <w:rStyle w:val="Hyperlink"/>
            </w:rPr>
          </w:pPr>
          <w:r>
            <w:t xml:space="preserve">WT-B Returns and Refusals, and the Messages the User Sees</w:t>
          </w:r>
          <w:r>
            <w:tab/>
          </w:r>
          <w:r>
            <w:t xml:space="preserve">179</w:t>
          </w:r>
        </w:p>
        <w:p>
          <w:pPr>
            <w:pStyle w:val="TOC1"/>
            <w:tabs>
              <w:tab w:val="right" w:leader="dot" w:pos="9630"/>
            </w:tabs>
            <w:rPr>
              <w:rStyle w:val="Hyperlink"/>
            </w:rPr>
          </w:pPr>
          <w:r>
            <w:t xml:space="preserve">Annex L – Requirements Traceability</w:t>
          </w:r>
          <w:r>
            <w:tab/>
          </w:r>
          <w:r>
            <w:t xml:space="preserve">181</w:t>
          </w:r>
        </w:p>
        <w:p>
          <w:pPr>
            <w:pStyle w:val="TOC2"/>
            <w:tabs>
              <w:tab w:val="right" w:leader="dot" w:pos="9630"/>
            </w:tabs>
            <w:rPr>
              <w:rStyle w:val="Hyperlink"/>
            </w:rPr>
          </w:pPr>
          <w:r>
            <w:t xml:space="preserve">L.1 BRD Requirement to FRPM and Test Conditions</w:t>
          </w:r>
          <w:r>
            <w:tab/>
          </w:r>
          <w:r>
            <w:t xml:space="preserve">181</w:t>
          </w:r>
        </w:p>
        <w:p>
          <w:pPr>
            <w:pStyle w:val="TOC2"/>
            <w:tabs>
              <w:tab w:val="right" w:leader="dot" w:pos="9630"/>
            </w:tabs>
            <w:rPr>
              <w:rStyle w:val="Hyperlink"/>
            </w:rPr>
          </w:pPr>
          <w:r>
            <w:t xml:space="preserve">L.2 FRPM Item to BRD IDs and Test Conditions</w:t>
          </w:r>
          <w:r>
            <w:tab/>
          </w:r>
          <w:r>
            <w:t xml:space="preserve">182</w:t>
          </w:r>
        </w:p>
        <w:p>
          <w:pPr>
            <w:pStyle w:val="TOC1"/>
            <w:tabs>
              <w:tab w:val="right" w:leader="dot" w:pos="9630"/>
            </w:tabs>
            <w:rPr>
              <w:rStyle w:val="Hyperlink"/>
            </w:rPr>
          </w:pPr>
          <w:r>
            <w:t xml:space="preserve">Annex M – Observations and Points for BDOI Decision</w:t>
          </w:r>
          <w:r>
            <w:tab/>
          </w:r>
          <w:r>
            <w:t xml:space="preserve">185</w:t>
          </w:r>
        </w:p>
        <w:p>
          <w:pPr>
            <w:pStyle w:val="TOC2"/>
            <w:tabs>
              <w:tab w:val="right" w:leader="dot" w:pos="9630"/>
            </w:tabs>
            <w:rPr>
              <w:rStyle w:val="Hyperlink"/>
            </w:rPr>
          </w:pPr>
          <w:r>
            <w:t xml:space="preserve">M.1 Points Where the Proposed Behaviour Differs from the Original Text of This FRS</w:t>
          </w:r>
          <w:r>
            <w:tab/>
          </w:r>
          <w:r>
            <w:t xml:space="preserve">185</w:t>
          </w:r>
        </w:p>
        <w:p>
          <w:pPr>
            <w:pStyle w:val="TOC2"/>
            <w:tabs>
              <w:tab w:val="right" w:leader="dot" w:pos="9630"/>
            </w:tabs>
            <w:rPr>
              <w:rStyle w:val="Hyperlink"/>
            </w:rPr>
          </w:pPr>
          <w:r>
            <w:t xml:space="preserve">M.2 BDOI's Open Item and Changes to the Business Requirements Mapping</w:t>
          </w:r>
          <w:r>
            <w:tab/>
          </w:r>
          <w:r>
            <w:t xml:space="preserve">190</w:t>
          </w:r>
        </w:p>
        <w:p>
          <w:pPr>
            <w:pStyle w:val="TOC2"/>
            <w:tabs>
              <w:tab w:val="right" w:leader="dot" w:pos="9630"/>
            </w:tabs>
            <w:rPr>
              <w:rStyle w:val="Hyperlink"/>
            </w:rPr>
          </w:pPr>
          <w:r>
            <w:t xml:space="preserve">M.3 Slips Noticed in BDOI's FRS (Proposed Corrections; the Text is not Changed)</w:t>
          </w:r>
          <w:r>
            <w:tab/>
          </w:r>
          <w:r>
            <w:t xml:space="preserve">195</w:t>
          </w:r>
        </w:p>
        <w:p>
          <w:pPr>
            <w:pStyle w:val="TOC2"/>
            <w:tabs>
              <w:tab w:val="right" w:leader="dot" w:pos="9630"/>
            </w:tabs>
            <w:rPr>
              <w:rStyle w:val="Hyperlink"/>
            </w:rPr>
          </w:pPr>
          <w:r>
            <w:t xml:space="preserve">M.4 Scope, Added Requirements and Added Annex Rows</w:t>
          </w:r>
          <w:r>
            <w:tab/>
          </w:r>
          <w:r>
            <w:t xml:space="preserve">196</w:t>
          </w:r>
        </w:p>
        <w:p>
          <w:pPr>
            <w:pStyle w:val="TOC2"/>
            <w:tabs>
              <w:tab w:val="right" w:leader="dot" w:pos="9630"/>
            </w:tabs>
            <w:rPr>
              <w:rStyle w:val="Hyperlink"/>
            </w:rPr>
          </w:pPr>
          <w:r>
            <w:t xml:space="preserve">M.5 Observations of Version 1.2</w:t>
          </w:r>
          <w:r>
            <w:tab/>
          </w:r>
          <w:r>
            <w:t xml:space="preserve">199</w:t>
          </w:r>
        </w:p>
        <w:p>
          <w:pPr>
            <w:pStyle w:val="TOC1"/>
            <w:tabs>
              <w:tab w:val="right" w:leader="dot" w:pos="9630"/>
            </w:tabs>
            <w:rPr>
              <w:rStyle w:val="Hyperlink"/>
            </w:rPr>
          </w:pPr>
          <w:r>
            <w:t xml:space="preserve">Annex N – Glossary</w:t>
          </w:r>
          <w:r>
            <w:tab/>
          </w:r>
          <w:r>
            <w:t xml:space="preserve">200</w:t>
          </w:r>
        </w:p>
        <w:p>
          <w:pPr>
            <w:pStyle w:val="TOC2"/>
            <w:tabs>
              <w:tab w:val="right" w:leader="dot" w:pos="9630"/>
            </w:tabs>
            <w:rPr>
              <w:rStyle w:val="Hyperlink"/>
            </w:rPr>
          </w:pPr>
          <w:r>
            <w:t xml:space="preserve">N.2 Terms Added in Version 1.2</w:t>
          </w:r>
          <w:r>
            <w:tab/>
          </w:r>
          <w:r>
            <w:t xml:space="preserve">200</w:t>
          </w:r>
        </w:p>
        <w:p>
          <w:pPr>
            <w:pStyle w:val="TOC1"/>
            <w:tabs>
              <w:tab w:val="right" w:leader="dot" w:pos="9630"/>
            </w:tabs>
            <w:rPr>
              <w:rStyle w:val="Hyperlink"/>
            </w:rPr>
          </w:pPr>
          <w:r>
            <w:t xml:space="preserve">Annex O – Workflow and Approvals</w:t>
          </w:r>
          <w:r>
            <w:tab/>
          </w:r>
          <w:r>
            <w:t xml:space="preserve">202</w:t>
          </w:r>
        </w:p>
        <w:p>
          <w:pPr>
            <w:pStyle w:val="TOC2"/>
            <w:tabs>
              <w:tab w:val="right" w:leader="dot" w:pos="9630"/>
            </w:tabs>
            <w:rPr>
              <w:rStyle w:val="Hyperlink"/>
            </w:rPr>
          </w:pPr>
          <w:r>
            <w:t xml:space="preserve">O.1 Who Makes, Checks and Approves (Picture)</w:t>
          </w:r>
          <w:r>
            <w:tab/>
          </w:r>
          <w:r>
            <w:t xml:space="preserve">202</w:t>
          </w:r>
        </w:p>
        <w:p>
          <w:pPr>
            <w:pStyle w:val="TOC2"/>
            <w:tabs>
              <w:tab w:val="right" w:leader="dot" w:pos="9630"/>
            </w:tabs>
            <w:rPr>
              <w:rStyle w:val="Hyperlink"/>
            </w:rPr>
          </w:pPr>
          <w:r>
            <w:t xml:space="preserve">O.2 Stages, Approvals and Service Levels per Process</w:t>
          </w:r>
          <w:r>
            <w:tab/>
          </w:r>
          <w:r>
            <w:t xml:space="preserve">203</w:t>
          </w:r>
        </w:p>
        <w:p>
          <w:pPr>
            <w:pStyle w:val="TOC2"/>
            <w:tabs>
              <w:tab w:val="right" w:leader="dot" w:pos="9630"/>
            </w:tabs>
            <w:rPr>
              <w:rStyle w:val="Hyperlink"/>
            </w:rPr>
          </w:pPr>
          <w:r>
            <w:t xml:space="preserve">O.3 Role-to-stage Matrix (Table)</w:t>
          </w:r>
          <w:r>
            <w:tab/>
          </w:r>
          <w:r>
            <w:t xml:space="preserve">206</w:t>
          </w:r>
        </w:p>
        <w:p>
          <w:pPr>
            <w:pStyle w:val="TOC2"/>
            <w:tabs>
              <w:tab w:val="right" w:leader="dot" w:pos="9630"/>
            </w:tabs>
            <w:rPr>
              <w:rStyle w:val="Hyperlink"/>
            </w:rPr>
          </w:pPr>
          <w:r>
            <w:t xml:space="preserve">O.4 Status Names: BDOI's FRS and the Screens</w:t>
          </w:r>
          <w:r>
            <w:tab/>
          </w:r>
          <w:r>
            <w:t xml:space="preserve">207</w:t>
          </w:r>
        </w:p>
        <w:p>
          <w:pPr>
            <w:pStyle w:val="TOC1"/>
            <w:tabs>
              <w:tab w:val="right" w:leader="dot" w:pos="9630"/>
            </w:tabs>
            <w:rPr>
              <w:rStyle w:val="Hyperlink"/>
            </w:rPr>
          </w:pPr>
          <w:r>
            <w:t xml:space="preserve">Annex P – E-mail and Notification Texts</w:t>
          </w:r>
          <w:r>
            <w:tab/>
          </w:r>
          <w:r>
            <w:t xml:space="preserve">208</w:t>
          </w:r>
        </w:p>
        <w:p>
          <w:pPr>
            <w:pStyle w:val="TOC2"/>
            <w:tabs>
              <w:tab w:val="right" w:leader="dot" w:pos="9630"/>
            </w:tabs>
            <w:rPr>
              <w:rStyle w:val="Hyperlink"/>
            </w:rPr>
          </w:pPr>
          <w:r>
            <w:t xml:space="preserve">P.1 Overview</w:t>
          </w:r>
          <w:r>
            <w:tab/>
          </w:r>
          <w:r>
            <w:t xml:space="preserve">208</w:t>
          </w:r>
        </w:p>
        <w:p>
          <w:pPr>
            <w:pStyle w:val="TOC2"/>
            <w:tabs>
              <w:tab w:val="right" w:leader="dot" w:pos="9630"/>
            </w:tabs>
            <w:rPr>
              <w:rStyle w:val="Hyperlink"/>
            </w:rPr>
          </w:pPr>
          <w:r>
            <w:t xml:space="preserve">P.2 The Texts</w:t>
          </w:r>
          <w:r>
            <w:tab/>
          </w:r>
          <w:r>
            <w:t xml:space="preserve">209</w:t>
          </w:r>
        </w:p>
        <w:p>
          <w:pPr>
            <w:pStyle w:val="TOC1"/>
            <w:tabs>
              <w:tab w:val="right" w:leader="dot" w:pos="9630"/>
            </w:tabs>
            <w:rPr>
              <w:rStyle w:val="Hyperlink"/>
            </w:rPr>
          </w:pPr>
          <w:r>
            <w:t xml:space="preserve">Annex Q – Document Prints and Output Formats</w:t>
          </w:r>
          <w:r>
            <w:tab/>
          </w:r>
          <w:r>
            <w:t xml:space="preserve">217</w:t>
          </w:r>
        </w:p>
        <w:p>
          <w:pPr>
            <w:pStyle w:val="TOC2"/>
            <w:tabs>
              <w:tab w:val="right" w:leader="dot" w:pos="9630"/>
            </w:tabs>
            <w:rPr>
              <w:rStyle w:val="Hyperlink"/>
            </w:rPr>
          </w:pPr>
          <w:r>
            <w:t xml:space="preserve">Q.1 Overview</w:t>
          </w:r>
          <w:r>
            <w:tab/>
          </w:r>
          <w:r>
            <w:t xml:space="preserve">217</w:t>
          </w:r>
        </w:p>
        <w:p>
          <w:pPr>
            <w:pStyle w:val="TOC2"/>
            <w:tabs>
              <w:tab w:val="right" w:leader="dot" w:pos="9630"/>
            </w:tabs>
            <w:rPr>
              <w:rStyle w:val="Hyperlink"/>
            </w:rPr>
          </w:pPr>
          <w:r>
            <w:t xml:space="preserve">Q.2 The Documents</w:t>
          </w:r>
          <w:r>
            <w:tab/>
          </w:r>
          <w:r>
            <w:t xml:space="preserve">217</w:t>
          </w:r>
        </w:p>
        <w:p>
          <w:pPr>
            <w:pStyle w:val="TOC1"/>
            <w:tabs>
              <w:tab w:val="right" w:leader="dot" w:pos="9630"/>
            </w:tabs>
            <w:rPr>
              <w:rStyle w:val="Hyperlink"/>
            </w:rPr>
          </w:pPr>
          <w:r>
            <w:t xml:space="preserve">Annex R – Reports and Schedules</w:t>
          </w:r>
          <w:r>
            <w:tab/>
          </w:r>
          <w:r>
            <w:t xml:space="preserve">227</w:t>
          </w:r>
        </w:p>
        <w:p>
          <w:pPr>
            <w:pStyle w:val="TOC2"/>
            <w:tabs>
              <w:tab w:val="right" w:leader="dot" w:pos="9630"/>
            </w:tabs>
            <w:rPr>
              <w:rStyle w:val="Hyperlink"/>
            </w:rPr>
          </w:pPr>
          <w:r>
            <w:t xml:space="preserve">R.1 Reports</w:t>
          </w:r>
          <w:r>
            <w:tab/>
          </w:r>
          <w:r>
            <w:t xml:space="preserve">227</w:t>
          </w:r>
        </w:p>
        <w:p>
          <w:pPr>
            <w:pStyle w:val="TOC2"/>
            <w:tabs>
              <w:tab w:val="right" w:leader="dot" w:pos="9630"/>
            </w:tabs>
            <w:rPr>
              <w:rStyle w:val="Hyperlink"/>
            </w:rPr>
          </w:pPr>
          <w:r>
            <w:t xml:space="preserve">R.2 Scheduled Runs</w:t>
          </w:r>
          <w:r>
            <w:tab/>
          </w:r>
          <w:r>
            <w:t xml:space="preserve">227</w:t>
          </w:r>
        </w:p>
        <w:p>
          <w:pPr>
            <w:pStyle w:val="TOC1"/>
            <w:tabs>
              <w:tab w:val="right" w:leader="dot" w:pos="9630"/>
            </w:tabs>
            <w:rPr>
              <w:rStyle w:val="Hyperlink"/>
            </w:rPr>
          </w:pPr>
          <w:r>
            <w:t xml:space="preserve">Annex S – Integrations [Integration Scope]</w:t>
          </w:r>
          <w:r>
            <w:tab/>
          </w:r>
          <w:r>
            <w:t xml:space="preserve">229</w:t>
          </w:r>
        </w:p>
        <w:p>
          <w:pPr>
            <w:pStyle w:val="TOC1"/>
            <w:tabs>
              <w:tab w:val="right" w:leader="dot" w:pos="9630"/>
            </w:tabs>
            <w:rPr>
              <w:rStyle w:val="Hyperlink"/>
            </w:rPr>
          </w:pPr>
          <w:r>
            <w:t xml:space="preserve">Annex T – Non-functional Requirements</w:t>
          </w:r>
          <w:r>
            <w:tab/>
          </w:r>
          <w:r>
            <w:t xml:space="preserve">231</w:t>
          </w:r>
        </w:p>
        <w:p>
          <w:pPr>
            <w:pStyle w:val="TOC1"/>
            <w:tabs>
              <w:tab w:val="right" w:leader="dot" w:pos="9630"/>
            </w:tabs>
            <w:rPr>
              <w:rStyle w:val="Hyperlink"/>
            </w:rPr>
          </w:pPr>
          <w:r>
            <w:t xml:space="preserve">Annex U – Data Set-up and Migration at Go-live [Data Migration Scope]</w:t>
          </w:r>
          <w:r>
            <w:tab/>
          </w:r>
          <w:r>
            <w:t xml:space="preserve">233</w:t>
          </w:r>
        </w:p>
        <w:p>
          <w:pPr>
            <w:pStyle w:val="TOC1"/>
            <w:tabs>
              <w:tab w:val="right" w:leader="dot" w:pos="9630"/>
            </w:tabs>
            <w:rPr>
              <w:rStyle w:val="Hyperlink"/>
            </w:rPr>
          </w:pPr>
          <w:r>
            <w:t xml:space="preserve">Annex V – Assumptions, Dependencies and Open Questions</w:t>
          </w:r>
          <w:r>
            <w:tab/>
          </w:r>
          <w:r>
            <w:t xml:space="preserve">234</w:t>
          </w:r>
        </w:p>
        <w:p>
          <w:pPr>
            <w:pStyle w:val="TOC2"/>
            <w:tabs>
              <w:tab w:val="right" w:leader="dot" w:pos="9630"/>
            </w:tabs>
            <w:rPr>
              <w:rStyle w:val="Hyperlink"/>
            </w:rPr>
          </w:pPr>
          <w:r>
            <w:t xml:space="preserve">V.1 Assumptions</w:t>
          </w:r>
          <w:r>
            <w:tab/>
          </w:r>
          <w:r>
            <w:t xml:space="preserve">234</w:t>
          </w:r>
        </w:p>
        <w:p>
          <w:pPr>
            <w:pStyle w:val="TOC2"/>
            <w:tabs>
              <w:tab w:val="right" w:leader="dot" w:pos="9630"/>
            </w:tabs>
            <w:rPr>
              <w:rStyle w:val="Hyperlink"/>
            </w:rPr>
          </w:pPr>
          <w:r>
            <w:t xml:space="preserve">V.2 Dependencies</w:t>
          </w:r>
          <w:r>
            <w:tab/>
          </w:r>
          <w:r>
            <w:t xml:space="preserve">234</w:t>
          </w:r>
        </w:p>
        <w:p>
          <w:pPr>
            <w:pStyle w:val="TOC2"/>
            <w:tabs>
              <w:tab w:val="right" w:leader="dot" w:pos="9630"/>
            </w:tabs>
            <w:rPr>
              <w:rStyle w:val="Hyperlink"/>
            </w:rPr>
          </w:pPr>
          <w:r>
            <w:t xml:space="preserve">V.3 Open Questions</w:t>
          </w:r>
          <w:r>
            <w:tab/>
          </w:r>
          <w:r>
            <w:t xml:space="preserve">235</w:t>
          </w:r>
        </w:p>
        <w:p>
          <w:pPr>
            <w:pStyle w:val="TOC2"/>
            <w:tabs>
              <w:tab w:val="right" w:leader="dot" w:pos="9630"/>
            </w:tabs>
            <w:rPr>
              <w:rStyle w:val="Hyperlink"/>
            </w:rPr>
          </w:pPr>
          <w:r>
            <w:t xml:space="preserve">V.4 Proposed Rules to Confirm</w:t>
          </w:r>
          <w:r>
            <w:tab/>
          </w:r>
          <w:r>
            <w:t xml:space="preserve">236</w:t>
          </w:r>
        </w:p>
        <w:p>
          <w:pPr>
            <w:pStyle w:val="TOC1"/>
            <w:tabs>
              <w:tab w:val="right" w:leader="dot" w:pos="9630"/>
            </w:tabs>
            <w:rPr>
              <w:rStyle w:val="Hyperlink"/>
            </w:rPr>
          </w:pPr>
          <w:r>
            <w:t xml:space="preserve">Annex W – Change Control After Sign-off</w:t>
          </w:r>
          <w:r>
            <w:tab/>
          </w:r>
          <w:r>
            <w:t xml:space="preserve">237</w:t>
          </w:r>
        </w:p>
        <w:p>
          <w:pPr>
            <w:pStyle w:val="TOC2"/>
            <w:tabs>
              <w:tab w:val="right" w:leader="dot" w:pos="9630"/>
            </w:tabs>
            <w:rPr>
              <w:rStyle w:val="Hyperlink"/>
            </w:rPr>
          </w:pPr>
          <w:r>
            <w:t xml:space="preserve">W.1 What Signing Freezes</w:t>
          </w:r>
          <w:r>
            <w:tab/>
          </w:r>
          <w:r>
            <w:t xml:space="preserve">237</w:t>
          </w:r>
        </w:p>
        <w:p>
          <w:pPr>
            <w:pStyle w:val="TOC2"/>
            <w:tabs>
              <w:tab w:val="right" w:leader="dot" w:pos="9630"/>
            </w:tabs>
            <w:rPr>
              <w:rStyle w:val="Hyperlink"/>
            </w:rPr>
          </w:pPr>
          <w:r>
            <w:t xml:space="preserve">W.2 How a Change is Raised, Assessed and Approved</w:t>
          </w:r>
          <w:r>
            <w:tab/>
          </w:r>
          <w:r>
            <w:t xml:space="preserve">237</w:t>
          </w:r>
        </w:p>
        <w:p>
          <w:pPr>
            <w:pStyle w:val="TOC1"/>
            <w:tabs>
              <w:tab w:val="right" w:leader="dot" w:pos="9630"/>
            </w:tabs>
            <w:rPr>
              <w:rStyle w:val="Hyperlink"/>
            </w:rPr>
          </w:pPr>
          <w:r>
            <w:t xml:space="preserve">Annex X – Business Unit Review Checklist</w:t>
          </w:r>
          <w:r>
            <w:tab/>
          </w:r>
          <w:r>
            <w:t xml:space="preserve">238</w:t>
          </w:r>
        </w:p>
        <w:p>
          <w:pPr>
            <w:pStyle w:val="TOC1"/>
            <w:tabs>
              <w:tab w:val="right" w:leader="dot" w:pos="9630"/>
            </w:tabs>
            <w:rPr>
              <w:rStyle w:val="Hyperlink"/>
            </w:rPr>
          </w:pPr>
          <w:r>
            <w:t xml:space="preserve">Annex Y – Points Beyond the BRD and Change Requests</w:t>
          </w:r>
          <w:r>
            <w:tab/>
          </w:r>
          <w:r>
            <w:t xml:space="preserve">240</w:t>
          </w:r>
        </w:p>
        <w:p>
          <w:pPr>
            <w:pStyle w:val="TOC2"/>
            <w:tabs>
              <w:tab w:val="right" w:leader="dot" w:pos="9630"/>
            </w:tabs>
            <w:rPr>
              <w:rStyle w:val="Hyperlink"/>
            </w:rPr>
          </w:pPr>
          <w:r>
            <w:t xml:space="preserve">Y.1 How the Points Were Classified</w:t>
          </w:r>
          <w:r>
            <w:tab/>
          </w:r>
          <w:r>
            <w:t xml:space="preserve">240</w:t>
          </w:r>
        </w:p>
        <w:p>
          <w:pPr>
            <w:pStyle w:val="TOC2"/>
            <w:tabs>
              <w:tab w:val="right" w:leader="dot" w:pos="9630"/>
            </w:tabs>
            <w:rPr>
              <w:rStyle w:val="Hyperlink"/>
            </w:rPr>
          </w:pPr>
          <w:r>
            <w:t xml:space="preserve">Y.2 Change Requests (Orange)</w:t>
          </w:r>
          <w:r>
            <w:tab/>
          </w:r>
          <w:r>
            <w:t xml:space="preserve">240</w:t>
          </w:r>
        </w:p>
        <w:p>
          <w:pPr>
            <w:pStyle w:val="TOC2"/>
            <w:tabs>
              <w:tab w:val="right" w:leader="dot" w:pos="9630"/>
            </w:tabs>
            <w:rPr>
              <w:rStyle w:val="Hyperlink"/>
            </w:rPr>
          </w:pPr>
          <w:r>
            <w:t xml:space="preserve">Y.3 Points Beyond the BRD Available OOTB in iNXT BrokerVerse (Green)</w:t>
          </w:r>
          <w:r>
            <w:tab/>
          </w:r>
          <w:r>
            <w:t xml:space="preserve">241</w:t>
          </w:r>
        </w:p>
        <w:p>
          <w:pPr>
            <w:pStyle w:val="TOC2"/>
            <w:tabs>
              <w:tab w:val="right" w:leader="dot" w:pos="9630"/>
            </w:tabs>
            <w:rPr>
              <w:rStyle w:val="Hyperlink"/>
            </w:rPr>
          </w:pPr>
          <w:r>
            <w:t xml:space="preserve">Y.4 Check of the BRD Lines Outside the Requirement Table</w:t>
          </w:r>
          <w:r>
            <w:tab/>
          </w:r>
          <w:r>
            <w:t xml:space="preserve">241</w:t>
          </w:r>
        </w:p>
        <w:p>
          <w:pPr>
            <w:pStyle w:val="TOC2"/>
            <w:tabs>
              <w:tab w:val="right" w:leader="dot" w:pos="9630"/>
            </w:tabs>
            <w:rPr>
              <w:rStyle w:val="Hyperlink"/>
            </w:rPr>
          </w:pPr>
          <w:r>
            <w:t xml:space="preserve">Y.5 Covered by the Integration Scope and the Data Migration Scope</w:t>
          </w:r>
          <w:r>
            <w:tab/>
          </w:r>
          <w:r>
            <w:t xml:space="preserve">242</w:t>
          </w:r>
        </w:p>
        <w:p>
          <w:pPr>
            <w:pStyle w:val="TOC2"/>
            <w:tabs>
              <w:tab w:val="right" w:leader="dot" w:pos="9630"/>
            </w:tabs>
            <w:rPr>
              <w:rStyle w:val="Hyperlink"/>
            </w:rPr>
          </w:pPr>
          <w:r>
            <w:t xml:space="preserve">Y.6 Best-practice Recommendations (Blue)</w:t>
          </w:r>
          <w:r>
            <w:tab/>
          </w:r>
          <w:r>
            <w:t xml:space="preserve">243</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keepNext/>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04"/>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walkthroughs of Annex K and the screenshots of Annex G use the BIBS DEV environment: https://dev.brokerverse.cloud.</w:t>
      </w:r>
    </w:p>
    <w:p>
      <w:pPr>
        <w:rPr>
          <w:rFonts w:ascii="Arial" w:hAnsi="Arial" w:cs="Arial"/>
        </w:rPr>
      </w:pPr>
      <w:r>
        <w:rPr>
          <w:rFonts w:ascii="Arial" w:hAnsi="Arial" w:cs="Arial"/>
          <w:shd w:val="clear" w:color="auto" w:fill="FFF59D"/>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spacing w:before="120" w:after="60"/>
        <w:jc w:val="center"/>
      </w:pPr>
      <w:r>
        <w:drawing>
          <wp:inline>
            <wp:extent cx="5852160" cy="2777744"/>
            <wp:docPr id="448933136" name="Picture 448933136"/>
            <wp:cNvGraphicFramePr>
              <a:graphicFrameLocks noChangeAspect="1"/>
            </wp:cNvGraphicFramePr>
            <a:graphic>
              <a:graphicData uri="http://schemas.openxmlformats.org/drawingml/2006/picture">
                <pic:pic>
                  <pic:nvPicPr>
                    <pic:cNvPr id="0" name="scr-pm-01-01-view-part1.png"/>
                    <pic:cNvPicPr/>
                  </pic:nvPicPr>
                  <pic:blipFill>
                    <a:blip r:embed="rId40"/>
                    <a:stretch>
                      <a:fillRect/>
                    </a:stretch>
                  </pic:blipFill>
                  <pic:spPr>
                    <a:xfrm>
                      <a:off x="0" y="0"/>
                      <a:ext cx="5852160" cy="277774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39568"/>
            <wp:docPr id="448933136" name="Picture 448933136"/>
            <wp:cNvGraphicFramePr>
              <a:graphicFrameLocks noChangeAspect="1"/>
            </wp:cNvGraphicFramePr>
            <a:graphic>
              <a:graphicData uri="http://schemas.openxmlformats.org/drawingml/2006/picture">
                <pic:pic>
                  <pic:nvPicPr>
                    <pic:cNvPr id="0" name="scr-pm-01-01-view-part2.png"/>
                    <pic:cNvPicPr/>
                  </pic:nvPicPr>
                  <pic:blipFill>
                    <a:blip r:embed="rId41"/>
                    <a:stretch>
                      <a:fillRect/>
                    </a:stretch>
                  </pic:blipFill>
                  <pic:spPr>
                    <a:xfrm>
                      <a:off x="0" y="0"/>
                      <a:ext cx="5852160" cy="26395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10688"/>
            <wp:docPr id="448933136" name="Picture 448933136"/>
            <wp:cNvGraphicFramePr>
              <a:graphicFrameLocks noChangeAspect="1"/>
            </wp:cNvGraphicFramePr>
            <a:graphic>
              <a:graphicData uri="http://schemas.openxmlformats.org/drawingml/2006/picture">
                <pic:pic>
                  <pic:nvPicPr>
                    <pic:cNvPr id="0" name="scr-pm-01-01-view-part3.png"/>
                    <pic:cNvPicPr/>
                  </pic:nvPicPr>
                  <pic:blipFill>
                    <a:blip r:embed="rId42"/>
                    <a:stretch>
                      <a:fillRect/>
                    </a:stretch>
                  </pic:blipFill>
                  <pic:spPr>
                    <a:xfrm>
                      <a:off x="0" y="0"/>
                      <a:ext cx="5852160" cy="271068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spacing w:after="60"/>
        <w:contextualSpacing/>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spacing w:after="60"/>
        <w:contextualSpacing/>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rPr>
      </w:pPr>
      <w:r>
        <w:rPr>
          <w:rFonts w:ascii="Arial" w:hAnsi="Arial" w:cs="Arial"/>
        </w:rPr>
        <w:t xml:space="preserve">The Product Matrix is maintained directly by MBS with approval while the setting Direct maintenance of the Product Matrix is on (by default); with the setting off new packages come only from package requests (FRPM.003.01, FRPM.001.01).</w:t>
      </w:r>
    </w:p>
    <w:p>
      <w:pPr>
        <w:pStyle w:val="Heading2"/>
        <w:keepNext/>
        <w:keepLines/>
        <w:numPr>
          <w:ilvl w:val="0"/>
          <w:numId w:val="0"/>
        </w:numPr>
        <w:rPr>
          <w:rFonts w:ascii="Arial" w:hAnsi="Arial" w:cs="Arial"/>
        </w:rPr>
      </w:pPr>
      <w:r>
        <w:rPr>
          <w:sz w:val="24"/>
          <w:szCs w:val="24"/>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spacing w:before="120" w:after="60"/>
        <w:jc w:val="center"/>
      </w:pPr>
      <w:r>
        <w:drawing>
          <wp:inline>
            <wp:extent cx="5852160" cy="2334024"/>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3"/>
                    <a:stretch>
                      <a:fillRect/>
                    </a:stretch>
                  </pic:blipFill>
                  <pic:spPr>
                    <a:xfrm>
                      <a:off x="0" y="0"/>
                      <a:ext cx="5852160" cy="233402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 Package Requests, Negotiation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spacing w:after="60"/>
        <w:contextualSpacing/>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spacing w:after="60"/>
        <w:contextualSpacing/>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rPr>
      </w:pPr>
      <w:r>
        <w:rPr>
          <w:rFonts w:ascii="Arial" w:hAnsi="Arial" w:cs="Arial"/>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03-01-empty-part1.png"/>
                    <pic:cNvPicPr/>
                  </pic:nvPicPr>
                  <pic:blipFill>
                    <a:blip r:embed="rId44"/>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23733"/>
            <wp:docPr id="448933136" name="Picture 448933136"/>
            <wp:cNvGraphicFramePr>
              <a:graphicFrameLocks noChangeAspect="1"/>
            </wp:cNvGraphicFramePr>
            <a:graphic>
              <a:graphicData uri="http://schemas.openxmlformats.org/drawingml/2006/picture">
                <pic:pic>
                  <pic:nvPicPr>
                    <pic:cNvPr id="0" name="scr-pm-03-01-empty-part2.png"/>
                    <pic:cNvPicPr/>
                  </pic:nvPicPr>
                  <pic:blipFill>
                    <a:blip r:embed="rId45"/>
                    <a:stretch>
                      <a:fillRect/>
                    </a:stretch>
                  </pic:blipFill>
                  <pic:spPr>
                    <a:xfrm>
                      <a:off x="0" y="0"/>
                      <a:ext cx="5852160" cy="32237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01930"/>
            <wp:docPr id="448933136" name="Picture 448933136"/>
            <wp:cNvGraphicFramePr>
              <a:graphicFrameLocks noChangeAspect="1"/>
            </wp:cNvGraphicFramePr>
            <a:graphic>
              <a:graphicData uri="http://schemas.openxmlformats.org/drawingml/2006/picture">
                <pic:pic>
                  <pic:nvPicPr>
                    <pic:cNvPr id="0" name="scr-pm-03-01-empty-part3.png"/>
                    <pic:cNvPicPr/>
                  </pic:nvPicPr>
                  <pic:blipFill>
                    <a:blip r:embed="rId46"/>
                    <a:stretch>
                      <a:fillRect/>
                    </a:stretch>
                  </pic:blipFill>
                  <pic:spPr>
                    <a:xfrm>
                      <a:off x="0" y="0"/>
                      <a:ext cx="5852160" cy="33019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As Save Draft</w:t>
            </w:r>
          </w:p>
        </w:tc>
        <w:tc>
          <w:tcPr>
            <w:tcW w:w="1728" w:type="dxa"/>
          </w:tcPr>
          <w:p>
            <w:pPr>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spacing w:after="60"/>
        <w:contextualSpacing/>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spacing w:after="60"/>
        <w:contextualSpacing/>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spacing w:after="60"/>
        <w:contextualSpacing/>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spacing w:after="60"/>
        <w:contextualSpacing/>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spacing w:after="60"/>
        <w:contextualSpacing/>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spacing w:after="60"/>
        <w:contextualSpacing/>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spacing w:after="60"/>
        <w:contextualSpacing/>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spacing w:after="60"/>
        <w:contextualSpacing/>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spacing w:after="60"/>
        <w:contextualSpacing/>
        <w:rPr>
          <w:rFonts w:ascii="Arial" w:hAnsi="Arial" w:cs="Arial"/>
        </w:rPr>
      </w:pPr>
      <w:r>
        <w:rPr>
          <w:rFonts w:ascii="Arial" w:hAnsi="Arial" w:cs="Arial"/>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keepLines/>
        <w:numPr>
          <w:ilvl w:val="0"/>
          <w:numId w:val="0"/>
        </w:numPr>
        <w:rPr>
          <w:rFonts w:ascii="Arial" w:hAnsi="Arial" w:cs="Arial"/>
        </w:rPr>
      </w:pPr>
      <w:r>
        <w:rPr>
          <w:sz w:val="24"/>
          <w:szCs w:val="24"/>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spacing w:before="120" w:after="60"/>
        <w:jc w:val="center"/>
      </w:pPr>
      <w:r>
        <w:drawing>
          <wp:inline>
            <wp:extent cx="5852160" cy="2668188"/>
            <wp:docPr id="448933136" name="Picture 448933136"/>
            <wp:cNvGraphicFramePr>
              <a:graphicFrameLocks noChangeAspect="1"/>
            </wp:cNvGraphicFramePr>
            <a:graphic>
              <a:graphicData uri="http://schemas.openxmlformats.org/drawingml/2006/picture">
                <pic:pic>
                  <pic:nvPicPr>
                    <pic:cNvPr id="0" name="scr-pm-04-01-record-part1.png"/>
                    <pic:cNvPicPr/>
                  </pic:nvPicPr>
                  <pic:blipFill>
                    <a:blip r:embed="rId47"/>
                    <a:stretch>
                      <a:fillRect/>
                    </a:stretch>
                  </pic:blipFill>
                  <pic:spPr>
                    <a:xfrm>
                      <a:off x="0" y="0"/>
                      <a:ext cx="5852160" cy="266818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02094"/>
            <wp:docPr id="448933136" name="Picture 448933136"/>
            <wp:cNvGraphicFramePr>
              <a:graphicFrameLocks noChangeAspect="1"/>
            </wp:cNvGraphicFramePr>
            <a:graphic>
              <a:graphicData uri="http://schemas.openxmlformats.org/drawingml/2006/picture">
                <pic:pic>
                  <pic:nvPicPr>
                    <pic:cNvPr id="0" name="scr-pm-04-01-record-part2.png"/>
                    <pic:cNvPicPr/>
                  </pic:nvPicPr>
                  <pic:blipFill>
                    <a:blip r:embed="rId48"/>
                    <a:stretch>
                      <a:fillRect/>
                    </a:stretch>
                  </pic:blipFill>
                  <pic:spPr>
                    <a:xfrm>
                      <a:off x="0" y="0"/>
                      <a:ext cx="5852160" cy="280209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G.4: Package request waiting for the Marketing approval, Details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spacing w:after="60"/>
        <w:contextualSpacing/>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spacing w:after="60"/>
        <w:contextualSpacing/>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spacing w:after="60"/>
        <w:contextualSpacing/>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spacing w:after="60"/>
        <w:contextualSpacing/>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spacing w:after="60"/>
        <w:contextualSpacing/>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spacing w:after="60"/>
        <w:contextualSpacing/>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1.png"/>
                    <pic:cNvPicPr/>
                  </pic:nvPicPr>
                  <pic:blipFill>
                    <a:blip r:embed="rId49"/>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2.png"/>
                    <pic:cNvPicPr/>
                  </pic:nvPicPr>
                  <pic:blipFill>
                    <a:blip r:embed="rId50"/>
                    <a:stretch>
                      <a:fillRect/>
                    </a:stretch>
                  </pic:blipFill>
                  <pic:spPr>
                    <a:xfrm>
                      <a:off x="0" y="0"/>
                      <a:ext cx="5852160" cy="272274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22742"/>
            <wp:docPr id="448933136" name="Picture 448933136"/>
            <wp:cNvGraphicFramePr>
              <a:graphicFrameLocks noChangeAspect="1"/>
            </wp:cNvGraphicFramePr>
            <a:graphic>
              <a:graphicData uri="http://schemas.openxmlformats.org/drawingml/2006/picture">
                <pic:pic>
                  <pic:nvPicPr>
                    <pic:cNvPr id="0" name="scr-pm-05-01-tab-part3.png"/>
                    <pic:cNvPicPr/>
                  </pic:nvPicPr>
                  <pic:blipFill>
                    <a:blip r:embed="rId51"/>
                    <a:stretch>
                      <a:fillRect/>
                    </a:stretch>
                  </pic:blipFill>
                  <pic:spPr>
                    <a:xfrm>
                      <a:off x="0" y="0"/>
                      <a:ext cx="5852160" cy="272274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Terms final</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spacing w:after="20" w:before="20"/>
              <w:rPr>
                <w:rFonts w:ascii="Arial" w:hAnsi="Arial" w:cs="Arial"/>
                <w:sz w:val="16"/>
                <w:szCs w:val="16"/>
              </w:rPr>
            </w:pPr>
            <w:r>
              <w:rPr>
                <w:rFonts w:ascii="Arial" w:hAnsi="Arial" w:cs="Arial"/>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spacing w:after="60"/>
        <w:contextualSpacing/>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spacing w:after="60"/>
        <w:contextualSpacing/>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spacing w:after="60"/>
        <w:contextualSpacing/>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spacing w:after="60"/>
        <w:contextualSpacing/>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spacing w:after="60"/>
        <w:contextualSpacing/>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rPr>
      </w:pPr>
      <w:r>
        <w:rPr>
          <w:rFonts w:ascii="Arial" w:hAnsi="Arial" w:cs="Arial"/>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spacing w:before="120" w:after="60"/>
        <w:jc w:val="center"/>
      </w:pPr>
      <w:r>
        <w:drawing>
          <wp:inline>
            <wp:extent cx="5852160" cy="1540861"/>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52"/>
                    <a:stretch>
                      <a:fillRect/>
                    </a:stretch>
                  </pic:blipFill>
                  <pic:spPr>
                    <a:xfrm>
                      <a:off x="0" y="0"/>
                      <a:ext cx="5852160" cy="154086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spacing w:after="60"/>
        <w:contextualSpacing/>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spacing w:after="60"/>
        <w:contextualSpacing/>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spacing w:after="60"/>
        <w:contextualSpacing/>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1.png"/>
                    <pic:cNvPicPr/>
                  </pic:nvPicPr>
                  <pic:blipFill>
                    <a:blip r:embed="rId53"/>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6289"/>
            <wp:docPr id="448933136" name="Picture 448933136"/>
            <wp:cNvGraphicFramePr>
              <a:graphicFrameLocks noChangeAspect="1"/>
            </wp:cNvGraphicFramePr>
            <a:graphic>
              <a:graphicData uri="http://schemas.openxmlformats.org/drawingml/2006/picture">
                <pic:pic>
                  <pic:nvPicPr>
                    <pic:cNvPr id="0" name="scr-pm-07-01-tab-part2.png"/>
                    <pic:cNvPicPr/>
                  </pic:nvPicPr>
                  <pic:blipFill>
                    <a:blip r:embed="rId54"/>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448933136" name="Picture 448933136"/>
            <wp:cNvGraphicFramePr>
              <a:graphicFrameLocks noChangeAspect="1"/>
            </wp:cNvGraphicFramePr>
            <a:graphic>
              <a:graphicData uri="http://schemas.openxmlformats.org/drawingml/2006/picture">
                <pic:pic>
                  <pic:nvPicPr>
                    <pic:cNvPr id="0" name="scr-pm-07-01-tab-part3.png"/>
                    <pic:cNvPicPr/>
                  </pic:nvPicPr>
                  <pic:blipFill>
                    <a:blip r:embed="rId55"/>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spacing w:after="60"/>
        <w:contextualSpacing/>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spacing w:after="60"/>
        <w:contextualSpacing/>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rPr>
      </w:pPr>
      <w:r>
        <w:rPr>
          <w:rFonts w:ascii="Arial" w:hAnsi="Arial" w:cs="Arial"/>
        </w:rPr>
        <w:t xml:space="preserve">At the sign-off the quotation slips of every round are locked (FRPM.014.01).</w:t>
      </w: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spacing w:before="120" w:after="60"/>
        <w:jc w:val="center"/>
      </w:pPr>
      <w:r>
        <w:drawing>
          <wp:inline>
            <wp:extent cx="5852160" cy="4242597"/>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56"/>
                    <a:stretch>
                      <a:fillRect/>
                    </a:stretch>
                  </pic:blipFill>
                  <pic:spPr>
                    <a:xfrm>
                      <a:off x="0" y="0"/>
                      <a:ext cx="5852160" cy="42425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G.8: Set Up Package Version dialog of MBS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Send Advisory</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spacing w:after="20" w:before="20"/>
              <w:rPr>
                <w:rFonts w:ascii="Arial" w:hAnsi="Arial" w:cs="Arial"/>
                <w:sz w:val="16"/>
                <w:szCs w:val="16"/>
              </w:rPr>
            </w:pPr>
            <w:r>
              <w:rPr>
                <w:rFonts w:ascii="Arial" w:hAnsi="Arial" w:cs="Arial"/>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spacing w:after="60"/>
        <w:contextualSpacing/>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spacing w:after="60"/>
        <w:contextualSpacing/>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spacing w:after="60"/>
        <w:contextualSpacing/>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spacing w:after="60"/>
        <w:contextualSpacing/>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keepLines/>
        <w:numPr>
          <w:ilvl w:val="0"/>
          <w:numId w:val="0"/>
        </w:numPr>
        <w:rPr>
          <w:rFonts w:ascii="Arial" w:hAnsi="Arial" w:cs="Arial"/>
        </w:rPr>
      </w:pPr>
      <w:r>
        <w:rPr>
          <w:sz w:val="24"/>
          <w:szCs w:val="24"/>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spacing w:before="120" w:after="60"/>
        <w:jc w:val="center"/>
      </w:pPr>
      <w:r>
        <w:drawing>
          <wp:inline>
            <wp:extent cx="5852160" cy="4257951"/>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57"/>
                    <a:stretch>
                      <a:fillRect/>
                    </a:stretch>
                  </pic:blipFill>
                  <pic:spPr>
                    <a:xfrm>
                      <a:off x="0" y="0"/>
                      <a:ext cx="5852160" cy="425795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G.9: TSU Workbench of the TSU Team Lead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spacing w:after="60"/>
        <w:contextualSpacing/>
        <w:rPr>
          <w:rFonts w:ascii="Arial" w:hAnsi="Arial" w:cs="Arial"/>
        </w:rPr>
      </w:pPr>
      <w:r>
        <w:rPr>
          <w:rFonts w:ascii="Arial" w:hAnsi="Arial" w:cs="Arial"/>
        </w:rPr>
        <w:t xml:space="preserve">Only the stages the user's permissions work are shown (FRPM.002.02).</w:t>
      </w:r>
    </w:p>
    <w:p>
      <w:pPr>
        <w:pStyle w:val="ListParagraph"/>
        <w:numPr>
          <w:ilvl w:val="0"/>
          <w:numId w:val="127"/>
        </w:numPr>
        <w:spacing w:after="60"/>
        <w:contextualSpacing/>
        <w:rPr>
          <w:rFonts w:ascii="Arial" w:hAnsi="Arial" w:cs="Arial"/>
        </w:rPr>
      </w:pPr>
      <w:r>
        <w:rPr>
          <w:rFonts w:ascii="Arial" w:hAnsi="Arial" w:cs="Arial"/>
        </w:rPr>
        <w:t xml:space="preserve">A claimed request is worked by the user who claimed it; a team leader can re-assign it (FRPM.002.02).</w:t>
      </w:r>
    </w:p>
    <w:p>
      <w:pPr>
        <w:pStyle w:val="Heading2"/>
        <w:keepNext/>
        <w:keepLines/>
        <w:numPr>
          <w:ilvl w:val="0"/>
          <w:numId w:val="0"/>
        </w:numPr>
        <w:rPr>
          <w:rFonts w:ascii="Arial" w:hAnsi="Arial" w:cs="Arial"/>
        </w:rPr>
      </w:pPr>
      <w:r>
        <w:rPr>
          <w:sz w:val="24"/>
          <w:szCs w:val="24"/>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spacing w:before="120" w:after="60"/>
        <w:jc w:val="center"/>
      </w:pPr>
      <w:r>
        <w:drawing>
          <wp:inline>
            <wp:extent cx="5852160" cy="2320684"/>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58"/>
                    <a:stretch>
                      <a:fillRect/>
                    </a:stretch>
                  </pic:blipFill>
                  <pic:spPr>
                    <a:xfrm>
                      <a:off x="0" y="0"/>
                      <a:ext cx="5852160" cy="23206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G.10: Package Expiry, Expiring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spacing w:after="60"/>
        <w:contextualSpacing/>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spacing w:after="60"/>
        <w:contextualSpacing/>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1.png"/>
                    <pic:cNvPicPr/>
                  </pic:nvPicPr>
                  <pic:blipFill>
                    <a:blip r:embed="rId59"/>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1570"/>
            <wp:docPr id="448933136" name="Picture 448933136"/>
            <wp:cNvGraphicFramePr>
              <a:graphicFrameLocks noChangeAspect="1"/>
            </wp:cNvGraphicFramePr>
            <a:graphic>
              <a:graphicData uri="http://schemas.openxmlformats.org/drawingml/2006/picture">
                <pic:pic>
                  <pic:nvPicPr>
                    <pic:cNvPr id="0" name="scr-pm-11-01-list-part2.png"/>
                    <pic:cNvPicPr/>
                  </pic:nvPicPr>
                  <pic:blipFill>
                    <a:blip r:embed="rId60"/>
                    <a:stretch>
                      <a:fillRect/>
                    </a:stretch>
                  </pic:blipFill>
                  <pic:spPr>
                    <a:xfrm>
                      <a:off x="0" y="0"/>
                      <a:ext cx="5852160" cy="326157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64093"/>
            <wp:docPr id="448933136" name="Picture 448933136"/>
            <wp:cNvGraphicFramePr>
              <a:graphicFrameLocks noChangeAspect="1"/>
            </wp:cNvGraphicFramePr>
            <a:graphic>
              <a:graphicData uri="http://schemas.openxmlformats.org/drawingml/2006/picture">
                <pic:pic>
                  <pic:nvPicPr>
                    <pic:cNvPr id="0" name="scr-pm-11-01-list-part3.png"/>
                    <pic:cNvPicPr/>
                  </pic:nvPicPr>
                  <pic:blipFill>
                    <a:blip r:embed="rId61"/>
                    <a:stretch>
                      <a:fillRect/>
                    </a:stretch>
                  </pic:blipFill>
                  <pic:spPr>
                    <a:xfrm>
                      <a:off x="0" y="0"/>
                      <a:ext cx="5852160" cy="32640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spacing w:after="60"/>
        <w:contextualSpacing/>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spacing w:after="60"/>
        <w:contextualSpacing/>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spacing w:after="60"/>
        <w:contextualSpacing/>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spacing w:after="60"/>
        <w:contextualSpacing/>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keepLines/>
        <w:numPr>
          <w:ilvl w:val="0"/>
          <w:numId w:val="0"/>
        </w:numPr>
        <w:rPr>
          <w:rFonts w:ascii="Arial" w:hAnsi="Arial" w:cs="Arial"/>
        </w:rPr>
      </w:pPr>
      <w:r>
        <w:rPr>
          <w:sz w:val="24"/>
          <w:szCs w:val="24"/>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spacing w:before="120" w:after="60"/>
        <w:jc w:val="center"/>
      </w:pPr>
      <w:r>
        <w:drawing>
          <wp:inline>
            <wp:extent cx="5852160" cy="3854354"/>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62"/>
                    <a:stretch>
                      <a:fillRect/>
                    </a:stretch>
                  </pic:blipFill>
                  <pic:spPr>
                    <a:xfrm>
                      <a:off x="0" y="0"/>
                      <a:ext cx="5852160" cy="3854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G.12: Product record of a package, Versions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spacing w:after="60"/>
        <w:contextualSpacing/>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spacing w:after="60"/>
        <w:contextualSpacing/>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spacing w:after="60"/>
        <w:contextualSpacing/>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spacing w:after="60"/>
        <w:contextualSpacing/>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spacing w:after="60"/>
        <w:contextualSpacing/>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keepLines/>
        <w:numPr>
          <w:ilvl w:val="0"/>
          <w:numId w:val="0"/>
        </w:numPr>
        <w:rPr>
          <w:rFonts w:ascii="Arial" w:hAnsi="Arial" w:cs="Arial"/>
        </w:rPr>
      </w:pPr>
      <w:r>
        <w:rPr>
          <w:sz w:val="24"/>
          <w:szCs w:val="24"/>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spacing w:before="120" w:after="60"/>
        <w:jc w:val="center"/>
      </w:pPr>
      <w:r>
        <w:drawing>
          <wp:inline>
            <wp:extent cx="5852160" cy="2769686"/>
            <wp:docPr id="448933136" name="Picture 448933136"/>
            <wp:cNvGraphicFramePr>
              <a:graphicFrameLocks noChangeAspect="1"/>
            </wp:cNvGraphicFramePr>
            <a:graphic>
              <a:graphicData uri="http://schemas.openxmlformats.org/drawingml/2006/picture">
                <pic:pic>
                  <pic:nvPicPr>
                    <pic:cNvPr id="0" name="scr-pm-13-01-draft-part1.png"/>
                    <pic:cNvPicPr/>
                  </pic:nvPicPr>
                  <pic:blipFill>
                    <a:blip r:embed="rId63"/>
                    <a:stretch>
                      <a:fillRect/>
                    </a:stretch>
                  </pic:blipFill>
                  <pic:spPr>
                    <a:xfrm>
                      <a:off x="0" y="0"/>
                      <a:ext cx="5852160" cy="2769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20136"/>
            <wp:docPr id="448933136" name="Picture 448933136"/>
            <wp:cNvGraphicFramePr>
              <a:graphicFrameLocks noChangeAspect="1"/>
            </wp:cNvGraphicFramePr>
            <a:graphic>
              <a:graphicData uri="http://schemas.openxmlformats.org/drawingml/2006/picture">
                <pic:pic>
                  <pic:nvPicPr>
                    <pic:cNvPr id="0" name="scr-pm-13-01-draft-part2.png"/>
                    <pic:cNvPicPr/>
                  </pic:nvPicPr>
                  <pic:blipFill>
                    <a:blip r:embed="rId64"/>
                    <a:stretch>
                      <a:fillRect/>
                    </a:stretch>
                  </pic:blipFill>
                  <pic:spPr>
                    <a:xfrm>
                      <a:off x="0" y="0"/>
                      <a:ext cx="5852160" cy="282013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G.13: Draft version of the MTR12 package, Rate Scheme &amp; Dates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MBS</w:t>
            </w:r>
          </w:p>
        </w:tc>
        <w:tc>
          <w:tcPr>
            <w:tcW w:w="1944" w:type="dxa"/>
          </w:tcPr>
          <w:p>
            <w:pPr>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spacing w:after="20" w:before="20"/>
              <w:rPr>
                <w:rFonts w:ascii="Arial" w:hAnsi="Arial" w:cs="Arial"/>
                <w:sz w:val="16"/>
                <w:szCs w:val="16"/>
              </w:rPr>
            </w:pPr>
            <w:r>
              <w:rPr>
                <w:rFonts w:ascii="Arial" w:hAnsi="Arial" w:cs="Arial"/>
                <w:sz w:val="16"/>
                <w:szCs w:val="16"/>
              </w:rPr>
              <w:t xml:space="preserve">For validation</w:t>
            </w:r>
          </w:p>
        </w:tc>
        <w:tc>
          <w:tcPr>
            <w:tcW w:w="3600" w:type="dxa"/>
          </w:tcPr>
          <w:p>
            <w:pPr>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spacing w:after="60"/>
        <w:contextualSpacing/>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spacing w:after="60"/>
        <w:contextualSpacing/>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spacing w:after="60"/>
        <w:contextualSpacing/>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spacing w:after="60"/>
        <w:contextualSpacing/>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spacing w:after="60"/>
        <w:contextualSpacing/>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spacing w:after="60"/>
        <w:contextualSpacing/>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keepLines/>
        <w:numPr>
          <w:ilvl w:val="0"/>
          <w:numId w:val="0"/>
        </w:numPr>
        <w:rPr>
          <w:rFonts w:ascii="Arial" w:hAnsi="Arial" w:cs="Arial"/>
        </w:rPr>
      </w:pPr>
      <w:r>
        <w:rPr>
          <w:sz w:val="24"/>
          <w:szCs w:val="24"/>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spacing w:before="120" w:after="60"/>
        <w:jc w:val="center"/>
      </w:pPr>
      <w:r>
        <w:drawing>
          <wp:inline>
            <wp:extent cx="5852160" cy="194735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65"/>
                    <a:stretch>
                      <a:fillRect/>
                    </a:stretch>
                  </pic:blipFill>
                  <pic:spPr>
                    <a:xfrm>
                      <a:off x="0" y="0"/>
                      <a:ext cx="5852160" cy="194735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G.14: Validation Queue of the TSU Head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keepLines/>
        <w:numPr>
          <w:ilvl w:val="0"/>
          <w:numId w:val="0"/>
        </w:numPr>
        <w:rPr>
          <w:rFonts w:ascii="Arial" w:hAnsi="Arial" w:cs="Arial"/>
        </w:rPr>
      </w:pPr>
      <w:r>
        <w:rPr>
          <w:sz w:val="24"/>
          <w:szCs w:val="24"/>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1.png"/>
                    <pic:cNvPicPr/>
                  </pic:nvPicPr>
                  <pic:blipFill>
                    <a:blip r:embed="rId66"/>
                    <a:stretch>
                      <a:fillRect/>
                    </a:stretch>
                  </pic:blipFill>
                  <pic:spPr>
                    <a:xfrm>
                      <a:off x="0" y="0"/>
                      <a:ext cx="5852160" cy="24846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484646"/>
            <wp:docPr id="448933136" name="Picture 448933136"/>
            <wp:cNvGraphicFramePr>
              <a:graphicFrameLocks noChangeAspect="1"/>
            </wp:cNvGraphicFramePr>
            <a:graphic>
              <a:graphicData uri="http://schemas.openxmlformats.org/drawingml/2006/picture">
                <pic:pic>
                  <pic:nvPicPr>
                    <pic:cNvPr id="0" name="scr-pm-15-01-list-part2.png"/>
                    <pic:cNvPicPr/>
                  </pic:nvPicPr>
                  <pic:blipFill>
                    <a:blip r:embed="rId67"/>
                    <a:stretch>
                      <a:fillRect/>
                    </a:stretch>
                  </pic:blipFill>
                  <pic:spPr>
                    <a:xfrm>
                      <a:off x="0" y="0"/>
                      <a:ext cx="5852160" cy="248464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G.15: Coverages &amp; Perils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spacing w:after="60"/>
        <w:contextualSpacing/>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spacing w:after="60"/>
        <w:contextualSpacing/>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rPr>
      </w:pPr>
      <w:r>
        <w:rPr>
          <w:rFonts w:ascii="Arial" w:hAnsi="Arial" w:cs="Arial"/>
        </w:rPr>
        <w:t xml:space="preserve">Coverages and clauses are maker-checker and never deleted (FRPM.022.02).</w:t>
      </w:r>
    </w:p>
    <w:p>
      <w:pPr>
        <w:pStyle w:val="Heading2"/>
        <w:keepNext/>
        <w:keepLines/>
        <w:numPr>
          <w:ilvl w:val="0"/>
          <w:numId w:val="0"/>
        </w:numPr>
        <w:rPr>
          <w:rFonts w:ascii="Arial" w:hAnsi="Arial" w:cs="Arial"/>
        </w:rPr>
      </w:pPr>
      <w:r>
        <w:rPr>
          <w:sz w:val="24"/>
          <w:szCs w:val="24"/>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spacing w:before="120" w:after="60"/>
        <w:jc w:val="center"/>
      </w:pPr>
      <w:r>
        <w:drawing>
          <wp:inline>
            <wp:extent cx="5852160" cy="2184470"/>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68"/>
                    <a:stretch>
                      <a:fillRect/>
                    </a:stretch>
                  </pic:blipFill>
                  <pic:spPr>
                    <a:xfrm>
                      <a:off x="0" y="0"/>
                      <a:ext cx="5852160" cy="218447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G.16: Incentive Criteria, Current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Active row</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spacing w:after="60"/>
        <w:contextualSpacing/>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spacing w:after="60"/>
        <w:contextualSpacing/>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keepLines/>
        <w:numPr>
          <w:ilvl w:val="0"/>
          <w:numId w:val="0"/>
        </w:numPr>
        <w:rPr>
          <w:rFonts w:ascii="Arial" w:hAnsi="Arial" w:cs="Arial"/>
        </w:rPr>
      </w:pPr>
      <w:r>
        <w:rPr>
          <w:sz w:val="24"/>
          <w:szCs w:val="24"/>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3581926"/>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69"/>
                    <a:stretch>
                      <a:fillRect/>
                    </a:stretch>
                  </pic:blipFill>
                  <pic:spPr>
                    <a:xfrm>
                      <a:off x="0" y="0"/>
                      <a:ext cx="5852160" cy="358192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G.17: Insurers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[Open a row]</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spacing w:after="60"/>
        <w:contextualSpacing/>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keepLines/>
        <w:numPr>
          <w:ilvl w:val="0"/>
          <w:numId w:val="0"/>
        </w:numPr>
        <w:rPr>
          <w:rFonts w:ascii="Arial" w:hAnsi="Arial" w:cs="Arial"/>
        </w:rPr>
      </w:pPr>
      <w:r>
        <w:rPr>
          <w:sz w:val="24"/>
          <w:szCs w:val="24"/>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spacing w:before="120" w:after="60"/>
        <w:jc w:val="center"/>
      </w:pPr>
      <w:r>
        <w:drawing>
          <wp:inline>
            <wp:extent cx="5852160" cy="2789866"/>
            <wp:docPr id="448933136" name="Picture 448933136"/>
            <wp:cNvGraphicFramePr>
              <a:graphicFrameLocks noChangeAspect="1"/>
            </wp:cNvGraphicFramePr>
            <a:graphic>
              <a:graphicData uri="http://schemas.openxmlformats.org/drawingml/2006/picture">
                <pic:pic>
                  <pic:nvPicPr>
                    <pic:cNvPr id="0" name="scr-pm-18-01-record-part1.png"/>
                    <pic:cNvPicPr/>
                  </pic:nvPicPr>
                  <pic:blipFill>
                    <a:blip r:embed="rId70"/>
                    <a:stretch>
                      <a:fillRect/>
                    </a:stretch>
                  </pic:blipFill>
                  <pic:spPr>
                    <a:xfrm>
                      <a:off x="0" y="0"/>
                      <a:ext cx="5852160" cy="278986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9416"/>
            <wp:docPr id="448933136" name="Picture 448933136"/>
            <wp:cNvGraphicFramePr>
              <a:graphicFrameLocks noChangeAspect="1"/>
            </wp:cNvGraphicFramePr>
            <a:graphic>
              <a:graphicData uri="http://schemas.openxmlformats.org/drawingml/2006/picture">
                <pic:pic>
                  <pic:nvPicPr>
                    <pic:cNvPr id="0" name="scr-pm-18-01-record-part2.png"/>
                    <pic:cNvPicPr/>
                  </pic:nvPicPr>
                  <pic:blipFill>
                    <a:blip r:embed="rId71"/>
                    <a:stretch>
                      <a:fillRect/>
                    </a:stretch>
                  </pic:blipFill>
                  <pic:spPr>
                    <a:xfrm>
                      <a:off x="0" y="0"/>
                      <a:ext cx="5852160" cy="273941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G.18: Insurer record with branches and commission rates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Insurers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As on Insurers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spacing w:after="60"/>
        <w:contextualSpacing/>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keepLines/>
        <w:numPr>
          <w:ilvl w:val="0"/>
          <w:numId w:val="0"/>
        </w:numPr>
        <w:rPr>
          <w:rFonts w:ascii="Arial" w:hAnsi="Arial" w:cs="Arial"/>
        </w:rPr>
      </w:pPr>
      <w:r>
        <w:rPr>
          <w:sz w:val="24"/>
          <w:szCs w:val="24"/>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3339767"/>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72"/>
                    <a:stretch>
                      <a:fillRect/>
                    </a:stretch>
                  </pic:blipFill>
                  <pic:spPr>
                    <a:xfrm>
                      <a:off x="0" y="0"/>
                      <a:ext cx="5852160" cy="333976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G.19: Rates &amp; Taxes, Taxes &amp; factors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As on Insurers</w:t>
            </w:r>
          </w:p>
        </w:tc>
        <w:tc>
          <w:tcPr>
            <w:tcW w:w="3600" w:type="dxa"/>
          </w:tcPr>
          <w:p>
            <w:pPr>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spacing w:after="60"/>
        <w:contextualSpacing/>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rPr>
      </w:pPr>
      <w:r>
        <w:rPr>
          <w:rFonts w:ascii="Arial" w:hAnsi="Arial" w:cs="Arial"/>
        </w:rPr>
        <w:t xml:space="preserve">A period without a short-period row, or a motor limit not in the table, is refused at rating (FRPM.024.02).</w:t>
      </w:r>
    </w:p>
    <w:p>
      <w:pPr>
        <w:pStyle w:val="Heading2"/>
        <w:keepNext/>
        <w:keepLines/>
        <w:numPr>
          <w:ilvl w:val="0"/>
          <w:numId w:val="0"/>
        </w:numPr>
        <w:rPr>
          <w:rFonts w:ascii="Arial" w:hAnsi="Arial" w:cs="Arial"/>
        </w:rPr>
      </w:pPr>
      <w:r>
        <w:rPr>
          <w:sz w:val="24"/>
          <w:szCs w:val="24"/>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1.png"/>
                    <pic:cNvPicPr/>
                  </pic:nvPicPr>
                  <pic:blipFill>
                    <a:blip r:embed="rId73"/>
                    <a:stretch>
                      <a:fillRect/>
                    </a:stretch>
                  </pic:blipFill>
                  <pic:spPr>
                    <a:xfrm>
                      <a:off x="0" y="0"/>
                      <a:ext cx="5852160" cy="27848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84821"/>
            <wp:docPr id="448933136" name="Picture 448933136"/>
            <wp:cNvGraphicFramePr>
              <a:graphicFrameLocks noChangeAspect="1"/>
            </wp:cNvGraphicFramePr>
            <a:graphic>
              <a:graphicData uri="http://schemas.openxmlformats.org/drawingml/2006/picture">
                <pic:pic>
                  <pic:nvPicPr>
                    <pic:cNvPr id="0" name="scr-pm-20-01-tree-part2.png"/>
                    <pic:cNvPicPr/>
                  </pic:nvPicPr>
                  <pic:blipFill>
                    <a:blip r:embed="rId74"/>
                    <a:stretch>
                      <a:fillRect/>
                    </a:stretch>
                  </pic:blipFill>
                  <pic:spPr>
                    <a:xfrm>
                      <a:off x="0" y="0"/>
                      <a:ext cx="5852160" cy="278482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G.20: Sales Organisation tree table, every branch expanded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spacing w:after="60"/>
        <w:contextualSpacing/>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spacing w:after="60"/>
        <w:contextualSpacing/>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spacing w:after="60"/>
        <w:contextualSpacing/>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rPr>
      </w:pPr>
      <w:r>
        <w:rPr>
          <w:rFonts w:ascii="Arial" w:hAnsi="Arial" w:cs="Arial"/>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spacing w:before="120" w:after="60"/>
        <w:jc w:val="center"/>
      </w:pPr>
      <w:r>
        <w:drawing>
          <wp:inline>
            <wp:extent cx="5852160" cy="3425532"/>
            <wp:docPr id="448933136" name="Picture 448933136"/>
            <wp:cNvGraphicFramePr>
              <a:graphicFrameLocks noChangeAspect="1"/>
            </wp:cNvGraphicFramePr>
            <a:graphic>
              <a:graphicData uri="http://schemas.openxmlformats.org/drawingml/2006/picture">
                <pic:pic>
                  <pic:nvPicPr>
                    <pic:cNvPr id="0" name="scr-pm-21-01-filled-part1.png"/>
                    <pic:cNvPicPr/>
                  </pic:nvPicPr>
                  <pic:blipFill>
                    <a:blip r:embed="rId75"/>
                    <a:stretch>
                      <a:fillRect/>
                    </a:stretch>
                  </pic:blipFill>
                  <pic:spPr>
                    <a:xfrm>
                      <a:off x="0" y="0"/>
                      <a:ext cx="5852160" cy="342553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00855"/>
            <wp:docPr id="448933136" name="Picture 448933136"/>
            <wp:cNvGraphicFramePr>
              <a:graphicFrameLocks noChangeAspect="1"/>
            </wp:cNvGraphicFramePr>
            <a:graphic>
              <a:graphicData uri="http://schemas.openxmlformats.org/drawingml/2006/picture">
                <pic:pic>
                  <pic:nvPicPr>
                    <pic:cNvPr id="0" name="scr-pm-21-01-filled-part2.png"/>
                    <pic:cNvPicPr/>
                  </pic:nvPicPr>
                  <pic:blipFill>
                    <a:blip r:embed="rId76"/>
                    <a:stretch>
                      <a:fillRect/>
                    </a:stretch>
                  </pic:blipFill>
                  <pic:spPr>
                    <a:xfrm>
                      <a:off x="0" y="0"/>
                      <a:ext cx="5852160" cy="29008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63193"/>
            <wp:docPr id="448933136" name="Picture 448933136"/>
            <wp:cNvGraphicFramePr>
              <a:graphicFrameLocks noChangeAspect="1"/>
            </wp:cNvGraphicFramePr>
            <a:graphic>
              <a:graphicData uri="http://schemas.openxmlformats.org/drawingml/2006/picture">
                <pic:pic>
                  <pic:nvPicPr>
                    <pic:cNvPr id="0" name="scr-pm-21-01-filled-part3.png"/>
                    <pic:cNvPicPr/>
                  </pic:nvPicPr>
                  <pic:blipFill>
                    <a:blip r:embed="rId77"/>
                    <a:stretch>
                      <a:fillRect/>
                    </a:stretch>
                  </pic:blipFill>
                  <pic:spPr>
                    <a:xfrm>
                      <a:off x="0" y="0"/>
                      <a:ext cx="5852160" cy="31631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Calculate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spacing w:after="60"/>
        <w:contextualSpacing/>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spacing w:after="60"/>
        <w:contextualSpacing/>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spacing w:before="120" w:after="60"/>
        <w:jc w:val="center"/>
      </w:pPr>
      <w:r>
        <w:drawing>
          <wp:inline>
            <wp:extent cx="5852160" cy="258383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78"/>
                    <a:stretch>
                      <a:fillRect/>
                    </a:stretch>
                  </pic:blipFill>
                  <pic:spPr>
                    <a:xfrm>
                      <a:off x="0" y="0"/>
                      <a:ext cx="5852160" cy="258383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G.22: Request Rate Exception dialog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Reject</w:t>
            </w:r>
          </w:p>
        </w:tc>
        <w:tc>
          <w:tcPr>
            <w:tcW w:w="1944" w:type="dxa"/>
          </w:tcPr>
          <w:p>
            <w:pPr>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spacing w:after="20" w:before="20"/>
              <w:rPr>
                <w:rFonts w:ascii="Arial" w:hAnsi="Arial" w:cs="Arial"/>
                <w:sz w:val="16"/>
                <w:szCs w:val="16"/>
              </w:rPr>
            </w:pPr>
            <w:r>
              <w:rPr>
                <w:rFonts w:ascii="Arial" w:hAnsi="Arial" w:cs="Arial"/>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spacing w:after="60"/>
        <w:contextualSpacing/>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spacing w:after="60"/>
        <w:contextualSpacing/>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spacing w:after="60"/>
        <w:contextualSpacing/>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spacing w:after="60"/>
        <w:contextualSpacing/>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spacing w:before="120" w:after="60"/>
        <w:jc w:val="center"/>
      </w:pPr>
      <w:r>
        <w:drawing>
          <wp:inline>
            <wp:extent cx="5852160" cy="3226255"/>
            <wp:docPr id="448933136" name="Picture 448933136"/>
            <wp:cNvGraphicFramePr>
              <a:graphicFrameLocks noChangeAspect="1"/>
            </wp:cNvGraphicFramePr>
            <a:graphic>
              <a:graphicData uri="http://schemas.openxmlformats.org/drawingml/2006/picture">
                <pic:pic>
                  <pic:nvPicPr>
                    <pic:cNvPr id="0" name="scr-pm-23-01-view-part1.png"/>
                    <pic:cNvPicPr/>
                  </pic:nvPicPr>
                  <pic:blipFill>
                    <a:blip r:embed="rId79"/>
                    <a:stretch>
                      <a:fillRect/>
                    </a:stretch>
                  </pic:blipFill>
                  <pic:spPr>
                    <a:xfrm>
                      <a:off x="0" y="0"/>
                      <a:ext cx="5852160" cy="322625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56525"/>
            <wp:docPr id="448933136" name="Picture 448933136"/>
            <wp:cNvGraphicFramePr>
              <a:graphicFrameLocks noChangeAspect="1"/>
            </wp:cNvGraphicFramePr>
            <a:graphic>
              <a:graphicData uri="http://schemas.openxmlformats.org/drawingml/2006/picture">
                <pic:pic>
                  <pic:nvPicPr>
                    <pic:cNvPr id="0" name="scr-pm-23-01-view-part2.png"/>
                    <pic:cNvPicPr/>
                  </pic:nvPicPr>
                  <pic:blipFill>
                    <a:blip r:embed="rId80"/>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43913"/>
            <wp:docPr id="448933136" name="Picture 448933136"/>
            <wp:cNvGraphicFramePr>
              <a:graphicFrameLocks noChangeAspect="1"/>
            </wp:cNvGraphicFramePr>
            <a:graphic>
              <a:graphicData uri="http://schemas.openxmlformats.org/drawingml/2006/picture">
                <pic:pic>
                  <pic:nvPicPr>
                    <pic:cNvPr id="0" name="scr-pm-23-01-view-part3.png"/>
                    <pic:cNvPicPr/>
                  </pic:nvPicPr>
                  <pic:blipFill>
                    <a:blip r:embed="rId81"/>
                    <a:stretch>
                      <a:fillRect/>
                    </a:stretch>
                  </pic:blipFill>
                  <pic:spPr>
                    <a:xfrm>
                      <a:off x="0" y="0"/>
                      <a:ext cx="5852160" cy="324391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spacing w:after="60"/>
        <w:contextualSpacing/>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keepLines/>
        <w:numPr>
          <w:ilvl w:val="0"/>
          <w:numId w:val="0"/>
        </w:numPr>
        <w:rPr>
          <w:rFonts w:ascii="Arial" w:hAnsi="Arial" w:cs="Arial"/>
        </w:rPr>
      </w:pPr>
      <w:r>
        <w:rPr>
          <w:sz w:val="24"/>
          <w:szCs w:val="24"/>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spacing w:before="120" w:after="60"/>
        <w:jc w:val="center"/>
      </w:pPr>
      <w:r>
        <w:drawing>
          <wp:inline>
            <wp:extent cx="5852160" cy="331146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82"/>
                    <a:stretch>
                      <a:fillRect/>
                    </a:stretch>
                  </pic:blipFill>
                  <pic:spPr>
                    <a:xfrm>
                      <a:off x="0" y="0"/>
                      <a:ext cx="5852160" cy="331146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G.24: Deactivation Requests with their approval status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Withdraw</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spacing w:after="20" w:before="20"/>
              <w:rPr>
                <w:rFonts w:ascii="Arial" w:hAnsi="Arial" w:cs="Arial"/>
                <w:sz w:val="16"/>
                <w:szCs w:val="16"/>
              </w:rPr>
            </w:pPr>
            <w:r>
              <w:rPr>
                <w:rFonts w:ascii="Arial" w:hAnsi="Arial" w:cs="Arial"/>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spacing w:after="60"/>
        <w:contextualSpacing/>
        <w:rPr>
          <w:rFonts w:ascii="Arial" w:hAnsi="Arial" w:cs="Arial"/>
        </w:rPr>
      </w:pPr>
      <w:r>
        <w:rPr>
          <w:rFonts w:ascii="Arial" w:hAnsi="Arial" w:cs="Arial"/>
        </w:rPr>
        <w:t xml:space="preserve">By default (setting Package deactivation route: effective-dated) a package is deactivated through this request; the earlier retirement through a package request stays available by the setting (FRPM.003.04).</w:t>
      </w:r>
    </w:p>
    <w:p>
      <w:pPr>
        <w:pStyle w:val="ListParagraph"/>
        <w:numPr>
          <w:ilvl w:val="0"/>
          <w:numId w:val="142"/>
        </w:numPr>
        <w:spacing w:after="60"/>
        <w:contextualSpacing/>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keepLines/>
        <w:numPr>
          <w:ilvl w:val="0"/>
          <w:numId w:val="0"/>
        </w:numPr>
        <w:rPr>
          <w:rFonts w:ascii="Arial" w:hAnsi="Arial" w:cs="Arial"/>
        </w:rPr>
      </w:pPr>
      <w:r>
        <w:rPr>
          <w:sz w:val="24"/>
          <w:szCs w:val="24"/>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spacing w:before="120" w:after="60"/>
        <w:jc w:val="center"/>
      </w:pPr>
      <w:r>
        <w:drawing>
          <wp:inline>
            <wp:extent cx="5852160" cy="3410397"/>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83"/>
                    <a:stretch>
                      <a:fillRect/>
                    </a:stretch>
                  </pic:blipFill>
                  <pic:spPr>
                    <a:xfrm>
                      <a:off x="0" y="0"/>
                      <a:ext cx="5852160" cy="341039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Send Now</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spacing w:after="20" w:before="20"/>
              <w:rPr>
                <w:rFonts w:ascii="Arial" w:hAnsi="Arial" w:cs="Arial"/>
                <w:sz w:val="16"/>
                <w:szCs w:val="16"/>
              </w:rPr>
            </w:pPr>
            <w:r>
              <w:rPr>
                <w:rFonts w:ascii="Arial" w:hAnsi="Arial" w:cs="Arial"/>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spacing w:after="60"/>
        <w:contextualSpacing/>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rPr>
      </w:pPr>
      <w:r>
        <w:rPr>
          <w:rFonts w:ascii="Arial" w:hAnsi="Arial" w:cs="Arial"/>
        </w:rPr>
        <w:t xml:space="preserve">The folder of the receiving systems is set at SIT with the details of BDOI IT; until then the transfer fails with an alert (FRPM.029.01).</w:t>
      </w:r>
    </w:p>
    <w:p>
      <w:pPr>
        <w:pStyle w:val="Heading2"/>
        <w:keepNext/>
        <w:keepLines/>
        <w:numPr>
          <w:ilvl w:val="0"/>
          <w:numId w:val="0"/>
        </w:numPr>
        <w:rPr>
          <w:rFonts w:ascii="Arial" w:hAnsi="Arial" w:cs="Arial"/>
        </w:rPr>
      </w:pPr>
      <w:r>
        <w:rPr>
          <w:sz w:val="24"/>
          <w:szCs w:val="24"/>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spacing w:before="120" w:after="60"/>
        <w:jc w:val="center"/>
      </w:pPr>
      <w:r>
        <w:drawing>
          <wp:inline>
            <wp:extent cx="5852160" cy="3552381"/>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84"/>
                    <a:stretch>
                      <a:fillRect/>
                    </a:stretch>
                  </pic:blipFill>
                  <pic:spPr>
                    <a:xfrm>
                      <a:off x="0" y="0"/>
                      <a:ext cx="5852160" cy="3552381"/>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spacing w:after="60"/>
        <w:contextualSpacing/>
        <w:rPr>
          <w:rFonts w:ascii="Arial" w:hAnsi="Arial" w:cs="Arial"/>
        </w:rPr>
      </w:pPr>
      <w:r>
        <w:rPr>
          <w:rFonts w:ascii="Arial" w:hAnsi="Arial" w:cs="Arial"/>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rPr>
      </w:pPr>
      <w:r>
        <w:rPr>
          <w:rFonts w:ascii="Arial" w:hAnsi="Arial" w:cs="Arial"/>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spacing w:before="120" w:after="60"/>
        <w:jc w:val="center"/>
      </w:pPr>
      <w:r>
        <w:drawing>
          <wp:inline>
            <wp:extent cx="5852160" cy="2725862"/>
            <wp:docPr id="448933136" name="Picture 448933136"/>
            <wp:cNvGraphicFramePr>
              <a:graphicFrameLocks noChangeAspect="1"/>
            </wp:cNvGraphicFramePr>
            <a:graphic>
              <a:graphicData uri="http://schemas.openxmlformats.org/drawingml/2006/picture">
                <pic:pic>
                  <pic:nvPicPr>
                    <pic:cNvPr id="0" name="scr-pm-27-01-list-part1.png"/>
                    <pic:cNvPicPr/>
                  </pic:nvPicPr>
                  <pic:blipFill>
                    <a:blip r:embed="rId85"/>
                    <a:stretch>
                      <a:fillRect/>
                    </a:stretch>
                  </pic:blipFill>
                  <pic:spPr>
                    <a:xfrm>
                      <a:off x="0" y="0"/>
                      <a:ext cx="5852160" cy="272586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30686"/>
            <wp:docPr id="448933136" name="Picture 448933136"/>
            <wp:cNvGraphicFramePr>
              <a:graphicFrameLocks noChangeAspect="1"/>
            </wp:cNvGraphicFramePr>
            <a:graphic>
              <a:graphicData uri="http://schemas.openxmlformats.org/drawingml/2006/picture">
                <pic:pic>
                  <pic:nvPicPr>
                    <pic:cNvPr id="0" name="scr-pm-27-01-list-part2.png"/>
                    <pic:cNvPicPr/>
                  </pic:nvPicPr>
                  <pic:blipFill>
                    <a:blip r:embed="rId86"/>
                    <a:stretch>
                      <a:fillRect/>
                    </a:stretch>
                  </pic:blipFill>
                  <pic:spPr>
                    <a:xfrm>
                      <a:off x="0" y="0"/>
                      <a:ext cx="5852160" cy="273068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92090"/>
            <wp:docPr id="448933136" name="Picture 448933136"/>
            <wp:cNvGraphicFramePr>
              <a:graphicFrameLocks noChangeAspect="1"/>
            </wp:cNvGraphicFramePr>
            <a:graphic>
              <a:graphicData uri="http://schemas.openxmlformats.org/drawingml/2006/picture">
                <pic:pic>
                  <pic:nvPicPr>
                    <pic:cNvPr id="0" name="scr-pm-27-01-list-part3.png"/>
                    <pic:cNvPicPr/>
                  </pic:nvPicPr>
                  <pic:blipFill>
                    <a:blip r:embed="rId87"/>
                    <a:stretch>
                      <a:fillRect/>
                    </a:stretch>
                  </pic:blipFill>
                  <pic:spPr>
                    <a:xfrm>
                      <a:off x="0" y="0"/>
                      <a:ext cx="5852160" cy="269209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spacing w:after="20" w:before="20"/>
              <w:rPr>
                <w:rFonts w:ascii="Arial" w:hAnsi="Arial" w:cs="Arial"/>
                <w:sz w:val="16"/>
                <w:szCs w:val="16"/>
              </w:rPr>
            </w:pPr>
            <w:r>
              <w:rPr>
                <w:rFonts w:ascii="Arial" w:hAnsi="Arial" w:cs="Arial"/>
                <w:sz w:val="16"/>
                <w:szCs w:val="16"/>
              </w:rPr>
              <w:t xml:space="preserve">CSV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rPr>
      </w:pPr>
      <w:r>
        <w:rPr>
          <w:rFonts w:ascii="Arial" w:hAnsi="Arial" w:cs="Arial"/>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spacing w:before="120" w:after="60"/>
        <w:jc w:val="center"/>
      </w:pPr>
      <w:r>
        <w:drawing>
          <wp:inline>
            <wp:extent cx="5852160" cy="389106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88"/>
                    <a:stretch>
                      <a:fillRect/>
                    </a:stretch>
                  </pic:blipFill>
                  <pic:spPr>
                    <a:xfrm>
                      <a:off x="0" y="0"/>
                      <a:ext cx="5852160" cy="38910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Sent to Client</w:t>
            </w:r>
          </w:p>
        </w:tc>
        <w:tc>
          <w:tcPr>
            <w:tcW w:w="3600" w:type="dxa"/>
          </w:tcPr>
          <w:p>
            <w:pPr>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spacing w:after="20" w:before="20"/>
              <w:rPr>
                <w:rFonts w:ascii="Arial" w:hAnsi="Arial" w:cs="Arial"/>
                <w:sz w:val="16"/>
                <w:szCs w:val="16"/>
              </w:rPr>
            </w:pPr>
            <w:r>
              <w:rPr>
                <w:rFonts w:ascii="Arial" w:hAnsi="Arial" w:cs="Arial"/>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spacing w:after="60"/>
        <w:contextualSpacing/>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spacing w:after="60"/>
        <w:contextualSpacing/>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spacing w:before="120" w:after="60"/>
        <w:jc w:val="center"/>
      </w:pPr>
      <w:r>
        <w:drawing>
          <wp:inline>
            <wp:extent cx="5852160" cy="3258761"/>
            <wp:docPr id="448933136" name="Picture 448933136"/>
            <wp:cNvGraphicFramePr>
              <a:graphicFrameLocks noChangeAspect="1"/>
            </wp:cNvGraphicFramePr>
            <a:graphic>
              <a:graphicData uri="http://schemas.openxmlformats.org/drawingml/2006/picture">
                <pic:pic>
                  <pic:nvPicPr>
                    <pic:cNvPr id="0" name="scr-pm-29-01-tab-part1.png"/>
                    <pic:cNvPicPr/>
                  </pic:nvPicPr>
                  <pic:blipFill>
                    <a:blip r:embed="rId89"/>
                    <a:stretch>
                      <a:fillRect/>
                    </a:stretch>
                  </pic:blipFill>
                  <pic:spPr>
                    <a:xfrm>
                      <a:off x="0" y="0"/>
                      <a:ext cx="5852160" cy="325876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36078"/>
            <wp:docPr id="448933136" name="Picture 448933136"/>
            <wp:cNvGraphicFramePr>
              <a:graphicFrameLocks noChangeAspect="1"/>
            </wp:cNvGraphicFramePr>
            <a:graphic>
              <a:graphicData uri="http://schemas.openxmlformats.org/drawingml/2006/picture">
                <pic:pic>
                  <pic:nvPicPr>
                    <pic:cNvPr id="0" name="scr-pm-29-01-tab-part2.png"/>
                    <pic:cNvPicPr/>
                  </pic:nvPicPr>
                  <pic:blipFill>
                    <a:blip r:embed="rId90"/>
                    <a:stretch>
                      <a:fillRect/>
                    </a:stretch>
                  </pic:blipFill>
                  <pic:spPr>
                    <a:xfrm>
                      <a:off x="0" y="0"/>
                      <a:ext cx="5852160" cy="323607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83964"/>
            <wp:docPr id="448933136" name="Picture 448933136"/>
            <wp:cNvGraphicFramePr>
              <a:graphicFrameLocks noChangeAspect="1"/>
            </wp:cNvGraphicFramePr>
            <a:graphic>
              <a:graphicData uri="http://schemas.openxmlformats.org/drawingml/2006/picture">
                <pic:pic>
                  <pic:nvPicPr>
                    <pic:cNvPr id="0" name="scr-pm-29-01-tab-part3.png"/>
                    <pic:cNvPicPr/>
                  </pic:nvPicPr>
                  <pic:blipFill>
                    <a:blip r:embed="rId91"/>
                    <a:stretch>
                      <a:fillRect/>
                    </a:stretch>
                  </pic:blipFill>
                  <pic:spPr>
                    <a:xfrm>
                      <a:off x="0" y="0"/>
                      <a:ext cx="5852160" cy="328396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spacing w:after="20" w:before="20"/>
              <w:rPr>
                <w:rFonts w:ascii="Arial" w:hAnsi="Arial" w:cs="Arial"/>
                <w:sz w:val="16"/>
                <w:szCs w:val="16"/>
              </w:rPr>
            </w:pPr>
            <w:r>
              <w:rPr>
                <w:rFonts w:ascii="Arial" w:hAnsi="Arial" w:cs="Arial"/>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spacing w:after="60"/>
        <w:contextualSpacing/>
        <w:rPr>
          <w:rFonts w:ascii="Arial" w:hAnsi="Arial" w:cs="Arial"/>
        </w:rPr>
      </w:pPr>
      <w:r>
        <w:rPr>
          <w:rFonts w:ascii="Arial" w:hAnsi="Arial" w:cs="Arial"/>
        </w:rPr>
        <w:t xml:space="preserve">The Marketing chain is a setting: one approval by the Team Leader, Team Head or Unit Head (by default), or the three in order (BDOI's FRS) (FRPM.011.02).</w:t>
      </w:r>
    </w:p>
    <w:p>
      <w:pPr>
        <w:pStyle w:val="ListParagraph"/>
        <w:numPr>
          <w:ilvl w:val="0"/>
          <w:numId w:val="147"/>
        </w:numPr>
        <w:spacing w:after="60"/>
        <w:contextualSpacing/>
        <w:rPr>
          <w:rFonts w:ascii="Arial" w:hAnsi="Arial" w:cs="Arial"/>
        </w:rPr>
      </w:pPr>
      <w:r>
        <w:rPr>
          <w:rFonts w:ascii="Arial" w:hAnsi="Arial" w:cs="Arial"/>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rPr>
      </w:pPr>
      <w:r>
        <w:rPr>
          <w:rFonts w:ascii="Arial" w:hAnsi="Arial" w:cs="Arial"/>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DEV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88993"/>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92"/>
                    <a:stretch>
                      <a:fillRect/>
                    </a:stretch>
                  </pic:blipFill>
                  <pic:spPr>
                    <a:xfrm>
                      <a:off x="0" y="0"/>
                      <a:ext cx="6583680" cy="2488993"/>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keepNext/>
        <w:rPr>
          <w:rFonts w:ascii="Arial" w:hAnsi="Arial" w:cs="Arial"/>
          <w:sz w:val="18"/>
          <w:szCs w:val="18"/>
        </w:rPr>
      </w:pPr>
      <w:r>
        <w:rPr>
          <w:rFonts w:ascii="Arial" w:hAnsi="Arial" w:cs="Arial"/>
          <w:i/>
          <w:sz w:val="20"/>
          <w:szCs w:val="20"/>
        </w:rPr>
        <w:t xml:space="preserve">SIT/UAT data: new request Motor Fleet Plus (fictitious), line Motor, cover type Comprehensive, insurers Mabuhay General Insurance Corp. and Luzon Assurance Co., new risk code MTR30, client Garcia (SIT/UAT client)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PQS-yyyy-nnnnnn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and the President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The ManCom member reviews the proposed terms and clicks Approve on the Routing &amp; Approvals tab; the President,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the SIT/UAT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WT-A.24</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spacing w:after="20" w:before="20"/>
              <w:rPr>
                <w:rFonts w:ascii="Arial" w:hAnsi="Arial" w:cs="Arial"/>
                <w:sz w:val="15"/>
                <w:szCs w:val="15"/>
              </w:rPr>
            </w:pPr>
            <w:r>
              <w:rPr>
                <w:rFonts w:ascii="Arial" w:hAnsi="Arial" w:cs="Arial"/>
                <w:sz w:val="16"/>
                <w:szCs w:val="16"/>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spacing w:after="60"/>
        <w:contextualSpacing/>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spacing w:after="60"/>
        <w:contextualSpacing/>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spacing w:after="60"/>
        <w:contextualSpacing/>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keepNext/>
        <w:rPr>
          <w:rFonts w:ascii="Arial" w:hAnsi="Arial" w:cs="Arial"/>
          <w:sz w:val="18"/>
          <w:szCs w:val="18"/>
        </w:rPr>
      </w:pPr>
      <w:r>
        <w:rPr>
          <w:rFonts w:ascii="Arial" w:hAnsi="Arial" w:cs="Arial"/>
          <w:i/>
          <w:sz w:val="20"/>
          <w:szCs w:val="20"/>
        </w:rPr>
        <w:t xml:space="preserve">SIT/UAT data: package requests PKR-2026-900002 (For TSU review), PKR-2026-900003 (round 2 with one insurer pending), PKR-2026-900004 (For ManCom sign-off), PKR-2026-900005 (With MBS) and the draft version 2 of MTR12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himself,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PKR-2026-900002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himself,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PKR-2026-900003 and clicks Terms final while Luzon Assurance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PKR-2026-900004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PKR-2026-900005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WT-B.12</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spacing w:after="20" w:before="20"/>
              <w:rPr>
                <w:rFonts w:ascii="Arial" w:hAnsi="Arial" w:cs="Arial"/>
                <w:sz w:val="15"/>
                <w:szCs w:val="15"/>
              </w:rPr>
            </w:pPr>
            <w:r>
              <w:rPr>
                <w:rFonts w:ascii="Arial" w:hAnsi="Arial" w:cs="Arial"/>
                <w:sz w:val="16"/>
                <w:szCs w:val="16"/>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spacing w:after="60"/>
        <w:contextualSpacing/>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Maker-checker</w:t>
            </w:r>
          </w:p>
        </w:tc>
        <w:tc>
          <w:tcPr>
            <w:tcW w:w="7776" w:type="dxa"/>
          </w:tcPr>
          <w:p>
            <w:pPr>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Service level</w:t>
            </w:r>
          </w:p>
        </w:tc>
        <w:tc>
          <w:tcPr>
            <w:tcW w:w="7776" w:type="dxa"/>
          </w:tcPr>
          <w:p>
            <w:pPr>
              <w:keepNext/>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Sign-in ID</w:t>
            </w:r>
          </w:p>
        </w:tc>
        <w:tc>
          <w:tcPr>
            <w:tcW w:w="7776" w:type="dxa"/>
          </w:tcPr>
          <w:p>
            <w:pPr>
              <w:spacing w:after="20" w:before="20"/>
              <w:rPr>
                <w:rFonts w:ascii="Arial" w:hAnsi="Arial" w:cs="Arial"/>
                <w:sz w:val="18"/>
                <w:szCs w:val="18"/>
              </w:rPr>
            </w:pPr>
            <w:r>
              <w:rPr>
                <w:rFonts w:ascii="Arial" w:hAnsi="Arial" w:cs="Arial"/>
                <w:sz w:val="18"/>
                <w:szCs w:val="18"/>
              </w:rPr>
              <w:t xml:space="preserve">The user ID of a reviewer in the BIBS DEV environment (walkthrough users workbook)</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93"/>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9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95"/>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96"/>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9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9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9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0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at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02"/>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sign-in ID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D-PM-03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FRPM.001.01</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FRPM.002.01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G-03</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G-04</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G-05</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U-04</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U-05</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U-07</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U-08</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U-09</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U-12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shd w:val="clear" w:color="auto" w:fill="FFF59D"/>
        </w:rPr>
        <w:t xml:space="preserve">Y.6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