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1.4</w:t>
      </w:r>
    </w:p>
    <w:p>
      <w:pPr>
        <w:rPr>
          <w:rFonts w:ascii="Arial" w:hAnsi="Arial" w:cs="Arial"/>
          <w:sz w:val="19"/>
          <w:szCs w:val="19"/>
        </w:rPr>
      </w:pPr>
      <w:r>
        <w:rPr>
          <w:rFonts w:ascii="Arial" w:hAnsi="Arial" w:cs="Arial"/>
          <w:sz w:val="19"/>
          <w:szCs w:val="19"/>
        </w:rPr>
        <w:t xml:space="preserve">This review copy shows in light yellow every passage added or changed in version 1.4 against version 1.3 (product owner review of 11-Oct-2026). The colour of the text (green, orange) is the colour code of the requirements explained in How to read this document; it is the same in the clean copy.</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Front matter: How to read this document, with the colour code of the requirements (black: in the BRD; green: not in the BRD, offered by the iNXT BrokerVerse OOTB platform (brokerverse-platform, cross-checked with the Feature List vs OOTB); orange: change request; grey label: integration or data migration scope; blue: best-practice table).</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Colour code applied in section 3 and the annexes: 4 points offered by the OOTB platform (Annex AA.3) and 5 change requests (Annex AA.2) where they are stated; 6 integration and data migration items labelled (Annex AA.5); 6 best-practice recommendations in blue (Annex AA.6).</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Section 1.8: the simplified process flow (Figure 1); Annex N: the end-to-end process flow with the identity integration and the change requests (Figure 17); Annex O refers to it. The earlier end-to-end swimlane moves to Annex A.</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Validation against the BRD and the OOTB platform: every BRD line and the 41 non-functional rows mapped (Annex P, X); Annex X.2 with 18 programme-wide security rows of the Collections, Claims, ReInsurance and Operations addenda; 20 BRD items that the OOTB platform does not meet in full, in scope (Annex AA.4).</w:t>
      </w:r>
    </w:p>
    <w:p>
      <w:pPr>
        <w:pStyle w:val="ListParagraph"/>
        <w:numPr>
          <w:ilvl w:val="0"/>
          <w:numId w:val="243"/>
        </w:numPr>
        <w:spacing w:after="60"/>
        <w:contextualSpacing/>
        <w:rPr>
          <w:rFonts w:ascii="Arial" w:hAnsi="Arial" w:cs="Arial"/>
          <w:sz w:val="19"/>
          <w:szCs w:val="19"/>
        </w:rPr>
      </w:pPr>
      <w:r>
        <w:rPr>
          <w:rFonts w:ascii="Arial" w:hAnsi="Arial" w:cs="Arial"/>
          <w:sz w:val="19"/>
          <w:szCs w:val="19"/>
          <w:shd w:val="clear" w:color="auto" w:fill="FFF59D"/>
        </w:rPr>
        <w:t xml:space="preserve">Change requests: Annex AA.2 lists the 5 change requests with their effort (53 man-days, CR Effort Estimate workbook), sized against the OOTB platform also where the point is already available for BDOI; CR-UA-001, 004, 008, 009, 010, 013 and 015 are BRD requirements (CR-UA-001 offered by the OOTB platform, no effort: OB-UA-01, Annex AA.4), and the BRD parts of CR-UA-011 and 014 are BRD items to deliver (orange keeps only the part in no BRD), CR-UA-005 and 006 are integration scope, and two former candidates are offered by the OOTB platform beyond the BRD (Change Request Register v1.1).</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BRD covered and offered by the OOTB platform (product owner decision of 11-Oct-2026: BRD-00 and the programme-wide NFRs count, and a point the BRD asks for stays in the BRD when BDOI's FRS elaborates it): the separation-of-duties rules (OB-UA-01, was CR-UA-001) are a BRD requirement (UAM BRD NFR Define roles and assign permission / Permission Management, data validation rules on role data, Operations addendum segregation of duties): black, in scope, no effort (Annex AA.4).</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Corrections: Annex M.5 one session per device (BRD requirement, CLXN NFR 10.07); Annex Q.5 break-glass sign-in alert; the DEV environment address in Annexes J and O.</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Layout: one font family (Arial) in text and tables, uniform table headers, cell spacing and widths, figures centred with their captions kept on the same page, headings kept with their text.</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1.4</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shd w:val="clear" w:color="auto" w:fill="FFF59D"/>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shd w:val="clear" w:color="auto" w:fill="FFF59D"/>
          </w:tcPr>
          <w:p>
            <w:pPr>
              <w:spacing w:after="20" w:before="20"/>
              <w:rPr>
                <w:rFonts w:ascii="Arial" w:hAnsi="Arial" w:cs="Arial"/>
                <w:sz w:val="18"/>
                <w:szCs w:val="18"/>
              </w:rPr>
            </w:pPr>
            <w:r>
              <w:rPr>
                <w:rFonts w:ascii="Arial" w:hAnsi="Arial" w:cs="Arial"/>
                <w:sz w:val="18"/>
                <w:szCs w:val="18"/>
              </w:rPr>
              <w:t xml:space="preserve">11 Oct 2026</w:t>
            </w:r>
          </w:p>
        </w:tc>
        <w:tc>
          <w:tcPr>
            <w:tcW w:w="1150" w:type="dxa"/>
            <w:shd w:val="clear" w:color="auto" w:fill="FFF59D"/>
          </w:tcPr>
          <w:p>
            <w:pPr>
              <w:spacing w:after="20" w:before="20"/>
              <w:rPr>
                <w:rFonts w:ascii="Arial" w:hAnsi="Arial" w:cs="Arial"/>
                <w:sz w:val="18"/>
                <w:szCs w:val="18"/>
              </w:rPr>
            </w:pPr>
            <w:r>
              <w:rPr>
                <w:rFonts w:ascii="Arial" w:hAnsi="Arial" w:cs="Arial"/>
                <w:sz w:val="18"/>
                <w:szCs w:val="18"/>
              </w:rPr>
              <w:t xml:space="preserve">1.4</w:t>
            </w:r>
          </w:p>
        </w:tc>
        <w:tc>
          <w:tcPr>
            <w:tcW w:w="3753" w:type="dxa"/>
            <w:shd w:val="clear" w:color="auto" w:fill="FFF59D"/>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shd w:val="clear" w:color="auto" w:fill="FFF59D"/>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shd w:val="clear" w:color="auto" w:fill="FFF59D"/>
        </w:rPr>
        <w:t xml:space="preserve">How to read this document</w:t>
      </w:r>
    </w:p>
    <w:p>
      <w:pPr>
        <w:spacing w:after="120"/>
        <w:rPr>
          <w:rFonts w:ascii="Arial" w:hAnsi="Arial" w:cs="Arial"/>
        </w:rPr>
      </w:pPr>
      <w:r>
        <w:rPr>
          <w:rFonts w:ascii="Arial" w:hAnsi="Arial" w:cs="Arial"/>
          <w:shd w:val="clear" w:color="auto" w:fill="FFF59D"/>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it is not the BIBS system configured and extended for BDOI during this project.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sz w:val="17"/>
                <w:szCs w:val="17"/>
              </w:rPr>
              <w:t xml:space="preserve">Black</w:t>
            </w:r>
          </w:p>
        </w:tc>
        <w:tc>
          <w:tcPr>
            <w:tcW w:w="2218" w:type="dxa"/>
            <w:shd w:val="clear" w:color="auto" w:fill="FFF59D"/>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shd w:val="clear" w:color="auto" w:fill="FFF59D"/>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shd w:val="clear" w:color="auto" w:fill="FFF59D"/>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 also when already available for BDOI in the BIBS system.</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shd w:val="clear" w:color="auto" w:fill="FFF59D"/>
          </w:tcPr>
          <w:p>
            <w:pPr>
              <w:keepNext/>
              <w:spacing w:after="20" w:before="20"/>
              <w:rPr>
                <w:rFonts w:ascii="Arial" w:hAnsi="Arial" w:cs="Arial"/>
                <w:sz w:val="17"/>
                <w:szCs w:val="17"/>
              </w:rPr>
            </w:pPr>
            <w:r>
              <w:rPr>
                <w:rFonts w:ascii="Arial" w:hAnsi="Arial" w:cs="Arial"/>
                <w:color w:val="616161"/>
                <w:sz w:val="17"/>
                <w:szCs w:val="17"/>
              </w:rPr>
              <w:t xml:space="preserve">Label [Integration scope] or [Data Migration scope]</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shd w:val="clear" w:color="auto" w:fill="FFF59D"/>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shd w:val="clear" w:color="auto" w:fill="FFF59D"/>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shd w:val="clear" w:color="auto" w:fill="FFF59D"/>
        </w:rPr>
        <w:t xml:space="preserve">References added in version 1.4: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77</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5 / 4</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20 / 6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shd w:val="clear" w:color="auto" w:fill="FFF59D"/>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b/>
          <w:bCs/>
          <w:color w:val="616161"/>
          <w:sz w:val="16"/>
          <w:szCs w:val="16"/>
        </w:rPr>
        <w:t xml:space="preserve">[Integration scope]</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shd w:val="clear" w:color="auto" w:fill="FFF59D"/>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shd w:val="clear" w:color="auto" w:fill="FFF59D"/>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shd w:val="clear" w:color="auto" w:fill="FFF59D"/>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shd w:val="clear" w:color="auto" w:fill="FFF59D"/>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shd w:val="clear" w:color="auto" w:fill="FFF59D"/>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shd w:val="clear" w:color="auto" w:fill="FFF59D"/>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X.2 Programme-wide security requirements of the other BRDs and addenda</w:t>
      </w:r>
    </w:p>
    <w:p>
      <w:pPr>
        <w:rPr>
          <w:rFonts w:ascii="Arial" w:hAnsi="Arial" w:cs="Arial"/>
        </w:rPr>
      </w:pPr>
      <w:r>
        <w:rPr>
          <w:rFonts w:ascii="Arial" w:hAnsi="Arial" w:cs="Arial"/>
          <w:shd w:val="clear" w:color="auto" w:fill="FFF59D"/>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K</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1.04, 2.02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attempt log offered (UAM-002); lock-out count is a setting (UAM-001, delivered 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expiry 90 days offered; history (delivered 5) and minimum age are settings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2.08</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2.09</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FRUM.002.03</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2.10</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M.7</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4.01, 4.02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4.05</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9.02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One session per device: a session opened on another device signs out the earlier one.</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shd w:val="clear" w:color="auto" w:fill="FFF59D"/>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shd w:val="clear" w:color="auto" w:fill="FFF59D"/>
        </w:rPr>
        <w:t xml:space="preserve">AA.2 Change requests identified at version 1.4</w:t>
      </w:r>
    </w:p>
    <w:p>
      <w:pPr>
        <w:rPr>
          <w:rFonts w:ascii="Arial" w:hAnsi="Arial" w:cs="Arial"/>
        </w:rPr>
      </w:pPr>
      <w:r>
        <w:rPr>
          <w:rFonts w:ascii="Arial" w:hAnsi="Arial" w:cs="Arial"/>
          <w:shd w:val="clear" w:color="auto" w:fill="FFF59D"/>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also when it was already available for BDOI in the BIBS system (column Prepared for BIBS?).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454"/>
        <w:gridCol w:w="1315"/>
        <w:gridCol w:w="1454"/>
        <w:gridCol w:w="2700"/>
        <w:gridCol w:w="1108"/>
        <w:gridCol w:w="864"/>
        <w:gridCol w:w="864"/>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7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11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CR-UA-003</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FRUM.001.06; Annex N.4, Annex Q.5</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CR-UA-007</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Partly</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27.5</w:t>
            </w:r>
          </w:p>
        </w:tc>
      </w:tr>
      <w:t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CR-UA-011</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Approval times and reminders of access requests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(BRD-UA-21); the escalation of out-of-hours and low-to-high privilege changes is BRD-UA-12.</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No</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5.25</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shd w:val="clear" w:color="auto" w:fill="FFF59D"/>
              </w:rPr>
              <w:t xml:space="preserve">CR-UA-014</w:t>
            </w:r>
          </w:p>
        </w:tc>
        <w:tc>
          <w:tcPr>
            <w:tcW w:w="145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End date captured on the granting request (temporary access)</w:t>
            </w:r>
          </w:p>
        </w:tc>
        <w:tc>
          <w:tcPr>
            <w:tcW w:w="1315"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45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2700" w:type="dxa"/>
            <w:shd w:val="clear" w:color="auto" w:fill="FFF59D"/>
          </w:tcPr>
          <w:p>
            <w:pPr>
              <w:keepNext/>
              <w:spacing w:after="20" w:before="20"/>
              <w:rPr>
                <w:rFonts w:ascii="Arial" w:hAnsi="Arial" w:cs="Arial"/>
                <w:sz w:val="15"/>
                <w:szCs w:val="15"/>
              </w:rPr>
            </w:pPr>
            <w:r>
              <w:rPr>
                <w:rFonts w:ascii="Arial" w:hAnsi="Arial" w:cs="Arial"/>
                <w:sz w:val="15"/>
                <w:szCs w:val="15"/>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1108" w:type="dxa"/>
            <w:shd w:val="clear" w:color="auto" w:fill="FFF59D"/>
          </w:tcPr>
          <w:p>
            <w:pPr>
              <w:keepNext/>
              <w:spacing w:after="20" w:before="20"/>
              <w:rPr>
                <w:rFonts w:ascii="Arial" w:hAnsi="Arial" w:cs="Arial"/>
                <w:sz w:val="15"/>
                <w:szCs w:val="15"/>
              </w:rPr>
            </w:pPr>
            <w:r>
              <w:rPr>
                <w:rFonts w:ascii="Arial" w:hAnsi="Arial" w:cs="Arial"/>
                <w:sz w:val="15"/>
                <w:szCs w:val="15"/>
              </w:rPr>
              <w:t xml:space="preserve">No</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7.75</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45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15"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FRUM.005.01; Annex J</w:t>
            </w:r>
          </w:p>
        </w:tc>
        <w:tc>
          <w:tcPr>
            <w:tcW w:w="1454" w:type="dxa"/>
            <w:shd w:val="clear" w:color="auto" w:fill="FFF59D"/>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2700" w:type="dxa"/>
            <w:shd w:val="clear" w:color="auto" w:fill="FFF59D"/>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1108" w:type="dxa"/>
            <w:shd w:val="clear" w:color="auto" w:fill="FFF59D"/>
          </w:tcPr>
          <w:p>
            <w:pPr>
              <w:keepNext/>
              <w:spacing w:after="20" w:before="20"/>
              <w:rPr>
                <w:rFonts w:ascii="Arial" w:hAnsi="Arial" w:cs="Arial"/>
                <w:sz w:val="15"/>
                <w:szCs w:val="15"/>
              </w:rPr>
            </w:pPr>
            <w:r>
              <w:rPr>
                <w:rFonts w:ascii="Arial" w:hAnsi="Arial" w:cs="Arial"/>
                <w:sz w:val="15"/>
                <w:szCs w:val="15"/>
              </w:rPr>
              <w:t xml:space="preserve">Yes</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sz w:val="15"/>
                <w:szCs w:val="15"/>
              </w:rPr>
              <w:t xml:space="preserve">Total</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5 change requests</w:t>
            </w:r>
          </w:p>
        </w:tc>
        <w:tc>
          <w:tcPr>
            <w:tcW w:w="1315" w:type="dxa"/>
            <w:shd w:val="clear" w:color="auto" w:fill="FFF59D"/>
          </w:tcPr>
          <w:p>
            <w:pPr>
              <w:spacing w:after="20" w:before="20"/>
              <w:rPr>
                <w:rFonts w:ascii="Arial" w:hAnsi="Arial" w:cs="Arial"/>
                <w:sz w:val="15"/>
                <w:szCs w:val="15"/>
              </w:rPr>
            </w:pPr>
          </w:p>
        </w:tc>
        <w:tc>
          <w:tcPr>
            <w:tcW w:w="1454" w:type="dxa"/>
            <w:shd w:val="clear" w:color="auto" w:fill="FFF59D"/>
          </w:tcPr>
          <w:p>
            <w:pPr>
              <w:spacing w:after="20" w:before="20"/>
              <w:rPr>
                <w:rFonts w:ascii="Arial" w:hAnsi="Arial" w:cs="Arial"/>
                <w:sz w:val="15"/>
                <w:szCs w:val="15"/>
              </w:rPr>
            </w:pPr>
          </w:p>
        </w:tc>
        <w:tc>
          <w:tcPr>
            <w:tcW w:w="2700" w:type="dxa"/>
            <w:shd w:val="clear" w:color="auto" w:fill="FFF59D"/>
          </w:tcPr>
          <w:p>
            <w:pPr>
              <w:spacing w:after="20" w:before="20"/>
              <w:rPr>
                <w:rFonts w:ascii="Arial" w:hAnsi="Arial" w:cs="Arial"/>
                <w:sz w:val="15"/>
                <w:szCs w:val="15"/>
              </w:rPr>
            </w:pPr>
          </w:p>
        </w:tc>
        <w:tc>
          <w:tcPr>
            <w:tcW w:w="1108"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AA.3 Beyond the BRD, offered by the iNXT BrokerVerse OOTB platform (no change request)</w:t>
      </w:r>
    </w:p>
    <w:p>
      <w:pPr>
        <w:rPr>
          <w:rFonts w:ascii="Arial" w:hAnsi="Arial" w:cs="Arial"/>
        </w:rPr>
      </w:pPr>
      <w:r>
        <w:rPr>
          <w:rFonts w:ascii="Arial" w:hAnsi="Arial" w:cs="Arial"/>
          <w:shd w:val="clear" w:color="auto" w:fill="FFF59D"/>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shd w:val="clear" w:color="auto" w:fill="FFF59D"/>
              </w:rPr>
              <w:t xml:space="preserve">OB-UA-05</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AA.4 BRD requirements to deliver (in scope, no change request)</w:t>
      </w:r>
    </w:p>
    <w:p>
      <w:pPr>
        <w:rPr>
          <w:rFonts w:ascii="Arial" w:hAnsi="Arial" w:cs="Arial"/>
        </w:rPr>
      </w:pPr>
      <w:r>
        <w:rPr>
          <w:rFonts w:ascii="Arial" w:hAnsi="Arial" w:cs="Arial"/>
          <w:shd w:val="clear" w:color="auto" w:fill="FFF59D"/>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most are already available for BDOI in the BIBS system.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BRD-UA-01</w:t>
            </w:r>
          </w:p>
        </w:tc>
        <w:tc>
          <w:tcPr>
            <w:tcW w:w="1872"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One session per device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BRD-UA-05</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UAM-012: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UAM-015: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BRD-UA-08</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request lifecycle with approval and automatic provisioning</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1.002 to 1.008, 2.002 (approver chosen by the requester; approve, reject or return)</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Requests to enrol, modify, deactivate and reactivate with draft, cancel and submit; the approver chosen by the requester; approve, reject or return with remarks; the access applied on approval; request history and lists.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39</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BRD-UA-09</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BRD-UA-10</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Bulk access requests with approval</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1.009; NFR 38</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bulk template raised as a request, checked row by row with an error file and decided by the approver as a whole (the bulk load of the OOTB platform is reused).</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BRD-UA-11</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UAM-026: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BRD-UA-14</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Notices of the access requests to the requester and the user</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1.006.1.1, 1.008.1.4, 2.002.1; NFR 39</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UAM-027: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In-system notices of each request step (to approve, returned, decided, implemented) to the requester, the approver and the affected user.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BRD-UA-15</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UAM-029: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BRD-UA-16</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On-line status of the users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UAM-004: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UAM-033: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BRD-UA-18</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No conflicting permissions inside a group profile (was CR-UA-008)</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2.a-2.b (data validation of user and role data, b.1 prevents entry of incorrect data); Other BU NFR 2-3 (define roles and assign permission; permission management)</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UAM-018: Available (pairs of roles only)</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Rules on pairs of permissions kept by the Business Administrator; check on every group profile change and access request; message naming the conflict; audit.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BRD-UA-19</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Export file names &lt;Report name&gt;_MMDDYYYY and Audit Logs_MMDDYYYY (was CR-UA-009)</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1.g (report can be exported); Other BU NFR 6 (audit log reports); report samples A to D</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RPT-009: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File names of the User Access reports and of the audit log export by BDOI's convention, as a setting; test of every export.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2.25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BRD-UA-20</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rPr>
              <w:t xml:space="preserve">E-mail copy of the request notices (was CR-UA-013)</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Other BU NFR 10 (notification for access changes); BRD 1.006.1.1, 1.008.1.4, 2.002.1</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UAM-027: Partial</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E-mail copy of the request notices (to approve, returned, decided) from templates, by the user's preference (setting); the outbox status; tests.</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3.75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BRD-UA-21</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Monitoring of the pending access requests (BRD part of CR-UA-011)</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Other BU NFR 11 (configurable workflow for access requests and approvals; changes systematically monitored)</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WFL-007: Partial</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The age of each pending request and its stage on the request lists, with the overdue marker and the filter of pending requests by approver.</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2.75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BRD-UA-22</w:t>
            </w:r>
          </w:p>
        </w:tc>
        <w:tc>
          <w:tcPr>
            <w:tcW w:w="1872"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Scheduled removal of access on its effective date (BRD part of CR-UA-014)</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1.k (effective date for user and role changes)</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request to remove a group profile with an effective date; the daily run of BRD-UA-11 removes the access on that date, with audit of each removal.</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3.75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r>
      <w:tr>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OB-UA-01</w:t>
            </w:r>
          </w:p>
        </w:tc>
        <w:tc>
          <w:tcPr>
            <w:tcW w:w="1440" w:type="dxa"/>
            <w:shd w:val="clear" w:color="auto" w:fill="FFF59D"/>
          </w:tcPr>
          <w:p>
            <w:pPr>
              <w:spacing w:after="20" w:before="20"/>
              <w:rPr>
                <w:rFonts w:ascii="Arial" w:hAnsi="Arial" w:cs="Arial"/>
                <w:sz w:val="15"/>
                <w:szCs w:val="15"/>
              </w:rPr>
            </w:pPr>
            <w:r>
              <w:rPr>
                <w:rFonts w:ascii="Arial" w:hAnsi="Arial" w:cs="Arial"/>
                <w:sz w:val="15"/>
                <w:szCs w:val="15"/>
              </w:rPr>
              <w:t xml:space="preserve">Separation-of-duties rules</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FRUM.012.01; Annex M.6</w:t>
            </w:r>
          </w:p>
        </w:tc>
        <w:tc>
          <w:tcPr>
            <w:tcW w:w="2880" w:type="dxa"/>
            <w:shd w:val="clear" w:color="auto" w:fill="FFF59D"/>
          </w:tcPr>
          <w:p>
            <w:pPr>
              <w:spacing w:after="20" w:before="20"/>
              <w:rPr>
                <w:rFonts w:ascii="Arial" w:hAnsi="Arial" w:cs="Arial"/>
                <w:sz w:val="15"/>
                <w:szCs w:val="15"/>
              </w:rPr>
            </w:pPr>
            <w:r>
              <w:rPr>
                <w:rFonts w:ascii="Arial" w:hAnsi="Arial" w:cs="Arial"/>
                <w:sz w:val="15"/>
                <w:szCs w:val="15"/>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shd w:val="clear" w:color="auto" w:fill="FFF59D"/>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 Was CR-UA-001.</w:t>
            </w:r>
          </w:p>
        </w:tc>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AA.5 Covered by the Integration and Data Migration scope (not change requests)</w:t>
      </w:r>
    </w:p>
    <w:p>
      <w:pPr>
        <w:rPr>
          <w:rFonts w:ascii="Arial" w:hAnsi="Arial" w:cs="Arial"/>
        </w:rPr>
      </w:pPr>
      <w:r>
        <w:rPr>
          <w:rFonts w:ascii="Arial" w:hAnsi="Arial" w:cs="Arial"/>
          <w:shd w:val="clear" w:color="auto" w:fill="FFF59D"/>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rPr>
              <w:t xml:space="preserve">IS-UA-04</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W</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UAM-013: Not available</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rPr>
              <w:t xml:space="preserve">IS-UA-05</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EIAM and UIDM-ISC simulator for SIT and UAT</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N</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Sign-in and identity events simulated in the test environments until BDOI IT connects the real services.</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No feature row</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AA.6 Best-practice recommendations (not in the BRD, the FRS or OOTB)</w:t>
      </w:r>
    </w:p>
    <w:p>
      <w:pPr>
        <w:rPr>
          <w:rFonts w:ascii="Arial" w:hAnsi="Arial" w:cs="Arial"/>
        </w:rPr>
      </w:pPr>
      <w:r>
        <w:rPr>
          <w:rFonts w:ascii="Arial" w:hAnsi="Arial" w:cs="Arial"/>
          <w:color w:val="1565C0"/>
          <w:shd w:val="clear" w:color="auto" w:fill="FFF59D"/>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