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Operations Cashiering: How to Read this Pack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PRJ0012475-CSH-README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1.0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How to Read this Pack</w:t>
      </w:r>
      <w:r>
        <w:tab/>
      </w:r>
      <w:r>
        <w:t xml:space="preserve">5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How to Read this Pack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pack holds every document of Operations Cashiering (BRD-02). Each document has one job. A requirement or rule is stated once, in the FRS, with its ID; the other documents refer to that ID.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Documents of the pack, in reading order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59"/>
        <w:gridCol w:w="2573"/>
        <w:gridCol w:w="643"/>
        <w:gridCol w:w="3125"/>
        <w:gridCol w:w="1838"/>
      </w:tblGrid>
      <w:tr>
        <w:trPr>
          <w:tblHeader/>
          <w:cantSplit/>
        </w:trPr>
        <w:tc>
          <w:tcPr>
            <w:tcW w:type="dxa" w:w="45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No.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12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183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Reviewer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FRS-BDOI BRD-02 Operations Cashiering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3.4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Requirements, business rules, validations, personas and permissions, parameters and lists of values, statuses.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owners (Cashiering, Comptrollership)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BPS-BDOI BRD-02 Operations Cashiering Process and Storyboards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3.4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Journey, to-be processes and storyboards.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owners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UXD-BDOI BRD-02 Operations Cashiering UX Design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3.4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screen: purpose, users, fields, actions, states, messages, one screenshot per page.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owners; UAT lead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RNO-BDOI BRD-02 Operations Cashiering Reports Notifications Outputs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3.4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receipts and documents, exports, notices, alerts and jobs.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owners; Internal Audit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ICD-BDOI BRD-02 Operations Cashiering Interface Specification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channel files, MFT, automatic matching, collector requests, module hand-offs.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 (integration)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DSP-BDOI BRD-02 Operations Cashiering Developer Specification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Screens, service operations, field validations, rules, states, jobs, audit events and permissions, as the system works.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IT; iorta TechNXT developers and testers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DDI-BDOI BRD-02 Operations Cashiering Data Dictionary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Tables, columns, lists of values, parameters, status models and indexes.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 (database administration); Data Migration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USR-BDOI BRD-02 Operations Cashiering User Stories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stories with acceptance criteria, ready to import into the backlog tool.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Product Owner; UAT lead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RTM BRD-02 Test Cases and Traceability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cases (every acceptance criterion) and the trace BRD, requirement, user story, screen, test case.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UAT lead; Internal Audit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FitGap BRD-02 BRD vs OOTB vs Best Practice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requirement against the BRD and the OOTB platform.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Product Owner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 BRD-02 Change Request Register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requests and their status.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Product Owner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 BRD-02 Effort Estimate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Effort of the open change requests.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Product Owner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Inputs BRD-02 Business Unit Requirements Collection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Values the Business Unit is asked to give.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owners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UAT BRD-02 Business Unit Walkthrough Users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Accounts and script of the walkthroughs.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UAT lead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Programme documents referred to by every pack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4507"/>
        <w:gridCol w:w="1690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Programme document</w:t>
            </w:r>
          </w:p>
        </w:tc>
        <w:tc>
          <w:tcPr>
            <w:tcW w:type="dxa" w:w="450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Non-Functional and Security Requirements</w:t>
            </w:r>
          </w:p>
        </w:tc>
        <w:tc>
          <w:tcPr>
            <w:tcW w:type="dxa" w:w="45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Performance, availability, security, audit, retention, backup, accessibility and browsers for every BRD.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Programme/Common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Glossary</w:t>
            </w:r>
          </w:p>
        </w:tc>
        <w:tc>
          <w:tcPr>
            <w:tcW w:type="dxa" w:w="45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Terms and abbreviations used in every pack.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Programme/Common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 and Observation Log</w:t>
            </w:r>
          </w:p>
        </w:tc>
        <w:tc>
          <w:tcPr>
            <w:tcW w:type="dxa" w:w="45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Decisions taken and observations raised across the BRDs.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Programme/Common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Register</w:t>
            </w:r>
          </w:p>
        </w:tc>
        <w:tc>
          <w:tcPr>
            <w:tcW w:type="dxa" w:w="45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current document of the BRD packs with version, date, owner and status.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Programme/Common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IDs used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53"/>
        <w:gridCol w:w="6386"/>
      </w:tblGrid>
      <w:tr>
        <w:trPr>
          <w:tblHeader/>
          <w:cantSplit/>
        </w:trPr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63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 and home document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FRS.CSH.nn.nn.nn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Functional requirement (FRS)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BR-CSH-nn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rule (FRS)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SCR-CSH-nn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 (UX Design)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SB-nn, P-CSH-nn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Storyboard, process (Process and Storyboards)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RPT-CSH-nn, DO-nn, NT-nn, AL-nn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Report, document, notice, alert (Reports, Notifications and Outputs)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IF-CSH-nn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Interface (Interface Specification)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US-CSH-nnnn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story (User Stories)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TC-CSH-…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case (Test Cases and Traceability)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CR-CSH-nnn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request (CR Register)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NFR-…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Non-functional requirement (programme NFR)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D-nnn / O-nnn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 or observation (programme log)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colour code of the FRS applies to every document: black in the BRD, green OOTB, orange change request, blue best practice, grey label for Integration or Data Migration scope.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How to Read this Pack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Operations Cashiering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Inputs BRD-02 How to Read this Pack v1.0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