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Operations Cashiering: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PRJ0012475-CSH-README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Operations Cashiering (BRD-02).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BRD-02 Operations Cashiering</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 statuses.</w:t>
            </w:r>
          </w:p>
        </w:tc>
        <w:tc>
          <w:tcPr>
            <w:tcW w:type="dxa" w:w="1838"/>
          </w:tcPr>
          <w:p>
            <w:pPr>
              <w:spacing w:before="20" w:after="20"/>
            </w:pPr>
            <w:r>
              <w:rPr>
                <w:rFonts w:ascii="Arial" w:hAnsi="Arial" w:cs="Arial" w:eastAsia="Arial"/>
                <w:b w:val="0"/>
                <w:i w:val="0"/>
                <w:sz w:val="18"/>
              </w:rPr>
              <w:t>BDOI Business Unit owners (Cashiering, Comptrollership)</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BRD-02 Operations Cashiering Process and Storyboards</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Journey, to-be processes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BRD-02 Operations Cashiering UX Design</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BRD-02 Operations Cashiering Reports Notifications Outputs</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Reports, receipts and documents, exports, notices, alerts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BRD-02 Operations Cashiering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Payment channel files, MFT, automatic matching, collector requests, module hand-offs.</w:t>
            </w:r>
          </w:p>
        </w:tc>
        <w:tc>
          <w:tcPr>
            <w:tcW w:type="dxa" w:w="1838"/>
          </w:tcPr>
          <w:p>
            <w:pPr>
              <w:spacing w:before="20" w:after="20"/>
            </w:pPr>
            <w:r>
              <w:rPr>
                <w:rFonts w:ascii="Arial" w:hAnsi="Arial" w:cs="Arial" w:eastAsia="Arial"/>
                <w:b w:val="0"/>
                <w:i w:val="0"/>
                <w:sz w:val="18"/>
              </w:rPr>
              <w:t>BDOI IT (integration)</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BRD-02 Operations Cashiering Developer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BRD-02 Operations Cashiering Data Dictionary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BRD-02 Operations Cashiering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BRD-02 Test Cases and Traceability</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Test cases (every acceptance criterion) and the trace BRD, requirement,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BRD-02 BRD vs OOTB vs Best Practice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BRD-02 Change Request Register</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BRD-02 Effort Estimate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BRD-02 Business Unit Requirements Collection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BRD-02 Business Unit Walkthrough Users</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BRD-02 Cashiering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bl>
    <w:p>
      <w:pPr>
        <w:spacing w:after="40"/>
      </w:pPr>
    </w:p>
    <w:p>
      <w:pPr>
        <w:spacing w:after="120"/>
        <w:ind w:left="363"/>
      </w:pPr>
      <w:r>
        <w:rPr>
          <w:rFonts w:ascii="Arial" w:hAnsi="Arial" w:cs="Arial" w:eastAsia="Arial"/>
          <w:b w:val="0"/>
          <w:i w:val="0"/>
          <w:sz w:val="20"/>
        </w:rPr>
        <w:t>The Access Matrix (BIBS_Access_BRD-02_Cashiering_Access_Matrix_v1.0.xlsx)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the BRD packs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FRS.CSH.nn.nn.nn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BR-CSH-nn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SCR-CSH-nn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SB-nn, P-CSH-nn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RPT-CSH-nn, DO-nn, NT-nn, AL-nn</w:t>
            </w:r>
          </w:p>
        </w:tc>
        <w:tc>
          <w:tcPr>
            <w:tcW w:type="dxa" w:w="6386"/>
          </w:tcPr>
          <w:p>
            <w:pPr>
              <w:spacing w:before="20" w:after="20"/>
            </w:pPr>
            <w:r>
              <w:rPr>
                <w:rFonts w:ascii="Arial" w:hAnsi="Arial" w:cs="Arial" w:eastAsia="Arial"/>
                <w:b w:val="0"/>
                <w:i w:val="0"/>
                <w:sz w:val="18"/>
              </w:rPr>
              <w:t>Report, document, notice, alert (Reports, Notifications and Outputs)</w:t>
            </w:r>
          </w:p>
        </w:tc>
      </w:tr>
      <w:tr>
        <w:trPr>
          <w:cantSplit/>
        </w:trPr>
        <w:tc>
          <w:tcPr>
            <w:tcW w:type="dxa" w:w="2253"/>
          </w:tcPr>
          <w:p>
            <w:pPr>
              <w:spacing w:before="20" w:after="20"/>
            </w:pPr>
            <w:r>
              <w:rPr>
                <w:rFonts w:ascii="Arial" w:hAnsi="Arial" w:cs="Arial" w:eastAsia="Arial"/>
                <w:b w:val="0"/>
                <w:i w:val="0"/>
                <w:sz w:val="18"/>
              </w:rPr>
              <w:t>IF-CSH-nn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US-CSH-nnnn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TC-CSH-…</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CR-CSH-nnn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Operations Cashiering</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