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Renewal: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PRJ0012475-RN-README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Renewal (BRD-06).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BRD-06 Renewal</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 statuses.</w:t>
            </w:r>
          </w:p>
        </w:tc>
        <w:tc>
          <w:tcPr>
            <w:tcW w:type="dxa" w:w="1838"/>
          </w:tcPr>
          <w:p>
            <w:pPr>
              <w:spacing w:before="20" w:after="20"/>
            </w:pPr>
            <w:r>
              <w:rPr>
                <w:rFonts w:ascii="Arial" w:hAnsi="Arial" w:cs="Arial" w:eastAsia="Arial"/>
                <w:b w:val="0"/>
                <w:i w:val="0"/>
                <w:sz w:val="18"/>
              </w:rPr>
              <w:t>BDOI Business Unit owners (Marketing, Processing, LAMD, MBS)</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BRD-06 Renewal Process and Storyboards</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Journey, to-be processes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BRD-06 Renewal UX Design</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BRD-06 Renewal Reports Notifications Outputs</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Reports, letters and documents, exports, notices, e-mails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BRD-06 Renewal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CCM, MFT, insurer files, LAMD and BDOFC/SOLD reports, CLPC billing files.</w:t>
            </w:r>
          </w:p>
        </w:tc>
        <w:tc>
          <w:tcPr>
            <w:tcW w:type="dxa" w:w="1838"/>
          </w:tcPr>
          <w:p>
            <w:pPr>
              <w:spacing w:before="20" w:after="20"/>
            </w:pPr>
            <w:r>
              <w:rPr>
                <w:rFonts w:ascii="Arial" w:hAnsi="Arial" w:cs="Arial" w:eastAsia="Arial"/>
                <w:b w:val="0"/>
                <w:i w:val="0"/>
                <w:sz w:val="18"/>
              </w:rPr>
              <w:t>BDOI IT (integration)</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BRD-06 Renewal Developer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BRD-06 Renewal Data Dictionary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BRD-06 Renewal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BRD-06 Test Cases and Traceability</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Test cases (every acceptance criterion) and the trace BRD, FRRN,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BRD-06 BRD vs OOTB vs Best Practice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BRD-06 Change Request Register</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BRD-06 Effort Estimate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BRD-06 Business Unit Requirements Collection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BRD-06 Business Unit Walkthrough Users</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BRD-06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bl>
    <w:p>
      <w:pPr>
        <w:spacing w:after="40"/>
      </w:pPr>
    </w:p>
    <w:p>
      <w:pPr>
        <w:spacing w:after="120"/>
        <w:ind w:left="363"/>
      </w:pPr>
      <w:r>
        <w:rPr>
          <w:rFonts w:ascii="Arial" w:hAnsi="Arial" w:cs="Arial" w:eastAsia="Arial"/>
          <w:b w:val="0"/>
          <w:i w:val="0"/>
          <w:sz w:val="20"/>
        </w:rPr>
        <w:t>The Access Matrix (BIBS_Access_BRD-06_Access_Matrix_v1.0.xlsx)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the BRD packs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FRRN.nnn.nn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BR-RN-nn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SCR-RN-nn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SB-nn, P-RN-nn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RPT-RN-nn, DO-nn, NT-nn</w:t>
            </w:r>
          </w:p>
        </w:tc>
        <w:tc>
          <w:tcPr>
            <w:tcW w:type="dxa" w:w="6386"/>
          </w:tcPr>
          <w:p>
            <w:pPr>
              <w:spacing w:before="20" w:after="20"/>
            </w:pPr>
            <w:r>
              <w:rPr>
                <w:rFonts w:ascii="Arial" w:hAnsi="Arial" w:cs="Arial" w:eastAsia="Arial"/>
                <w:b w:val="0"/>
                <w:i w:val="0"/>
                <w:sz w:val="18"/>
              </w:rPr>
              <w:t>Report, document, notice (Reports, Notifications and Outputs)</w:t>
            </w:r>
          </w:p>
        </w:tc>
      </w:tr>
      <w:tr>
        <w:trPr>
          <w:cantSplit/>
        </w:trPr>
        <w:tc>
          <w:tcPr>
            <w:tcW w:type="dxa" w:w="2253"/>
          </w:tcPr>
          <w:p>
            <w:pPr>
              <w:spacing w:before="20" w:after="20"/>
            </w:pPr>
            <w:r>
              <w:rPr>
                <w:rFonts w:ascii="Arial" w:hAnsi="Arial" w:cs="Arial" w:eastAsia="Arial"/>
                <w:b w:val="0"/>
                <w:i w:val="0"/>
                <w:sz w:val="18"/>
              </w:rPr>
              <w:t>IF-RN-nn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US-RN-nnn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TC-RN-…</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CR-RN-nnn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Renewal</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