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Data Migration</w:t>
      </w:r>
    </w:p>
    <w:p>
      <w:pPr>
        <w:spacing w:after="40"/>
      </w:pPr>
      <w:r>
        <w:rPr>
          <w:color w:val="2E2E2E"/>
          <w:sz w:val="28"/>
        </w:rPr>
        <w:t>BRD BDOI Core Modernization - Data Migration (draft v0.01, 14-Apr-2026)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 the draft BRD v0.01; to be re-issued when the BRD is signed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BRD owner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carried-forward balances, legacy sub-ledgers and GL</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legacy invoice flows (payments, UPP, reversals, remittance, endorsements, Prod Recon)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client master and reference data</w:t>
            </w:r>
          </w:p>
        </w:tc>
      </w:tr>
      <w:tr>
        <w:trPr>
          <w:cantSplit w:val="true"/>
        </w:trPr>
        <w:tc>
          <w:tcPr>
            <w:tcW w:type="dxa" w:w="2606"/>
            <w:tcMar>
              <w:top w:w="50" w:type="dxa"/>
              <w:bottom w:w="50" w:type="dxa"/>
              <w:left w:w="90" w:type="dxa"/>
              <w:right w:w="90" w:type="dxa"/>
            </w:tcMar>
          </w:tcPr>
          <w:p>
            <w:pPr>
              <w:pStyle w:val="BDOITable"/>
            </w:pPr>
            <w:r>
              <w:rPr>
                <w:sz w:val="18"/>
              </w:rPr>
              <w:t>Heads of Retail and Corporate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client master and the renewal-driven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Analytics and Risk Management; Unit Head, Claims, RI and TU</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history, archive and inquiry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rehearsals and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2.2 Migration lifecycle</w:t>
        </w:r>
        <w:r>
          <w:t xml:space="preserve">	</w:t>
        </w:r>
        <w:r>
          <w:t xml:space="preserve">9</w:t>
        </w:r>
      </w:hyperlink>
    </w:p>
    <w:p>
      <w:pPr>
        <w:pStyle w:val="toc2"/>
      </w:pPr>
      <w:hyperlink w:anchor="_Toc000110" w:history="1">
        <w:r>
          <w:t xml:space="preserve">2.3 Legacy invoices after cutover</w:t>
        </w:r>
        <w:r>
          <w:t xml:space="preserve">	</w:t>
        </w:r>
        <w:r>
          <w:t xml:space="preserve">11</w:t>
        </w:r>
      </w:hyperlink>
    </w:p>
    <w:p>
      <w:pPr>
        <w:pStyle w:val="toc2"/>
      </w:pPr>
      <w:hyperlink w:anchor="_Toc000111" w:history="1">
        <w:r>
          <w:t xml:space="preserve">2.4 Cutover and transition</w:t>
        </w:r>
        <w:r>
          <w:t xml:space="preserve">	</w:t>
        </w:r>
        <w:r>
          <w:t xml:space="preserve">12</w:t>
        </w:r>
      </w:hyperlink>
    </w:p>
    <w:p>
      <w:pPr>
        <w:pStyle w:val="toc1"/>
      </w:pPr>
      <w:hyperlink w:anchor="_Toc000112" w:history="1">
        <w:r>
          <w:t xml:space="preserve">3 Personas and roles</w:t>
        </w:r>
        <w:r>
          <w:t xml:space="preserve">	</w:t>
        </w:r>
        <w:r>
          <w:t xml:space="preserve">13</w:t>
        </w:r>
      </w:hyperlink>
    </w:p>
    <w:p>
      <w:pPr>
        <w:pStyle w:val="toc2"/>
      </w:pPr>
      <w:hyperlink w:anchor="_Toc000113" w:history="1">
        <w:r>
          <w:t xml:space="preserve">3.1 Personas</w:t>
        </w:r>
        <w:r>
          <w:t xml:space="preserve">	</w:t>
        </w:r>
        <w:r>
          <w:t xml:space="preserve">13</w:t>
        </w:r>
      </w:hyperlink>
    </w:p>
    <w:p>
      <w:pPr>
        <w:pStyle w:val="toc2"/>
      </w:pPr>
      <w:hyperlink w:anchor="_Toc000114" w:history="1">
        <w:r>
          <w:t xml:space="preserve">3.2 Permissions</w:t>
        </w:r>
        <w:r>
          <w:t xml:space="preserve">	</w:t>
        </w:r>
        <w:r>
          <w:t xml:space="preserve">14</w:t>
        </w:r>
      </w:hyperlink>
    </w:p>
    <w:p>
      <w:pPr>
        <w:pStyle w:val="toc2"/>
      </w:pPr>
      <w:hyperlink w:anchor="_Toc000115" w:history="1">
        <w:r>
          <w:t xml:space="preserve">3.3 Permissions matrix</w:t>
        </w:r>
        <w:r>
          <w:t xml:space="preserve">	</w:t>
        </w:r>
        <w:r>
          <w:t xml:space="preserve">14</w:t>
        </w:r>
      </w:hyperlink>
    </w:p>
    <w:p>
      <w:pPr>
        <w:pStyle w:val="toc1"/>
      </w:pPr>
      <w:hyperlink w:anchor="_Toc000116" w:history="1">
        <w:r>
          <w:t xml:space="preserve">4 Functional requirements</w:t>
        </w:r>
        <w:r>
          <w:t xml:space="preserve">	</w:t>
        </w:r>
        <w:r>
          <w:t xml:space="preserve">16</w:t>
        </w:r>
      </w:hyperlink>
    </w:p>
    <w:p>
      <w:pPr>
        <w:pStyle w:val="toc2"/>
      </w:pPr>
      <w:hyperlink w:anchor="_Toc000117" w:history="1">
        <w:r>
          <w:t xml:space="preserve">4.1 Governance and decision gates</w:t>
        </w:r>
        <w:r>
          <w:t xml:space="preserve">	</w:t>
        </w:r>
        <w:r>
          <w:t xml:space="preserve">16</w:t>
        </w:r>
      </w:hyperlink>
    </w:p>
    <w:p>
      <w:pPr>
        <w:pStyle w:val="toc3"/>
      </w:pPr>
      <w:hyperlink w:anchor="_Toc000118" w:history="1">
        <w:r>
          <w:t xml:space="preserve">FR-DM-001 Maintain the data object register</w:t>
        </w:r>
        <w:r>
          <w:t xml:space="preserve">	</w:t>
        </w:r>
        <w:r>
          <w:t xml:space="preserve">16</w:t>
        </w:r>
      </w:hyperlink>
    </w:p>
    <w:p>
      <w:pPr>
        <w:pStyle w:val="toc3"/>
      </w:pPr>
      <w:hyperlink w:anchor="_Toc000119" w:history="1">
        <w:r>
          <w:t xml:space="preserve">FR-DM-002 Decide the migration class of a data object</w:t>
        </w:r>
        <w:r>
          <w:t xml:space="preserve">	</w:t>
        </w:r>
        <w:r>
          <w:t xml:space="preserve">18</w:t>
        </w:r>
      </w:hyperlink>
    </w:p>
    <w:p>
      <w:pPr>
        <w:pStyle w:val="toc3"/>
      </w:pPr>
      <w:hyperlink w:anchor="_Toc000120" w:history="1">
        <w:r>
          <w:t xml:space="preserve">FR-DM-003 Sign off each object through gates</w:t>
        </w:r>
        <w:r>
          <w:t xml:space="preserve">	</w:t>
        </w:r>
        <w:r>
          <w:t xml:space="preserve">19</w:t>
        </w:r>
      </w:hyperlink>
    </w:p>
    <w:p>
      <w:pPr>
        <w:pStyle w:val="toc2"/>
      </w:pPr>
      <w:hyperlink w:anchor="_Toc000121" w:history="1">
        <w:r>
          <w:t xml:space="preserve">4.2 Extract intake, code maps, validation and load</w:t>
        </w:r>
        <w:r>
          <w:t xml:space="preserve">	</w:t>
        </w:r>
        <w:r>
          <w:t xml:space="preserve">20</w:t>
        </w:r>
      </w:hyperlink>
    </w:p>
    <w:p>
      <w:pPr>
        <w:pStyle w:val="toc3"/>
      </w:pPr>
      <w:hyperlink w:anchor="_Toc000122" w:history="1">
        <w:r>
          <w:t xml:space="preserve">FR-DM-010 Receive a source extract with control totals</w:t>
        </w:r>
        <w:r>
          <w:t xml:space="preserve">	</w:t>
        </w:r>
        <w:r>
          <w:t xml:space="preserve">20</w:t>
        </w:r>
      </w:hyperlink>
    </w:p>
    <w:p>
      <w:pPr>
        <w:pStyle w:val="toc3"/>
      </w:pPr>
      <w:hyperlink w:anchor="_Toc000123" w:history="1">
        <w:r>
          <w:t xml:space="preserve">FR-DM-011 Maintain and approve versioned code maps</w:t>
        </w:r>
        <w:r>
          <w:t xml:space="preserve">	</w:t>
        </w:r>
        <w:r>
          <w:t xml:space="preserve">22</w:t>
        </w:r>
      </w:hyperlink>
    </w:p>
    <w:p>
      <w:pPr>
        <w:pStyle w:val="toc3"/>
      </w:pPr>
      <w:hyperlink w:anchor="_Toc000124" w:history="1">
        <w:r>
          <w:t xml:space="preserve">FR-DM-012 Report unmapped and invalid codes before load</w:t>
        </w:r>
        <w:r>
          <w:t xml:space="preserve">	</w:t>
        </w:r>
        <w:r>
          <w:t xml:space="preserve">24</w:t>
        </w:r>
      </w:hyperlink>
    </w:p>
    <w:p>
      <w:pPr>
        <w:pStyle w:val="toc3"/>
      </w:pPr>
      <w:hyperlink w:anchor="_Toc000125" w:history="1">
        <w:r>
          <w:t xml:space="preserve">FR-DM-013 Validate staged data against data-quality rules</w:t>
        </w:r>
        <w:r>
          <w:t xml:space="preserve">	</w:t>
        </w:r>
        <w:r>
          <w:t xml:space="preserve">25</w:t>
        </w:r>
      </w:hyperlink>
    </w:p>
    <w:p>
      <w:pPr>
        <w:pStyle w:val="toc3"/>
      </w:pPr>
      <w:hyperlink w:anchor="_Toc000126" w:history="1">
        <w:r>
          <w:t xml:space="preserve">FR-DM-014 Load a batch through the BIBS services</w:t>
        </w:r>
        <w:r>
          <w:t xml:space="preserve">	</w:t>
        </w:r>
        <w:r>
          <w:t xml:space="preserve">26</w:t>
        </w:r>
      </w:hyperlink>
    </w:p>
    <w:p>
      <w:pPr>
        <w:pStyle w:val="toc3"/>
      </w:pPr>
      <w:hyperlink w:anchor="_Toc000127" w:history="1">
        <w:r>
          <w:t xml:space="preserve">FR-DM-015 Rerun and roll back a batch</w:t>
        </w:r>
        <w:r>
          <w:t xml:space="preserve">	</w:t>
        </w:r>
        <w:r>
          <w:t xml:space="preserve">27</w:t>
        </w:r>
      </w:hyperlink>
    </w:p>
    <w:p>
      <w:pPr>
        <w:pStyle w:val="toc2"/>
      </w:pPr>
      <w:hyperlink w:anchor="_Toc000128" w:history="1">
        <w:r>
          <w:t xml:space="preserve">4.3 Reconciliation</w:t>
        </w:r>
        <w:r>
          <w:t xml:space="preserve">	</w:t>
        </w:r>
        <w:r>
          <w:t xml:space="preserve">29</w:t>
        </w:r>
      </w:hyperlink>
    </w:p>
    <w:p>
      <w:pPr>
        <w:pStyle w:val="toc3"/>
      </w:pPr>
      <w:hyperlink w:anchor="_Toc000129" w:history="1">
        <w:r>
          <w:t xml:space="preserve">FR-DM-020 Reconcile each data object from source to target</w:t>
        </w:r>
        <w:r>
          <w:t xml:space="preserve">	</w:t>
        </w:r>
        <w:r>
          <w:t xml:space="preserve">29</w:t>
        </w:r>
      </w:hyperlink>
    </w:p>
    <w:p>
      <w:pPr>
        <w:pStyle w:val="toc3"/>
      </w:pPr>
      <w:hyperlink w:anchor="_Toc000130" w:history="1">
        <w:r>
          <w:t xml:space="preserve">FR-DM-021 Reconcile carried-forward balances to the GL</w:t>
        </w:r>
        <w:r>
          <w:t xml:space="preserve">	</w:t>
        </w:r>
        <w:r>
          <w:t xml:space="preserve">30</w:t>
        </w:r>
      </w:hyperlink>
    </w:p>
    <w:p>
      <w:pPr>
        <w:pStyle w:val="toc2"/>
      </w:pPr>
      <w:hyperlink w:anchor="_Toc000131" w:history="1">
        <w:r>
          <w:t xml:space="preserve">4.4 Client master and reference data</w:t>
        </w:r>
        <w:r>
          <w:t xml:space="preserve">	</w:t>
        </w:r>
        <w:r>
          <w:t xml:space="preserve">31</w:t>
        </w:r>
      </w:hyperlink>
    </w:p>
    <w:p>
      <w:pPr>
        <w:pStyle w:val="toc3"/>
      </w:pPr>
      <w:hyperlink w:anchor="_Toc000132" w:history="1">
        <w:r>
          <w:t xml:space="preserve">FR-DM-030 Load reference data through the code maps</w:t>
        </w:r>
        <w:r>
          <w:t xml:space="preserve">	</w:t>
        </w:r>
        <w:r>
          <w:t xml:space="preserve">31</w:t>
        </w:r>
      </w:hyperlink>
    </w:p>
    <w:p>
      <w:pPr>
        <w:pStyle w:val="toc3"/>
      </w:pPr>
      <w:hyperlink w:anchor="_Toc000133" w:history="1">
        <w:r>
          <w:t xml:space="preserve">FR-DM-031 Match and deduplicate legacy clients</w:t>
        </w:r>
        <w:r>
          <w:t xml:space="preserve">	</w:t>
        </w:r>
        <w:r>
          <w:t xml:space="preserve">32</w:t>
        </w:r>
      </w:hyperlink>
    </w:p>
    <w:p>
      <w:pPr>
        <w:pStyle w:val="toc3"/>
      </w:pPr>
      <w:hyperlink w:anchor="_Toc000134" w:history="1">
        <w:r>
          <w:t xml:space="preserve">FR-DM-032 Create migrated clients in the Client Master</w:t>
        </w:r>
        <w:r>
          <w:t xml:space="preserve">	</w:t>
        </w:r>
        <w:r>
          <w:t xml:space="preserve">34</w:t>
        </w:r>
      </w:hyperlink>
    </w:p>
    <w:p>
      <w:pPr>
        <w:pStyle w:val="toc3"/>
      </w:pPr>
      <w:hyperlink w:anchor="_Toc000135" w:history="1">
        <w:r>
          <w:t xml:space="preserve">FR-DM-033 Find migrated clients and policies by legacy reference</w:t>
        </w:r>
        <w:r>
          <w:t xml:space="preserve">	</w:t>
        </w:r>
        <w:r>
          <w:t xml:space="preserve">35</w:t>
        </w:r>
      </w:hyperlink>
    </w:p>
    <w:p>
      <w:pPr>
        <w:pStyle w:val="toc2"/>
      </w:pPr>
      <w:hyperlink w:anchor="_Toc000136" w:history="1">
        <w:r>
          <w:t xml:space="preserve">4.5 In-force policy headers</w:t>
        </w:r>
        <w:r>
          <w:t xml:space="preserve">	</w:t>
        </w:r>
        <w:r>
          <w:t xml:space="preserve">36</w:t>
        </w:r>
      </w:hyperlink>
    </w:p>
    <w:p>
      <w:pPr>
        <w:pStyle w:val="toc3"/>
      </w:pPr>
      <w:hyperlink w:anchor="_Toc000137" w:history="1">
        <w:r>
          <w:t xml:space="preserve">FR-DM-040 Load in-force policy headers</w:t>
        </w:r>
        <w:r>
          <w:t xml:space="preserve">	</w:t>
        </w:r>
        <w:r>
          <w:t xml:space="preserve">36</w:t>
        </w:r>
      </w:hyperlink>
    </w:p>
    <w:p>
      <w:pPr>
        <w:pStyle w:val="toc3"/>
      </w:pPr>
      <w:hyperlink w:anchor="_Toc000138" w:history="1">
        <w:r>
          <w:t xml:space="preserve">FR-DM-041 Search migrated policies for servicing</w:t>
        </w:r>
        <w:r>
          <w:t xml:space="preserve">	</w:t>
        </w:r>
        <w:r>
          <w:t xml:space="preserve">37</w:t>
        </w:r>
      </w:hyperlink>
    </w:p>
    <w:p>
      <w:pPr>
        <w:pStyle w:val="toc2"/>
      </w:pPr>
      <w:hyperlink w:anchor="_Toc000139" w:history="1">
        <w:r>
          <w:t xml:space="preserve">4.6 Legacy open items and UPP</w:t>
        </w:r>
        <w:r>
          <w:t xml:space="preserve">	</w:t>
        </w:r>
        <w:r>
          <w:t xml:space="preserve">38</w:t>
        </w:r>
      </w:hyperlink>
    </w:p>
    <w:p>
      <w:pPr>
        <w:pStyle w:val="toc3"/>
      </w:pPr>
      <w:hyperlink w:anchor="_Toc000140" w:history="1">
        <w:r>
          <w:t xml:space="preserve">FR-DM-050 Carry forward legacy invoices with their open balances</w:t>
        </w:r>
        <w:r>
          <w:t xml:space="preserve">	</w:t>
        </w:r>
        <w:r>
          <w:t xml:space="preserve">38</w:t>
        </w:r>
      </w:hyperlink>
    </w:p>
    <w:p>
      <w:pPr>
        <w:pStyle w:val="toc3"/>
      </w:pPr>
      <w:hyperlink w:anchor="_Toc000141" w:history="1">
        <w:r>
          <w:t xml:space="preserve">FR-DM-051 Carry forward legacy UPP</w:t>
        </w:r>
        <w:r>
          <w:t xml:space="preserve">	</w:t>
        </w:r>
        <w:r>
          <w:t xml:space="preserve">39</w:t>
        </w:r>
      </w:hyperlink>
    </w:p>
    <w:p>
      <w:pPr>
        <w:pStyle w:val="toc3"/>
      </w:pPr>
      <w:hyperlink w:anchor="_Toc000142" w:history="1">
        <w:r>
          <w:t xml:space="preserve">FR-DM-052 Automatch rerun of UPP across legacy and new invoices</w:t>
        </w:r>
        <w:r>
          <w:t xml:space="preserve">	</w:t>
        </w:r>
        <w:r>
          <w:t xml:space="preserve">40</w:t>
        </w:r>
      </w:hyperlink>
    </w:p>
    <w:p>
      <w:pPr>
        <w:pStyle w:val="toc3"/>
      </w:pPr>
      <w:hyperlink w:anchor="_Toc000143" w:history="1">
        <w:r>
          <w:t xml:space="preserve">FR-DM-053 Apply legacy UPP to another invoice</w:t>
        </w:r>
        <w:r>
          <w:t xml:space="preserve">	</w:t>
        </w:r>
        <w:r>
          <w:t xml:space="preserve">41</w:t>
        </w:r>
      </w:hyperlink>
    </w:p>
    <w:p>
      <w:pPr>
        <w:pStyle w:val="toc3"/>
      </w:pPr>
      <w:hyperlink w:anchor="_Toc000144" w:history="1">
        <w:r>
          <w:t xml:space="preserve">FR-DM-054 Refund legacy UPP</w:t>
        </w:r>
        <w:r>
          <w:t xml:space="preserve">	</w:t>
        </w:r>
        <w:r>
          <w:t xml:space="preserve">42</w:t>
        </w:r>
      </w:hyperlink>
    </w:p>
    <w:p>
      <w:pPr>
        <w:pStyle w:val="toc3"/>
      </w:pPr>
      <w:hyperlink w:anchor="_Toc000145" w:history="1">
        <w:r>
          <w:t xml:space="preserve">FR-DM-055 Reclassify UPP to other income with top-management approval</w:t>
        </w:r>
        <w:r>
          <w:t xml:space="preserve">	</w:t>
        </w:r>
        <w:r>
          <w:t xml:space="preserve">43</w:t>
        </w:r>
      </w:hyperlink>
    </w:p>
    <w:p>
      <w:pPr>
        <w:pStyle w:val="toc2"/>
      </w:pPr>
      <w:hyperlink w:anchor="_Toc000146" w:history="1">
        <w:r>
          <w:t xml:space="preserve">4.7 Payments on legacy invoices</w:t>
        </w:r>
        <w:r>
          <w:t xml:space="preserve">	</w:t>
        </w:r>
        <w:r>
          <w:t xml:space="preserve">45</w:t>
        </w:r>
      </w:hyperlink>
    </w:p>
    <w:p>
      <w:pPr>
        <w:pStyle w:val="toc3"/>
      </w:pPr>
      <w:hyperlink w:anchor="_Toc000147" w:history="1">
        <w:r>
          <w:t xml:space="preserve">FR-DM-060 Apply an OTC payment to a legacy invoice</w:t>
        </w:r>
        <w:r>
          <w:t xml:space="preserve">	</w:t>
        </w:r>
        <w:r>
          <w:t xml:space="preserve">45</w:t>
        </w:r>
      </w:hyperlink>
    </w:p>
    <w:p>
      <w:pPr>
        <w:pStyle w:val="toc3"/>
      </w:pPr>
      <w:hyperlink w:anchor="_Toc000148" w:history="1">
        <w:r>
          <w:t xml:space="preserve">FR-DM-061 Match autopay payments to legacy invoices</w:t>
        </w:r>
        <w:r>
          <w:t xml:space="preserve">	</w:t>
        </w:r>
        <w:r>
          <w:t xml:space="preserve">46</w:t>
        </w:r>
      </w:hyperlink>
    </w:p>
    <w:p>
      <w:pPr>
        <w:pStyle w:val="toc2"/>
      </w:pPr>
      <w:hyperlink w:anchor="_Toc000149" w:history="1">
        <w:r>
          <w:t xml:space="preserve">4.8 DPPR and PR2307 batch reversals</w:t>
        </w:r>
        <w:r>
          <w:t xml:space="preserve">	</w:t>
        </w:r>
        <w:r>
          <w:t xml:space="preserve">47</w:t>
        </w:r>
      </w:hyperlink>
    </w:p>
    <w:p>
      <w:pPr>
        <w:pStyle w:val="toc3"/>
      </w:pPr>
      <w:hyperlink w:anchor="_Toc000150" w:history="1">
        <w:r>
          <w:t xml:space="preserve">FR-DM-070 Reverse DPPR legacy invoices in batch</w:t>
        </w:r>
        <w:r>
          <w:t xml:space="preserve">	</w:t>
        </w:r>
        <w:r>
          <w:t xml:space="preserve">47</w:t>
        </w:r>
      </w:hyperlink>
    </w:p>
    <w:p>
      <w:pPr>
        <w:pStyle w:val="toc3"/>
      </w:pPr>
      <w:hyperlink w:anchor="_Toc000151" w:history="1">
        <w:r>
          <w:t xml:space="preserve">FR-DM-071 Reverse PR2307 legacy invoices in batch</w:t>
        </w:r>
        <w:r>
          <w:t xml:space="preserve">	</w:t>
        </w:r>
        <w:r>
          <w:t xml:space="preserve">48</w:t>
        </w:r>
      </w:hyperlink>
    </w:p>
    <w:p>
      <w:pPr>
        <w:pStyle w:val="toc2"/>
      </w:pPr>
      <w:hyperlink w:anchor="_Toc000152" w:history="1">
        <w:r>
          <w:t xml:space="preserve">4.9 Remittance</w:t>
        </w:r>
        <w:r>
          <w:t xml:space="preserve">	</w:t>
        </w:r>
        <w:r>
          <w:t xml:space="preserve">49</w:t>
        </w:r>
      </w:hyperlink>
    </w:p>
    <w:p>
      <w:pPr>
        <w:pStyle w:val="toc3"/>
      </w:pPr>
      <w:hyperlink w:anchor="_Toc000153" w:history="1">
        <w:r>
          <w:t xml:space="preserve">FR-DM-080 Include legacy invoices in remittance extracts</w:t>
        </w:r>
        <w:r>
          <w:t xml:space="preserve">	</w:t>
        </w:r>
        <w:r>
          <w:t xml:space="preserve">49</w:t>
        </w:r>
      </w:hyperlink>
    </w:p>
    <w:p>
      <w:pPr>
        <w:pStyle w:val="toc2"/>
      </w:pPr>
      <w:hyperlink w:anchor="_Toc000154" w:history="1">
        <w:r>
          <w:t xml:space="preserve">4.10 Endorsements on legacy invoices</w:t>
        </w:r>
        <w:r>
          <w:t xml:space="preserve">	</w:t>
        </w:r>
        <w:r>
          <w:t xml:space="preserve">50</w:t>
        </w:r>
      </w:hyperlink>
    </w:p>
    <w:p>
      <w:pPr>
        <w:pStyle w:val="toc3"/>
      </w:pPr>
      <w:hyperlink w:anchor="_Toc000155" w:history="1">
        <w:r>
          <w:t xml:space="preserve">FR-DM-090 Process a positive endorsement on a legacy invoice</w:t>
        </w:r>
        <w:r>
          <w:t xml:space="preserve">	</w:t>
        </w:r>
        <w:r>
          <w:t xml:space="preserve">50</w:t>
        </w:r>
      </w:hyperlink>
    </w:p>
    <w:p>
      <w:pPr>
        <w:pStyle w:val="toc3"/>
      </w:pPr>
      <w:hyperlink w:anchor="_Toc000156" w:history="1">
        <w:r>
          <w:t xml:space="preserve">FR-DM-091 Process a negative endorsement on a legacy invoice</w:t>
        </w:r>
        <w:r>
          <w:t xml:space="preserve">	</w:t>
        </w:r>
        <w:r>
          <w:t xml:space="preserve">51</w:t>
        </w:r>
      </w:hyperlink>
    </w:p>
    <w:p>
      <w:pPr>
        <w:pStyle w:val="toc3"/>
      </w:pPr>
      <w:hyperlink w:anchor="_Toc000157" w:history="1">
        <w:r>
          <w:t xml:space="preserve">FR-DM-092 Process a non-financial endorsement on a legacy policy</w:t>
        </w:r>
        <w:r>
          <w:t xml:space="preserve">	</w:t>
        </w:r>
        <w:r>
          <w:t xml:space="preserve">52</w:t>
        </w:r>
      </w:hyperlink>
    </w:p>
    <w:p>
      <w:pPr>
        <w:pStyle w:val="toc2"/>
      </w:pPr>
      <w:hyperlink w:anchor="_Toc000158" w:history="1">
        <w:r>
          <w:t xml:space="preserve">4.11 Prod Recon visibility</w:t>
        </w:r>
        <w:r>
          <w:t xml:space="preserve">	</w:t>
        </w:r>
        <w:r>
          <w:t xml:space="preserve">53</w:t>
        </w:r>
      </w:hyperlink>
    </w:p>
    <w:p>
      <w:pPr>
        <w:pStyle w:val="toc3"/>
      </w:pPr>
      <w:hyperlink w:anchor="_Toc000159" w:history="1">
        <w:r>
          <w:t xml:space="preserve">FR-DM-100 Report changes made to legacy invoices</w:t>
        </w:r>
        <w:r>
          <w:t xml:space="preserve">	</w:t>
        </w:r>
        <w:r>
          <w:t xml:space="preserve">53</w:t>
        </w:r>
      </w:hyperlink>
    </w:p>
    <w:p>
      <w:pPr>
        <w:pStyle w:val="toc2"/>
      </w:pPr>
      <w:hyperlink w:anchor="_Toc000160" w:history="1">
        <w:r>
          <w:t xml:space="preserve">4.12 Legacy read-only and archive</w:t>
        </w:r>
        <w:r>
          <w:t xml:space="preserve">	</w:t>
        </w:r>
        <w:r>
          <w:t xml:space="preserve">54</w:t>
        </w:r>
      </w:hyperlink>
    </w:p>
    <w:p>
      <w:pPr>
        <w:pStyle w:val="toc3"/>
      </w:pPr>
      <w:hyperlink w:anchor="_Toc000161" w:history="1">
        <w:r>
          <w:t xml:space="preserve">FR-DM-110 Search the legacy archive</w:t>
        </w:r>
        <w:r>
          <w:t xml:space="preserve">	</w:t>
        </w:r>
        <w:r>
          <w:t xml:space="preserve">54</w:t>
        </w:r>
      </w:hyperlink>
    </w:p>
    <w:p>
      <w:pPr>
        <w:pStyle w:val="toc3"/>
      </w:pPr>
      <w:hyperlink w:anchor="_Toc000162" w:history="1">
        <w:r>
          <w:t xml:space="preserve">FR-DM-111 Log and review access to legacy history</w:t>
        </w:r>
        <w:r>
          <w:t xml:space="preserve">	</w:t>
        </w:r>
        <w:r>
          <w:t xml:space="preserve">55</w:t>
        </w:r>
      </w:hyperlink>
    </w:p>
    <w:p>
      <w:pPr>
        <w:pStyle w:val="toc2"/>
      </w:pPr>
      <w:hyperlink w:anchor="_Toc000163" w:history="1">
        <w:r>
          <w:t xml:space="preserve">4.13 Cutover and coexistence</w:t>
        </w:r>
        <w:r>
          <w:t xml:space="preserve">	</w:t>
        </w:r>
        <w:r>
          <w:t xml:space="preserve">56</w:t>
        </w:r>
      </w:hyperlink>
    </w:p>
    <w:p>
      <w:pPr>
        <w:pStyle w:val="toc3"/>
      </w:pPr>
      <w:hyperlink w:anchor="_Toc000164" w:history="1">
        <w:r>
          <w:t xml:space="preserve">FR-DM-120 Plan the cutover and run rehearsals</w:t>
        </w:r>
        <w:r>
          <w:t xml:space="preserve">	</w:t>
        </w:r>
        <w:r>
          <w:t xml:space="preserve">56</w:t>
        </w:r>
      </w:hyperlink>
    </w:p>
    <w:p>
      <w:pPr>
        <w:pStyle w:val="toc3"/>
      </w:pPr>
      <w:hyperlink w:anchor="_Toc000165" w:history="1">
        <w:r>
          <w:t xml:space="preserve">FR-DM-121 Decide go / no-go on measured criteria</w:t>
        </w:r>
        <w:r>
          <w:t xml:space="preserve">	</w:t>
        </w:r>
        <w:r>
          <w:t xml:space="preserve">57</w:t>
        </w:r>
      </w:hyperlink>
    </w:p>
    <w:p>
      <w:pPr>
        <w:pStyle w:val="toc3"/>
      </w:pPr>
      <w:hyperlink w:anchor="_Toc000166" w:history="1">
        <w:r>
          <w:t xml:space="preserve">FR-DM-122 Transition renewals by RMEL cohort and track the run-off</w:t>
        </w:r>
        <w:r>
          <w:t xml:space="preserve">	</w:t>
        </w:r>
        <w:r>
          <w:t xml:space="preserve">58</w:t>
        </w:r>
      </w:hyperlink>
    </w:p>
    <w:p>
      <w:pPr>
        <w:pStyle w:val="toc3"/>
      </w:pPr>
      <w:hyperlink w:anchor="_Toc000167" w:history="1">
        <w:r>
          <w:t xml:space="preserve">FR-DM-123 Decommission legacy systems on agreed criteria</w:t>
        </w:r>
        <w:r>
          <w:t xml:space="preserve">	</w:t>
        </w:r>
        <w:r>
          <w:t xml:space="preserve">59</w:t>
        </w:r>
      </w:hyperlink>
    </w:p>
    <w:p>
      <w:pPr>
        <w:pStyle w:val="toc1"/>
      </w:pPr>
      <w:hyperlink w:anchor="_Toc000168" w:history="1">
        <w:r>
          <w:t xml:space="preserve">5 Workflow and status model</w:t>
        </w:r>
        <w:r>
          <w:t xml:space="preserve">	</w:t>
        </w:r>
        <w:r>
          <w:t xml:space="preserve">61</w:t>
        </w:r>
      </w:hyperlink>
    </w:p>
    <w:p>
      <w:pPr>
        <w:pStyle w:val="toc2"/>
      </w:pPr>
      <w:hyperlink w:anchor="_Toc000169" w:history="1">
        <w:r>
          <w:t xml:space="preserve">5.1 Data object and batch states</w:t>
        </w:r>
        <w:r>
          <w:t xml:space="preserve">	</w:t>
        </w:r>
        <w:r>
          <w:t xml:space="preserve">61</w:t>
        </w:r>
      </w:hyperlink>
    </w:p>
    <w:p>
      <w:pPr>
        <w:pStyle w:val="toc2"/>
      </w:pPr>
      <w:hyperlink w:anchor="_Toc000170" w:history="1">
        <w:r>
          <w:t xml:space="preserve">5.2 Approval workflows</w:t>
        </w:r>
        <w:r>
          <w:t xml:space="preserve">	</w:t>
        </w:r>
        <w:r>
          <w:t xml:space="preserve">61</w:t>
        </w:r>
      </w:hyperlink>
    </w:p>
    <w:p>
      <w:pPr>
        <w:pStyle w:val="toc2"/>
      </w:pPr>
      <w:hyperlink w:anchor="_Toc000171" w:history="1">
        <w:r>
          <w:t xml:space="preserve">5.3 Sign-off gates</w:t>
        </w:r>
        <w:r>
          <w:t xml:space="preserve">	</w:t>
        </w:r>
        <w:r>
          <w:t xml:space="preserve">62</w:t>
        </w:r>
      </w:hyperlink>
    </w:p>
    <w:p>
      <w:pPr>
        <w:pStyle w:val="toc1"/>
      </w:pPr>
      <w:hyperlink w:anchor="_Toc000172" w:history="1">
        <w:r>
          <w:t xml:space="preserve">6 Reports and documents</w:t>
        </w:r>
        <w:r>
          <w:t xml:space="preserve">	</w:t>
        </w:r>
        <w:r>
          <w:t xml:space="preserve">63</w:t>
        </w:r>
      </w:hyperlink>
    </w:p>
    <w:p>
      <w:pPr>
        <w:pStyle w:val="toc1"/>
      </w:pPr>
      <w:hyperlink w:anchor="_Toc000173" w:history="1">
        <w:r>
          <w:t xml:space="preserve">7 Interfaces and integration</w:t>
        </w:r>
        <w:r>
          <w:t xml:space="preserve">	</w:t>
        </w:r>
        <w:r>
          <w:t xml:space="preserve">64</w:t>
        </w:r>
      </w:hyperlink>
    </w:p>
    <w:p>
      <w:pPr>
        <w:pStyle w:val="toc1"/>
      </w:pPr>
      <w:hyperlink w:anchor="_Toc000174" w:history="1">
        <w:r>
          <w:t xml:space="preserve">8 Non-functional requirements</w:t>
        </w:r>
        <w:r>
          <w:t xml:space="preserve">	</w:t>
        </w:r>
        <w:r>
          <w:t xml:space="preserve">66</w:t>
        </w:r>
      </w:hyperlink>
    </w:p>
    <w:p>
      <w:pPr>
        <w:pStyle w:val="toc1"/>
      </w:pPr>
      <w:hyperlink w:anchor="_Toc000175" w:history="1">
        <w:r>
          <w:t xml:space="preserve">9 Configuration items</w:t>
        </w:r>
        <w:r>
          <w:t xml:space="preserve">	</w:t>
        </w:r>
        <w:r>
          <w:t xml:space="preserve">67</w:t>
        </w:r>
      </w:hyperlink>
    </w:p>
    <w:p>
      <w:pPr>
        <w:pStyle w:val="toc2"/>
      </w:pPr>
      <w:hyperlink w:anchor="_Toc000176" w:history="1">
        <w:r>
          <w:t xml:space="preserve">9.1 Parameters</w:t>
        </w:r>
        <w:r>
          <w:t xml:space="preserve">	</w:t>
        </w:r>
        <w:r>
          <w:t xml:space="preserve">67</w:t>
        </w:r>
      </w:hyperlink>
    </w:p>
    <w:p>
      <w:pPr>
        <w:pStyle w:val="toc2"/>
      </w:pPr>
      <w:hyperlink w:anchor="_Toc000177" w:history="1">
        <w:r>
          <w:t xml:space="preserve">9.2 Lists of values</w:t>
        </w:r>
        <w:r>
          <w:t xml:space="preserve">	</w:t>
        </w:r>
        <w:r>
          <w:t xml:space="preserve">67</w:t>
        </w:r>
      </w:hyperlink>
    </w:p>
    <w:p>
      <w:pPr>
        <w:pStyle w:val="toc2"/>
      </w:pPr>
      <w:hyperlink w:anchor="_Toc000178" w:history="1">
        <w:r>
          <w:t xml:space="preserve">9.3 Masters and rules maintained by the business</w:t>
        </w:r>
        <w:r>
          <w:t xml:space="preserve">	</w:t>
        </w:r>
        <w:r>
          <w:t xml:space="preserve">68</w:t>
        </w:r>
      </w:hyperlink>
    </w:p>
    <w:p>
      <w:pPr>
        <w:pStyle w:val="toc1"/>
      </w:pPr>
      <w:hyperlink w:anchor="_Toc000179" w:history="1">
        <w:r>
          <w:t xml:space="preserve">10 Assumptions, dependencies and open questions</w:t>
        </w:r>
        <w:r>
          <w:t xml:space="preserve">	</w:t>
        </w:r>
        <w:r>
          <w:t xml:space="preserve">69</w:t>
        </w:r>
      </w:hyperlink>
    </w:p>
    <w:p>
      <w:pPr>
        <w:pStyle w:val="toc2"/>
      </w:pPr>
      <w:hyperlink w:anchor="_Toc000180" w:history="1">
        <w:r>
          <w:t xml:space="preserve">10.1 Assumptions</w:t>
        </w:r>
        <w:r>
          <w:t xml:space="preserve">	</w:t>
        </w:r>
        <w:r>
          <w:t xml:space="preserve">69</w:t>
        </w:r>
      </w:hyperlink>
    </w:p>
    <w:p>
      <w:pPr>
        <w:pStyle w:val="toc2"/>
      </w:pPr>
      <w:hyperlink w:anchor="_Toc000181" w:history="1">
        <w:r>
          <w:t xml:space="preserve">10.2 Dependencies</w:t>
        </w:r>
        <w:r>
          <w:t xml:space="preserve">	</w:t>
        </w:r>
        <w:r>
          <w:t xml:space="preserve">69</w:t>
        </w:r>
      </w:hyperlink>
    </w:p>
    <w:p>
      <w:pPr>
        <w:pStyle w:val="toc2"/>
      </w:pPr>
      <w:hyperlink w:anchor="_Toc000182" w:history="1">
        <w:r>
          <w:t xml:space="preserve">10.3 Open questions</w:t>
        </w:r>
        <w:r>
          <w:t xml:space="preserve">	</w:t>
        </w:r>
        <w:r>
          <w:t xml:space="preserve">69</w:t>
        </w:r>
      </w:hyperlink>
    </w:p>
    <w:p>
      <w:pPr>
        <w:pStyle w:val="toc1"/>
      </w:pPr>
      <w:hyperlink w:anchor="_Toc000183" w:history="1">
        <w:r>
          <w:t xml:space="preserve">11 Traceability</w:t>
        </w:r>
        <w:r>
          <w:t xml:space="preserve">	</w:t>
        </w:r>
        <w:r>
          <w:t xml:space="preserve">71</w:t>
        </w:r>
      </w:hyperlink>
    </w:p>
    <w:p>
      <w:pPr>
        <w:pStyle w:val="toc1"/>
      </w:pPr>
      <w:hyperlink w:anchor="_Toc000184" w:history="1">
        <w:r>
          <w:t xml:space="preserve">12 Sign-off</w:t>
        </w:r>
        <w:r>
          <w:t xml:space="preserve">	</w:t>
        </w:r>
        <w:r>
          <w:t xml:space="preserve">72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Data Migration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migration and the processing of legacy items in BIBS behave as the business expects. The project team uses it to build the Data Migration module and the changes to the Operations modules, to test them, and to prepare the rehearsals and the cutover. Every functional requirement (FR) cites the BRD requirements it meets and their BRD pages.</w:t>
      </w:r>
    </w:p>
    <w:p>
      <w:r>
        <w:rPr/>
        <w:t xml:space="preserve">Data Migration is </w:t>
      </w:r>
      <w:r>
        <w:rPr>
          <w:b/>
        </w:rPr>
        <w:t>designed and not yet built</w:t>
      </w:r>
      <w:r>
        <w:rPr/>
        <w:t>. The FRs describe the behaviour of the build design (R3). Screen names and API paths are those of the design and are confirmed at build. Error codes are assigned at build; this document gives the message text only, except where a check reuses a code that already exists in BIBS (section 1.5).</w:t>
      </w:r>
    </w:p>
    <w:p>
      <w:r>
        <w:rPr/>
        <w:t xml:space="preserve">The source BRD is a </w:t>
      </w:r>
      <w:r>
        <w:rPr>
          <w:b/>
        </w:rPr>
        <w:t>draft (v0.01, 14-Apr-2026) that is not signed</w:t>
      </w:r>
      <w:r>
        <w:rPr/>
        <w:t xml:space="preserve"> (R1 p.15-16). This FRS will be re-issued when the BRD is signed or amended.</w:t>
      </w:r>
    </w:p>
    <w:p>
      <w:pPr>
        <w:pStyle w:val="Heading2"/>
      </w:pPr>
      <w:bookmarkStart w:id="103" w:name="_Toc000103"/>
      <w:r>
        <w:rPr/>
        <w:t>1.2 Scope</w:t>
      </w:r>
      <w:bookmarkEnd w:id="103"/>
    </w:p>
    <w:p>
      <w:r>
        <w:rPr/>
        <w:t xml:space="preserve">BDOI replaces its legacy platforms (EBIX and QPS in the BRD; ISYS and Excel masterlists in other BRDs) with BIBS. The BRD asks for a </w:t>
      </w:r>
      <w:r>
        <w:rPr>
          <w:b/>
        </w:rPr>
        <w:t>selective, continuity-focused</w:t>
      </w:r>
      <w:r>
        <w:rPr/>
        <w:t xml:space="preserve"> migration (p.3): clean master and reference data are migrated for Day 1, only open operational financial positions are carried forward, history stays in read-only legacy or an archive, and in-force policies move to BIBS at renewal.</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w:t>
            </w:r>
          </w:p>
        </w:tc>
        <w:tc>
          <w:tcPr>
            <w:tcW w:type="dxa" w:w="2346"/>
            <w:tcMar>
              <w:top w:w="50" w:type="dxa"/>
              <w:bottom w:w="50" w:type="dxa"/>
              <w:left w:w="90" w:type="dxa"/>
              <w:right w:w="90" w:type="dxa"/>
            </w:tcMar>
          </w:tcPr>
          <w:p>
            <w:pPr>
              <w:pStyle w:val="BDOITable"/>
            </w:pPr>
            <w:r>
              <w:rPr>
                <w:sz w:val="18"/>
              </w:rPr>
              <w:t>BRID 1.1a, 1.1b</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dedupe; LOV, insurer, product, package, risk code and MIS code maps with versions</w:t>
            </w:r>
          </w:p>
        </w:tc>
        <w:tc>
          <w:tcPr>
            <w:tcW w:type="dxa" w:w="2346"/>
            <w:tcMar>
              <w:top w:w="50" w:type="dxa"/>
              <w:bottom w:w="50" w:type="dxa"/>
              <w:left w:w="90" w:type="dxa"/>
              <w:right w:w="90" w:type="dxa"/>
            </w:tcMar>
            <w:shd w:val="clear" w:color="auto" w:fill="E5F5FF"/>
          </w:tcPr>
          <w:p>
            <w:pPr>
              <w:pStyle w:val="BDOITable"/>
            </w:pPr>
            <w:r>
              <w:rPr>
                <w:sz w:val="18"/>
              </w:rPr>
              <w:t>BRID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Minimal in-force policy header (conditional); renewal-driven transition by RMEL cohort</w:t>
            </w:r>
          </w:p>
        </w:tc>
        <w:tc>
          <w:tcPr>
            <w:tcW w:type="dxa" w:w="2346"/>
            <w:tcMar>
              <w:top w:w="50" w:type="dxa"/>
              <w:bottom w:w="50" w:type="dxa"/>
              <w:left w:w="90" w:type="dxa"/>
              <w:right w:w="90" w:type="dxa"/>
            </w:tcMar>
          </w:tcPr>
          <w:p>
            <w:pPr>
              <w:pStyle w:val="BDOITable"/>
            </w:pPr>
            <w:r>
              <w:rPr>
                <w:sz w:val="18"/>
              </w:rPr>
              <w:t>BRID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UPP;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OTC and autopay payments, UPP automatch rerun, dispositions, reclassification to income, DPPR and PR2307 batch reversals, remittance, endorsements, Prod Recon change report</w:t>
            </w:r>
          </w:p>
        </w:tc>
        <w:tc>
          <w:tcPr>
            <w:tcW w:type="dxa" w:w="2346"/>
            <w:tcMar>
              <w:top w:w="50" w:type="dxa"/>
              <w:bottom w:w="50" w:type="dxa"/>
              <w:left w:w="90" w:type="dxa"/>
              <w:right w:w="90" w:type="dxa"/>
            </w:tcMar>
          </w:tcPr>
          <w:p>
            <w:pPr>
              <w:pStyle w:val="BDOITable"/>
            </w:pPr>
            <w:r>
              <w:rPr>
                <w:sz w:val="18"/>
              </w:rPr>
              <w:t>BRID 5.1-10.1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History</w:t>
            </w:r>
          </w:p>
        </w:tc>
        <w:tc>
          <w:tcPr>
            <w:tcW w:type="dxa" w:w="5279"/>
            <w:tcMar>
              <w:top w:w="50" w:type="dxa"/>
              <w:bottom w:w="50" w:type="dxa"/>
              <w:left w:w="90" w:type="dxa"/>
              <w:right w:w="90" w:type="dxa"/>
            </w:tcMar>
            <w:shd w:val="clear" w:color="auto" w:fill="E5F5FF"/>
          </w:tcPr>
          <w:p>
            <w:pPr>
              <w:pStyle w:val="BDOITable"/>
            </w:pPr>
            <w:r>
              <w:rPr>
                <w:sz w:val="18"/>
              </w:rPr>
              <w:t>Read-only legacy and archive inquiry with access logging</w:t>
            </w:r>
          </w:p>
        </w:tc>
        <w:tc>
          <w:tcPr>
            <w:tcW w:type="dxa" w:w="2346"/>
            <w:tcMar>
              <w:top w:w="50" w:type="dxa"/>
              <w:bottom w:w="50" w:type="dxa"/>
              <w:left w:w="90" w:type="dxa"/>
              <w:right w:w="90" w:type="dxa"/>
            </w:tcMar>
            <w:shd w:val="clear" w:color="auto" w:fill="E5F5FF"/>
          </w:tcPr>
          <w:p>
            <w:pPr>
              <w:pStyle w:val="BDOITable"/>
            </w:pPr>
            <w:r>
              <w:rPr>
                <w:sz w:val="18"/>
              </w:rPr>
              <w:t>BRID 11.1</w:t>
            </w:r>
          </w:p>
        </w:tc>
      </w:tr>
      <w:tr>
        <w:trPr>
          <w:cantSplit w:val="true"/>
        </w:trPr>
        <w:tc>
          <w:tcPr>
            <w:tcW w:type="dxa" w:w="2346"/>
            <w:tcMar>
              <w:top w:w="50" w:type="dxa"/>
              <w:bottom w:w="50" w:type="dxa"/>
              <w:left w:w="90" w:type="dxa"/>
              <w:right w:w="90" w:type="dxa"/>
            </w:tcMar>
          </w:tcPr>
          <w:p>
            <w:pPr>
              <w:pStyle w:val="BDOITable"/>
            </w:pPr>
            <w:r>
              <w:rPr>
                <w:sz w:val="18"/>
              </w:rPr>
              <w:t>Cutover</w:t>
            </w:r>
          </w:p>
        </w:tc>
        <w:tc>
          <w:tcPr>
            <w:tcW w:type="dxa" w:w="5279"/>
            <w:tcMar>
              <w:top w:w="50" w:type="dxa"/>
              <w:bottom w:w="50" w:type="dxa"/>
              <w:left w:w="90" w:type="dxa"/>
              <w:right w:w="90" w:type="dxa"/>
            </w:tcMar>
          </w:tcPr>
          <w:p>
            <w:pPr>
              <w:pStyle w:val="BDOITable"/>
            </w:pPr>
            <w:r>
              <w:rPr>
                <w:sz w:val="18"/>
              </w:rPr>
              <w:t>Cutover plan, rehearsals, go / no-go, run-off, decommissioning</w:t>
            </w:r>
          </w:p>
        </w:tc>
        <w:tc>
          <w:tcPr>
            <w:tcW w:type="dxa" w:w="2346"/>
            <w:tcMar>
              <w:top w:w="50" w:type="dxa"/>
              <w:bottom w:w="50" w:type="dxa"/>
              <w:left w:w="90" w:type="dxa"/>
              <w:right w:w="90" w:type="dxa"/>
            </w:tcMar>
          </w:tcPr>
          <w:p>
            <w:pPr>
              <w:pStyle w:val="BDOITable"/>
            </w:pPr>
            <w:r>
              <w:rPr>
                <w:sz w:val="18"/>
              </w:rPr>
              <w:t>BRID 12.1</w:t>
            </w:r>
          </w:p>
        </w:tc>
      </w:tr>
    </w:tbl>
    <w:p>
      <w:pPr>
        <w:pStyle w:val="BDOISpacer"/>
      </w:pPr>
    </w:p>
    <w:p>
      <w:r>
        <w:rPr>
          <w:b/>
        </w:rPr>
        <w:t>Out of scope of this FRS until BDOI decides (DMQ30):</w:t>
      </w:r>
      <w:r>
        <w:rPr/>
        <w:t xml:space="preserve"> open claims, Employee Benefits programmes, the Excel submitted-policy masterlists, payees and users. Where BDOI brings them into scope, they are loaded through the same framework with the loaders that their own modules provide (R3 section 10).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 Insure Core Modernization - Data Migration BRD</w:t>
            </w:r>
          </w:p>
        </w:tc>
        <w:tc>
          <w:tcPr>
            <w:tcW w:type="dxa" w:w="2040"/>
            <w:tcMar>
              <w:top w:w="50" w:type="dxa"/>
              <w:bottom w:w="50" w:type="dxa"/>
              <w:left w:w="90" w:type="dxa"/>
              <w:right w:w="90" w:type="dxa"/>
            </w:tcMar>
          </w:tcPr>
          <w:p>
            <w:pPr>
              <w:pStyle w:val="BDOITable"/>
            </w:pPr>
            <w:r>
              <w:rPr>
                <w:sz w:val="18"/>
              </w:rPr>
              <w:t>draft v0.01, 14-Apr-2026; not signed</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docs/source-documents/BRD - Data Migration - draft V0.01.pdf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Data Migration (BRD-13)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docs/requirements/BDOI_DM_BRD_SPEC.md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Data Migration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docs/architecture/DATA_MIGRATION_DESIGN.md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BRD BDOI Core Replacement (umbrella BRD)</w:t>
            </w:r>
          </w:p>
        </w:tc>
        <w:tc>
          <w:tcPr>
            <w:tcW w:type="dxa" w:w="2040"/>
            <w:tcMar>
              <w:top w:w="50" w:type="dxa"/>
              <w:bottom w:w="50" w:type="dxa"/>
              <w:left w:w="90" w:type="dxa"/>
              <w:right w:w="90" w:type="dxa"/>
            </w:tcMar>
            <w:shd w:val="clear" w:color="auto" w:fill="E5F5FF"/>
          </w:tcPr>
          <w:p>
            <w:pPr>
              <w:pStyle w:val="BDOITable"/>
            </w:pPr>
            <w:r>
              <w:rPr>
                <w:sz w:val="18"/>
              </w:rPr>
              <w:t>v01</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docs/source-documents/00 - BRD BDOI Core Replacement v01.pdf</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 and FRS BRD-2 (cashiering, remittance, Prod Recon, adjustment, commission)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r>
              <w:rPr>
                <w:sz w:val="18"/>
              </w:rPr>
              <w:t>; FRS BRD-2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Collections, Accounting / ACSL, Renewal and Customer Servicing designs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Deliverables plan (hosting appendix: masked non-production data, staging purge within 5 days, access from the Philippines only)</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docs/deliverables/README.md</w:t>
            </w:r>
          </w:p>
        </w:tc>
      </w:tr>
    </w:tbl>
    <w:p>
      <w:pPr>
        <w:pStyle w:val="BDOISpacer"/>
      </w:pPr>
    </w:p>
    <w:p>
      <w:r>
        <w:rPr/>
        <w:t>Page references ("p.8") are pages of the Data Migration BRD (R1) unless another document is named.</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(BRID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Carry forward</w:t>
            </w:r>
          </w:p>
        </w:tc>
        <w:tc>
          <w:tcPr>
            <w:tcW w:type="dxa" w:w="7932"/>
            <w:tcMar>
              <w:top w:w="50" w:type="dxa"/>
              <w:bottom w:w="50" w:type="dxa"/>
              <w:left w:w="90" w:type="dxa"/>
              <w:right w:w="90" w:type="dxa"/>
            </w:tcMar>
            <w:shd w:val="clear" w:color="auto" w:fill="E5F5FF"/>
          </w:tcPr>
          <w:p>
            <w:pPr>
              <w:pStyle w:val="BDOITable"/>
            </w:pPr>
            <w:r>
              <w:rPr>
                <w:sz w:val="18"/>
              </w:rPr>
              <w:t>Treatment of an open operational financial item that continues to be processed in BIBS (BRID 1.1a)</w:t>
            </w:r>
          </w:p>
        </w:tc>
      </w:tr>
      <w:tr>
        <w:trPr>
          <w:cantSplit w:val="true"/>
        </w:trPr>
        <w:tc>
          <w:tcPr>
            <w:tcW w:type="dxa" w:w="2040"/>
            <w:tcMar>
              <w:top w:w="50" w:type="dxa"/>
              <w:bottom w:w="50" w:type="dxa"/>
              <w:left w:w="90" w:type="dxa"/>
              <w:right w:w="90" w:type="dxa"/>
            </w:tcMar>
          </w:tcPr>
          <w:p>
            <w:pPr>
              <w:pStyle w:val="BDOITable"/>
            </w:pPr>
            <w:r>
              <w:rPr>
                <w:b/>
                <w:sz w:val="18"/>
              </w:rPr>
              <w:t>Clearing account</w:t>
            </w:r>
          </w:p>
        </w:tc>
        <w:tc>
          <w:tcPr>
            <w:tcW w:type="dxa" w:w="7932"/>
            <w:tcMar>
              <w:top w:w="50" w:type="dxa"/>
              <w:bottom w:w="50" w:type="dxa"/>
              <w:left w:w="90" w:type="dxa"/>
              <w:right w:w="90" w:type="dxa"/>
            </w:tcMar>
          </w:tcPr>
          <w:p>
            <w:pPr>
              <w:pStyle w:val="BDOITable"/>
            </w:pPr>
            <w:r>
              <w:rPr>
                <w:sz w:val="18"/>
              </w:rPr>
              <w:t>Migration Clearing GL account that takes the offset of every opening entry and must net to zero</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Code map</w:t>
            </w:r>
          </w:p>
        </w:tc>
        <w:tc>
          <w:tcPr>
            <w:tcW w:type="dxa" w:w="7932"/>
            <w:tcMar>
              <w:top w:w="50" w:type="dxa"/>
              <w:bottom w:w="50" w:type="dxa"/>
              <w:left w:w="90" w:type="dxa"/>
              <w:right w:w="90" w:type="dxa"/>
            </w:tcMar>
            <w:shd w:val="clear" w:color="auto" w:fill="E5F5FF"/>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tcPr>
          <w:p>
            <w:pPr>
              <w:pStyle w:val="BDOITable"/>
            </w:pPr>
            <w:r>
              <w:rPr>
                <w:b/>
                <w:sz w:val="18"/>
              </w:rPr>
              <w:t>Cohort</w:t>
            </w:r>
          </w:p>
        </w:tc>
        <w:tc>
          <w:tcPr>
            <w:tcW w:type="dxa" w:w="7932"/>
            <w:tcMar>
              <w:top w:w="50" w:type="dxa"/>
              <w:bottom w:w="50" w:type="dxa"/>
              <w:left w:w="90" w:type="dxa"/>
              <w:right w:w="90" w:type="dxa"/>
            </w:tcMar>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Control totals</w:t>
            </w:r>
          </w:p>
        </w:tc>
        <w:tc>
          <w:tcPr>
            <w:tcW w:type="dxa" w:w="7932"/>
            <w:tcMar>
              <w:top w:w="50" w:type="dxa"/>
              <w:bottom w:w="50" w:type="dxa"/>
              <w:left w:w="90" w:type="dxa"/>
              <w:right w:w="90" w:type="dxa"/>
            </w:tcMar>
            <w:shd w:val="clear" w:color="auto" w:fill="E5F5FF"/>
          </w:tcPr>
          <w:p>
            <w:pPr>
              <w:pStyle w:val="BDOITable"/>
            </w:pPr>
            <w:r>
              <w:rPr>
                <w:sz w:val="18"/>
              </w:rPr>
              <w:t>Row count, amount sums and hash totals that BDOI sends with an extract</w:t>
            </w:r>
          </w:p>
        </w:tc>
      </w:tr>
      <w:tr>
        <w:trPr>
          <w:cantSplit w:val="true"/>
        </w:trPr>
        <w:tc>
          <w:tcPr>
            <w:tcW w:type="dxa" w:w="2040"/>
            <w:tcMar>
              <w:top w:w="50" w:type="dxa"/>
              <w:bottom w:w="50" w:type="dxa"/>
              <w:left w:w="90" w:type="dxa"/>
              <w:right w:w="90" w:type="dxa"/>
            </w:tcMar>
          </w:tcPr>
          <w:p>
            <w:pPr>
              <w:pStyle w:val="BDOITable"/>
            </w:pPr>
            <w:r>
              <w:rPr>
                <w:b/>
                <w:sz w:val="18"/>
              </w:rPr>
              <w:t>Cutover</w:t>
            </w:r>
          </w:p>
        </w:tc>
        <w:tc>
          <w:tcPr>
            <w:tcW w:type="dxa" w:w="7932"/>
            <w:tcMar>
              <w:top w:w="50" w:type="dxa"/>
              <w:bottom w:w="50" w:type="dxa"/>
              <w:left w:w="90" w:type="dxa"/>
              <w:right w:w="90" w:type="dxa"/>
            </w:tcMar>
          </w:tcPr>
          <w:p>
            <w:pPr>
              <w:pStyle w:val="BDOITable"/>
            </w:pPr>
            <w:r>
              <w:rPr>
                <w:sz w:val="18"/>
              </w:rPr>
              <w:t>The move from legacy to BIBS processing at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data object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(FR-DM-nnn)</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before the final extracts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 / no-go</w:t>
            </w:r>
          </w:p>
        </w:tc>
        <w:tc>
          <w:tcPr>
            <w:tcW w:type="dxa" w:w="7932"/>
            <w:tcMar>
              <w:top w:w="50" w:type="dxa"/>
              <w:bottom w:w="50" w:type="dxa"/>
              <w:left w:w="90" w:type="dxa"/>
              <w:right w:w="90" w:type="dxa"/>
            </w:tcMar>
            <w:shd w:val="clear" w:color="auto" w:fill="E5F5FF"/>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and marketing diary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invoice</w:t>
            </w:r>
          </w:p>
        </w:tc>
        <w:tc>
          <w:tcPr>
            <w:tcW w:type="dxa" w:w="7932"/>
            <w:tcMar>
              <w:top w:w="50" w:type="dxa"/>
              <w:bottom w:w="50" w:type="dxa"/>
              <w:left w:w="90" w:type="dxa"/>
              <w:right w:w="90" w:type="dxa"/>
            </w:tcMar>
            <w:shd w:val="clear" w:color="auto" w:fill="E5F5FF"/>
          </w:tcPr>
          <w:p>
            <w:pPr>
              <w:pStyle w:val="BDOITable"/>
            </w:pPr>
            <w:r>
              <w:rPr>
                <w:sz w:val="18"/>
              </w:rPr>
              <w:t>An invoice booked in EBIX or QPS before go-live, still open at cutover, carried into BIBS and processed there</w:t>
            </w:r>
          </w:p>
        </w:tc>
      </w:tr>
      <w:tr>
        <w:trPr>
          <w:cantSplit w:val="true"/>
        </w:trPr>
        <w:tc>
          <w:tcPr>
            <w:tcW w:type="dxa" w:w="2040"/>
            <w:tcMar>
              <w:top w:w="50" w:type="dxa"/>
              <w:bottom w:w="50" w:type="dxa"/>
              <w:left w:w="90" w:type="dxa"/>
              <w:right w:w="90" w:type="dxa"/>
            </w:tcMar>
          </w:tcPr>
          <w:p>
            <w:pPr>
              <w:pStyle w:val="BDOITable"/>
            </w:pPr>
            <w:r>
              <w:rPr>
                <w:b/>
                <w:sz w:val="18"/>
              </w:rPr>
              <w:t>Legacy sub-ledger</w:t>
            </w:r>
          </w:p>
        </w:tc>
        <w:tc>
          <w:tcPr>
            <w:tcW w:type="dxa" w:w="7932"/>
            <w:tcMar>
              <w:top w:w="50" w:type="dxa"/>
              <w:bottom w:w="50" w:type="dxa"/>
              <w:left w:w="90" w:type="dxa"/>
              <w:right w:w="90" w:type="dxa"/>
            </w:tcMar>
          </w:tcPr>
          <w:p>
            <w:pPr>
              <w:pStyle w:val="BDOITable"/>
            </w:pPr>
            <w:r>
              <w:rPr>
                <w:sz w:val="18"/>
              </w:rPr>
              <w:t>The GL control accounts and ledger items that hold the legacy positions separately from the new ones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w:t>
            </w:r>
          </w:p>
        </w:tc>
      </w:tr>
      <w:tr>
        <w:trPr>
          <w:cantSplit w:val="true"/>
        </w:trPr>
        <w:tc>
          <w:tcPr>
            <w:tcW w:type="dxa" w:w="2040"/>
            <w:tcMar>
              <w:top w:w="50" w:type="dxa"/>
              <w:bottom w:w="50" w:type="dxa"/>
              <w:left w:w="90" w:type="dxa"/>
              <w:right w:w="90" w:type="dxa"/>
            </w:tcMar>
          </w:tcPr>
          <w:p>
            <w:pPr>
              <w:pStyle w:val="BDOITable"/>
            </w:pPr>
            <w:r>
              <w:rPr>
                <w:b/>
                <w:sz w:val="18"/>
              </w:rPr>
              <w:t>MIS</w:t>
            </w:r>
          </w:p>
        </w:tc>
        <w:tc>
          <w:tcPr>
            <w:tcW w:type="dxa" w:w="7932"/>
            <w:tcMar>
              <w:top w:w="50" w:type="dxa"/>
              <w:bottom w:w="50" w:type="dxa"/>
              <w:left w:w="90" w:type="dxa"/>
              <w:right w:w="90" w:type="dxa"/>
            </w:tcMar>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Mock</w:t>
            </w:r>
          </w:p>
        </w:tc>
        <w:tc>
          <w:tcPr>
            <w:tcW w:type="dxa" w:w="7932"/>
            <w:tcMar>
              <w:top w:w="50" w:type="dxa"/>
              <w:bottom w:w="50" w:type="dxa"/>
              <w:left w:w="90" w:type="dxa"/>
              <w:right w:w="90" w:type="dxa"/>
            </w:tcMar>
            <w:shd w:val="clear" w:color="auto" w:fill="E5F5FF"/>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Premium receivable covered by the client's BIR Form 2307 (2% creditable withholding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 Recon</w:t>
            </w:r>
          </w:p>
        </w:tc>
        <w:tc>
          <w:tcPr>
            <w:tcW w:type="dxa" w:w="7932"/>
            <w:tcMar>
              <w:top w:w="50" w:type="dxa"/>
              <w:bottom w:w="50" w:type="dxa"/>
              <w:left w:w="90" w:type="dxa"/>
              <w:right w:w="90" w:type="dxa"/>
            </w:tcMar>
            <w:shd w:val="clear" w:color="auto" w:fill="E5F5FF"/>
          </w:tcPr>
          <w:p>
            <w:pPr>
              <w:pStyle w:val="BDOITable"/>
            </w:pPr>
            <w:r>
              <w:rPr>
                <w:sz w:val="18"/>
              </w:rPr>
              <w:t>Production reconciliation with insurers</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and Pre-processing System (legacy)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Sign-off gate</w:t>
            </w:r>
          </w:p>
        </w:tc>
        <w:tc>
          <w:tcPr>
            <w:tcW w:type="dxa" w:w="7932"/>
            <w:tcMar>
              <w:top w:w="50" w:type="dxa"/>
              <w:bottom w:w="50" w:type="dxa"/>
              <w:left w:w="90" w:type="dxa"/>
              <w:right w:w="90" w:type="dxa"/>
            </w:tcMar>
            <w:shd w:val="clear" w:color="auto" w:fill="E5F5FF"/>
          </w:tcPr>
          <w:p>
            <w:pPr>
              <w:pStyle w:val="BDOITable"/>
            </w:pPr>
            <w:r>
              <w:rPr>
                <w:sz w:val="18"/>
              </w:rPr>
              <w:t>A recorded approval that a migration step is complete (G1-G7)</w:t>
            </w:r>
          </w:p>
        </w:tc>
      </w:tr>
      <w:tr>
        <w:trPr>
          <w:cantSplit w:val="true"/>
        </w:trPr>
        <w:tc>
          <w:tcPr>
            <w:tcW w:type="dxa" w:w="2040"/>
            <w:tcMar>
              <w:top w:w="50" w:type="dxa"/>
              <w:bottom w:w="50" w:type="dxa"/>
              <w:left w:w="90" w:type="dxa"/>
              <w:right w:w="90" w:type="dxa"/>
            </w:tcMar>
          </w:tcPr>
          <w:p>
            <w:pPr>
              <w:pStyle w:val="BDOITable"/>
            </w:pPr>
            <w:r>
              <w:rPr>
                <w:b/>
                <w:sz w:val="18"/>
              </w:rPr>
              <w:t>Staging</w:t>
            </w:r>
          </w:p>
        </w:tc>
        <w:tc>
          <w:tcPr>
            <w:tcW w:type="dxa" w:w="7932"/>
            <w:tcMar>
              <w:top w:w="50" w:type="dxa"/>
              <w:bottom w:w="50" w:type="dxa"/>
              <w:left w:w="90" w:type="dxa"/>
              <w:right w:w="90" w:type="dxa"/>
            </w:tcMar>
          </w:tcPr>
          <w:p>
            <w:pPr>
              <w:pStyle w:val="BDOITable"/>
            </w:pPr>
            <w:r>
              <w:rPr>
                <w:sz w:val="18"/>
              </w:rPr>
              <w:t>Temporary area where extract rows are checked and mapped before load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Xref</w:t>
            </w:r>
          </w:p>
        </w:tc>
        <w:tc>
          <w:tcPr>
            <w:tcW w:type="dxa" w:w="7932"/>
            <w:tcMar>
              <w:top w:w="50" w:type="dxa"/>
              <w:bottom w:w="50" w:type="dxa"/>
              <w:left w:w="90" w:type="dxa"/>
              <w:right w:w="90" w:type="dxa"/>
            </w:tcMar>
          </w:tcPr>
          <w:p>
            <w:pPr>
              <w:pStyle w:val="BDOITable"/>
            </w:pPr>
            <w:r>
              <w:rPr>
                <w:sz w:val="18"/>
              </w:rPr>
              <w:t>Key cross-reference from a legacy key to the BIBS record created from it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code map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xml:space="preserve">: the check, the message the user sees and its code. A "-" marks a check whose code is assigned at build, or a screen check without a code. Codes that already exist in BIBS are quoted (for example </w:t>
      </w:r>
      <w:r>
        <w:rPr>
          <w:rFonts w:ascii="Courier New" w:hAnsi="Courier New" w:cs="Courier New" w:eastAsia="Courier New"/>
          <w:color w:val="2E2E2E"/>
          <w:sz w:val="19"/>
        </w:rPr>
        <w:t>MAKER_CHECKER_VIOLATION</w:t>
      </w:r>
      <w:r>
        <w:rPr/>
        <w:t xml:space="preserve">, </w:t>
      </w:r>
      <w:r>
        <w:rPr>
          <w:rFonts w:ascii="Courier New" w:hAnsi="Courier New" w:cs="Courier New" w:eastAsia="Courier New"/>
          <w:color w:val="2E2E2E"/>
          <w:sz w:val="19"/>
        </w:rPr>
        <w:t>ACCESS_DENIED</w:t>
      </w:r>
      <w:r>
        <w:rPr/>
        <w:t xml:space="preserve">, </w:t>
      </w:r>
      <w:r>
        <w:rPr>
          <w:rFonts w:ascii="Courier New" w:hAnsi="Courier New" w:cs="Courier New" w:eastAsia="Courier New"/>
          <w:color w:val="2E2E2E"/>
          <w:sz w:val="19"/>
        </w:rPr>
        <w:t>DISPOSITION_AMOUNT</w:t>
      </w:r>
      <w:r>
        <w:rPr/>
        <w:t>).</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migration test plan.</w:t>
      </w:r>
    </w:p>
    <w:p>
      <w:r>
        <w:rPr/>
        <w:t xml:space="preserve">The BRD numbers two requirements "BRID 1.1" (p.7). This FRS calls the first one (decision gates) </w:t>
      </w:r>
      <w:r>
        <w:rPr>
          <w:b/>
        </w:rPr>
        <w:t>BRID 1.1a</w:t>
      </w:r>
      <w:r>
        <w:rPr/>
        <w:t xml:space="preserve"> and the second one (reconciliation) </w:t>
      </w:r>
      <w:r>
        <w:rPr>
          <w:b/>
        </w:rPr>
        <w:t>BRID 1.1b</w:t>
      </w:r>
      <w:r>
        <w:rPr/>
        <w: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(thresholds, retention days, chunk sizes, timings) are placeholders that BDOI confirms through the open questions of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BRD-13</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Legacy data is spread over several systems, with duplicated clients, inconsistent identifiers and manual controls around payment application, UPP, remittance, reversals and endorsements (p.4). The target is a trusted Client Master, governed reference mappings, open positions carried forward and actionable in BIBS, legacy systems kept read-only for inquiry and audit during run-off, and renewals that progressively recreate clean records in BIBS (p.5).</w:t>
      </w:r>
    </w:p>
    <w:p>
      <w:pPr>
        <w:pStyle w:val="Caption"/>
        <w:keepNext/>
        <w:spacing w:after="60"/>
      </w:pPr>
      <w:r>
        <w:rPr>
          <w:b/>
          <w:i w:val="0"/>
        </w:rPr>
        <w:t xml:space="preserve">Table 4: </w:t>
      </w:r>
      <w:r>
        <w:rPr/>
        <w:t>Current and envisioned process (BRD 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Client and operational data are kept in several legacy systems, with duplicates, inconsistent identifiers and fragmented ownership</w:t>
            </w:r>
          </w:p>
        </w:tc>
        <w:tc>
          <w:tcPr>
            <w:tcW w:type="dxa" w:w="4693"/>
            <w:tcMar>
              <w:top w:w="50" w:type="dxa"/>
              <w:bottom w:w="50" w:type="dxa"/>
              <w:left w:w="90" w:type="dxa"/>
              <w:right w:w="90" w:type="dxa"/>
            </w:tcMar>
          </w:tcPr>
          <w:p>
            <w:pPr>
              <w:pStyle w:val="BDOITable"/>
            </w:pPr>
            <w:r>
              <w:rPr>
                <w:sz w:val="18"/>
              </w:rPr>
              <w:t>One Client Master: legacy clients are matched and deduplicated on agreed keys before load, and every legacy key points to one BIBS client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Codes differ between systems (LOV, insurers, products, packages, risk codes, MIS)</w:t>
            </w:r>
          </w:p>
        </w:tc>
        <w:tc>
          <w:tcPr>
            <w:tcW w:type="dxa" w:w="4693"/>
            <w:tcMar>
              <w:top w:w="50" w:type="dxa"/>
              <w:bottom w:w="50" w:type="dxa"/>
              <w:left w:w="90" w:type="dxa"/>
              <w:right w:w="90" w:type="dxa"/>
            </w:tcMar>
            <w:shd w:val="clear" w:color="auto" w:fill="E5F5FF"/>
          </w:tcPr>
          <w:p>
            <w:pPr>
              <w:pStyle w:val="BDOITable"/>
            </w:pPr>
            <w:r>
              <w:rPr>
                <w:sz w:val="18"/>
              </w:rPr>
              <w:t>Governed code maps with versions and sign-off; unmapped codes are reported before any transaction loads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Payment application, UPP, remittance, reversals and endorsements run on legacy invoice structures with manual controls</w:t>
            </w:r>
          </w:p>
        </w:tc>
        <w:tc>
          <w:tcPr>
            <w:tcW w:type="dxa" w:w="4693"/>
            <w:tcMar>
              <w:top w:w="50" w:type="dxa"/>
              <w:bottom w:w="50" w:type="dxa"/>
              <w:left w:w="90" w:type="dxa"/>
              <w:right w:w="90" w:type="dxa"/>
            </w:tcMar>
          </w:tcPr>
          <w:p>
            <w:pPr>
              <w:pStyle w:val="BDOITable"/>
            </w:pPr>
            <w:r>
              <w:rPr>
                <w:sz w:val="18"/>
              </w:rPr>
              <w:t>Legacy invoices and UPP are carried into the BIBS Operations ledger and processed with the BIBS screens, with legacy sub-ledgers in the GL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Users verify data and postings by hand</w:t>
            </w:r>
          </w:p>
        </w:tc>
        <w:tc>
          <w:tcPr>
            <w:tcW w:type="dxa" w:w="4693"/>
            <w:tcMar>
              <w:top w:w="50" w:type="dxa"/>
              <w:bottom w:w="50" w:type="dxa"/>
              <w:left w:w="90" w:type="dxa"/>
              <w:right w:w="90" w:type="dxa"/>
            </w:tcMar>
            <w:shd w:val="clear" w:color="auto" w:fill="E5F5FF"/>
          </w:tcPr>
          <w:p>
            <w:pPr>
              <w:pStyle w:val="BDOITable"/>
            </w:pPr>
            <w:r>
              <w:rPr>
                <w:sz w:val="18"/>
              </w:rPr>
              <w:t>Every migrated object is reconciled by counts, amounts, hash totals, field by field and to the GL; the reports are the evidence of the sign-off</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Legacy systems hold the history</w:t>
            </w:r>
          </w:p>
        </w:tc>
        <w:tc>
          <w:tcPr>
            <w:tcW w:type="dxa" w:w="4693"/>
            <w:tcMar>
              <w:top w:w="50" w:type="dxa"/>
              <w:bottom w:w="50" w:type="dxa"/>
              <w:left w:w="90" w:type="dxa"/>
              <w:right w:w="90" w:type="dxa"/>
            </w:tcMar>
          </w:tcPr>
          <w:p>
            <w:pPr>
              <w:pStyle w:val="BDOITable"/>
            </w:pPr>
            <w:r>
              <w:rPr>
                <w:sz w:val="18"/>
              </w:rPr>
              <w:t>History stays in read-only legacy or the BIBS archive, searchable with logged access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Renewals are processed in legacy</w:t>
            </w:r>
          </w:p>
        </w:tc>
        <w:tc>
          <w:tcPr>
            <w:tcW w:type="dxa" w:w="4693"/>
            <w:tcMar>
              <w:top w:w="50" w:type="dxa"/>
              <w:bottom w:w="50" w:type="dxa"/>
              <w:left w:w="90" w:type="dxa"/>
              <w:right w:w="90" w:type="dxa"/>
            </w:tcMar>
            <w:shd w:val="clear" w:color="auto" w:fill="E5F5FF"/>
          </w:tcPr>
          <w:p>
            <w:pPr>
              <w:pStyle w:val="BDOITable"/>
            </w:pPr>
            <w:r>
              <w:rPr>
                <w:sz w:val="18"/>
              </w:rPr>
              <w:t>From cutover, renewals are processed in BIBS by RMEL cohort; legacy policies run off</w:t>
            </w:r>
          </w:p>
        </w:tc>
      </w:tr>
    </w:tbl>
    <w:p>
      <w:pPr>
        <w:pStyle w:val="BDOISpacer"/>
      </w:pPr>
    </w:p>
    <w:p>
      <w:pPr>
        <w:pStyle w:val="Heading2"/>
      </w:pPr>
      <w:bookmarkStart w:id="109" w:name="_Toc000109"/>
      <w:r>
        <w:rPr/>
        <w:t>2.2 Migration lifecycle</w:t>
      </w:r>
      <w:bookmarkEnd w:id="109"/>
    </w:p>
    <w:p>
      <w:r>
        <w:rPr/>
        <w:t>Every data object goes through the same lifecycle (Figure 1). The decision gate (G1) sets its class. Only objects classed Migrate or Carry-forward are loaded. Each load is reconciled and signed off before the objects that depend on it can load.</w:t>
      </w:r>
    </w:p>
    <w:p>
      <w:pPr>
        <w:keepNext/>
        <w:spacing w:before="80" w:after="0"/>
        <w:jc w:val="center"/>
      </w:pPr>
      <w:r>
        <w:drawing>
          <wp:inline xmlns:a="http://schemas.openxmlformats.org/drawingml/2006/main" xmlns:pic="http://schemas.openxmlformats.org/drawingml/2006/picture">
            <wp:extent cx="6332220" cy="3678636"/>
            <wp:docPr id="3" name="Picture 3"/>
            <wp:cNvGraphicFramePr>
              <a:graphicFrameLocks noChangeAspect="1"/>
            </wp:cNvGraphicFramePr>
            <a:graphic>
              <a:graphicData uri="http://schemas.openxmlformats.org/drawingml/2006/picture">
                <pic:pic>
                  <pic:nvPicPr>
                    <pic:cNvPr id="0" name="brd13_migration_lifecycle.png"/>
                    <pic:cNvPicPr/>
                  </pic:nvPicPr>
                  <pic:blipFill>
                    <a:blip r:embed="rId15"/>
                    <a:stretch>
                      <a:fillRect/>
                    </a:stretch>
                  </pic:blipFill>
                  <pic:spPr>
                    <a:xfrm>
                      <a:off x="0" y="0"/>
                      <a:ext cx="6332220" cy="3678636"/>
                    </a:xfrm>
                    <a:prstGeom prst="rect"/>
                  </pic:spPr>
                </pic:pic>
              </a:graphicData>
            </a:graphic>
          </wp:inline>
        </w:drawing>
      </w:r>
    </w:p>
    <w:p>
      <w:pPr>
        <w:pStyle w:val="Caption"/>
        <w:jc w:val="center"/>
      </w:pPr>
      <w:r>
        <w:rPr>
          <w:b/>
          <w:i w:val="0"/>
        </w:rPr>
        <w:t xml:space="preserve">Figure 1: </w:t>
      </w:r>
      <w:r>
        <w:rPr/>
        <w:t>Lifecycle of a data object, from decision to acceptance (BRID 1.1a, 1.1b, 3.1)</w:t>
      </w:r>
    </w:p>
    <w:p>
      <w:pPr>
        <w:pStyle w:val="Caption"/>
        <w:keepNext/>
        <w:spacing w:after="60"/>
      </w:pPr>
      <w:r>
        <w:rPr>
          <w:b/>
          <w:i w:val="0"/>
        </w:rPr>
        <w:t xml:space="preserve">Table 5: </w:t>
      </w:r>
      <w:r>
        <w:rPr/>
        <w:t>Lifecycle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Data object and decision</w:t>
            </w:r>
          </w:p>
        </w:tc>
        <w:tc>
          <w:tcPr>
            <w:tcW w:type="dxa" w:w="1926"/>
            <w:tcMar>
              <w:top w:w="50" w:type="dxa"/>
              <w:bottom w:w="50" w:type="dxa"/>
              <w:left w:w="90" w:type="dxa"/>
              <w:right w:w="90" w:type="dxa"/>
            </w:tcMar>
          </w:tcPr>
          <w:p>
            <w:pPr>
              <w:pStyle w:val="BDOITable"/>
            </w:pPr>
            <w:r>
              <w:rPr>
                <w:sz w:val="18"/>
              </w:rPr>
              <w:t>Data Migration Lead; data owner approves</w:t>
            </w:r>
          </w:p>
        </w:tc>
        <w:tc>
          <w:tcPr>
            <w:tcW w:type="dxa" w:w="3853"/>
            <w:tcMar>
              <w:top w:w="50" w:type="dxa"/>
              <w:bottom w:w="50" w:type="dxa"/>
              <w:left w:w="90" w:type="dxa"/>
              <w:right w:w="90" w:type="dxa"/>
            </w:tcMar>
          </w:tcPr>
          <w:p>
            <w:pPr>
              <w:pStyle w:val="BDOITable"/>
            </w:pPr>
            <w:r>
              <w:rPr>
                <w:sz w:val="18"/>
              </w:rPr>
              <w:t>The object is registered with the four criteria and classed Migrate / Carry-forward / Archive / Excluded (gate G1)</w:t>
            </w:r>
          </w:p>
        </w:tc>
        <w:tc>
          <w:tcPr>
            <w:tcW w:type="dxa" w:w="1473"/>
            <w:tcMar>
              <w:top w:w="50" w:type="dxa"/>
              <w:bottom w:w="50" w:type="dxa"/>
              <w:left w:w="90" w:type="dxa"/>
              <w:right w:w="90" w:type="dxa"/>
            </w:tcMar>
          </w:tcPr>
          <w:p>
            <w:pPr>
              <w:pStyle w:val="BDOITable"/>
            </w:pPr>
            <w:r>
              <w:rPr>
                <w:sz w:val="18"/>
              </w:rPr>
              <w:t>BRID 1.1a</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Layout and code maps</w:t>
            </w:r>
          </w:p>
        </w:tc>
        <w:tc>
          <w:tcPr>
            <w:tcW w:type="dxa" w:w="1926"/>
            <w:tcMar>
              <w:top w:w="50" w:type="dxa"/>
              <w:bottom w:w="50" w:type="dxa"/>
              <w:left w:w="90" w:type="dxa"/>
              <w:right w:w="90" w:type="dxa"/>
            </w:tcMar>
            <w:shd w:val="clear" w:color="auto" w:fill="E5F5FF"/>
          </w:tcPr>
          <w:p>
            <w:pPr>
              <w:pStyle w:val="BDOITable"/>
            </w:pPr>
            <w:r>
              <w:rPr>
                <w:sz w:val="18"/>
              </w:rPr>
              <w:t>Data Steward; data owner approves</w:t>
            </w:r>
          </w:p>
        </w:tc>
        <w:tc>
          <w:tcPr>
            <w:tcW w:type="dxa" w:w="3853"/>
            <w:tcMar>
              <w:top w:w="50" w:type="dxa"/>
              <w:bottom w:w="50" w:type="dxa"/>
              <w:left w:w="90" w:type="dxa"/>
              <w:right w:w="90" w:type="dxa"/>
            </w:tcMar>
            <w:shd w:val="clear" w:color="auto" w:fill="E5F5FF"/>
          </w:tcPr>
          <w:p>
            <w:pPr>
              <w:pStyle w:val="BDOITable"/>
            </w:pPr>
            <w:r>
              <w:rPr>
                <w:sz w:val="18"/>
              </w:rPr>
              <w:t>The file layout is frozen and the code maps are approved (gate G2)</w:t>
            </w:r>
          </w:p>
        </w:tc>
        <w:tc>
          <w:tcPr>
            <w:tcW w:type="dxa" w:w="1473"/>
            <w:tcMar>
              <w:top w:w="50" w:type="dxa"/>
              <w:bottom w:w="50" w:type="dxa"/>
              <w:left w:w="90" w:type="dxa"/>
              <w:right w:w="90" w:type="dxa"/>
            </w:tcMar>
            <w:shd w:val="clear" w:color="auto" w:fill="E5F5FF"/>
          </w:tcPr>
          <w:p>
            <w:pPr>
              <w:pStyle w:val="BDOITable"/>
            </w:pPr>
            <w:r>
              <w:rPr>
                <w:sz w:val="18"/>
              </w:rPr>
              <w:t>BRID 3.1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Extract intake</w:t>
            </w:r>
          </w:p>
        </w:tc>
        <w:tc>
          <w:tcPr>
            <w:tcW w:type="dxa" w:w="1926"/>
            <w:tcMar>
              <w:top w:w="50" w:type="dxa"/>
              <w:bottom w:w="50" w:type="dxa"/>
              <w:left w:w="90" w:type="dxa"/>
              <w:right w:w="90" w:type="dxa"/>
            </w:tcMar>
          </w:tcPr>
          <w:p>
            <w:pPr>
              <w:pStyle w:val="BDOITable"/>
            </w:pPr>
            <w:r>
              <w:rPr>
                <w:sz w:val="18"/>
              </w:rPr>
              <w:t>Migration Operator</w:t>
            </w:r>
          </w:p>
        </w:tc>
        <w:tc>
          <w:tcPr>
            <w:tcW w:type="dxa" w:w="3853"/>
            <w:tcMar>
              <w:top w:w="50" w:type="dxa"/>
              <w:bottom w:w="50" w:type="dxa"/>
              <w:left w:w="90" w:type="dxa"/>
              <w:right w:w="90" w:type="dxa"/>
            </w:tcMar>
          </w:tcPr>
          <w:p>
            <w:pPr>
              <w:pStyle w:val="BDOITable"/>
            </w:pPr>
            <w:r>
              <w:rPr>
                <w:sz w:val="18"/>
              </w:rPr>
              <w:t>The file and its control file are received; checksum, layout, row count and control totals are checked; personal data is masked outside production</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Staging and validation</w:t>
            </w:r>
          </w:p>
        </w:tc>
        <w:tc>
          <w:tcPr>
            <w:tcW w:type="dxa" w:w="1926"/>
            <w:tcMar>
              <w:top w:w="50" w:type="dxa"/>
              <w:bottom w:w="50" w:type="dxa"/>
              <w:left w:w="90" w:type="dxa"/>
              <w:right w:w="90" w:type="dxa"/>
            </w:tcMar>
            <w:shd w:val="clear" w:color="auto" w:fill="E5F5FF"/>
          </w:tcPr>
          <w:p>
            <w:pPr>
              <w:pStyle w:val="BDOITable"/>
            </w:pPr>
            <w:r>
              <w:rPr>
                <w:sz w:val="18"/>
              </w:rPr>
              <w:t>BIBS job; Data Steward</w:t>
            </w:r>
          </w:p>
        </w:tc>
        <w:tc>
          <w:tcPr>
            <w:tcW w:type="dxa" w:w="3853"/>
            <w:tcMar>
              <w:top w:w="50" w:type="dxa"/>
              <w:bottom w:w="50" w:type="dxa"/>
              <w:left w:w="90" w:type="dxa"/>
              <w:right w:w="90" w:type="dxa"/>
            </w:tcMar>
            <w:shd w:val="clear" w:color="auto" w:fill="E5F5FF"/>
          </w:tcPr>
          <w:p>
            <w:pPr>
              <w:pStyle w:val="BDOITable"/>
            </w:pPr>
            <w:r>
              <w:rPr>
                <w:sz w:val="18"/>
              </w:rPr>
              <w:t>Rows are mapped and validated; unmapped codes, rule failures and client duplicates are listed and resolved (gate G3)</w:t>
            </w:r>
          </w:p>
        </w:tc>
        <w:tc>
          <w:tcPr>
            <w:tcW w:type="dxa" w:w="1473"/>
            <w:tcMar>
              <w:top w:w="50" w:type="dxa"/>
              <w:bottom w:w="50" w:type="dxa"/>
              <w:left w:w="90" w:type="dxa"/>
              <w:right w:w="90" w:type="dxa"/>
            </w:tcMar>
            <w:shd w:val="clear" w:color="auto" w:fill="E5F5FF"/>
          </w:tcPr>
          <w:p>
            <w:pPr>
              <w:pStyle w:val="BDOITable"/>
            </w:pPr>
            <w:r>
              <w:rPr>
                <w:sz w:val="18"/>
              </w:rPr>
              <w:t>BRID 1.1b, 2.1, 3.1</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Load</w:t>
            </w:r>
          </w:p>
        </w:tc>
        <w:tc>
          <w:tcPr>
            <w:tcW w:type="dxa" w:w="1926"/>
            <w:tcMar>
              <w:top w:w="50" w:type="dxa"/>
              <w:bottom w:w="50" w:type="dxa"/>
              <w:left w:w="90" w:type="dxa"/>
              <w:right w:w="90" w:type="dxa"/>
            </w:tcMar>
          </w:tcPr>
          <w:p>
            <w:pPr>
              <w:pStyle w:val="BDOITable"/>
            </w:pPr>
            <w:r>
              <w:rPr>
                <w:sz w:val="18"/>
              </w:rPr>
              <w:t>Data Migration Lead approves (gate G4); BIBS job</w:t>
            </w:r>
          </w:p>
        </w:tc>
        <w:tc>
          <w:tcPr>
            <w:tcW w:type="dxa" w:w="3853"/>
            <w:tcMar>
              <w:top w:w="50" w:type="dxa"/>
              <w:bottom w:w="50" w:type="dxa"/>
              <w:left w:w="90" w:type="dxa"/>
              <w:right w:w="90" w:type="dxa"/>
            </w:tcMar>
          </w:tcPr>
          <w:p>
            <w:pPr>
              <w:pStyle w:val="BDOITable"/>
            </w:pPr>
            <w:r>
              <w:rPr>
                <w:sz w:val="18"/>
              </w:rPr>
              <w:t>Rows are loaded through the BIBS services; each record gets a key cross-reference</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Reconciliation</w:t>
            </w:r>
          </w:p>
        </w:tc>
        <w:tc>
          <w:tcPr>
            <w:tcW w:type="dxa" w:w="1926"/>
            <w:tcMar>
              <w:top w:w="50" w:type="dxa"/>
              <w:bottom w:w="50" w:type="dxa"/>
              <w:left w:w="90" w:type="dxa"/>
              <w:right w:w="90" w:type="dxa"/>
            </w:tcMar>
            <w:shd w:val="clear" w:color="auto" w:fill="E5F5FF"/>
          </w:tcPr>
          <w:p>
            <w:pPr>
              <w:pStyle w:val="BDOITable"/>
            </w:pPr>
            <w:r>
              <w:rPr>
                <w:sz w:val="18"/>
              </w:rPr>
              <w:t>Reconciliation approver</w:t>
            </w:r>
          </w:p>
        </w:tc>
        <w:tc>
          <w:tcPr>
            <w:tcW w:type="dxa" w:w="3853"/>
            <w:tcMar>
              <w:top w:w="50" w:type="dxa"/>
              <w:bottom w:w="50" w:type="dxa"/>
              <w:left w:w="90" w:type="dxa"/>
              <w:right w:w="90" w:type="dxa"/>
            </w:tcMar>
            <w:shd w:val="clear" w:color="auto" w:fill="E5F5FF"/>
          </w:tcPr>
          <w:p>
            <w:pPr>
              <w:pStyle w:val="BDOITable"/>
            </w:pPr>
            <w:r>
              <w:rPr>
                <w:sz w:val="18"/>
              </w:rPr>
              <w:t>Counts, amounts, hash totals, fields and GL are reconciled; breaks are explained (gate G5)</w:t>
            </w:r>
          </w:p>
        </w:tc>
        <w:tc>
          <w:tcPr>
            <w:tcW w:type="dxa" w:w="1473"/>
            <w:tcMar>
              <w:top w:w="50" w:type="dxa"/>
              <w:bottom w:w="50" w:type="dxa"/>
              <w:left w:w="90" w:type="dxa"/>
              <w:right w:w="90" w:type="dxa"/>
            </w:tcMar>
            <w:shd w:val="clear" w:color="auto" w:fill="E5F5FF"/>
          </w:tcPr>
          <w:p>
            <w:pPr>
              <w:pStyle w:val="BDOITable"/>
            </w:pPr>
            <w:r>
              <w:rPr>
                <w:sz w:val="18"/>
              </w:rPr>
              <w:t>BRID 1.1b</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Acceptance</w:t>
            </w:r>
          </w:p>
        </w:tc>
        <w:tc>
          <w:tcPr>
            <w:tcW w:type="dxa" w:w="1926"/>
            <w:tcMar>
              <w:top w:w="50" w:type="dxa"/>
              <w:bottom w:w="50" w:type="dxa"/>
              <w:left w:w="90" w:type="dxa"/>
              <w:right w:w="90" w:type="dxa"/>
            </w:tcMar>
          </w:tcPr>
          <w:p>
            <w:pPr>
              <w:pStyle w:val="BDOITable"/>
            </w:pPr>
            <w:r>
              <w:rPr>
                <w:sz w:val="18"/>
              </w:rPr>
              <w:t>Data owner and Data Migration Lead</w:t>
            </w:r>
          </w:p>
        </w:tc>
        <w:tc>
          <w:tcPr>
            <w:tcW w:type="dxa" w:w="3853"/>
            <w:tcMar>
              <w:top w:w="50" w:type="dxa"/>
              <w:bottom w:w="50" w:type="dxa"/>
              <w:left w:w="90" w:type="dxa"/>
              <w:right w:w="90" w:type="dxa"/>
            </w:tcMar>
          </w:tcPr>
          <w:p>
            <w:pPr>
              <w:pStyle w:val="BDOITable"/>
            </w:pPr>
            <w:r>
              <w:rPr>
                <w:sz w:val="18"/>
              </w:rPr>
              <w:t>Business verification on screen; the object is accepted (gate G6)</w:t>
            </w:r>
          </w:p>
        </w:tc>
        <w:tc>
          <w:tcPr>
            <w:tcW w:type="dxa" w:w="1473"/>
            <w:tcMar>
              <w:top w:w="50" w:type="dxa"/>
              <w:bottom w:w="50" w:type="dxa"/>
              <w:left w:w="90" w:type="dxa"/>
              <w:right w:w="90" w:type="dxa"/>
            </w:tcMar>
          </w:tcPr>
          <w:p>
            <w:pPr>
              <w:pStyle w:val="BDOITable"/>
            </w:pPr>
            <w:r>
              <w:rPr>
                <w:sz w:val="18"/>
              </w:rPr>
              <w:t>BRID 1.1a, 1.1b</w:t>
            </w:r>
          </w:p>
        </w:tc>
      </w:tr>
    </w:tbl>
    <w:p>
      <w:pPr>
        <w:pStyle w:val="BDOISpacer"/>
      </w:pPr>
    </w:p>
    <w:p>
      <w:pPr>
        <w:pStyle w:val="Heading2"/>
      </w:pPr>
      <w:bookmarkStart w:id="110" w:name="_Toc000110"/>
      <w:r>
        <w:rPr/>
        <w:t>2.3 Legacy invoices after cutover</w:t>
      </w:r>
      <w:bookmarkEnd w:id="110"/>
    </w:p>
    <w:p>
      <w:r>
        <w:rPr/>
        <w:t xml:space="preserve">A legacy invoice is not re-booked. It enters the BIBS Operations ledger with its open balances and is then processed like any BIBS invoice, with one difference: its postings go to the </w:t>
      </w:r>
      <w:r>
        <w:rPr>
          <w:b/>
        </w:rPr>
        <w:t>legacy sub-ledgers</w:t>
      </w:r>
      <w:r>
        <w:rPr/>
        <w:t xml:space="preserve"> (Figure 2).</w:t>
      </w:r>
    </w:p>
    <w:p>
      <w:pPr>
        <w:keepNext/>
        <w:spacing w:before="80" w:after="0"/>
        <w:jc w:val="center"/>
      </w:pPr>
      <w:r>
        <w:drawing>
          <wp:inline xmlns:a="http://schemas.openxmlformats.org/drawingml/2006/main" xmlns:pic="http://schemas.openxmlformats.org/drawingml/2006/picture">
            <wp:extent cx="6332220" cy="4769007"/>
            <wp:docPr id="4" name="Picture 4"/>
            <wp:cNvGraphicFramePr>
              <a:graphicFrameLocks noChangeAspect="1"/>
            </wp:cNvGraphicFramePr>
            <a:graphic>
              <a:graphicData uri="http://schemas.openxmlformats.org/drawingml/2006/picture">
                <pic:pic>
                  <pic:nvPicPr>
                    <pic:cNvPr id="0" name="brd13_legacy_invoice_flows.png"/>
                    <pic:cNvPicPr/>
                  </pic:nvPicPr>
                  <pic:blipFill>
                    <a:blip r:embed="rId16"/>
                    <a:stretch>
                      <a:fillRect/>
                    </a:stretch>
                  </pic:blipFill>
                  <pic:spPr>
                    <a:xfrm>
                      <a:off x="0" y="0"/>
                      <a:ext cx="6332220" cy="4769007"/>
                    </a:xfrm>
                    <a:prstGeom prst="rect"/>
                  </pic:spPr>
                </pic:pic>
              </a:graphicData>
            </a:graphic>
          </wp:inline>
        </w:drawing>
      </w:r>
    </w:p>
    <w:p>
      <w:pPr>
        <w:pStyle w:val="Caption"/>
        <w:jc w:val="center"/>
      </w:pPr>
      <w:r>
        <w:rPr>
          <w:b/>
          <w:i w:val="0"/>
        </w:rPr>
        <w:t xml:space="preserve">Figure 2: </w:t>
      </w:r>
      <w:r>
        <w:rPr/>
        <w:t>A legacy invoice and the flows that process it after cutover (BRID 5.1-10.1)</w:t>
      </w:r>
    </w:p>
    <w:p>
      <w:pPr>
        <w:pStyle w:val="Caption"/>
        <w:keepNext/>
        <w:spacing w:after="60"/>
      </w:pPr>
      <w:r>
        <w:rPr>
          <w:b/>
          <w:i w:val="0"/>
        </w:rPr>
        <w:t xml:space="preserve">Table 6: </w:t>
      </w:r>
      <w:r>
        <w:rPr/>
        <w:t>Legacy sub-ledgers (proposed; accounts confirmed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566"/>
        <w:gridCol w:w="3003"/>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403"/>
            <w:tcMar>
              <w:top w:w="50" w:type="dxa"/>
              <w:bottom w:w="50" w:type="dxa"/>
              <w:left w:w="90" w:type="dxa"/>
              <w:right w:w="90" w:type="dxa"/>
            </w:tcMar>
          </w:tcPr>
          <w:p>
            <w:pPr>
              <w:pStyle w:val="BDOITable"/>
            </w:pPr>
            <w:r>
              <w:rPr>
                <w:sz w:val="18"/>
              </w:rPr>
              <w:t>Premium Receivable - Legacy (by component)</w:t>
            </w:r>
          </w:p>
        </w:tc>
        <w:tc>
          <w:tcPr>
            <w:tcW w:type="dxa" w:w="4565"/>
            <w:tcMar>
              <w:top w:w="50" w:type="dxa"/>
              <w:bottom w:w="50" w:type="dxa"/>
              <w:left w:w="90" w:type="dxa"/>
              <w:right w:w="90" w:type="dxa"/>
            </w:tcMar>
          </w:tcPr>
          <w:p>
            <w:pPr>
              <w:pStyle w:val="BDOITable"/>
            </w:pPr>
            <w:r>
              <w:rPr>
                <w:sz w:val="18"/>
              </w:rPr>
              <w:t>Open PR of legacy invoices</w:t>
            </w:r>
          </w:p>
        </w:tc>
        <w:tc>
          <w:tcPr>
            <w:tcW w:type="dxa" w:w="300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PR 2307 - Legacy</w:t>
            </w:r>
          </w:p>
        </w:tc>
        <w:tc>
          <w:tcPr>
            <w:tcW w:type="dxa" w:w="4565"/>
            <w:tcMar>
              <w:top w:w="50" w:type="dxa"/>
              <w:bottom w:w="50" w:type="dxa"/>
              <w:left w:w="90" w:type="dxa"/>
              <w:right w:w="90" w:type="dxa"/>
            </w:tcMar>
            <w:shd w:val="clear" w:color="auto" w:fill="E5F5FF"/>
          </w:tcPr>
          <w:p>
            <w:pPr>
              <w:pStyle w:val="BDOITable"/>
            </w:pPr>
            <w:r>
              <w:rPr>
                <w:sz w:val="18"/>
              </w:rPr>
              <w:t>Open PR2307 of legacy invoices</w:t>
            </w:r>
          </w:p>
        </w:tc>
        <w:tc>
          <w:tcPr>
            <w:tcW w:type="dxa" w:w="300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403"/>
            <w:tcMar>
              <w:top w:w="50" w:type="dxa"/>
              <w:bottom w:w="50" w:type="dxa"/>
              <w:left w:w="90" w:type="dxa"/>
              <w:right w:w="90" w:type="dxa"/>
            </w:tcMar>
          </w:tcPr>
          <w:p>
            <w:pPr>
              <w:pStyle w:val="BDOITable"/>
            </w:pPr>
            <w:r>
              <w:rPr>
                <w:sz w:val="18"/>
              </w:rPr>
              <w:t>Commission Receivable - Legacy</w:t>
            </w:r>
          </w:p>
        </w:tc>
        <w:tc>
          <w:tcPr>
            <w:tcW w:type="dxa" w:w="4565"/>
            <w:tcMar>
              <w:top w:w="50" w:type="dxa"/>
              <w:bottom w:w="50" w:type="dxa"/>
              <w:left w:w="90" w:type="dxa"/>
              <w:right w:w="90" w:type="dxa"/>
            </w:tcMar>
          </w:tcPr>
          <w:p>
            <w:pPr>
              <w:pStyle w:val="BDOITable"/>
            </w:pPr>
            <w:r>
              <w:rPr>
                <w:sz w:val="18"/>
              </w:rPr>
              <w:t>Open commission and VAT on commission from insurers</w:t>
            </w:r>
          </w:p>
        </w:tc>
        <w:tc>
          <w:tcPr>
            <w:tcW w:type="dxa" w:w="3004"/>
            <w:tcMar>
              <w:top w:w="50" w:type="dxa"/>
              <w:bottom w:w="50" w:type="dxa"/>
              <w:left w:w="90" w:type="dxa"/>
              <w:right w:w="90" w:type="dxa"/>
            </w:tcMar>
          </w:tcPr>
          <w:p>
            <w:pPr>
              <w:pStyle w:val="BDOITable"/>
            </w:pPr>
            <w:r>
              <w:rPr>
                <w:sz w:val="18"/>
              </w:rPr>
              <w:t>Remittance, DP commission collection,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Due to Insurers (DTIP) - Legacy</w:t>
            </w:r>
          </w:p>
        </w:tc>
        <w:tc>
          <w:tcPr>
            <w:tcW w:type="dxa" w:w="4565"/>
            <w:tcMar>
              <w:top w:w="50" w:type="dxa"/>
              <w:bottom w:w="50" w:type="dxa"/>
              <w:left w:w="90" w:type="dxa"/>
              <w:right w:w="90" w:type="dxa"/>
            </w:tcMar>
            <w:shd w:val="clear" w:color="auto" w:fill="E5F5FF"/>
          </w:tcPr>
          <w:p>
            <w:pPr>
              <w:pStyle w:val="BDOITable"/>
            </w:pPr>
            <w:r>
              <w:rPr>
                <w:sz w:val="18"/>
              </w:rPr>
              <w:t>Open premium payable to insurers</w:t>
            </w:r>
          </w:p>
        </w:tc>
        <w:tc>
          <w:tcPr>
            <w:tcW w:type="dxa" w:w="3004"/>
            <w:tcMar>
              <w:top w:w="50" w:type="dxa"/>
              <w:bottom w:w="50" w:type="dxa"/>
              <w:left w:w="90" w:type="dxa"/>
              <w:right w:w="90" w:type="dxa"/>
            </w:tcMar>
            <w:shd w:val="clear" w:color="auto" w:fill="E5F5FF"/>
          </w:tcPr>
          <w:p>
            <w:pPr>
              <w:pStyle w:val="BDOITable"/>
            </w:pPr>
            <w:r>
              <w:rPr>
                <w:sz w:val="18"/>
              </w:rPr>
              <w:t>Remittance, DPPR and PR2307 reversals, endorsements</w:t>
            </w:r>
          </w:p>
        </w:tc>
      </w:tr>
      <w:tr>
        <w:trPr>
          <w:cantSplit w:val="true"/>
        </w:trPr>
        <w:tc>
          <w:tcPr>
            <w:tcW w:type="dxa" w:w="2403"/>
            <w:tcMar>
              <w:top w:w="50" w:type="dxa"/>
              <w:bottom w:w="50" w:type="dxa"/>
              <w:left w:w="90" w:type="dxa"/>
              <w:right w:w="90" w:type="dxa"/>
            </w:tcMar>
          </w:tcPr>
          <w:p>
            <w:pPr>
              <w:pStyle w:val="BDOITable"/>
            </w:pPr>
            <w:r>
              <w:rPr>
                <w:sz w:val="18"/>
              </w:rPr>
              <w:t>Unapplied Collections (UPP) - Legacy</w:t>
            </w:r>
          </w:p>
        </w:tc>
        <w:tc>
          <w:tcPr>
            <w:tcW w:type="dxa" w:w="4565"/>
            <w:tcMar>
              <w:top w:w="50" w:type="dxa"/>
              <w:bottom w:w="50" w:type="dxa"/>
              <w:left w:w="90" w:type="dxa"/>
              <w:right w:w="90" w:type="dxa"/>
            </w:tcMar>
          </w:tcPr>
          <w:p>
            <w:pPr>
              <w:pStyle w:val="BDOITable"/>
            </w:pPr>
            <w:r>
              <w:rPr>
                <w:sz w:val="18"/>
              </w:rPr>
              <w:t>Legacy UPP</w:t>
            </w:r>
          </w:p>
        </w:tc>
        <w:tc>
          <w:tcPr>
            <w:tcW w:type="dxa" w:w="3004"/>
            <w:tcMar>
              <w:top w:w="50" w:type="dxa"/>
              <w:bottom w:w="50" w:type="dxa"/>
              <w:left w:w="90" w:type="dxa"/>
              <w:right w:w="90" w:type="dxa"/>
            </w:tcMar>
          </w:tcPr>
          <w:p>
            <w:pPr>
              <w:pStyle w:val="BDOITable"/>
            </w:pPr>
            <w:r>
              <w:rPr>
                <w:sz w:val="18"/>
              </w:rPr>
              <w:t>Automatch, dispositions, refunds, reclassification to income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Migration Clearing</w:t>
            </w:r>
          </w:p>
        </w:tc>
        <w:tc>
          <w:tcPr>
            <w:tcW w:type="dxa" w:w="4565"/>
            <w:tcMar>
              <w:top w:w="50" w:type="dxa"/>
              <w:bottom w:w="50" w:type="dxa"/>
              <w:left w:w="90" w:type="dxa"/>
              <w:right w:w="90" w:type="dxa"/>
            </w:tcMar>
            <w:shd w:val="clear" w:color="auto" w:fill="E5F5FF"/>
          </w:tcPr>
          <w:p>
            <w:pPr>
              <w:pStyle w:val="BDOITable"/>
            </w:pPr>
            <w:r>
              <w:rPr>
                <w:sz w:val="18"/>
              </w:rPr>
              <w:t>Offset of the opening entries and of the GL trial balance lines of the legacy control accounts</w:t>
            </w:r>
          </w:p>
        </w:tc>
        <w:tc>
          <w:tcPr>
            <w:tcW w:type="dxa" w:w="3004"/>
            <w:tcMar>
              <w:top w:w="50" w:type="dxa"/>
              <w:bottom w:w="50" w:type="dxa"/>
              <w:left w:w="90" w:type="dxa"/>
              <w:right w:w="90" w:type="dxa"/>
            </w:tcMar>
            <w:shd w:val="clear" w:color="auto" w:fill="E5F5FF"/>
          </w:tcPr>
          <w:p>
            <w:pPr>
              <w:pStyle w:val="BDOITable"/>
            </w:pPr>
            <w:r>
              <w:rPr>
                <w:sz w:val="18"/>
              </w:rPr>
              <w:t>Opening entries only; must be 0.00</w:t>
            </w:r>
          </w:p>
        </w:tc>
      </w:tr>
    </w:tbl>
    <w:p>
      <w:pPr>
        <w:pStyle w:val="BDOISpacer"/>
      </w:pPr>
    </w:p>
    <w:p>
      <w:pPr>
        <w:pStyle w:val="Heading2"/>
      </w:pPr>
      <w:bookmarkStart w:id="111" w:name="_Toc000111"/>
      <w:r>
        <w:rPr/>
        <w:t>2.4 Cutover and transition</w:t>
      </w:r>
      <w:bookmarkEnd w:id="111"/>
    </w:p>
    <w:p>
      <w:r>
        <w:rPr/>
        <w:t>The cutover follows a calendar that starts 16 weeks before go-live (Figure 3). Reference data and clients are pre-loaded two weeks before go-live and kept current with daily client deltas. Open items, UPP, policy headers and the GL trial balance are loaded once, after the legacy freeze, over the cutover weekend.</w:t>
      </w:r>
    </w:p>
    <w:p>
      <w:pPr>
        <w:keepNext/>
        <w:spacing w:before="80" w:after="0"/>
        <w:jc w:val="center"/>
      </w:pPr>
      <w:r>
        <w:drawing>
          <wp:inline xmlns:a="http://schemas.openxmlformats.org/drawingml/2006/main" xmlns:pic="http://schemas.openxmlformats.org/drawingml/2006/picture">
            <wp:extent cx="6332220" cy="4933741"/>
            <wp:docPr id="5" name="Picture 5"/>
            <wp:cNvGraphicFramePr>
              <a:graphicFrameLocks noChangeAspect="1"/>
            </wp:cNvGraphicFramePr>
            <a:graphic>
              <a:graphicData uri="http://schemas.openxmlformats.org/drawingml/2006/picture">
                <pic:pic>
                  <pic:nvPicPr>
                    <pic:cNvPr id="0" name="brd13_cutover_timeline.png"/>
                    <pic:cNvPicPr/>
                  </pic:nvPicPr>
                  <pic:blipFill>
                    <a:blip r:embed="rId17"/>
                    <a:stretch>
                      <a:fillRect/>
                    </a:stretch>
                  </pic:blipFill>
                  <pic:spPr>
                    <a:xfrm>
                      <a:off x="0" y="0"/>
                      <a:ext cx="6332220" cy="4933741"/>
                    </a:xfrm>
                    <a:prstGeom prst="rect"/>
                  </pic:spPr>
                </pic:pic>
              </a:graphicData>
            </a:graphic>
          </wp:inline>
        </w:drawing>
      </w:r>
    </w:p>
    <w:p>
      <w:pPr>
        <w:pStyle w:val="Caption"/>
        <w:jc w:val="center"/>
      </w:pPr>
      <w:r>
        <w:rPr>
          <w:b/>
          <w:i w:val="0"/>
        </w:rPr>
        <w:t xml:space="preserve">Figure 3: </w:t>
      </w:r>
      <w:r>
        <w:rPr/>
        <w:t>Cutover timeline (BRID 12.1; T = go-live)</w:t>
      </w:r>
    </w:p>
    <w:p>
      <w:r>
        <w:rPr/>
        <w:t>The transition to BIBS follows the renewal expiry month (RMEL cohort):</w:t>
      </w:r>
    </w:p>
    <w:p>
      <w:pPr>
        <w:pStyle w:val="Caption"/>
        <w:keepNext/>
        <w:spacing w:after="60"/>
      </w:pPr>
      <w:r>
        <w:rPr>
          <w:b/>
          <w:i w:val="0"/>
        </w:rPr>
        <w:t xml:space="preserve">Table 7: </w:t>
      </w:r>
      <w:r>
        <w:rPr/>
        <w:t>Transition by RMEL cohort (proposal; DMQ26)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Cohort (expiry month)</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763"/>
            <w:tcMar>
              <w:top w:w="50" w:type="dxa"/>
              <w:bottom w:w="50" w:type="dxa"/>
              <w:left w:w="90" w:type="dxa"/>
              <w:right w:w="90" w:type="dxa"/>
            </w:tcMar>
          </w:tcPr>
          <w:p>
            <w:pPr>
              <w:pStyle w:val="BDOITable"/>
            </w:pPr>
            <w:r>
              <w:rPr>
                <w:sz w:val="18"/>
              </w:rPr>
              <w:t>Before go-live</w:t>
            </w:r>
          </w:p>
        </w:tc>
        <w:tc>
          <w:tcPr>
            <w:tcW w:type="dxa" w:w="7209"/>
            <w:tcMar>
              <w:top w:w="50" w:type="dxa"/>
              <w:bottom w:w="50" w:type="dxa"/>
              <w:left w:w="90" w:type="dxa"/>
              <w:right w:w="90" w:type="dxa"/>
            </w:tcMar>
          </w:tcPr>
          <w:p>
            <w:pPr>
              <w:pStyle w:val="BDOITable"/>
            </w:pPr>
            <w:r>
              <w:rPr>
                <w:sz w:val="18"/>
              </w:rPr>
              <w:t>Renewed or lapsed in legacy before the freeze; only open items are carried forward</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From go-live to go-live + 140 days (RMEL already extracted in legacy)</w:t>
            </w:r>
          </w:p>
        </w:tc>
        <w:tc>
          <w:tcPr>
            <w:tcW w:type="dxa" w:w="7209"/>
            <w:tcMar>
              <w:top w:w="50" w:type="dxa"/>
              <w:bottom w:w="50" w:type="dxa"/>
              <w:left w:w="90" w:type="dxa"/>
              <w:right w:w="90" w:type="dxa"/>
            </w:tcMar>
            <w:shd w:val="clear" w:color="auto" w:fill="E5F5FF"/>
          </w:tcPr>
          <w:p>
            <w:pPr>
              <w:pStyle w:val="BDOITable"/>
            </w:pPr>
            <w:r>
              <w:rPr>
                <w:sz w:val="18"/>
              </w:rPr>
              <w:t>The renewal candidates are carried forward with their disposition and continue in BIBS Renewal</w:t>
            </w:r>
          </w:p>
        </w:tc>
      </w:tr>
      <w:tr>
        <w:trPr>
          <w:cantSplit w:val="true"/>
        </w:trPr>
        <w:tc>
          <w:tcPr>
            <w:tcW w:type="dxa" w:w="2763"/>
            <w:tcMar>
              <w:top w:w="50" w:type="dxa"/>
              <w:bottom w:w="50" w:type="dxa"/>
              <w:left w:w="90" w:type="dxa"/>
              <w:right w:w="90" w:type="dxa"/>
            </w:tcMar>
          </w:tcPr>
          <w:p>
            <w:pPr>
              <w:pStyle w:val="BDOITable"/>
            </w:pPr>
            <w:r>
              <w:rPr>
                <w:sz w:val="18"/>
              </w:rPr>
              <w:t>After go-live + 140 days</w:t>
            </w:r>
          </w:p>
        </w:tc>
        <w:tc>
          <w:tcPr>
            <w:tcW w:type="dxa" w:w="7209"/>
            <w:tcMar>
              <w:top w:w="50" w:type="dxa"/>
              <w:bottom w:w="50" w:type="dxa"/>
              <w:left w:w="90" w:type="dxa"/>
              <w:right w:w="90" w:type="dxa"/>
            </w:tcMar>
          </w:tcPr>
          <w:p>
            <w:pPr>
              <w:pStyle w:val="BDOITable"/>
            </w:pPr>
            <w:r>
              <w:rPr>
                <w:sz w:val="18"/>
              </w:rPr>
              <w:t>Extracted by BIBS Renewal from the migrated policy headers</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2667"/>
        <w:gridCol w:w="3942"/>
        <w:gridCol w:w="1507"/>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667"/>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3942"/>
            <w:shd w:val="clear" w:color="auto" w:fill="004EA8"/>
            <w:tcMar>
              <w:top w:w="50" w:type="dxa"/>
              <w:bottom w:w="50" w:type="dxa"/>
              <w:left w:w="90" w:type="dxa"/>
              <w:right w:w="90" w:type="dxa"/>
            </w:tcMar>
            <w:vAlign w:val="center"/>
          </w:tcPr>
          <w:p>
            <w:pPr>
              <w:pStyle w:val="BDOITableHeader"/>
            </w:pPr>
            <w:r>
              <w:rPr>
                <w:b/>
                <w:color w:val="FFFFFF"/>
                <w:sz w:val="17"/>
              </w:rPr>
              <w:t>Responsibilities in Data Migration</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55"/>
            <w:tcMar>
              <w:top w:w="50" w:type="dxa"/>
              <w:bottom w:w="50" w:type="dxa"/>
              <w:left w:w="90" w:type="dxa"/>
              <w:right w:w="90" w:type="dxa"/>
            </w:tcMar>
          </w:tcPr>
          <w:p>
            <w:pPr>
              <w:pStyle w:val="BDOITable"/>
            </w:pPr>
            <w:r>
              <w:rPr>
                <w:sz w:val="17"/>
              </w:rPr>
              <w:t>Data Migration Lead</w:t>
            </w:r>
          </w:p>
        </w:tc>
        <w:tc>
          <w:tcPr>
            <w:tcW w:type="dxa" w:w="2667"/>
            <w:tcMar>
              <w:top w:w="50" w:type="dxa"/>
              <w:bottom w:w="50" w:type="dxa"/>
              <w:left w:w="90" w:type="dxa"/>
              <w:right w:w="90" w:type="dxa"/>
            </w:tcMar>
          </w:tcPr>
          <w:p>
            <w:pPr>
              <w:pStyle w:val="BDOITable"/>
            </w:pPr>
            <w:r>
              <w:rPr>
                <w:sz w:val="17"/>
              </w:rPr>
              <w:t>DATA_MIGRATION_LEAD</w:t>
            </w:r>
          </w:p>
        </w:tc>
        <w:tc>
          <w:tcPr>
            <w:tcW w:type="dxa" w:w="3942"/>
            <w:tcMar>
              <w:top w:w="50" w:type="dxa"/>
              <w:bottom w:w="50" w:type="dxa"/>
              <w:left w:w="90" w:type="dxa"/>
              <w:right w:w="90" w:type="dxa"/>
            </w:tcMar>
          </w:tcPr>
          <w:p>
            <w:pPr>
              <w:pStyle w:val="BDOITable"/>
            </w:pPr>
            <w:r>
              <w:rPr>
                <w:sz w:val="17"/>
              </w:rPr>
              <w:t>Maintains the data object register, submits decisions, approves loads, accepts objects, runs the cutover plan</w:t>
            </w:r>
          </w:p>
        </w:tc>
        <w:tc>
          <w:tcPr>
            <w:tcW w:type="dxa" w:w="1507"/>
            <w:tcMar>
              <w:top w:w="50" w:type="dxa"/>
              <w:bottom w:w="50" w:type="dxa"/>
              <w:left w:w="90" w:type="dxa"/>
              <w:right w:w="90" w:type="dxa"/>
            </w:tcMar>
          </w:tcPr>
          <w:p>
            <w:pPr>
              <w:pStyle w:val="BDOITable"/>
            </w:pPr>
            <w:r>
              <w:rPr>
                <w:sz w:val="17"/>
              </w:rPr>
              <w:t>BRID 1.1a, 1.1b,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Data Steward</w:t>
            </w:r>
          </w:p>
        </w:tc>
        <w:tc>
          <w:tcPr>
            <w:tcW w:type="dxa" w:w="2667"/>
            <w:tcMar>
              <w:top w:w="50" w:type="dxa"/>
              <w:bottom w:w="50" w:type="dxa"/>
              <w:left w:w="90" w:type="dxa"/>
              <w:right w:w="90" w:type="dxa"/>
            </w:tcMar>
            <w:shd w:val="clear" w:color="auto" w:fill="E5F5FF"/>
          </w:tcPr>
          <w:p>
            <w:pPr>
              <w:pStyle w:val="BDOITable"/>
            </w:pPr>
            <w:r>
              <w:rPr>
                <w:sz w:val="17"/>
              </w:rPr>
              <w:t>DATA_STEWARD</w:t>
            </w:r>
          </w:p>
        </w:tc>
        <w:tc>
          <w:tcPr>
            <w:tcW w:type="dxa" w:w="3942"/>
            <w:tcMar>
              <w:top w:w="50" w:type="dxa"/>
              <w:bottom w:w="50" w:type="dxa"/>
              <w:left w:w="90" w:type="dxa"/>
              <w:right w:w="90" w:type="dxa"/>
            </w:tcMar>
            <w:shd w:val="clear" w:color="auto" w:fill="E5F5FF"/>
          </w:tcPr>
          <w:p>
            <w:pPr>
              <w:pStyle w:val="BDOITable"/>
            </w:pPr>
            <w:r>
              <w:rPr>
                <w:sz w:val="17"/>
              </w:rPr>
              <w:t>Maintains code maps, layouts and rules; resolves data-quality issues; decides doubtful client matches</w:t>
            </w:r>
          </w:p>
        </w:tc>
        <w:tc>
          <w:tcPr>
            <w:tcW w:type="dxa" w:w="1507"/>
            <w:tcMar>
              <w:top w:w="50" w:type="dxa"/>
              <w:bottom w:w="50" w:type="dxa"/>
              <w:left w:w="90" w:type="dxa"/>
              <w:right w:w="90" w:type="dxa"/>
            </w:tcMar>
            <w:shd w:val="clear" w:color="auto" w:fill="E5F5FF"/>
          </w:tcPr>
          <w:p>
            <w:pPr>
              <w:pStyle w:val="BDOITable"/>
            </w:pPr>
            <w:r>
              <w:rPr>
                <w:sz w:val="17"/>
              </w:rPr>
              <w:t>BRID 2.1, 3.1</w:t>
            </w:r>
          </w:p>
        </w:tc>
      </w:tr>
      <w:tr>
        <w:trPr>
          <w:cantSplit w:val="true"/>
        </w:trPr>
        <w:tc>
          <w:tcPr>
            <w:tcW w:type="dxa" w:w="1855"/>
            <w:tcMar>
              <w:top w:w="50" w:type="dxa"/>
              <w:bottom w:w="50" w:type="dxa"/>
              <w:left w:w="90" w:type="dxa"/>
              <w:right w:w="90" w:type="dxa"/>
            </w:tcMar>
          </w:tcPr>
          <w:p>
            <w:pPr>
              <w:pStyle w:val="BDOITable"/>
            </w:pPr>
            <w:r>
              <w:rPr>
                <w:sz w:val="17"/>
              </w:rPr>
              <w:t>Data owner (business owner of an object)</w:t>
            </w:r>
          </w:p>
        </w:tc>
        <w:tc>
          <w:tcPr>
            <w:tcW w:type="dxa" w:w="2667"/>
            <w:tcMar>
              <w:top w:w="50" w:type="dxa"/>
              <w:bottom w:w="50" w:type="dxa"/>
              <w:left w:w="90" w:type="dxa"/>
              <w:right w:w="90" w:type="dxa"/>
            </w:tcMar>
          </w:tcPr>
          <w:p>
            <w:pPr>
              <w:pStyle w:val="BDOITable"/>
            </w:pPr>
            <w:r>
              <w:rPr>
                <w:sz w:val="17"/>
              </w:rPr>
              <w:t>DATA_OWNER</w:t>
            </w:r>
          </w:p>
        </w:tc>
        <w:tc>
          <w:tcPr>
            <w:tcW w:type="dxa" w:w="3942"/>
            <w:tcMar>
              <w:top w:w="50" w:type="dxa"/>
              <w:bottom w:w="50" w:type="dxa"/>
              <w:left w:w="90" w:type="dxa"/>
              <w:right w:w="90" w:type="dxa"/>
            </w:tcMar>
          </w:tcPr>
          <w:p>
            <w:pPr>
              <w:pStyle w:val="BDOITable"/>
            </w:pPr>
            <w:r>
              <w:rPr>
                <w:sz w:val="17"/>
              </w:rPr>
              <w:t>Approves decisions, code map versions and waivers; accepts the object</w:t>
            </w:r>
          </w:p>
        </w:tc>
        <w:tc>
          <w:tcPr>
            <w:tcW w:type="dxa" w:w="1507"/>
            <w:tcMar>
              <w:top w:w="50" w:type="dxa"/>
              <w:bottom w:w="50" w:type="dxa"/>
              <w:left w:w="90" w:type="dxa"/>
              <w:right w:w="90" w:type="dxa"/>
            </w:tcMar>
          </w:tcPr>
          <w:p>
            <w:pPr>
              <w:pStyle w:val="BDOITable"/>
            </w:pPr>
            <w:r>
              <w:rPr>
                <w:sz w:val="17"/>
              </w:rPr>
              <w:t>BRID 1.1a, 3.1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Migration Operator</w:t>
            </w:r>
          </w:p>
        </w:tc>
        <w:tc>
          <w:tcPr>
            <w:tcW w:type="dxa" w:w="2667"/>
            <w:tcMar>
              <w:top w:w="50" w:type="dxa"/>
              <w:bottom w:w="50" w:type="dxa"/>
              <w:left w:w="90" w:type="dxa"/>
              <w:right w:w="90" w:type="dxa"/>
            </w:tcMar>
            <w:shd w:val="clear" w:color="auto" w:fill="E5F5FF"/>
          </w:tcPr>
          <w:p>
            <w:pPr>
              <w:pStyle w:val="BDOITable"/>
            </w:pPr>
            <w:r>
              <w:rPr>
                <w:sz w:val="17"/>
              </w:rPr>
              <w:t>MIGRATION_OPERATOR</w:t>
            </w:r>
          </w:p>
        </w:tc>
        <w:tc>
          <w:tcPr>
            <w:tcW w:type="dxa" w:w="3942"/>
            <w:tcMar>
              <w:top w:w="50" w:type="dxa"/>
              <w:bottom w:w="50" w:type="dxa"/>
              <w:left w:w="90" w:type="dxa"/>
              <w:right w:w="90" w:type="dxa"/>
            </w:tcMar>
            <w:shd w:val="clear" w:color="auto" w:fill="E5F5FF"/>
          </w:tcPr>
          <w:p>
            <w:pPr>
              <w:pStyle w:val="BDOITable"/>
            </w:pPr>
            <w:r>
              <w:rPr>
                <w:sz w:val="17"/>
              </w:rPr>
              <w:t>Receives extracts, runs validation and loads</w:t>
            </w:r>
          </w:p>
        </w:tc>
        <w:tc>
          <w:tcPr>
            <w:tcW w:type="dxa" w:w="1507"/>
            <w:tcMar>
              <w:top w:w="50" w:type="dxa"/>
              <w:bottom w:w="50" w:type="dxa"/>
              <w:left w:w="90" w:type="dxa"/>
              <w:right w:w="90" w:type="dxa"/>
            </w:tcMar>
            <w:shd w:val="clear" w:color="auto" w:fill="E5F5FF"/>
          </w:tcPr>
          <w:p>
            <w:pPr>
              <w:pStyle w:val="BDOITable"/>
            </w:pPr>
            <w:r>
              <w:rPr>
                <w:sz w:val="17"/>
              </w:rPr>
              <w:t>BRID 1.1b</w:t>
            </w:r>
          </w:p>
        </w:tc>
      </w:tr>
      <w:tr>
        <w:trPr>
          <w:cantSplit w:val="true"/>
        </w:trPr>
        <w:tc>
          <w:tcPr>
            <w:tcW w:type="dxa" w:w="1855"/>
            <w:tcMar>
              <w:top w:w="50" w:type="dxa"/>
              <w:bottom w:w="50" w:type="dxa"/>
              <w:left w:w="90" w:type="dxa"/>
              <w:right w:w="90" w:type="dxa"/>
            </w:tcMar>
          </w:tcPr>
          <w:p>
            <w:pPr>
              <w:pStyle w:val="BDOITable"/>
            </w:pPr>
            <w:r>
              <w:rPr>
                <w:sz w:val="17"/>
              </w:rPr>
              <w:t>Reconciliation approver</w:t>
            </w:r>
          </w:p>
        </w:tc>
        <w:tc>
          <w:tcPr>
            <w:tcW w:type="dxa" w:w="2667"/>
            <w:tcMar>
              <w:top w:w="50" w:type="dxa"/>
              <w:bottom w:w="50" w:type="dxa"/>
              <w:left w:w="90" w:type="dxa"/>
              <w:right w:w="90" w:type="dxa"/>
            </w:tcMar>
          </w:tcPr>
          <w:p>
            <w:pPr>
              <w:pStyle w:val="BDOITable"/>
            </w:pPr>
            <w:r>
              <w:rPr>
                <w:sz w:val="17"/>
              </w:rPr>
              <w:t>MIGRATION_RECON_APPROVER</w:t>
            </w:r>
          </w:p>
        </w:tc>
        <w:tc>
          <w:tcPr>
            <w:tcW w:type="dxa" w:w="3942"/>
            <w:tcMar>
              <w:top w:w="50" w:type="dxa"/>
              <w:bottom w:w="50" w:type="dxa"/>
              <w:left w:w="90" w:type="dxa"/>
              <w:right w:w="90" w:type="dxa"/>
            </w:tcMar>
          </w:tcPr>
          <w:p>
            <w:pPr>
              <w:pStyle w:val="BDOITable"/>
            </w:pPr>
            <w:r>
              <w:rPr>
                <w:sz w:val="17"/>
              </w:rPr>
              <w:t>Signs the reconciliation; approves break explanations and rollbacks (Comptrollership for financial objects)</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Go / no-go board</w:t>
            </w:r>
          </w:p>
        </w:tc>
        <w:tc>
          <w:tcPr>
            <w:tcW w:type="dxa" w:w="2667"/>
            <w:tcMar>
              <w:top w:w="50" w:type="dxa"/>
              <w:bottom w:w="50" w:type="dxa"/>
              <w:left w:w="90" w:type="dxa"/>
              <w:right w:w="90" w:type="dxa"/>
            </w:tcMar>
            <w:shd w:val="clear" w:color="auto" w:fill="E5F5FF"/>
          </w:tcPr>
          <w:p>
            <w:pPr>
              <w:pStyle w:val="BDOITable"/>
            </w:pPr>
            <w:r>
              <w:rPr>
                <w:sz w:val="17"/>
              </w:rPr>
              <w:t>MIGRATION_GONOGO</w:t>
            </w:r>
          </w:p>
        </w:tc>
        <w:tc>
          <w:tcPr>
            <w:tcW w:type="dxa" w:w="3942"/>
            <w:tcMar>
              <w:top w:w="50" w:type="dxa"/>
              <w:bottom w:w="50" w:type="dxa"/>
              <w:left w:w="90" w:type="dxa"/>
              <w:right w:w="90" w:type="dxa"/>
            </w:tcMar>
            <w:shd w:val="clear" w:color="auto" w:fill="E5F5FF"/>
          </w:tcPr>
          <w:p>
            <w:pPr>
              <w:pStyle w:val="BDOITable"/>
            </w:pPr>
            <w:r>
              <w:rPr>
                <w:sz w:val="17"/>
              </w:rPr>
              <w:t>Decides go-live on the measured criteria</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Program Manager</w:t>
            </w:r>
          </w:p>
        </w:tc>
        <w:tc>
          <w:tcPr>
            <w:tcW w:type="dxa" w:w="2667"/>
            <w:tcMar>
              <w:top w:w="50" w:type="dxa"/>
              <w:bottom w:w="50" w:type="dxa"/>
              <w:left w:w="90" w:type="dxa"/>
              <w:right w:w="90" w:type="dxa"/>
            </w:tcMar>
          </w:tcPr>
          <w:p>
            <w:pPr>
              <w:pStyle w:val="BDOITable"/>
            </w:pPr>
            <w:r>
              <w:rPr>
                <w:sz w:val="17"/>
              </w:rPr>
              <w:t>MIGRATION_GONOGO, MIG_VIEW</w:t>
            </w:r>
          </w:p>
        </w:tc>
        <w:tc>
          <w:tcPr>
            <w:tcW w:type="dxa" w:w="3942"/>
            <w:tcMar>
              <w:top w:w="50" w:type="dxa"/>
              <w:bottom w:w="50" w:type="dxa"/>
              <w:left w:w="90" w:type="dxa"/>
              <w:right w:w="90" w:type="dxa"/>
            </w:tcMar>
          </w:tcPr>
          <w:p>
            <w:pPr>
              <w:pStyle w:val="BDOITable"/>
            </w:pPr>
            <w:r>
              <w:rPr>
                <w:sz w:val="17"/>
              </w:rPr>
              <w:t>Owns the cutover approach and the transition model</w:t>
            </w:r>
          </w:p>
        </w:tc>
        <w:tc>
          <w:tcPr>
            <w:tcW w:type="dxa" w:w="1507"/>
            <w:tcMar>
              <w:top w:w="50" w:type="dxa"/>
              <w:bottom w:w="50" w:type="dxa"/>
              <w:left w:w="90" w:type="dxa"/>
              <w:right w:w="90" w:type="dxa"/>
            </w:tcMar>
          </w:tcPr>
          <w:p>
            <w:pPr>
              <w:pStyle w:val="BDOITable"/>
            </w:pPr>
            <w:r>
              <w:rPr>
                <w:sz w:val="17"/>
              </w:rPr>
              <w:t>BRID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Marketing User</w:t>
            </w:r>
          </w:p>
        </w:tc>
        <w:tc>
          <w:tcPr>
            <w:tcW w:type="dxa" w:w="2667"/>
            <w:tcMar>
              <w:top w:w="50" w:type="dxa"/>
              <w:bottom w:w="50" w:type="dxa"/>
              <w:left w:w="90" w:type="dxa"/>
              <w:right w:w="90" w:type="dxa"/>
            </w:tcMar>
            <w:shd w:val="clear" w:color="auto" w:fill="E5F5FF"/>
          </w:tcPr>
          <w:p>
            <w:pPr>
              <w:pStyle w:val="BDOITable"/>
            </w:pPr>
            <w:r>
              <w:rPr>
                <w:sz w:val="17"/>
              </w:rPr>
              <w:t>Existing Marketing roles</w:t>
            </w:r>
          </w:p>
        </w:tc>
        <w:tc>
          <w:tcPr>
            <w:tcW w:type="dxa" w:w="3942"/>
            <w:tcMar>
              <w:top w:w="50" w:type="dxa"/>
              <w:bottom w:w="50" w:type="dxa"/>
              <w:left w:w="90" w:type="dxa"/>
              <w:right w:w="90" w:type="dxa"/>
            </w:tcMar>
            <w:shd w:val="clear" w:color="auto" w:fill="E5F5FF"/>
          </w:tcPr>
          <w:p>
            <w:pPr>
              <w:pStyle w:val="BDOITable"/>
            </w:pPr>
            <w:r>
              <w:rPr>
                <w:sz w:val="17"/>
              </w:rPr>
              <w:t>Finds migrated clients and uses them in transactions</w:t>
            </w:r>
          </w:p>
        </w:tc>
        <w:tc>
          <w:tcPr>
            <w:tcW w:type="dxa" w:w="1507"/>
            <w:tcMar>
              <w:top w:w="50" w:type="dxa"/>
              <w:bottom w:w="50" w:type="dxa"/>
              <w:left w:w="90" w:type="dxa"/>
              <w:right w:w="90" w:type="dxa"/>
            </w:tcMar>
            <w:shd w:val="clear" w:color="auto" w:fill="E5F5FF"/>
          </w:tcPr>
          <w:p>
            <w:pPr>
              <w:pStyle w:val="BDOITable"/>
            </w:pPr>
            <w:r>
              <w:rPr>
                <w:sz w:val="17"/>
              </w:rPr>
              <w:t>BRID 2.1</w:t>
            </w:r>
          </w:p>
        </w:tc>
      </w:tr>
      <w:tr>
        <w:trPr>
          <w:cantSplit w:val="true"/>
        </w:trPr>
        <w:tc>
          <w:tcPr>
            <w:tcW w:type="dxa" w:w="1855"/>
            <w:tcMar>
              <w:top w:w="50" w:type="dxa"/>
              <w:bottom w:w="50" w:type="dxa"/>
              <w:left w:w="90" w:type="dxa"/>
              <w:right w:w="90" w:type="dxa"/>
            </w:tcMar>
          </w:tcPr>
          <w:p>
            <w:pPr>
              <w:pStyle w:val="BDOITable"/>
            </w:pPr>
            <w:r>
              <w:rPr>
                <w:sz w:val="17"/>
              </w:rPr>
              <w:t>Operations User</w:t>
            </w:r>
          </w:p>
        </w:tc>
        <w:tc>
          <w:tcPr>
            <w:tcW w:type="dxa" w:w="2667"/>
            <w:tcMar>
              <w:top w:w="50" w:type="dxa"/>
              <w:bottom w:w="50" w:type="dxa"/>
              <w:left w:w="90" w:type="dxa"/>
              <w:right w:w="90" w:type="dxa"/>
            </w:tcMar>
          </w:tcPr>
          <w:p>
            <w:pPr>
              <w:pStyle w:val="BDOITable"/>
            </w:pPr>
            <w:r>
              <w:rPr>
                <w:sz w:val="17"/>
              </w:rPr>
              <w:t>Existing Operations roles (ADJUSTMENT, ADJUSTMENT_TL)</w:t>
            </w:r>
          </w:p>
        </w:tc>
        <w:tc>
          <w:tcPr>
            <w:tcW w:type="dxa" w:w="3942"/>
            <w:tcMar>
              <w:top w:w="50" w:type="dxa"/>
              <w:bottom w:w="50" w:type="dxa"/>
              <w:left w:w="90" w:type="dxa"/>
              <w:right w:w="90" w:type="dxa"/>
            </w:tcMar>
          </w:tcPr>
          <w:p>
            <w:pPr>
              <w:pStyle w:val="BDOITable"/>
            </w:pPr>
            <w:r>
              <w:rPr>
                <w:sz w:val="17"/>
              </w:rPr>
              <w:t>Finds migrated policies; processes endorsements on legacy invoices</w:t>
            </w:r>
          </w:p>
        </w:tc>
        <w:tc>
          <w:tcPr>
            <w:tcW w:type="dxa" w:w="1507"/>
            <w:tcMar>
              <w:top w:w="50" w:type="dxa"/>
              <w:bottom w:w="50" w:type="dxa"/>
              <w:left w:w="90" w:type="dxa"/>
              <w:right w:w="90" w:type="dxa"/>
            </w:tcMar>
          </w:tcPr>
          <w:p>
            <w:pPr>
              <w:pStyle w:val="BDOITable"/>
            </w:pPr>
            <w:r>
              <w:rPr>
                <w:sz w:val="17"/>
              </w:rPr>
              <w:t>BRID 4.1, 9.1-9.3</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Cashiering User</w:t>
            </w:r>
          </w:p>
        </w:tc>
        <w:tc>
          <w:tcPr>
            <w:tcW w:type="dxa" w:w="2667"/>
            <w:tcMar>
              <w:top w:w="50" w:type="dxa"/>
              <w:bottom w:w="50" w:type="dxa"/>
              <w:left w:w="90" w:type="dxa"/>
              <w:right w:w="90" w:type="dxa"/>
            </w:tcMar>
            <w:shd w:val="clear" w:color="auto" w:fill="E5F5FF"/>
          </w:tcPr>
          <w:p>
            <w:pPr>
              <w:pStyle w:val="BDOITable"/>
            </w:pPr>
            <w:r>
              <w:rPr>
                <w:sz w:val="17"/>
              </w:rPr>
              <w:t>CASHIER, CASHIER_TL</w:t>
            </w:r>
          </w:p>
        </w:tc>
        <w:tc>
          <w:tcPr>
            <w:tcW w:type="dxa" w:w="3942"/>
            <w:tcMar>
              <w:top w:w="50" w:type="dxa"/>
              <w:bottom w:w="50" w:type="dxa"/>
              <w:left w:w="90" w:type="dxa"/>
              <w:right w:w="90" w:type="dxa"/>
            </w:tcMar>
            <w:shd w:val="clear" w:color="auto" w:fill="E5F5FF"/>
          </w:tcPr>
          <w:p>
            <w:pPr>
              <w:pStyle w:val="BDOITable"/>
            </w:pPr>
            <w:r>
              <w:rPr>
                <w:sz w:val="17"/>
              </w:rPr>
              <w:t>Processes payments, automatch, dispositions and PR2307 reversals on legacy items</w:t>
            </w:r>
          </w:p>
        </w:tc>
        <w:tc>
          <w:tcPr>
            <w:tcW w:type="dxa" w:w="1507"/>
            <w:tcMar>
              <w:top w:w="50" w:type="dxa"/>
              <w:bottom w:w="50" w:type="dxa"/>
              <w:left w:w="90" w:type="dxa"/>
              <w:right w:w="90" w:type="dxa"/>
            </w:tcMar>
            <w:shd w:val="clear" w:color="auto" w:fill="E5F5FF"/>
          </w:tcPr>
          <w:p>
            <w:pPr>
              <w:pStyle w:val="BDOITable"/>
            </w:pPr>
            <w:r>
              <w:rPr>
                <w:sz w:val="17"/>
              </w:rPr>
              <w:t>BRID 5.1-5.4, 6.1-6.4, 7.2</w:t>
            </w:r>
          </w:p>
        </w:tc>
      </w:tr>
      <w:tr>
        <w:trPr>
          <w:cantSplit w:val="true"/>
        </w:trPr>
        <w:tc>
          <w:tcPr>
            <w:tcW w:type="dxa" w:w="1855"/>
            <w:tcMar>
              <w:top w:w="50" w:type="dxa"/>
              <w:bottom w:w="50" w:type="dxa"/>
              <w:left w:w="90" w:type="dxa"/>
              <w:right w:w="90" w:type="dxa"/>
            </w:tcMar>
          </w:tcPr>
          <w:p>
            <w:pPr>
              <w:pStyle w:val="BDOITable"/>
            </w:pPr>
            <w:r>
              <w:rPr>
                <w:sz w:val="17"/>
              </w:rPr>
              <w:t>Finance Approver / top management</w:t>
            </w:r>
          </w:p>
        </w:tc>
        <w:tc>
          <w:tcPr>
            <w:tcW w:type="dxa" w:w="2667"/>
            <w:tcMar>
              <w:top w:w="50" w:type="dxa"/>
              <w:bottom w:w="50" w:type="dxa"/>
              <w:left w:w="90" w:type="dxa"/>
              <w:right w:w="90" w:type="dxa"/>
            </w:tcMar>
          </w:tcPr>
          <w:p>
            <w:pPr>
              <w:pStyle w:val="BDOITable"/>
            </w:pPr>
            <w:r>
              <w:rPr>
                <w:sz w:val="17"/>
              </w:rPr>
              <w:t>TOP_MANAGEMENT_APPROVER</w:t>
            </w:r>
          </w:p>
        </w:tc>
        <w:tc>
          <w:tcPr>
            <w:tcW w:type="dxa" w:w="3942"/>
            <w:tcMar>
              <w:top w:w="50" w:type="dxa"/>
              <w:bottom w:w="50" w:type="dxa"/>
              <w:left w:w="90" w:type="dxa"/>
              <w:right w:w="90" w:type="dxa"/>
            </w:tcMar>
          </w:tcPr>
          <w:p>
            <w:pPr>
              <w:pStyle w:val="BDOITable"/>
            </w:pPr>
            <w:r>
              <w:rPr>
                <w:sz w:val="17"/>
              </w:rPr>
              <w:t>Approves the reclassification of UPP to other income</w:t>
            </w:r>
          </w:p>
        </w:tc>
        <w:tc>
          <w:tcPr>
            <w:tcW w:type="dxa" w:w="1507"/>
            <w:tcMar>
              <w:top w:w="50" w:type="dxa"/>
              <w:bottom w:w="50" w:type="dxa"/>
              <w:left w:w="90" w:type="dxa"/>
              <w:right w:w="90" w:type="dxa"/>
            </w:tcMar>
          </w:tcPr>
          <w:p>
            <w:pPr>
              <w:pStyle w:val="BDOITable"/>
            </w:pPr>
            <w:r>
              <w:rPr>
                <w:sz w:val="17"/>
              </w:rPr>
              <w:t>BRID 5.5</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Accounting User</w:t>
            </w:r>
          </w:p>
        </w:tc>
        <w:tc>
          <w:tcPr>
            <w:tcW w:type="dxa" w:w="2667"/>
            <w:tcMar>
              <w:top w:w="50" w:type="dxa"/>
              <w:bottom w:w="50" w:type="dxa"/>
              <w:left w:w="90" w:type="dxa"/>
              <w:right w:w="90" w:type="dxa"/>
            </w:tcMar>
            <w:shd w:val="clear" w:color="auto" w:fill="E5F5FF"/>
          </w:tcPr>
          <w:p>
            <w:pPr>
              <w:pStyle w:val="BDOITable"/>
            </w:pPr>
            <w:r>
              <w:rPr>
                <w:sz w:val="17"/>
              </w:rPr>
              <w:t>COMMREC_TL, CASHIER_TL, COMPTROLLERSHIP</w:t>
            </w:r>
          </w:p>
        </w:tc>
        <w:tc>
          <w:tcPr>
            <w:tcW w:type="dxa" w:w="3942"/>
            <w:tcMar>
              <w:top w:w="50" w:type="dxa"/>
              <w:bottom w:w="50" w:type="dxa"/>
              <w:left w:w="90" w:type="dxa"/>
              <w:right w:w="90" w:type="dxa"/>
            </w:tcMar>
            <w:shd w:val="clear" w:color="auto" w:fill="E5F5FF"/>
          </w:tcPr>
          <w:p>
            <w:pPr>
              <w:pStyle w:val="BDOITable"/>
            </w:pPr>
            <w:r>
              <w:rPr>
                <w:sz w:val="17"/>
              </w:rPr>
              <w:t>Requests and approves DPPR and PR2307 legacy batch reversals</w:t>
            </w:r>
          </w:p>
        </w:tc>
        <w:tc>
          <w:tcPr>
            <w:tcW w:type="dxa" w:w="1507"/>
            <w:tcMar>
              <w:top w:w="50" w:type="dxa"/>
              <w:bottom w:w="50" w:type="dxa"/>
              <w:left w:w="90" w:type="dxa"/>
              <w:right w:w="90" w:type="dxa"/>
            </w:tcMar>
            <w:shd w:val="clear" w:color="auto" w:fill="E5F5FF"/>
          </w:tcPr>
          <w:p>
            <w:pPr>
              <w:pStyle w:val="BDOITable"/>
            </w:pPr>
            <w:r>
              <w:rPr>
                <w:sz w:val="17"/>
              </w:rPr>
              <w:t>BRID 7.1, 7.2</w:t>
            </w:r>
          </w:p>
        </w:tc>
      </w:tr>
      <w:tr>
        <w:trPr>
          <w:cantSplit w:val="true"/>
        </w:trPr>
        <w:tc>
          <w:tcPr>
            <w:tcW w:type="dxa" w:w="1855"/>
            <w:tcMar>
              <w:top w:w="50" w:type="dxa"/>
              <w:bottom w:w="50" w:type="dxa"/>
              <w:left w:w="90" w:type="dxa"/>
              <w:right w:w="90" w:type="dxa"/>
            </w:tcMar>
          </w:tcPr>
          <w:p>
            <w:pPr>
              <w:pStyle w:val="BDOITable"/>
            </w:pPr>
            <w:r>
              <w:rPr>
                <w:sz w:val="17"/>
              </w:rPr>
              <w:t>Remittance User</w:t>
            </w:r>
          </w:p>
        </w:tc>
        <w:tc>
          <w:tcPr>
            <w:tcW w:type="dxa" w:w="2667"/>
            <w:tcMar>
              <w:top w:w="50" w:type="dxa"/>
              <w:bottom w:w="50" w:type="dxa"/>
              <w:left w:w="90" w:type="dxa"/>
              <w:right w:w="90" w:type="dxa"/>
            </w:tcMar>
          </w:tcPr>
          <w:p>
            <w:pPr>
              <w:pStyle w:val="BDOITable"/>
            </w:pPr>
            <w:r>
              <w:rPr>
                <w:sz w:val="17"/>
              </w:rPr>
              <w:t>REMIT_PROCESSOR, REMIT_TL</w:t>
            </w:r>
          </w:p>
        </w:tc>
        <w:tc>
          <w:tcPr>
            <w:tcW w:type="dxa" w:w="3942"/>
            <w:tcMar>
              <w:top w:w="50" w:type="dxa"/>
              <w:bottom w:w="50" w:type="dxa"/>
              <w:left w:w="90" w:type="dxa"/>
              <w:right w:w="90" w:type="dxa"/>
            </w:tcMar>
          </w:tcPr>
          <w:p>
            <w:pPr>
              <w:pStyle w:val="BDOITable"/>
            </w:pPr>
            <w:r>
              <w:rPr>
                <w:sz w:val="17"/>
              </w:rPr>
              <w:t>Extracts and processes remittances that include legacy invoices</w:t>
            </w:r>
          </w:p>
        </w:tc>
        <w:tc>
          <w:tcPr>
            <w:tcW w:type="dxa" w:w="1507"/>
            <w:tcMar>
              <w:top w:w="50" w:type="dxa"/>
              <w:bottom w:w="50" w:type="dxa"/>
              <w:left w:w="90" w:type="dxa"/>
              <w:right w:w="90" w:type="dxa"/>
            </w:tcMar>
          </w:tcPr>
          <w:p>
            <w:pPr>
              <w:pStyle w:val="BDOITable"/>
            </w:pPr>
            <w:r>
              <w:rPr>
                <w:sz w:val="17"/>
              </w:rPr>
              <w:t>BRID 8.1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Prod Recon Analyst</w:t>
            </w:r>
          </w:p>
        </w:tc>
        <w:tc>
          <w:tcPr>
            <w:tcW w:type="dxa" w:w="2667"/>
            <w:tcMar>
              <w:top w:w="50" w:type="dxa"/>
              <w:bottom w:w="50" w:type="dxa"/>
              <w:left w:w="90" w:type="dxa"/>
              <w:right w:w="90" w:type="dxa"/>
            </w:tcMar>
            <w:shd w:val="clear" w:color="auto" w:fill="E5F5FF"/>
          </w:tcPr>
          <w:p>
            <w:pPr>
              <w:pStyle w:val="BDOITable"/>
            </w:pPr>
            <w:r>
              <w:rPr>
                <w:sz w:val="17"/>
              </w:rPr>
              <w:t>RECON_HANDLER</w:t>
            </w:r>
          </w:p>
        </w:tc>
        <w:tc>
          <w:tcPr>
            <w:tcW w:type="dxa" w:w="3942"/>
            <w:tcMar>
              <w:top w:w="50" w:type="dxa"/>
              <w:bottom w:w="50" w:type="dxa"/>
              <w:left w:w="90" w:type="dxa"/>
              <w:right w:w="90" w:type="dxa"/>
            </w:tcMar>
            <w:shd w:val="clear" w:color="auto" w:fill="E5F5FF"/>
          </w:tcPr>
          <w:p>
            <w:pPr>
              <w:pStyle w:val="BDOITable"/>
            </w:pPr>
            <w:r>
              <w:rPr>
                <w:sz w:val="17"/>
              </w:rPr>
              <w:t>Runs the legacy invoice change report</w:t>
            </w:r>
          </w:p>
        </w:tc>
        <w:tc>
          <w:tcPr>
            <w:tcW w:type="dxa" w:w="1507"/>
            <w:tcMar>
              <w:top w:w="50" w:type="dxa"/>
              <w:bottom w:w="50" w:type="dxa"/>
              <w:left w:w="90" w:type="dxa"/>
              <w:right w:w="90" w:type="dxa"/>
            </w:tcMar>
            <w:shd w:val="clear" w:color="auto" w:fill="E5F5FF"/>
          </w:tcPr>
          <w:p>
            <w:pPr>
              <w:pStyle w:val="BDOITable"/>
            </w:pPr>
            <w:r>
              <w:rPr>
                <w:sz w:val="17"/>
              </w:rPr>
              <w:t>BRID 10.1</w:t>
            </w:r>
          </w:p>
        </w:tc>
      </w:tr>
      <w:tr>
        <w:trPr>
          <w:cantSplit w:val="true"/>
        </w:trPr>
        <w:tc>
          <w:tcPr>
            <w:tcW w:type="dxa" w:w="1855"/>
            <w:tcMar>
              <w:top w:w="50" w:type="dxa"/>
              <w:bottom w:w="50" w:type="dxa"/>
              <w:left w:w="90" w:type="dxa"/>
              <w:right w:w="90" w:type="dxa"/>
            </w:tcMar>
          </w:tcPr>
          <w:p>
            <w:pPr>
              <w:pStyle w:val="BDOITable"/>
            </w:pPr>
            <w:r>
              <w:rPr>
                <w:sz w:val="17"/>
              </w:rPr>
              <w:t>Audit / Compliance User</w:t>
            </w:r>
          </w:p>
        </w:tc>
        <w:tc>
          <w:tcPr>
            <w:tcW w:type="dxa" w:w="2667"/>
            <w:tcMar>
              <w:top w:w="50" w:type="dxa"/>
              <w:bottom w:w="50" w:type="dxa"/>
              <w:left w:w="90" w:type="dxa"/>
              <w:right w:w="90" w:type="dxa"/>
            </w:tcMar>
          </w:tcPr>
          <w:p>
            <w:pPr>
              <w:pStyle w:val="BDOITable"/>
            </w:pPr>
            <w:r>
              <w:rPr>
                <w:sz w:val="17"/>
              </w:rPr>
              <w:t>LEGACY_INQUIRY, LEGACY_ACCESS_REVIEWER</w:t>
            </w:r>
          </w:p>
        </w:tc>
        <w:tc>
          <w:tcPr>
            <w:tcW w:type="dxa" w:w="3942"/>
            <w:tcMar>
              <w:top w:w="50" w:type="dxa"/>
              <w:bottom w:w="50" w:type="dxa"/>
              <w:left w:w="90" w:type="dxa"/>
              <w:right w:w="90" w:type="dxa"/>
            </w:tcMar>
          </w:tcPr>
          <w:p>
            <w:pPr>
              <w:pStyle w:val="BDOITable"/>
            </w:pPr>
            <w:r>
              <w:rPr>
                <w:sz w:val="17"/>
              </w:rPr>
              <w:t>Searches the legacy archive; reviews the access log</w:t>
            </w:r>
          </w:p>
        </w:tc>
        <w:tc>
          <w:tcPr>
            <w:tcW w:type="dxa" w:w="1507"/>
            <w:tcMar>
              <w:top w:w="50" w:type="dxa"/>
              <w:bottom w:w="50" w:type="dxa"/>
              <w:left w:w="90" w:type="dxa"/>
              <w:right w:w="90" w:type="dxa"/>
            </w:tcMar>
          </w:tcPr>
          <w:p>
            <w:pPr>
              <w:pStyle w:val="BDOITable"/>
            </w:pPr>
            <w:r>
              <w:rPr>
                <w:sz w:val="17"/>
              </w:rPr>
              <w:t>BRID 11.1</w:t>
            </w:r>
          </w:p>
        </w:tc>
      </w:tr>
    </w:tbl>
    <w:p>
      <w:pPr>
        <w:pStyle w:val="BDOISpacer"/>
      </w:pPr>
    </w:p>
    <w:p>
      <w:r>
        <w:rPr/>
        <w:t>The BRD does not define the roles of the migration or who "top management" is (DMQ16). The roles above are the project's proposal until BDOI confirms them.</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Data Migration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124"/>
            <w:tcMar>
              <w:top w:w="50" w:type="dxa"/>
              <w:bottom w:w="50" w:type="dxa"/>
              <w:left w:w="90" w:type="dxa"/>
              <w:right w:w="90" w:type="dxa"/>
            </w:tcMar>
          </w:tcPr>
          <w:p>
            <w:pPr>
              <w:pStyle w:val="BDOITable"/>
            </w:pPr>
            <w:r>
              <w:rPr>
                <w:sz w:val="18"/>
              </w:rPr>
              <w:t>MIG_VIEW</w:t>
            </w:r>
          </w:p>
        </w:tc>
        <w:tc>
          <w:tcPr>
            <w:tcW w:type="dxa" w:w="6848"/>
            <w:tcMar>
              <w:top w:w="50" w:type="dxa"/>
              <w:bottom w:w="50" w:type="dxa"/>
              <w:left w:w="90" w:type="dxa"/>
              <w:right w:w="90" w:type="dxa"/>
            </w:tcMar>
          </w:tcPr>
          <w:p>
            <w:pPr>
              <w:pStyle w:val="BDOITable"/>
            </w:pPr>
            <w:r>
              <w:rPr>
                <w:sz w:val="18"/>
              </w:rPr>
              <w:t>Open the Migration Console (read only)</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MIG_OBJECT_MANAGE</w:t>
            </w:r>
          </w:p>
        </w:tc>
        <w:tc>
          <w:tcPr>
            <w:tcW w:type="dxa" w:w="6848"/>
            <w:tcMar>
              <w:top w:w="50" w:type="dxa"/>
              <w:bottom w:w="50" w:type="dxa"/>
              <w:left w:w="90" w:type="dxa"/>
              <w:right w:w="90" w:type="dxa"/>
            </w:tcMar>
            <w:shd w:val="clear" w:color="auto" w:fill="E5F5FF"/>
          </w:tcPr>
          <w:p>
            <w:pPr>
              <w:pStyle w:val="BDOITable"/>
            </w:pPr>
            <w:r>
              <w:rPr>
                <w:sz w:val="18"/>
              </w:rPr>
              <w:t>Maintain data objects; submit decisions</w:t>
            </w:r>
          </w:p>
        </w:tc>
      </w:tr>
      <w:tr>
        <w:trPr>
          <w:cantSplit w:val="true"/>
        </w:trPr>
        <w:tc>
          <w:tcPr>
            <w:tcW w:type="dxa" w:w="3124"/>
            <w:tcMar>
              <w:top w:w="50" w:type="dxa"/>
              <w:bottom w:w="50" w:type="dxa"/>
              <w:left w:w="90" w:type="dxa"/>
              <w:right w:w="90" w:type="dxa"/>
            </w:tcMar>
          </w:tcPr>
          <w:p>
            <w:pPr>
              <w:pStyle w:val="BDOITable"/>
            </w:pPr>
            <w:r>
              <w:rPr>
                <w:sz w:val="18"/>
              </w:rPr>
              <w:t>MIG_DECISION_APPROVE</w:t>
            </w:r>
          </w:p>
        </w:tc>
        <w:tc>
          <w:tcPr>
            <w:tcW w:type="dxa" w:w="6848"/>
            <w:tcMar>
              <w:top w:w="50" w:type="dxa"/>
              <w:bottom w:w="50" w:type="dxa"/>
              <w:left w:w="90" w:type="dxa"/>
              <w:right w:w="90" w:type="dxa"/>
            </w:tcMar>
          </w:tcPr>
          <w:p>
            <w:pPr>
              <w:pStyle w:val="BDOITable"/>
            </w:pPr>
            <w:r>
              <w:rPr>
                <w:sz w:val="18"/>
              </w:rPr>
              <w:t>Approve a data object decision (G1)</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MIG_MAPPING_EDIT</w:t>
            </w:r>
          </w:p>
        </w:tc>
        <w:tc>
          <w:tcPr>
            <w:tcW w:type="dxa" w:w="6848"/>
            <w:tcMar>
              <w:top w:w="50" w:type="dxa"/>
              <w:bottom w:w="50" w:type="dxa"/>
              <w:left w:w="90" w:type="dxa"/>
              <w:right w:w="90" w:type="dxa"/>
            </w:tcMar>
            <w:shd w:val="clear" w:color="auto" w:fill="E5F5FF"/>
          </w:tcPr>
          <w:p>
            <w:pPr>
              <w:pStyle w:val="BDOITable"/>
            </w:pPr>
            <w:r>
              <w:rPr>
                <w:sz w:val="18"/>
              </w:rPr>
              <w:t>Maintain code maps, layouts, rules and masking rules</w:t>
            </w:r>
          </w:p>
        </w:tc>
      </w:tr>
      <w:tr>
        <w:trPr>
          <w:cantSplit w:val="true"/>
        </w:trPr>
        <w:tc>
          <w:tcPr>
            <w:tcW w:type="dxa" w:w="3124"/>
            <w:tcMar>
              <w:top w:w="50" w:type="dxa"/>
              <w:bottom w:w="50" w:type="dxa"/>
              <w:left w:w="90" w:type="dxa"/>
              <w:right w:w="90" w:type="dxa"/>
            </w:tcMar>
          </w:tcPr>
          <w:p>
            <w:pPr>
              <w:pStyle w:val="BDOITable"/>
            </w:pPr>
            <w:r>
              <w:rPr>
                <w:sz w:val="18"/>
              </w:rPr>
              <w:t>MIG_MAPPING_APPROVE</w:t>
            </w:r>
          </w:p>
        </w:tc>
        <w:tc>
          <w:tcPr>
            <w:tcW w:type="dxa" w:w="6848"/>
            <w:tcMar>
              <w:top w:w="50" w:type="dxa"/>
              <w:bottom w:w="50" w:type="dxa"/>
              <w:left w:w="90" w:type="dxa"/>
              <w:right w:w="90" w:type="dxa"/>
            </w:tcMar>
          </w:tcPr>
          <w:p>
            <w:pPr>
              <w:pStyle w:val="BDOITable"/>
            </w:pPr>
            <w:r>
              <w:rPr>
                <w:sz w:val="18"/>
              </w:rPr>
              <w:t>Approve a code map version (G2)</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MIG_INTAKE</w:t>
            </w:r>
          </w:p>
        </w:tc>
        <w:tc>
          <w:tcPr>
            <w:tcW w:type="dxa" w:w="6848"/>
            <w:tcMar>
              <w:top w:w="50" w:type="dxa"/>
              <w:bottom w:w="50" w:type="dxa"/>
              <w:left w:w="90" w:type="dxa"/>
              <w:right w:w="90" w:type="dxa"/>
            </w:tcMar>
            <w:shd w:val="clear" w:color="auto" w:fill="E5F5FF"/>
          </w:tcPr>
          <w:p>
            <w:pPr>
              <w:pStyle w:val="BDOITable"/>
            </w:pPr>
            <w:r>
              <w:rPr>
                <w:sz w:val="18"/>
              </w:rPr>
              <w:t>Upload extracts and run the intake checks</w:t>
            </w:r>
          </w:p>
        </w:tc>
      </w:tr>
      <w:tr>
        <w:trPr>
          <w:cantSplit w:val="true"/>
        </w:trPr>
        <w:tc>
          <w:tcPr>
            <w:tcW w:type="dxa" w:w="3124"/>
            <w:tcMar>
              <w:top w:w="50" w:type="dxa"/>
              <w:bottom w:w="50" w:type="dxa"/>
              <w:left w:w="90" w:type="dxa"/>
              <w:right w:w="90" w:type="dxa"/>
            </w:tcMar>
          </w:tcPr>
          <w:p>
            <w:pPr>
              <w:pStyle w:val="BDOITable"/>
            </w:pPr>
            <w:r>
              <w:rPr>
                <w:sz w:val="18"/>
              </w:rPr>
              <w:t>MIG_DQ_RESOLVE</w:t>
            </w:r>
          </w:p>
        </w:tc>
        <w:tc>
          <w:tcPr>
            <w:tcW w:type="dxa" w:w="6848"/>
            <w:tcMar>
              <w:top w:w="50" w:type="dxa"/>
              <w:bottom w:w="50" w:type="dxa"/>
              <w:left w:w="90" w:type="dxa"/>
              <w:right w:w="90" w:type="dxa"/>
            </w:tcMar>
          </w:tcPr>
          <w:p>
            <w:pPr>
              <w:pStyle w:val="BDOITable"/>
            </w:pPr>
            <w:r>
              <w:rPr>
                <w:sz w:val="18"/>
              </w:rPr>
              <w:t>Resolve data-quality issues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MIG_DQ_WAIVE</w:t>
            </w:r>
          </w:p>
        </w:tc>
        <w:tc>
          <w:tcPr>
            <w:tcW w:type="dxa" w:w="6848"/>
            <w:tcMar>
              <w:top w:w="50" w:type="dxa"/>
              <w:bottom w:w="50" w:type="dxa"/>
              <w:left w:w="90" w:type="dxa"/>
              <w:right w:w="90" w:type="dxa"/>
            </w:tcMar>
            <w:shd w:val="clear" w:color="auto" w:fill="E5F5FF"/>
          </w:tcPr>
          <w:p>
            <w:pPr>
              <w:pStyle w:val="BDOITable"/>
            </w:pPr>
            <w:r>
              <w:rPr>
                <w:sz w:val="18"/>
              </w:rPr>
              <w:t>Waive rows (G3)</w:t>
            </w:r>
          </w:p>
        </w:tc>
      </w:tr>
      <w:tr>
        <w:trPr>
          <w:cantSplit w:val="true"/>
        </w:trPr>
        <w:tc>
          <w:tcPr>
            <w:tcW w:type="dxa" w:w="3124"/>
            <w:tcMar>
              <w:top w:w="50" w:type="dxa"/>
              <w:bottom w:w="50" w:type="dxa"/>
              <w:left w:w="90" w:type="dxa"/>
              <w:right w:w="90" w:type="dxa"/>
            </w:tcMar>
          </w:tcPr>
          <w:p>
            <w:pPr>
              <w:pStyle w:val="BDOITable"/>
            </w:pPr>
            <w:r>
              <w:rPr>
                <w:sz w:val="18"/>
              </w:rPr>
              <w:t>MIG_MATCH_DECIDE</w:t>
            </w:r>
          </w:p>
        </w:tc>
        <w:tc>
          <w:tcPr>
            <w:tcW w:type="dxa" w:w="6848"/>
            <w:tcMar>
              <w:top w:w="50" w:type="dxa"/>
              <w:bottom w:w="50" w:type="dxa"/>
              <w:left w:w="90" w:type="dxa"/>
              <w:right w:w="90" w:type="dxa"/>
            </w:tcMar>
          </w:tcPr>
          <w:p>
            <w:pPr>
              <w:pStyle w:val="BDOITable"/>
            </w:pPr>
            <w:r>
              <w:rPr>
                <w:sz w:val="18"/>
              </w:rPr>
              <w:t>Decide doubtful client matches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MIG_LOAD_RUN</w:t>
            </w:r>
          </w:p>
        </w:tc>
        <w:tc>
          <w:tcPr>
            <w:tcW w:type="dxa" w:w="6848"/>
            <w:tcMar>
              <w:top w:w="50" w:type="dxa"/>
              <w:bottom w:w="50" w:type="dxa"/>
              <w:left w:w="90" w:type="dxa"/>
              <w:right w:w="90" w:type="dxa"/>
            </w:tcMar>
            <w:shd w:val="clear" w:color="auto" w:fill="E5F5FF"/>
          </w:tcPr>
          <w:p>
            <w:pPr>
              <w:pStyle w:val="BDOITable"/>
            </w:pPr>
            <w:r>
              <w:rPr>
                <w:sz w:val="18"/>
              </w:rPr>
              <w:t>Run validation and loads</w:t>
            </w:r>
          </w:p>
        </w:tc>
      </w:tr>
      <w:tr>
        <w:trPr>
          <w:cantSplit w:val="true"/>
        </w:trPr>
        <w:tc>
          <w:tcPr>
            <w:tcW w:type="dxa" w:w="3124"/>
            <w:tcMar>
              <w:top w:w="50" w:type="dxa"/>
              <w:bottom w:w="50" w:type="dxa"/>
              <w:left w:w="90" w:type="dxa"/>
              <w:right w:w="90" w:type="dxa"/>
            </w:tcMar>
          </w:tcPr>
          <w:p>
            <w:pPr>
              <w:pStyle w:val="BDOITable"/>
            </w:pPr>
            <w:r>
              <w:rPr>
                <w:sz w:val="18"/>
              </w:rPr>
              <w:t>MIG_LOAD_APPROVE</w:t>
            </w:r>
          </w:p>
        </w:tc>
        <w:tc>
          <w:tcPr>
            <w:tcW w:type="dxa" w:w="6848"/>
            <w:tcMar>
              <w:top w:w="50" w:type="dxa"/>
              <w:bottom w:w="50" w:type="dxa"/>
              <w:left w:w="90" w:type="dxa"/>
              <w:right w:w="90" w:type="dxa"/>
            </w:tcMar>
          </w:tcPr>
          <w:p>
            <w:pPr>
              <w:pStyle w:val="BDOITable"/>
            </w:pPr>
            <w:r>
              <w:rPr>
                <w:sz w:val="18"/>
              </w:rPr>
              <w:t>Approve a load (G4)</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MIG_ROLLBACK_REQUEST, MIG_ROLLBACK_APPROVE</w:t>
            </w:r>
          </w:p>
        </w:tc>
        <w:tc>
          <w:tcPr>
            <w:tcW w:type="dxa" w:w="6848"/>
            <w:tcMar>
              <w:top w:w="50" w:type="dxa"/>
              <w:bottom w:w="50" w:type="dxa"/>
              <w:left w:w="90" w:type="dxa"/>
              <w:right w:w="90" w:type="dxa"/>
            </w:tcMar>
            <w:shd w:val="clear" w:color="auto" w:fill="E5F5FF"/>
          </w:tcPr>
          <w:p>
            <w:pPr>
              <w:pStyle w:val="BDOITable"/>
            </w:pPr>
            <w:r>
              <w:rPr>
                <w:sz w:val="18"/>
              </w:rPr>
              <w:t>Request and approve a batch rollback</w:t>
            </w:r>
          </w:p>
        </w:tc>
      </w:tr>
      <w:tr>
        <w:trPr>
          <w:cantSplit w:val="true"/>
        </w:trPr>
        <w:tc>
          <w:tcPr>
            <w:tcW w:type="dxa" w:w="3124"/>
            <w:tcMar>
              <w:top w:w="50" w:type="dxa"/>
              <w:bottom w:w="50" w:type="dxa"/>
              <w:left w:w="90" w:type="dxa"/>
              <w:right w:w="90" w:type="dxa"/>
            </w:tcMar>
          </w:tcPr>
          <w:p>
            <w:pPr>
              <w:pStyle w:val="BDOITable"/>
            </w:pPr>
            <w:r>
              <w:rPr>
                <w:sz w:val="18"/>
              </w:rPr>
              <w:t>MIG_RECON_SIGNOFF</w:t>
            </w:r>
          </w:p>
        </w:tc>
        <w:tc>
          <w:tcPr>
            <w:tcW w:type="dxa" w:w="6848"/>
            <w:tcMar>
              <w:top w:w="50" w:type="dxa"/>
              <w:bottom w:w="50" w:type="dxa"/>
              <w:left w:w="90" w:type="dxa"/>
              <w:right w:w="90" w:type="dxa"/>
            </w:tcMar>
          </w:tcPr>
          <w:p>
            <w:pPr>
              <w:pStyle w:val="BDOITable"/>
            </w:pPr>
            <w:r>
              <w:rPr>
                <w:sz w:val="18"/>
              </w:rPr>
              <w:t>Sign a reconciliation and approve break explanations (G5)</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MIG_SIGNOFF</w:t>
            </w:r>
          </w:p>
        </w:tc>
        <w:tc>
          <w:tcPr>
            <w:tcW w:type="dxa" w:w="6848"/>
            <w:tcMar>
              <w:top w:w="50" w:type="dxa"/>
              <w:bottom w:w="50" w:type="dxa"/>
              <w:left w:w="90" w:type="dxa"/>
              <w:right w:w="90" w:type="dxa"/>
            </w:tcMar>
            <w:shd w:val="clear" w:color="auto" w:fill="E5F5FF"/>
          </w:tcPr>
          <w:p>
            <w:pPr>
              <w:pStyle w:val="BDOITable"/>
            </w:pPr>
            <w:r>
              <w:rPr>
                <w:sz w:val="18"/>
              </w:rPr>
              <w:t>Accept an object (G6)</w:t>
            </w:r>
          </w:p>
        </w:tc>
      </w:tr>
      <w:tr>
        <w:trPr>
          <w:cantSplit w:val="true"/>
        </w:trPr>
        <w:tc>
          <w:tcPr>
            <w:tcW w:type="dxa" w:w="3124"/>
            <w:tcMar>
              <w:top w:w="50" w:type="dxa"/>
              <w:bottom w:w="50" w:type="dxa"/>
              <w:left w:w="90" w:type="dxa"/>
              <w:right w:w="90" w:type="dxa"/>
            </w:tcMar>
          </w:tcPr>
          <w:p>
            <w:pPr>
              <w:pStyle w:val="BDOITable"/>
            </w:pPr>
            <w:r>
              <w:rPr>
                <w:sz w:val="18"/>
              </w:rPr>
              <w:t>MIG_CUTOVER_MANAGE</w:t>
            </w:r>
          </w:p>
        </w:tc>
        <w:tc>
          <w:tcPr>
            <w:tcW w:type="dxa" w:w="6848"/>
            <w:tcMar>
              <w:top w:w="50" w:type="dxa"/>
              <w:bottom w:w="50" w:type="dxa"/>
              <w:left w:w="90" w:type="dxa"/>
              <w:right w:w="90" w:type="dxa"/>
            </w:tcMar>
          </w:tcPr>
          <w:p>
            <w:pPr>
              <w:pStyle w:val="BDOITable"/>
            </w:pPr>
            <w:r>
              <w:rPr>
                <w:sz w:val="18"/>
              </w:rPr>
              <w:t>Maintain cutover plans and tasks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MIG_GONOGO_DECIDE</w:t>
            </w:r>
          </w:p>
        </w:tc>
        <w:tc>
          <w:tcPr>
            <w:tcW w:type="dxa" w:w="6848"/>
            <w:tcMar>
              <w:top w:w="50" w:type="dxa"/>
              <w:bottom w:w="50" w:type="dxa"/>
              <w:left w:w="90" w:type="dxa"/>
              <w:right w:w="90" w:type="dxa"/>
            </w:tcMar>
            <w:shd w:val="clear" w:color="auto" w:fill="E5F5FF"/>
          </w:tcPr>
          <w:p>
            <w:pPr>
              <w:pStyle w:val="BDOITable"/>
            </w:pPr>
            <w:r>
              <w:rPr>
                <w:sz w:val="18"/>
              </w:rPr>
              <w:t>Record the go / no-go decision (G7)</w:t>
            </w:r>
          </w:p>
        </w:tc>
      </w:tr>
      <w:tr>
        <w:trPr>
          <w:cantSplit w:val="true"/>
        </w:trPr>
        <w:tc>
          <w:tcPr>
            <w:tcW w:type="dxa" w:w="3124"/>
            <w:tcMar>
              <w:top w:w="50" w:type="dxa"/>
              <w:bottom w:w="50" w:type="dxa"/>
              <w:left w:w="90" w:type="dxa"/>
              <w:right w:w="90" w:type="dxa"/>
            </w:tcMar>
          </w:tcPr>
          <w:p>
            <w:pPr>
              <w:pStyle w:val="BDOITable"/>
            </w:pPr>
            <w:r>
              <w:rPr>
                <w:sz w:val="18"/>
              </w:rPr>
              <w:t>LEGACY_INQUIRY_VIEW, LEGACY_INQUIRY_EXPORT</w:t>
            </w:r>
          </w:p>
        </w:tc>
        <w:tc>
          <w:tcPr>
            <w:tcW w:type="dxa" w:w="6848"/>
            <w:tcMar>
              <w:top w:w="50" w:type="dxa"/>
              <w:bottom w:w="50" w:type="dxa"/>
              <w:left w:w="90" w:type="dxa"/>
              <w:right w:w="90" w:type="dxa"/>
            </w:tcMar>
          </w:tcPr>
          <w:p>
            <w:pPr>
              <w:pStyle w:val="BDOITable"/>
            </w:pPr>
            <w:r>
              <w:rPr>
                <w:sz w:val="18"/>
              </w:rPr>
              <w:t>Search the legacy archive; export results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LEGACY_ACCESS_LOG_VIEW</w:t>
            </w:r>
          </w:p>
        </w:tc>
        <w:tc>
          <w:tcPr>
            <w:tcW w:type="dxa" w:w="6848"/>
            <w:tcMar>
              <w:top w:w="50" w:type="dxa"/>
              <w:bottom w:w="50" w:type="dxa"/>
              <w:left w:w="90" w:type="dxa"/>
              <w:right w:w="90" w:type="dxa"/>
            </w:tcMar>
            <w:shd w:val="clear" w:color="auto" w:fill="E5F5FF"/>
          </w:tcPr>
          <w:p>
            <w:pPr>
              <w:pStyle w:val="BDOITable"/>
            </w:pPr>
            <w:r>
              <w:rPr>
                <w:sz w:val="18"/>
              </w:rPr>
              <w:t>View the legacy access log</w:t>
            </w:r>
          </w:p>
        </w:tc>
      </w:tr>
      <w:tr>
        <w:trPr>
          <w:cantSplit w:val="true"/>
        </w:trPr>
        <w:tc>
          <w:tcPr>
            <w:tcW w:type="dxa" w:w="3124"/>
            <w:tcMar>
              <w:top w:w="50" w:type="dxa"/>
              <w:bottom w:w="50" w:type="dxa"/>
              <w:left w:w="90" w:type="dxa"/>
              <w:right w:w="90" w:type="dxa"/>
            </w:tcMar>
          </w:tcPr>
          <w:p>
            <w:pPr>
              <w:pStyle w:val="BDOITable"/>
            </w:pPr>
            <w:r>
              <w:rPr>
                <w:sz w:val="18"/>
              </w:rPr>
              <w:t>CASH_UPP_INCOME_REQUEST, CASH_UPP_INCOME_APPROVE</w:t>
            </w:r>
          </w:p>
        </w:tc>
        <w:tc>
          <w:tcPr>
            <w:tcW w:type="dxa" w:w="6848"/>
            <w:tcMar>
              <w:top w:w="50" w:type="dxa"/>
              <w:bottom w:w="50" w:type="dxa"/>
              <w:left w:w="90" w:type="dxa"/>
              <w:right w:w="90" w:type="dxa"/>
            </w:tcMar>
          </w:tcPr>
          <w:p>
            <w:pPr>
              <w:pStyle w:val="BDOITable"/>
            </w:pPr>
            <w:r>
              <w:rPr>
                <w:sz w:val="18"/>
              </w:rPr>
              <w:t>Prepare and approve (top management) the reclassification of UPP to other income</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LEGACY_REVERSAL_REQUEST, LEGACY_REVERSAL_APPROVE</w:t>
            </w:r>
          </w:p>
        </w:tc>
        <w:tc>
          <w:tcPr>
            <w:tcW w:type="dxa" w:w="6848"/>
            <w:tcMar>
              <w:top w:w="50" w:type="dxa"/>
              <w:bottom w:w="50" w:type="dxa"/>
              <w:left w:w="90" w:type="dxa"/>
              <w:right w:w="90" w:type="dxa"/>
            </w:tcMar>
            <w:shd w:val="clear" w:color="auto" w:fill="E5F5FF"/>
          </w:tcPr>
          <w:p>
            <w:pPr>
              <w:pStyle w:val="BDOITable"/>
            </w:pPr>
            <w:r>
              <w:rPr>
                <w:sz w:val="18"/>
              </w:rPr>
              <w:t>Request and approve DPPR and PR2307 legacy batch reversals</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(proposal). Stew. = Data Steward; Oper. = Migration Operator; Go = go / no-go board; Inq. = Legacy inquiry; Log = access reviewer; Top = top management; Cash TL = Cashiering TL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89"/>
        <w:gridCol w:w="728"/>
        <w:gridCol w:w="728"/>
        <w:gridCol w:w="728"/>
        <w:gridCol w:w="728"/>
        <w:gridCol w:w="728"/>
        <w:gridCol w:w="728"/>
        <w:gridCol w:w="728"/>
        <w:gridCol w:w="728"/>
        <w:gridCol w:w="728"/>
        <w:gridCol w:w="728"/>
      </w:tblGrid>
      <w:tr>
        <w:trPr>
          <w:tblHeader w:val="true"/>
          <w:cantSplit w:val="true"/>
        </w:trPr>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DM Lead</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Stew.</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Oper.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Recon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Go</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Inq.</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Log</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Top</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Cash TL</w:t>
            </w:r>
          </w:p>
        </w:tc>
      </w:tr>
      <w:tr>
        <w:trPr>
          <w:cantSplit w:val="true"/>
        </w:trPr>
        <w:tc>
          <w:tcPr>
            <w:tcW w:type="dxa" w:w="2689"/>
            <w:tcMar>
              <w:top w:w="50" w:type="dxa"/>
              <w:bottom w:w="50" w:type="dxa"/>
              <w:left w:w="90" w:type="dxa"/>
              <w:right w:w="90" w:type="dxa"/>
            </w:tcMar>
          </w:tcPr>
          <w:p>
            <w:pPr>
              <w:pStyle w:val="BDOITable"/>
            </w:pPr>
            <w:r>
              <w:rPr>
                <w:sz w:val="16"/>
              </w:rPr>
              <w:t>MIG_VIEW</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MIG_OBJECT_MANAGE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MIG_DECISION_APPROVE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MIG_MAPPING_EDIT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MIG_MAPPING_APPROVE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MIG_INTAKE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MIG_DQ_RESOLVE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MIG_DQ_WAIVE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MIG_MATCH_DECIDE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MIG_LOAD_RUN</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MIG_LOAD_APPROVE</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MIG_ROLLBACK_REQUEST</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MIG_ROLLBACK_APPROVE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MIG_RECON_SIGNOFF</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MIG_SIGNOFF</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MIG_CUTOVER_MANAGE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MIG_GONOGO_DECIDE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LEGACY_INQUIRY_VIEW</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LEGACY_INQUIRY_EXPORT</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LEGACY_ACCESS_LOG_VIEW</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CASH_UPP_INCOME_APPROVE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LEGACY_REVERSAL_APPROVE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r>
    </w:tbl>
    <w:p>
      <w:pPr>
        <w:pStyle w:val="BDOISpacer"/>
      </w:pPr>
    </w:p>
    <w:p>
      <w:r>
        <w:rPr/>
        <w:t>Cashiers also get CASH_UPP_INCOME_REQUEST and LEGACY_REVERSAL_REQUEST; the Commission TL gets LEGACY_REVERSAL_APPROVE for DPPR batches.</w:t>
      </w:r>
    </w:p>
    <w:p>
      <w:r>
        <w:rPr/>
        <w:t>Segregation of duties is enforced by the system, whatever the role grants: the maker of a decision, code map version, load, rollback, reclassification batch or reversal batch never approves it; the operator who ran a batch cannot sign its reconciliation or acceptance; one person cannot sign two gates of the same batch.</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4.1 Governance and decision gates</w:t>
      </w:r>
      <w:bookmarkEnd w:id="117"/>
    </w:p>
    <w:p>
      <w:pPr>
        <w:pStyle w:val="Heading3"/>
      </w:pPr>
      <w:bookmarkStart w:id="118" w:name="_Toc000118"/>
      <w:r>
        <w:rPr/>
        <w:t>FR-DM-001 Maintain the data object register</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/api/v1/migration/objects; PUT /api/v1/migration/objects/{code}</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the design (R3 section 2),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MIG_OBJECT_MANAGE.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List MIG_TRUST_LEVEL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MIG_OBJECT_CATEGORY</w:t>
            </w:r>
          </w:p>
        </w:tc>
        <w:tc>
          <w:tcPr>
            <w:tcW w:type="dxa" w:w="3286"/>
            <w:tcMar>
              <w:top w:w="50" w:type="dxa"/>
              <w:bottom w:w="50" w:type="dxa"/>
              <w:left w:w="90" w:type="dxa"/>
              <w:right w:w="90" w:type="dxa"/>
            </w:tcMar>
          </w:tcPr>
          <w:p>
            <w:pPr>
              <w:pStyle w:val="BDOITable"/>
            </w:pPr>
            <w:r>
              <w:rPr>
                <w:sz w:val="18"/>
              </w:rPr>
              <w:t>REFERENCE, CLIENT, POLICY, OPEN_ITEM,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DATA_OWNER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DATA_STEWARD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119" w:name="_Toc000119"/>
      <w:r>
        <w:rPr/>
        <w:t>FR-DM-002 Decide the migration class of a data object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/api/v1/migration/objects/{code}/decision; .../decision/approve; .../decision/return</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FOR_DECISION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MIG-DECISIONS lists every decision with its approver.</w:t>
      </w:r>
    </w:p>
    <w:p>
      <w:pPr>
        <w:pStyle w:val="Heading3"/>
      </w:pPr>
      <w:bookmarkStart w:id="120" w:name="_Toc000120"/>
      <w:r>
        <w:rPr/>
        <w:t>FR-DM-003 Sign off each object through gates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 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/api/v1/migration/batches/{no}/signoff/{gate}</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mock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121" w:name="_Toc000121"/>
      <w:r>
        <w:rPr/>
        <w:t>4.2 Extract intake, code maps, validation and load</w:t>
      </w:r>
      <w:bookmarkEnd w:id="121"/>
    </w:p>
    <w:p>
      <w:pPr>
        <w:pStyle w:val="Heading3"/>
      </w:pPr>
      <w:bookmarkStart w:id="122" w:name="_Toc000122"/>
      <w:r>
        <w:rPr/>
        <w:t>FR-DM-010 Receive a source extract with control totals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/api/v1/migration/extracts (multipart - data file and control file)</w:t>
            </w:r>
          </w:p>
        </w:tc>
      </w:tr>
    </w:tbl>
    <w:p>
      <w:pPr>
        <w:pStyle w:val="BDOISpacer"/>
      </w:pPr>
    </w:p>
    <w:p>
      <w:pPr>
        <w:pStyle w:val="BDOILabel"/>
      </w:pPr>
      <w:r>
        <w:rPr/>
        <w:t>Description</w:t>
      </w:r>
    </w:p>
    <w:p>
      <w:r>
        <w:rPr/>
        <w:t>BDOI sends one file per data object and source system with a control file. BIBS checks the file before any row is staged, so that what BIBS loads is exactly what BDOI extracted.</w:t>
      </w:r>
    </w:p>
    <w:p>
      <w:r>
        <w:rPr/>
        <w:t>The file contract (names, CSV or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MIG_INTAKE.</w:t>
      </w:r>
    </w:p>
    <w:p>
      <w:pPr>
        <w:pStyle w:val="BDOILabel"/>
      </w:pPr>
      <w:r>
        <w:rPr/>
        <w:t>Main flow</w:t>
      </w:r>
    </w:p>
    <w:p>
      <w:pPr>
        <w:tabs>
          <w:tab w:pos="312" w:val="left"/>
        </w:tabs>
        <w:spacing w:after="40"/>
        <w:ind w:left="312" w:hanging="283"/>
      </w:pPr>
      <w:r>
        <w:rPr>
          <w:color w:val="004EA8"/>
        </w:rPr>
        <w:t>1.</w:t>
        <w:tab/>
      </w:r>
      <w:r>
        <w:rPr/>
        <w:t>The operator opens Extracts, chooses the object and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A check fails. The extract is REJECTED with the failed check and the difference;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&lt;OBJECT&gt;_&lt;SOURCE&gt;_&lt;yyyyMMdd&gt;_&lt;nn&gt;.csv or .xlsx;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Masking rules; parameter MIG_ENVIRONMENT_CLASS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Files are received through the console or the SFTP drop and are never e-mailed.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Source systems of the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DELTA</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Data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or XLSX</w:t>
            </w:r>
          </w:p>
        </w:tc>
      </w:tr>
      <w:tr>
        <w:trPr>
          <w:cantSplit w:val="true"/>
        </w:trPr>
        <w:tc>
          <w:tcPr>
            <w:tcW w:type="dxa" w:w="1926"/>
            <w:tcMar>
              <w:top w:w="50" w:type="dxa"/>
              <w:bottom w:w="50" w:type="dxa"/>
              <w:left w:w="90" w:type="dxa"/>
              <w:right w:w="90" w:type="dxa"/>
            </w:tcMar>
          </w:tcPr>
          <w:p>
            <w:pPr>
              <w:pStyle w:val="BDOITable"/>
            </w:pPr>
            <w:r>
              <w:rPr>
                <w:sz w:val="18"/>
              </w:rPr>
              <w:t>Control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MIG_EXTRACT_REJECTED).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123" w:name="_Toc000123"/>
      <w:r>
        <w:rPr/>
        <w:t>FR-DM-011 Maintain and approve versioned code maps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/api/v1/migration/maps; .../maps/{set}/versions; .../versions/{v}/submit; .../approve; .../export; .../import</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MIG_MAPPING_EDIT to edit, MIG_MAPPING_APPROVE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MIG_SOURCE_SYSTEM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report MIG-MAP-VERSIONS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124" w:name="_Toc000124"/>
      <w:r>
        <w:rPr/>
        <w:t>FR-DM-012 Report unmapped and invalid codes before load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/api/v1/migration/maps/unmapped; report MIG-UNMAPPED-CODES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MIG-UNMAPPED-CODES.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MIG_UNMAPPED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in MIG-UNMAPPED-CODES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125" w:name="_Toc000125"/>
      <w:r>
        <w:rPr/>
        <w:t>FR-DM-013 Validate staged data against data-quality rules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2.1 (p.7), 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(MIG_VALIDATE);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/api/v1/migration/batches/{no}/validate; GET .../issues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MIG_MAX_ERROR_RATE_MASTER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MIG_MAX_ERROR_RATE_MASTER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MIG_MAX_ERROR_RATE_FINANCIAL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w:t>
      </w:r>
    </w:p>
    <w:p>
      <w:pPr>
        <w:pStyle w:val="Heading3"/>
      </w:pPr>
      <w:bookmarkStart w:id="126" w:name="_Toc000126"/>
      <w:r>
        <w:rPr/>
        <w:t>FR-DM-014 Load a batch through the BIBS services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job (MIG_LOAD)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/api/v1/migration/batches/{no}/approve-load; .../load</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partitions in parallel, and marks each row LOADED, SKIPPED (already loaded, unchanged) or REJECTED (with the reason).</w:t>
      </w:r>
    </w:p>
    <w:p>
      <w:pPr>
        <w:tabs>
          <w:tab w:pos="312" w:val="left"/>
        </w:tabs>
        <w:spacing w:after="120"/>
        <w:ind w:left="312" w:hanging="283"/>
      </w:pPr>
      <w:r>
        <w:rPr>
          <w:color w:val="004EA8"/>
        </w:rPr>
        <w:t>4.</w:t>
        <w:tab/>
      </w:r>
      <w:r>
        <w:rPr/>
        <w:t>BIBS sets the batch LOADED or LOADED_WITH_REJECTS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Job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Chunks of MIG_CHUNK_SIZE rows (default 500), MIG_PARTITIONS partitions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MIG_CHUNK_SIZE, MIG_PARTITIONS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MIG_LOAD_FAILED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120"/>
        <w:ind w:left="312" w:hanging="283"/>
      </w:pPr>
      <w:r>
        <w:rPr>
          <w:color w:val="004EA8"/>
        </w:rPr>
        <w:t>3.</w:t>
        <w:tab/>
      </w:r>
      <w:r>
        <w:rPr/>
        <w:t>The batch page shows staged, loaded, skipped, rejected and excluded counts that add up.</w:t>
      </w:r>
    </w:p>
    <w:p>
      <w:pPr>
        <w:pStyle w:val="Heading3"/>
      </w:pPr>
      <w:bookmarkStart w:id="127" w:name="_Toc000127"/>
      <w:r>
        <w:rPr/>
        <w:t>FR-DM-015 Rerun and roll back a batch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/api/v1/migration/batches/{no}/rerun; .../rollback; .../rollback/approve</w:t>
            </w:r>
          </w:p>
        </w:tc>
      </w:tr>
    </w:tbl>
    <w:p>
      <w:pPr>
        <w:pStyle w:val="BDOISpacer"/>
      </w:pPr>
    </w:p>
    <w:p>
      <w:pPr>
        <w:pStyle w:val="BDOILabel"/>
      </w:pPr>
      <w:r>
        <w:rPr/>
        <w:t>Description</w:t>
      </w:r>
    </w:p>
    <w:p>
      <w:r>
        <w:rPr/>
        <w:t>Rejected rows are corrected and loaded again in a RERUN batch that belongs to the original batch and is reconciled with it.</w:t>
      </w:r>
    </w:p>
    <w:p>
      <w:r>
        <w:rPr/>
        <w:t>A batch that is not yet signed off can be rolled back when its loader supports it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BIBS creates a child batch with the rejected and changed rows, validates it and, after approval, loads it.</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ROLLED_BACK.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rollback of a client batch without later activity leaves no active migrated client of that batch.</w:t>
      </w:r>
    </w:p>
    <w:p>
      <w:pPr>
        <w:tabs>
          <w:tab w:pos="312" w:val="left"/>
        </w:tabs>
        <w:spacing w:after="120"/>
        <w:ind w:left="312" w:hanging="283"/>
      </w:pPr>
      <w:r>
        <w:rPr>
          <w:color w:val="004EA8"/>
        </w:rPr>
        <w:t>3.</w:t>
        <w:tab/>
      </w:r>
      <w:r>
        <w:rPr/>
        <w:t>A rollback is refused when a payment was applied to a legacy invoice of the batch.</w:t>
      </w:r>
    </w:p>
    <w:p>
      <w:pPr>
        <w:pStyle w:val="Heading2"/>
      </w:pPr>
      <w:bookmarkStart w:id="128" w:name="_Toc000128"/>
      <w:r>
        <w:rPr/>
        <w:t>4.3 Reconciliation</w:t>
      </w:r>
      <w:bookmarkEnd w:id="128"/>
    </w:p>
    <w:p>
      <w:pPr>
        <w:pStyle w:val="Heading3"/>
      </w:pPr>
      <w:bookmarkStart w:id="129" w:name="_Toc000129"/>
      <w:r>
        <w:rPr/>
        <w:t>FR-DM-020 Reconcile each data object from source to target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job (MIG_RECONCILE)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/api/v1/migration/batches/{no}/reconcile; GET /api/v1/migration/reconciliation; reports MIG-RECON-SUMMARY, MIG-RECON-DETAIL</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LOADED_WITH_REJECTS.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MIG_AMOUNT_TOLERANCE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MIG_AMOUNT_TOLERANCE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MIG_BREAK_REASON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MIG-RECON-SUMMARY and MIG-RECON-DETAIL export to Excel and PDF.</w:t>
      </w:r>
    </w:p>
    <w:p>
      <w:pPr>
        <w:pStyle w:val="Heading3"/>
      </w:pPr>
      <w:bookmarkStart w:id="130" w:name="_Toc000130"/>
      <w:r>
        <w:rPr/>
        <w:t>FR-DM-021 Reconcile carried-forward balances to the GL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MIG-GL-CLEARING, MIG-LEGACY-POSITIONS; ACSL GL-SL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MIG-GL-CLEARING.</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code map GL_ACCOUNT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120"/>
        <w:ind w:left="312" w:hanging="283"/>
      </w:pPr>
      <w:r>
        <w:rPr>
          <w:color w:val="004EA8"/>
        </w:rPr>
        <w:t>3.</w:t>
        <w:tab/>
      </w:r>
      <w:r>
        <w:rPr/>
        <w:t>An open invoice missing from the load shows as a Migration Clearing difference equal to its open balance.</w:t>
      </w:r>
    </w:p>
    <w:p>
      <w:pPr>
        <w:pStyle w:val="Heading2"/>
      </w:pPr>
      <w:bookmarkStart w:id="131" w:name="_Toc000131"/>
      <w:r>
        <w:rPr/>
        <w:t>4.4 Client master and reference data</w:t>
      </w:r>
      <w:bookmarkEnd w:id="131"/>
    </w:p>
    <w:p>
      <w:pPr>
        <w:pStyle w:val="Heading3"/>
      </w:pPr>
      <w:bookmarkStart w:id="132" w:name="_Toc000132"/>
      <w:r>
        <w:rPr/>
        <w:t>FR-DM-030 Load reference data through the code maps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Batches of objects R01-R07</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133" w:name="_Toc000133"/>
      <w:r>
        <w:rPr/>
        <w:t>FR-DM-031 Match and deduplicate legacy clients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/api/v1/migration/matching/queue; POST .../matching/{pair}/decision</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built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builds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MIG_CLIENT_MATCH_AUTO (default 90); review from MIG_CLIENT_MATCH_REVIEW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MIG_CLIENT_MATCH_AUTO, MIG_CLIENT_MATCH_REVIEW</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MIG-CLIENT-MATCH).</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134" w:name="_Toc000134"/>
      <w:r>
        <w:rPr/>
        <w:t>FR-DM-032 Create migrated clients in the Client Master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C01-C03</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origin MIGRATED and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135" w:name="_Toc000135"/>
      <w:r>
        <w:rPr/>
        <w:t>FR-DM-033 Find migrated clients and policies by legacy reference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/api/v1/crm/clients?legacyRef=; GET /api/v1/accounts?legacyRef=</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LEGACY_INQUIRY_VIEW,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2"/>
      </w:pPr>
      <w:bookmarkStart w:id="136" w:name="_Toc000136"/>
      <w:r>
        <w:rPr/>
        <w:t>4.5 In-force policy headers</w:t>
      </w:r>
      <w:bookmarkEnd w:id="136"/>
    </w:p>
    <w:p>
      <w:pPr>
        <w:pStyle w:val="Heading3"/>
      </w:pPr>
      <w:bookmarkStart w:id="137" w:name="_Toc000137"/>
      <w:r>
        <w:rPr/>
        <w:t>FR-DM-040 Load in-force policy headers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P01</w:t>
            </w:r>
          </w:p>
        </w:tc>
      </w:tr>
    </w:tbl>
    <w:p>
      <w:pPr>
        <w:pStyle w:val="BDOISpacer"/>
      </w:pPr>
    </w:p>
    <w:p>
      <w:pPr>
        <w:pStyle w:val="BDOILabel"/>
      </w:pPr>
      <w:r>
        <w:rPr/>
        <w:t>Description</w:t>
      </w:r>
    </w:p>
    <w:p>
      <w:r>
        <w:rPr/>
        <w:t>When the condition of BRID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origin MIGRATED and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origin MIGRATED,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120"/>
        <w:ind w:left="312" w:hanging="283"/>
      </w:pPr>
      <w:r>
        <w:rPr>
          <w:color w:val="004EA8"/>
        </w:rPr>
        <w:t>2.</w:t>
        <w:tab/>
      </w:r>
      <w:r>
        <w:rPr/>
        <w:t>A migrated header has no quotation or placement and cannot be booked again.</w:t>
      </w:r>
    </w:p>
    <w:p>
      <w:pPr>
        <w:pStyle w:val="Heading3"/>
      </w:pPr>
      <w:bookmarkStart w:id="138" w:name="_Toc000138"/>
      <w:r>
        <w:rPr/>
        <w:t>FR-DM-041 Search migrated policies for servicing</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139" w:name="_Toc000139"/>
      <w:r>
        <w:rPr/>
        <w:t>4.6 Legacy open items and UPP</w:t>
      </w:r>
      <w:bookmarkEnd w:id="139"/>
    </w:p>
    <w:p>
      <w:pPr>
        <w:pStyle w:val="Heading3"/>
      </w:pPr>
      <w:bookmarkStart w:id="140" w:name="_Toc000140"/>
      <w:r>
        <w:rPr/>
        <w:t>FR-DM-050 Carry forward legacy invoices with their open balances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6.1 (p.9), BRID 8.1 (p.10), 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F01</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120"/>
        <w:ind w:left="312" w:hanging="283"/>
      </w:pPr>
      <w:r>
        <w:rPr>
          <w:color w:val="004EA8"/>
        </w:rPr>
        <w:t>•</w:t>
        <w:tab/>
      </w:r>
      <w:r>
        <w:rPr/>
        <w:t>Legacy invoice number already used by another source system. BIBS prefixes the source system to the invoice number and keeps the original as the legacy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origin LEGACY and ledger context LEGACY;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MIG_CUTOVER_DATE; BOOK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141" w:name="_Toc000141"/>
      <w:r>
        <w:rPr/>
        <w:t>FR-DM-051 Carry forward legacy UPP</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F02; GET /api/v1/cashiering/unapplied?origin=MIGRATED</w:t>
            </w:r>
          </w:p>
        </w:tc>
      </w:tr>
    </w:tbl>
    <w:p>
      <w:pPr>
        <w:pStyle w:val="BDOISpacer"/>
      </w:pPr>
    </w:p>
    <w:p>
      <w:pPr>
        <w:pStyle w:val="BDOILabel"/>
      </w:pPr>
      <w:r>
        <w:rPr/>
        <w:t>Description</w:t>
      </w:r>
    </w:p>
    <w:p>
      <w:r>
        <w:rPr/>
        <w:t>Every legacy UPP item open at cutover is created in the Unapplied Payments workbench with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the configured option issues a BIBS AR without cash posting.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code map STATUS:UPP.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STATUS:UPP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migrated UPP keeps ledger context LEGACY; its applications, refunds and reclassifications post to the UPP legacy sub-ledger.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120"/>
        <w:ind w:left="312" w:hanging="283"/>
      </w:pPr>
      <w:r>
        <w:rPr>
          <w:color w:val="004EA8"/>
        </w:rPr>
        <w:t>2.</w:t>
        <w:tab/>
      </w:r>
      <w:r>
        <w:rPr/>
        <w:t>The UPP legacy control account equals the total of the migrated UPP balances.</w:t>
      </w:r>
    </w:p>
    <w:p>
      <w:pPr>
        <w:pStyle w:val="Heading3"/>
      </w:pPr>
      <w:bookmarkStart w:id="142" w:name="_Toc000142"/>
      <w:r>
        <w:rPr/>
        <w:t>FR-DM-052 Automatch rerun of UPP across legacy and new invoices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(PAYMENT_AUTOMATCH);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/api/v1/cashiering/matching/run</w:t>
            </w:r>
          </w:p>
        </w:tc>
      </w:tr>
    </w:tbl>
    <w:p>
      <w:pPr>
        <w:pStyle w:val="BDOISpacer"/>
      </w:pPr>
    </w:p>
    <w:p>
      <w:pPr>
        <w:pStyle w:val="BDOILabel"/>
      </w:pPr>
      <w:r>
        <w:rPr/>
        <w:t>Description</w:t>
      </w:r>
    </w:p>
    <w:p>
      <w:r>
        <w:rPr/>
        <w:t>The existing automatch job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The job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OPS_PAYMENT_APPLY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OPS_COMMISSION_REALIZATION).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143" w:name="_Toc000143"/>
      <w:r>
        <w:rPr/>
        <w:t>FR-DM-053 Apply legacy UPP to another invoice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5.3 (p.8), BRID 6.4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144" w:name="_Toc000144"/>
      <w:r>
        <w:rPr/>
        <w:t>FR-DM-054 Refund legacy UPP</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5.4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 (REFUND); .../approve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OPS_UNAPPLIED_REFUND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145" w:name="_Toc000145"/>
      <w:r>
        <w:rPr/>
        <w:t>FR-DM-055 Reclassify UPP to other income with top-management approval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/api/v1/cashiering/income-reclass-batches; .../{no}/submit; .../approve; .../return</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CASH_UPP_INCOME_REQUEST;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OPS_UNAPPLIED_TO_INCOME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UPP_INCOME_REASON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146" w:name="_Toc000146"/>
      <w:r>
        <w:rPr/>
        <w:t>4.7 Payments on legacy invoices</w:t>
      </w:r>
      <w:bookmarkEnd w:id="146"/>
    </w:p>
    <w:p>
      <w:pPr>
        <w:pStyle w:val="Heading3"/>
      </w:pPr>
      <w:bookmarkStart w:id="147" w:name="_Toc000147"/>
      <w:r>
        <w:rPr/>
        <w:t>FR-DM-060 Apply an OTC payment to a legacy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/api/v1/cashiering/payments/preview; POST /api/v1/cashiering/payments</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CASH_RECEIPT.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OPS_AR_RECEIPT and OPS_PAYMENT_APPLY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120"/>
        <w:ind w:left="312" w:hanging="283"/>
      </w:pPr>
      <w:r>
        <w:rPr>
          <w:color w:val="004EA8"/>
        </w:rPr>
        <w:t>2.</w:t>
        <w:tab/>
      </w:r>
      <w:r>
        <w:rPr/>
        <w:t>The receipt is listed in the Cash Receipts Book report for the day.</w:t>
      </w:r>
    </w:p>
    <w:p>
      <w:pPr>
        <w:pStyle w:val="Heading3"/>
      </w:pPr>
      <w:bookmarkStart w:id="148" w:name="_Toc000148"/>
      <w:r>
        <w:rPr/>
        <w:t>FR-DM-061 Match autopay payments to legacy invoices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PAY_BILLS, PAY_TRADE, PAY_CLPC, PAY_DIRECT_CREDIT</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120"/>
        <w:ind w:left="312" w:hanging="283"/>
      </w:pPr>
      <w:r>
        <w:rPr>
          <w:color w:val="004EA8"/>
        </w:rPr>
        <w:t>2.</w:t>
        <w:tab/>
      </w:r>
      <w:r>
        <w:rPr/>
        <w:t>A file with rows for legacy and new invoices posts each application to the right sub-ledger.</w:t>
      </w:r>
    </w:p>
    <w:p>
      <w:pPr>
        <w:pStyle w:val="Heading2"/>
      </w:pPr>
      <w:bookmarkStart w:id="149" w:name="_Toc000149"/>
      <w:r>
        <w:rPr/>
        <w:t>4.8 DPPR and PR2307 batch reversals</w:t>
      </w:r>
      <w:bookmarkEnd w:id="149"/>
    </w:p>
    <w:p>
      <w:pPr>
        <w:pStyle w:val="Heading3"/>
      </w:pPr>
      <w:bookmarkStart w:id="150" w:name="_Toc000150"/>
      <w:r>
        <w:rPr/>
        <w:t>FR-DM-070 Reverse DPPR legacy invoices in batch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Commission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DPPR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/api/v1/commission/dppr-batches; .../{no}/submit; .../approve; bulk handler DPPR_LEGACY_REVERSAL</w:t>
            </w:r>
          </w:p>
        </w:tc>
      </w:tr>
    </w:tbl>
    <w:p>
      <w:pPr>
        <w:pStyle w:val="BDOISpacer"/>
      </w:pPr>
    </w:p>
    <w:p>
      <w:pPr>
        <w:pStyle w:val="BDOILabel"/>
      </w:pPr>
      <w:r>
        <w:rPr/>
        <w:t>Description</w:t>
      </w:r>
    </w:p>
    <w:p>
      <w:r>
        <w:rPr/>
        <w:t>Legacy invoices whose premium was paid directly to the insurer (DPPR)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Accounting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DP_PR_REVERSAL_POSTING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OPS_DP_PR_REVERSAL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151" w:name="_Toc000151"/>
      <w:r>
        <w:rPr/>
        <w:t>FR-DM-071 Reverse PR2307 legacy invoices in batch</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Cashiering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/api/v1/cashiering/pr2307-reversal-batches; .../{no}/submit; .../approve</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Accounting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OPS_CWT_RECLASS, OPS_CWT_DTIP_OFFSET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120"/>
        <w:ind w:left="312" w:hanging="283"/>
      </w:pPr>
      <w:r>
        <w:rPr>
          <w:color w:val="004EA8"/>
        </w:rPr>
        <w:t>1.</w:t>
        <w:tab/>
      </w:r>
      <w:r>
        <w:rPr/>
        <w:t>An approved PR2307 batch brings the PR2307 legacy balance of each line to 0.00 and reduces DTIP legacy by the same amount.</w:t>
      </w:r>
    </w:p>
    <w:p>
      <w:pPr>
        <w:pStyle w:val="Heading2"/>
      </w:pPr>
      <w:bookmarkStart w:id="152" w:name="_Toc000152"/>
      <w:r>
        <w:rPr/>
        <w:t>4.9 Remittance</w:t>
      </w:r>
      <w:bookmarkEnd w:id="152"/>
    </w:p>
    <w:p>
      <w:pPr>
        <w:pStyle w:val="Heading3"/>
      </w:pPr>
      <w:bookmarkStart w:id="153" w:name="_Toc000153"/>
      <w:r>
        <w:rPr/>
        <w:t>FR-DM-080 Include legacy invoices in remittance extracts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8.1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remittance module</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154" w:name="_Toc000154"/>
      <w:r>
        <w:rPr/>
        <w:t>4.10 Endorsements on legacy invoices</w:t>
      </w:r>
      <w:bookmarkEnd w:id="154"/>
    </w:p>
    <w:p>
      <w:pPr>
        <w:pStyle w:val="Heading3"/>
      </w:pPr>
      <w:bookmarkStart w:id="155" w:name="_Toc000155"/>
      <w:r>
        <w:rPr/>
        <w:t>FR-DM-090 Process a positive endorsement on a legacy invoice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 (/api/v1/adjustment/requests)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with ledger context LEGACY,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has ledger context LEGACY;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156" w:name="_Toc000156"/>
      <w:r>
        <w:rPr/>
        <w:t>FR-DM-091 Process a negative endorsement on a legacy invoice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negative financial endorsement (return premium, decrease, cancellation) of a legacy policy is processed like FR-DM-090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w:t>
            </w:r>
          </w:p>
        </w:tc>
        <w:tc>
          <w:tcPr>
            <w:tcW w:type="dxa" w:w="4079"/>
            <w:tcMar>
              <w:top w:w="50" w:type="dxa"/>
              <w:bottom w:w="50" w:type="dxa"/>
              <w:left w:w="90" w:type="dxa"/>
              <w:right w:w="90" w:type="dxa"/>
            </w:tcMar>
          </w:tcPr>
          <w:p>
            <w:pPr>
              <w:pStyle w:val="BDOITable"/>
            </w:pPr>
            <w:r>
              <w:rPr>
                <w:sz w:val="18"/>
              </w:rPr>
              <w:t>As ADJID.028 (adjustments above the original premium or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120"/>
        <w:ind w:left="312" w:hanging="283"/>
      </w:pPr>
      <w:r>
        <w:rPr>
          <w:color w:val="004EA8"/>
        </w:rPr>
        <w:t>2.</w:t>
        <w:tab/>
      </w:r>
      <w:r>
        <w:rPr/>
        <w:t>After the endorsement the account premium is the net premium used by Renewal.</w:t>
      </w:r>
    </w:p>
    <w:p>
      <w:pPr>
        <w:pStyle w:val="Heading3"/>
      </w:pPr>
      <w:bookmarkStart w:id="157" w:name="_Toc000157"/>
      <w:r>
        <w:rPr/>
        <w:t>FR-DM-092 Process a non-financial endorsement on a legacy policy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158" w:name="_Toc000158"/>
      <w:r>
        <w:rPr/>
        <w:t>4.11 Prod Recon visibility</w:t>
      </w:r>
      <w:bookmarkEnd w:id="158"/>
    </w:p>
    <w:p>
      <w:pPr>
        <w:pStyle w:val="Heading3"/>
      </w:pPr>
      <w:bookmarkStart w:id="159" w:name="_Toc000159"/>
      <w:r>
        <w:rPr/>
        <w:t>FR-DM-100 Report changes made to legacy invoices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PRC-LEGACY-CHANGES</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DPPR and PR2307 reversals, write-offs, minimal balance reversals and non-financial changes; payments and remittances are included if BDOI asks (DMQ23).</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120"/>
        <w:ind w:left="312" w:hanging="283"/>
      </w:pPr>
      <w:r>
        <w:rPr>
          <w:color w:val="004EA8"/>
        </w:rPr>
        <w:t>2.</w:t>
        <w:tab/>
      </w:r>
      <w:r>
        <w:rPr/>
        <w:t>The report exports to Excel with the same rows.</w:t>
      </w:r>
    </w:p>
    <w:p>
      <w:pPr>
        <w:pStyle w:val="Heading2"/>
      </w:pPr>
      <w:bookmarkStart w:id="160" w:name="_Toc000160"/>
      <w:r>
        <w:rPr/>
        <w:t>4.12 Legacy read-only and archive</w:t>
      </w:r>
      <w:bookmarkEnd w:id="160"/>
    </w:p>
    <w:p>
      <w:pPr>
        <w:pStyle w:val="Heading3"/>
      </w:pPr>
      <w:bookmarkStart w:id="161" w:name="_Toc000161"/>
      <w:r>
        <w:rPr/>
        <w:t>FR-DM-110 Search the legacy archive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/api/v1/legacy-inquiry/records; GET .../records/{id}; GET .../records/{id}/documents/{docId}</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LEGACY_INQUIRY_VIEW;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LEGACY_INQUIRY_EXPORT).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MIG_ARCHIVE_EXPORT_MAX_ROWS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MIG_ARCHIVE_EXPORT_MAX_ROWS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LEGACY_RECORD_TYPE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MIG_ACCESS_REASON</w:t>
            </w:r>
          </w:p>
        </w:tc>
        <w:tc>
          <w:tcPr>
            <w:tcW w:type="dxa" w:w="3286"/>
            <w:tcMar>
              <w:top w:w="50" w:type="dxa"/>
              <w:bottom w:w="50" w:type="dxa"/>
              <w:left w:w="90" w:type="dxa"/>
              <w:right w:w="90" w:type="dxa"/>
            </w:tcMar>
          </w:tcPr>
          <w:p>
            <w:pPr>
              <w:pStyle w:val="BDOITable"/>
            </w:pPr>
            <w:r>
              <w:rPr>
                <w:sz w:val="18"/>
              </w:rPr>
              <w:t>Mandatory when MIG_LEGACY_ACCESS_REASON_REQUIRED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w:t>
      </w:r>
    </w:p>
    <w:p>
      <w:pPr>
        <w:pStyle w:val="Heading3"/>
      </w:pPr>
      <w:bookmarkStart w:id="162" w:name="_Toc000162"/>
      <w:r>
        <w:rPr/>
        <w:t>FR-DM-111 Log and review access to legacy history</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/api/v1/legacy-inquiry/access-log; report MIG-ACCESS-LOG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LEGACY_ACCESS_LOG_VIEW.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log is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MIG_ACCESS_EXPORT_ALERT_ROWS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MIG_ACCESS_EXPORT_ALERT_ROWS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MIG_LEGACY_ACCESS_UNUSUAL.</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163" w:name="_Toc000163"/>
      <w:r>
        <w:rPr/>
        <w:t>4.13 Cutover and coexistence</w:t>
      </w:r>
      <w:bookmarkEnd w:id="163"/>
    </w:p>
    <w:p>
      <w:pPr>
        <w:pStyle w:val="Heading3"/>
      </w:pPr>
      <w:bookmarkStart w:id="164" w:name="_Toc000164"/>
      <w:r>
        <w:rPr/>
        <w:t>FR-DM-120 Plan the cutover and run rehearsals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/api/v1/migration/cutover-plans; .../tasks</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mocks (at least three), the dress rehearsal and the production cutover, so timings are measured before go-live. The runbook is an export of the plan.</w:t>
      </w:r>
    </w:p>
    <w:p>
      <w:pPr>
        <w:pStyle w:val="BDOILabel"/>
      </w:pPr>
      <w:r>
        <w:rPr/>
        <w:t>Preconditions</w:t>
      </w:r>
    </w:p>
    <w:p>
      <w:pPr>
        <w:tabs>
          <w:tab w:pos="312" w:val="left"/>
        </w:tabs>
        <w:spacing w:after="120"/>
        <w:ind w:left="312" w:hanging="283"/>
      </w:pPr>
      <w:r>
        <w:rPr>
          <w:color w:val="004EA8"/>
        </w:rPr>
        <w:t>•</w:t>
        <w:tab/>
      </w:r>
      <w:r>
        <w:rPr/>
        <w:t>The user has MIG_CUTOVER_MANAGE.</w:t>
      </w:r>
    </w:p>
    <w:p>
      <w:pPr>
        <w:pStyle w:val="BDOILabel"/>
      </w:pPr>
      <w:r>
        <w:rPr/>
        <w:t>Main flow</w:t>
      </w:r>
    </w:p>
    <w:p>
      <w:pPr>
        <w:tabs>
          <w:tab w:pos="312" w:val="left"/>
        </w:tabs>
        <w:spacing w:after="40"/>
        <w:ind w:left="312" w:hanging="283"/>
      </w:pPr>
      <w:r>
        <w:rPr>
          <w:color w:val="004EA8"/>
        </w:rPr>
        <w:t>1.</w:t>
        <w:tab/>
      </w:r>
      <w:r>
        <w:rPr/>
        <w:t>The lead creates a plan of kind MOCK, DRESS_REHEARSAL or PRODUCTION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 decisions T-16 weeks; mocks T-12, T-9 and T-6 weeks; dress rehearsal T-3 weeks; pre-load of reference data and clients T-2 weeks; map freeze T-1 week; business freeze after the last legacy EOD before go-live.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Go / no-go criteria</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Non-production rehearsals use masked data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mock plan records planned and actual times per task and per object load.</w:t>
      </w:r>
    </w:p>
    <w:p>
      <w:pPr>
        <w:tabs>
          <w:tab w:pos="312" w:val="left"/>
        </w:tabs>
        <w:spacing w:after="120"/>
        <w:ind w:left="312" w:hanging="283"/>
      </w:pPr>
      <w:r>
        <w:rPr>
          <w:color w:val="004EA8"/>
        </w:rPr>
        <w:t>2.</w:t>
        <w:tab/>
      </w:r>
      <w:r>
        <w:rPr/>
        <w:t>The runbook export lists every task with owner and timing.</w:t>
      </w:r>
    </w:p>
    <w:p>
      <w:pPr>
        <w:pStyle w:val="Heading3"/>
      </w:pPr>
      <w:bookmarkStart w:id="165" w:name="_Toc000165"/>
      <w:r>
        <w:rPr/>
        <w:t>FR-DM-121 Decide go / no-go on measured criteria</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/api/v1/migration/cutover-plans/{id}/gonogo; POST .../gonogo/decision</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the database is restored to the rollback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120"/>
        <w:ind w:left="312" w:hanging="283"/>
      </w:pPr>
      <w:r>
        <w:rPr>
          <w:color w:val="004EA8"/>
        </w:rPr>
        <w:t>2.</w:t>
        <w:tab/>
      </w:r>
      <w:r>
        <w:rPr/>
        <w:t>The decision record shows each criterion value at the time of the decision.</w:t>
      </w:r>
    </w:p>
    <w:p>
      <w:pPr>
        <w:pStyle w:val="Heading3"/>
      </w:pPr>
      <w:bookmarkStart w:id="166" w:name="_Toc000166"/>
      <w:r>
        <w:rPr/>
        <w:t>FR-DM-122 Transition renewals by RMEL cohort and track the run-off</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/api/v1/migration/runoff; report MIG-RUNOFF</w:t>
            </w:r>
          </w:p>
        </w:tc>
      </w:tr>
    </w:tbl>
    <w:p>
      <w:pPr>
        <w:pStyle w:val="BDOISpacer"/>
      </w:pPr>
    </w:p>
    <w:p>
      <w:pPr>
        <w:pStyle w:val="BDOILabel"/>
      </w:pPr>
      <w:r>
        <w:rPr/>
        <w:t>Description</w:t>
      </w:r>
    </w:p>
    <w:p>
      <w:r>
        <w:rPr/>
        <w:t>Renewal in BIBS is enabled from go-live. Legacy policies expiring within the RMEL lead time (140 days) whose RMEL was already extracted in legacy are carried into BIBS Renewal with their disposition; later expiries are extracted by BIBS from the migrated headers. A legacy policy renews on the new-business path pre-filled from its header,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RMEL cohorts are loaded; the Renewal module is live.</w:t>
      </w:r>
    </w:p>
    <w:p>
      <w:pPr>
        <w:pStyle w:val="BDOILabel"/>
      </w:pPr>
      <w:r>
        <w:rPr/>
        <w:t>Main flow</w:t>
      </w:r>
    </w:p>
    <w:p>
      <w:pPr>
        <w:tabs>
          <w:tab w:pos="312" w:val="left"/>
        </w:tabs>
        <w:spacing w:after="40"/>
        <w:ind w:left="312" w:hanging="283"/>
      </w:pPr>
      <w:r>
        <w:rPr>
          <w:color w:val="004EA8"/>
        </w:rPr>
        <w:t>1.</w:t>
        <w:tab/>
      </w:r>
      <w:r>
        <w:rPr/>
        <w:t>At go-live, the carried cohorts appear in Renewal as candidates with source LEGACY.</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cohort extracted by BIBS - expiry later than go-live + RNW_EXTRACTION_LEAD_DAYS (default 140).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RNW_EXTRACTION_LEAD_DAYS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Cohort row without a header</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with the disposition it had in legacy.</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167" w:name="_Toc000167"/>
      <w:r>
        <w:rPr/>
        <w:t>FR-DM-123 Decommission legacy systems on agreed criteria</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MIG_CUTOVER_MANAGE (checklist) or MIG_SIGNOFF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archive loaded and reconciled against legacy; Legacy Inquiry verified by Audit / Compliance; no open inquiry or claim needs the system; last legacy policy expired plus the claims tail; access logs archived; retention covered.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no open legacy invoice or legacy UPP; legacy control accounts and Migration Clearing at 0.00.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w:t>
      </w:r>
    </w:p>
    <w:p>
      <w:pPr>
        <w:tabs>
          <w:tab w:pos="312" w:val="left"/>
        </w:tabs>
        <w:spacing w:after="120"/>
        <w:ind w:left="312" w:hanging="283"/>
      </w:pPr>
      <w:r>
        <w:rPr>
          <w:color w:val="004EA8"/>
        </w:rPr>
        <w:t>2.</w:t>
        <w:tab/>
      </w:r>
      <w:r>
        <w:rPr/>
        <w:t>The legacy context cannot be closed while a legacy UPP has a balance.</w:t>
      </w:r>
    </w:p>
    <w:p>
      <w:pPr>
        <w:pStyle w:val="Heading1"/>
        <w:pageBreakBefore/>
        <w:pBdr>
          <w:bottom w:val="single" w:sz="4" w:space="4" w:color="99C1E7"/>
        </w:pBdr>
      </w:pPr>
      <w:bookmarkStart w:id="168" w:name="_Toc000168"/>
      <w:r>
        <w:rPr/>
        <w:t>5 Workflow and status model</w:t>
      </w:r>
      <w:bookmarkEnd w:id="168"/>
    </w:p>
    <w:p>
      <w:pPr>
        <w:pStyle w:val="Heading2"/>
      </w:pPr>
      <w:bookmarkStart w:id="169" w:name="_Toc000169"/>
      <w:r>
        <w:rPr/>
        <w:t>5.1 Data object and batch states</w:t>
      </w:r>
      <w:bookmarkEnd w:id="169"/>
    </w:p>
    <w:p>
      <w:pPr>
        <w:pStyle w:val="Caption"/>
        <w:keepNext/>
        <w:spacing w:after="60"/>
      </w:pPr>
      <w:r>
        <w:rPr>
          <w:b/>
          <w:i w:val="0"/>
        </w:rPr>
        <w:t xml:space="preserve">Table 11: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FOR_DECISION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payloads purged after the retention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LOADED_WITH_REJECTS,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SIGNED_OFF</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ROLLING_BACK, ROLLED_BACK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170" w:name="_Toc000170"/>
      <w:r>
        <w:rPr/>
        <w:t>5.2 Approval workflows</w:t>
      </w:r>
      <w:bookmarkEnd w:id="170"/>
    </w:p>
    <w:p>
      <w:pPr>
        <w:pStyle w:val="Caption"/>
        <w:keepNext/>
        <w:spacing w:after="60"/>
      </w:pPr>
      <w:r>
        <w:rPr>
          <w:b/>
          <w:i w:val="0"/>
        </w:rPr>
        <w:t xml:space="preserve">Table 12: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MIG_OBJECT_DECISION</w:t>
            </w:r>
          </w:p>
        </w:tc>
        <w:tc>
          <w:tcPr>
            <w:tcW w:type="dxa" w:w="3364"/>
            <w:tcMar>
              <w:top w:w="50" w:type="dxa"/>
              <w:bottom w:w="50" w:type="dxa"/>
              <w:left w:w="90" w:type="dxa"/>
              <w:right w:w="90" w:type="dxa"/>
            </w:tcMar>
          </w:tcPr>
          <w:p>
            <w:pPr>
              <w:pStyle w:val="BDOITable"/>
            </w:pPr>
            <w:r>
              <w:rPr>
                <w:sz w:val="17"/>
              </w:rPr>
              <w:t>PROPOSED, FOR_DECISION, DECIDED</w:t>
            </w:r>
          </w:p>
        </w:tc>
        <w:tc>
          <w:tcPr>
            <w:tcW w:type="dxa" w:w="2042"/>
            <w:tcMar>
              <w:top w:w="50" w:type="dxa"/>
              <w:bottom w:w="50" w:type="dxa"/>
              <w:left w:w="90" w:type="dxa"/>
              <w:right w:w="90" w:type="dxa"/>
            </w:tcMar>
          </w:tcPr>
          <w:p>
            <w:pPr>
              <w:pStyle w:val="BDOITable"/>
            </w:pPr>
            <w:r>
              <w:rPr>
                <w:sz w:val="17"/>
              </w:rPr>
              <w:t>MIG_OBJECT_MANAGE</w:t>
            </w:r>
          </w:p>
        </w:tc>
        <w:tc>
          <w:tcPr>
            <w:tcW w:type="dxa" w:w="2042"/>
            <w:tcMar>
              <w:top w:w="50" w:type="dxa"/>
              <w:bottom w:w="50" w:type="dxa"/>
              <w:left w:w="90" w:type="dxa"/>
              <w:right w:w="90" w:type="dxa"/>
            </w:tcMar>
          </w:tcPr>
          <w:p>
            <w:pPr>
              <w:pStyle w:val="BDOITable"/>
            </w:pPr>
            <w:r>
              <w:rPr>
                <w:sz w:val="17"/>
              </w:rPr>
              <w:t>MIG_DECISION_APPROVE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MIG_MAP_VERSION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MIG_MAPPING_EDIT</w:t>
            </w:r>
          </w:p>
        </w:tc>
        <w:tc>
          <w:tcPr>
            <w:tcW w:type="dxa" w:w="2042"/>
            <w:tcMar>
              <w:top w:w="50" w:type="dxa"/>
              <w:bottom w:w="50" w:type="dxa"/>
              <w:left w:w="90" w:type="dxa"/>
              <w:right w:w="90" w:type="dxa"/>
            </w:tcMar>
            <w:shd w:val="clear" w:color="auto" w:fill="E5F5FF"/>
          </w:tcPr>
          <w:p>
            <w:pPr>
              <w:pStyle w:val="BDOITable"/>
            </w:pPr>
            <w:r>
              <w:rPr>
                <w:sz w:val="17"/>
              </w:rPr>
              <w:t>MIG_MAPPING_APPROVE</w:t>
            </w:r>
          </w:p>
        </w:tc>
      </w:tr>
      <w:tr>
        <w:trPr>
          <w:cantSplit w:val="true"/>
        </w:trPr>
        <w:tc>
          <w:tcPr>
            <w:tcW w:type="dxa" w:w="2523"/>
            <w:tcMar>
              <w:top w:w="50" w:type="dxa"/>
              <w:bottom w:w="50" w:type="dxa"/>
              <w:left w:w="90" w:type="dxa"/>
              <w:right w:w="90" w:type="dxa"/>
            </w:tcMar>
          </w:tcPr>
          <w:p>
            <w:pPr>
              <w:pStyle w:val="BDOITable"/>
            </w:pPr>
            <w:r>
              <w:rPr>
                <w:sz w:val="17"/>
              </w:rPr>
              <w:t>MIG_BATCH_ROLLBACK</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MIG_ROLLBACK_REQUEST</w:t>
            </w:r>
          </w:p>
        </w:tc>
        <w:tc>
          <w:tcPr>
            <w:tcW w:type="dxa" w:w="2042"/>
            <w:tcMar>
              <w:top w:w="50" w:type="dxa"/>
              <w:bottom w:w="50" w:type="dxa"/>
              <w:left w:w="90" w:type="dxa"/>
              <w:right w:w="90" w:type="dxa"/>
            </w:tcMar>
          </w:tcPr>
          <w:p>
            <w:pPr>
              <w:pStyle w:val="BDOITable"/>
            </w:pPr>
            <w:r>
              <w:rPr>
                <w:sz w:val="17"/>
              </w:rPr>
              <w:t>MIG_ROLLBACK_APPROVE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OPS_UPP_INCOME_RECLASS</w:t>
            </w:r>
          </w:p>
        </w:tc>
        <w:tc>
          <w:tcPr>
            <w:tcW w:type="dxa" w:w="3364"/>
            <w:tcMar>
              <w:top w:w="50" w:type="dxa"/>
              <w:bottom w:w="50" w:type="dxa"/>
              <w:left w:w="90" w:type="dxa"/>
              <w:right w:w="90" w:type="dxa"/>
            </w:tcMar>
            <w:shd w:val="clear" w:color="auto" w:fill="E5F5FF"/>
          </w:tcPr>
          <w:p>
            <w:pPr>
              <w:pStyle w:val="BDOITable"/>
            </w:pPr>
            <w:r>
              <w:rPr>
                <w:sz w:val="17"/>
              </w:rPr>
              <w:t>DRAFT, FOR_TL_APPROVAL, FOR_TOP_MANAGEMENT, EXECUTED</w:t>
            </w:r>
          </w:p>
        </w:tc>
        <w:tc>
          <w:tcPr>
            <w:tcW w:type="dxa" w:w="2042"/>
            <w:tcMar>
              <w:top w:w="50" w:type="dxa"/>
              <w:bottom w:w="50" w:type="dxa"/>
              <w:left w:w="90" w:type="dxa"/>
              <w:right w:w="90" w:type="dxa"/>
            </w:tcMar>
            <w:shd w:val="clear" w:color="auto" w:fill="E5F5FF"/>
          </w:tcPr>
          <w:p>
            <w:pPr>
              <w:pStyle w:val="BDOITable"/>
            </w:pPr>
            <w:r>
              <w:rPr>
                <w:sz w:val="17"/>
              </w:rPr>
              <w:t>CASH_UPP_INCOME_REQUEST</w:t>
            </w:r>
          </w:p>
        </w:tc>
        <w:tc>
          <w:tcPr>
            <w:tcW w:type="dxa" w:w="2042"/>
            <w:tcMar>
              <w:top w:w="50" w:type="dxa"/>
              <w:bottom w:w="50" w:type="dxa"/>
              <w:left w:w="90" w:type="dxa"/>
              <w:right w:w="90" w:type="dxa"/>
            </w:tcMar>
            <w:shd w:val="clear" w:color="auto" w:fill="E5F5FF"/>
          </w:tcPr>
          <w:p>
            <w:pPr>
              <w:pStyle w:val="BDOITable"/>
            </w:pPr>
            <w:r>
              <w:rPr>
                <w:sz w:val="17"/>
              </w:rPr>
              <w:t>CASH_DISPOSITION_APPROVE, then CASH_UPP_INCOME_APPROVE</w:t>
            </w:r>
          </w:p>
        </w:tc>
      </w:tr>
      <w:tr>
        <w:trPr>
          <w:cantSplit w:val="true"/>
        </w:trPr>
        <w:tc>
          <w:tcPr>
            <w:tcW w:type="dxa" w:w="2523"/>
            <w:tcMar>
              <w:top w:w="50" w:type="dxa"/>
              <w:bottom w:w="50" w:type="dxa"/>
              <w:left w:w="90" w:type="dxa"/>
              <w:right w:w="90" w:type="dxa"/>
            </w:tcMar>
          </w:tcPr>
          <w:p>
            <w:pPr>
              <w:pStyle w:val="BDOITable"/>
            </w:pPr>
            <w:r>
              <w:rPr>
                <w:sz w:val="17"/>
              </w:rPr>
              <w:t>OPS_DPPR_REVERSAL</w:t>
            </w:r>
          </w:p>
        </w:tc>
        <w:tc>
          <w:tcPr>
            <w:tcW w:type="dxa" w:w="3364"/>
            <w:tcMar>
              <w:top w:w="50" w:type="dxa"/>
              <w:bottom w:w="50" w:type="dxa"/>
              <w:left w:w="90" w:type="dxa"/>
              <w:right w:w="90" w:type="dxa"/>
            </w:tcMar>
          </w:tcPr>
          <w:p>
            <w:pPr>
              <w:pStyle w:val="BDOITable"/>
            </w:pPr>
            <w:r>
              <w:rPr>
                <w:sz w:val="17"/>
              </w:rPr>
              <w:t>DRAFT, FOR_APPROVAL, APPROVED, POSTED</w:t>
            </w:r>
          </w:p>
        </w:tc>
        <w:tc>
          <w:tcPr>
            <w:tcW w:type="dxa" w:w="2042"/>
            <w:tcMar>
              <w:top w:w="50" w:type="dxa"/>
              <w:bottom w:w="50" w:type="dxa"/>
              <w:left w:w="90" w:type="dxa"/>
              <w:right w:w="90" w:type="dxa"/>
            </w:tcMar>
          </w:tcPr>
          <w:p>
            <w:pPr>
              <w:pStyle w:val="BDOITable"/>
            </w:pPr>
            <w:r>
              <w:rPr>
                <w:sz w:val="17"/>
              </w:rPr>
              <w:t>LEGACY_REVERSAL_REQUEST</w:t>
            </w:r>
          </w:p>
        </w:tc>
        <w:tc>
          <w:tcPr>
            <w:tcW w:type="dxa" w:w="2042"/>
            <w:tcMar>
              <w:top w:w="50" w:type="dxa"/>
              <w:bottom w:w="50" w:type="dxa"/>
              <w:left w:w="90" w:type="dxa"/>
              <w:right w:w="90" w:type="dxa"/>
            </w:tcMar>
          </w:tcPr>
          <w:p>
            <w:pPr>
              <w:pStyle w:val="BDOITable"/>
            </w:pPr>
            <w:r>
              <w:rPr>
                <w:sz w:val="17"/>
              </w:rPr>
              <w:t>LEGACY_REVERSAL_APPROVE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OPS_PR2307_REVERSAL</w:t>
            </w:r>
          </w:p>
        </w:tc>
        <w:tc>
          <w:tcPr>
            <w:tcW w:type="dxa" w:w="3364"/>
            <w:tcMar>
              <w:top w:w="50" w:type="dxa"/>
              <w:bottom w:w="50" w:type="dxa"/>
              <w:left w:w="90" w:type="dxa"/>
              <w:right w:w="90" w:type="dxa"/>
            </w:tcMar>
            <w:shd w:val="clear" w:color="auto" w:fill="E5F5FF"/>
          </w:tcPr>
          <w:p>
            <w:pPr>
              <w:pStyle w:val="BDOITable"/>
            </w:pPr>
            <w:r>
              <w:rPr>
                <w:sz w:val="17"/>
              </w:rPr>
              <w:t>DRAFT, FOR_APPROVAL, APPROVED, POSTED</w:t>
            </w:r>
          </w:p>
        </w:tc>
        <w:tc>
          <w:tcPr>
            <w:tcW w:type="dxa" w:w="2042"/>
            <w:tcMar>
              <w:top w:w="50" w:type="dxa"/>
              <w:bottom w:w="50" w:type="dxa"/>
              <w:left w:w="90" w:type="dxa"/>
              <w:right w:w="90" w:type="dxa"/>
            </w:tcMar>
            <w:shd w:val="clear" w:color="auto" w:fill="E5F5FF"/>
          </w:tcPr>
          <w:p>
            <w:pPr>
              <w:pStyle w:val="BDOITable"/>
            </w:pPr>
            <w:r>
              <w:rPr>
                <w:sz w:val="17"/>
              </w:rPr>
              <w:t>LEGACY_REVERSAL_REQUEST</w:t>
            </w:r>
          </w:p>
        </w:tc>
        <w:tc>
          <w:tcPr>
            <w:tcW w:type="dxa" w:w="2042"/>
            <w:tcMar>
              <w:top w:w="50" w:type="dxa"/>
              <w:bottom w:w="50" w:type="dxa"/>
              <w:left w:w="90" w:type="dxa"/>
              <w:right w:w="90" w:type="dxa"/>
            </w:tcMar>
            <w:shd w:val="clear" w:color="auto" w:fill="E5F5FF"/>
          </w:tcPr>
          <w:p>
            <w:pPr>
              <w:pStyle w:val="BDOITable"/>
            </w:pPr>
            <w:r>
              <w:rPr>
                <w:sz w:val="17"/>
              </w:rPr>
              <w:t>LEGACY_REVERSAL_APPROVE</w:t>
            </w:r>
          </w:p>
        </w:tc>
      </w:tr>
    </w:tbl>
    <w:p>
      <w:pPr>
        <w:pStyle w:val="BDOISpacer"/>
      </w:pPr>
    </w:p>
    <w:p>
      <w:r>
        <w:rPr/>
        <w:t>Every approval stage allows a return with a reason, which sends the record back to the maker's stage.</w:t>
      </w:r>
    </w:p>
    <w:p>
      <w:pPr>
        <w:pStyle w:val="Heading2"/>
      </w:pPr>
      <w:bookmarkStart w:id="171" w:name="_Toc000171"/>
      <w:r>
        <w:rPr/>
        <w:t>5.3 Sign-off gates</w:t>
      </w:r>
      <w:bookmarkEnd w:id="171"/>
    </w:p>
    <w:p>
      <w:pPr>
        <w:pStyle w:val="Caption"/>
        <w:keepNext/>
        <w:spacing w:after="60"/>
      </w:pPr>
      <w:r>
        <w:rPr>
          <w:b/>
          <w:i w:val="0"/>
        </w:rPr>
        <w:t xml:space="preserve">Table 13: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MIG-DQ-ISSUES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MIG-RECON-SUMMARY, MIG-GL-CLEARING</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1"/>
        <w:pageBreakBefore/>
        <w:pBdr>
          <w:bottom w:val="single" w:sz="4" w:space="4" w:color="99C1E7"/>
        </w:pBdr>
      </w:pPr>
      <w:bookmarkStart w:id="172" w:name="_Toc000172"/>
      <w:r>
        <w:rPr/>
        <w:t>6 Reports and documents</w:t>
      </w:r>
      <w:bookmarkEnd w:id="172"/>
    </w:p>
    <w:p>
      <w:pPr>
        <w:pStyle w:val="Caption"/>
        <w:keepNext/>
        <w:spacing w:after="60"/>
      </w:pPr>
      <w:r>
        <w:rPr>
          <w:b/>
          <w:i w:val="0"/>
        </w:rPr>
        <w:t xml:space="preserve">Table 14: </w:t>
      </w:r>
      <w:r>
        <w:rPr/>
        <w:t>Data Migration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3003"/>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BRID</w:t>
            </w:r>
          </w:p>
        </w:tc>
      </w:tr>
      <w:tr>
        <w:trPr>
          <w:cantSplit w:val="true"/>
        </w:trPr>
        <w:tc>
          <w:tcPr>
            <w:tcW w:type="dxa" w:w="2523"/>
            <w:tcMar>
              <w:top w:w="50" w:type="dxa"/>
              <w:bottom w:w="50" w:type="dxa"/>
              <w:left w:w="90" w:type="dxa"/>
              <w:right w:w="90" w:type="dxa"/>
            </w:tcMar>
          </w:tcPr>
          <w:p>
            <w:pPr>
              <w:pStyle w:val="BDOITable"/>
            </w:pPr>
            <w:r>
              <w:rPr>
                <w:sz w:val="17"/>
              </w:rPr>
              <w:t>MIG-OBJECT-REGISTER</w:t>
            </w:r>
          </w:p>
        </w:tc>
        <w:tc>
          <w:tcPr>
            <w:tcW w:type="dxa" w:w="3244"/>
            <w:tcMar>
              <w:top w:w="50" w:type="dxa"/>
              <w:bottom w:w="50" w:type="dxa"/>
              <w:left w:w="90" w:type="dxa"/>
              <w:right w:w="90" w:type="dxa"/>
            </w:tcMar>
          </w:tcPr>
          <w:p>
            <w:pPr>
              <w:pStyle w:val="BDOITable"/>
            </w:pPr>
            <w:r>
              <w:rPr>
                <w:sz w:val="17"/>
              </w:rPr>
              <w:t>Data Object Register</w:t>
            </w:r>
          </w:p>
        </w:tc>
        <w:tc>
          <w:tcPr>
            <w:tcW w:type="dxa" w:w="3004"/>
            <w:tcMar>
              <w:top w:w="50" w:type="dxa"/>
              <w:bottom w:w="50" w:type="dxa"/>
              <w:left w:w="90" w:type="dxa"/>
              <w:right w:w="90" w:type="dxa"/>
            </w:tcMar>
          </w:tcPr>
          <w:p>
            <w:pPr>
              <w:pStyle w:val="BDOITable"/>
            </w:pPr>
            <w:r>
              <w:rPr>
                <w:sz w:val="17"/>
              </w:rPr>
              <w:t>Objects, class, criteria, owners, status per environment</w:t>
            </w:r>
          </w:p>
        </w:tc>
        <w:tc>
          <w:tcPr>
            <w:tcW w:type="dxa" w:w="1201"/>
            <w:tcMar>
              <w:top w:w="50" w:type="dxa"/>
              <w:bottom w:w="50" w:type="dxa"/>
              <w:left w:w="90" w:type="dxa"/>
              <w:right w:w="90" w:type="dxa"/>
            </w:tcMar>
          </w:tcPr>
          <w:p>
            <w:pPr>
              <w:pStyle w:val="BDOITable"/>
            </w:pPr>
            <w:r>
              <w:rPr>
                <w:sz w:val="17"/>
              </w:rPr>
              <w:t>1.1a</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MIG-DECISIONS</w:t>
            </w:r>
          </w:p>
        </w:tc>
        <w:tc>
          <w:tcPr>
            <w:tcW w:type="dxa" w:w="3244"/>
            <w:tcMar>
              <w:top w:w="50" w:type="dxa"/>
              <w:bottom w:w="50" w:type="dxa"/>
              <w:left w:w="90" w:type="dxa"/>
              <w:right w:w="90" w:type="dxa"/>
            </w:tcMar>
            <w:shd w:val="clear" w:color="auto" w:fill="E5F5FF"/>
          </w:tcPr>
          <w:p>
            <w:pPr>
              <w:pStyle w:val="BDOITable"/>
            </w:pPr>
            <w:r>
              <w:rPr>
                <w:sz w:val="17"/>
              </w:rPr>
              <w:t>Migration Decisions</w:t>
            </w:r>
          </w:p>
        </w:tc>
        <w:tc>
          <w:tcPr>
            <w:tcW w:type="dxa" w:w="3004"/>
            <w:tcMar>
              <w:top w:w="50" w:type="dxa"/>
              <w:bottom w:w="50" w:type="dxa"/>
              <w:left w:w="90" w:type="dxa"/>
              <w:right w:w="90" w:type="dxa"/>
            </w:tcMar>
            <w:shd w:val="clear" w:color="auto" w:fill="E5F5FF"/>
          </w:tcPr>
          <w:p>
            <w:pPr>
              <w:pStyle w:val="BDOITable"/>
            </w:pPr>
            <w:r>
              <w:rPr>
                <w:sz w:val="17"/>
              </w:rPr>
              <w:t>Every decision with submitter, approver and dates</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MIG-UNMAPPED-CODES</w:t>
            </w:r>
          </w:p>
        </w:tc>
        <w:tc>
          <w:tcPr>
            <w:tcW w:type="dxa" w:w="3244"/>
            <w:tcMar>
              <w:top w:w="50" w:type="dxa"/>
              <w:bottom w:w="50" w:type="dxa"/>
              <w:left w:w="90" w:type="dxa"/>
              <w:right w:w="90" w:type="dxa"/>
            </w:tcMar>
          </w:tcPr>
          <w:p>
            <w:pPr>
              <w:pStyle w:val="BDOITable"/>
            </w:pPr>
            <w:r>
              <w:rPr>
                <w:sz w:val="17"/>
              </w:rPr>
              <w:t>Unmapped Codes</w:t>
            </w:r>
          </w:p>
        </w:tc>
        <w:tc>
          <w:tcPr>
            <w:tcW w:type="dxa" w:w="3004"/>
            <w:tcMar>
              <w:top w:w="50" w:type="dxa"/>
              <w:bottom w:w="50" w:type="dxa"/>
              <w:left w:w="90" w:type="dxa"/>
              <w:right w:w="90" w:type="dxa"/>
            </w:tcMar>
          </w:tcPr>
          <w:p>
            <w:pPr>
              <w:pStyle w:val="BDOITable"/>
            </w:pPr>
            <w:r>
              <w:rPr>
                <w:sz w:val="17"/>
              </w:rPr>
              <w:t>Set, source, legacy code, rows, sample keys</w:t>
            </w:r>
          </w:p>
        </w:tc>
        <w:tc>
          <w:tcPr>
            <w:tcW w:type="dxa" w:w="1201"/>
            <w:tcMar>
              <w:top w:w="50" w:type="dxa"/>
              <w:bottom w:w="50" w:type="dxa"/>
              <w:left w:w="90" w:type="dxa"/>
              <w:right w:w="90" w:type="dxa"/>
            </w:tcMar>
          </w:tcPr>
          <w:p>
            <w:pPr>
              <w:pStyle w:val="BDOITable"/>
            </w:pPr>
            <w:r>
              <w:rPr>
                <w:sz w:val="17"/>
              </w:rPr>
              <w:t>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MIG-MAP-VERSIONS</w:t>
            </w:r>
          </w:p>
        </w:tc>
        <w:tc>
          <w:tcPr>
            <w:tcW w:type="dxa" w:w="3244"/>
            <w:tcMar>
              <w:top w:w="50" w:type="dxa"/>
              <w:bottom w:w="50" w:type="dxa"/>
              <w:left w:w="90" w:type="dxa"/>
              <w:right w:w="90" w:type="dxa"/>
            </w:tcMar>
            <w:shd w:val="clear" w:color="auto" w:fill="E5F5FF"/>
          </w:tcPr>
          <w:p>
            <w:pPr>
              <w:pStyle w:val="BDOITable"/>
            </w:pPr>
            <w:r>
              <w:rPr>
                <w:sz w:val="17"/>
              </w:rPr>
              <w:t>Code Map Versions</w:t>
            </w:r>
          </w:p>
        </w:tc>
        <w:tc>
          <w:tcPr>
            <w:tcW w:type="dxa" w:w="3004"/>
            <w:tcMar>
              <w:top w:w="50" w:type="dxa"/>
              <w:bottom w:w="50" w:type="dxa"/>
              <w:left w:w="90" w:type="dxa"/>
              <w:right w:w="90" w:type="dxa"/>
            </w:tcMar>
            <w:shd w:val="clear" w:color="auto" w:fill="E5F5FF"/>
          </w:tcPr>
          <w:p>
            <w:pPr>
              <w:pStyle w:val="BDOITable"/>
            </w:pPr>
            <w:r>
              <w:rPr>
                <w:sz w:val="17"/>
              </w:rPr>
              <w:t>Versions, entries, approvers, batches that used them</w:t>
            </w:r>
          </w:p>
        </w:tc>
        <w:tc>
          <w:tcPr>
            <w:tcW w:type="dxa" w:w="1201"/>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523"/>
            <w:tcMar>
              <w:top w:w="50" w:type="dxa"/>
              <w:bottom w:w="50" w:type="dxa"/>
              <w:left w:w="90" w:type="dxa"/>
              <w:right w:w="90" w:type="dxa"/>
            </w:tcMar>
          </w:tcPr>
          <w:p>
            <w:pPr>
              <w:pStyle w:val="BDOITable"/>
            </w:pPr>
            <w:r>
              <w:rPr>
                <w:sz w:val="17"/>
              </w:rPr>
              <w:t>MIG-DQ-ISSUES</w:t>
            </w:r>
          </w:p>
        </w:tc>
        <w:tc>
          <w:tcPr>
            <w:tcW w:type="dxa" w:w="3244"/>
            <w:tcMar>
              <w:top w:w="50" w:type="dxa"/>
              <w:bottom w:w="50" w:type="dxa"/>
              <w:left w:w="90" w:type="dxa"/>
              <w:right w:w="90" w:type="dxa"/>
            </w:tcMar>
          </w:tcPr>
          <w:p>
            <w:pPr>
              <w:pStyle w:val="BDOITable"/>
            </w:pPr>
            <w:r>
              <w:rPr>
                <w:sz w:val="17"/>
              </w:rPr>
              <w:t>Data-Quality Issues</w:t>
            </w:r>
          </w:p>
        </w:tc>
        <w:tc>
          <w:tcPr>
            <w:tcW w:type="dxa" w:w="3004"/>
            <w:tcMar>
              <w:top w:w="50" w:type="dxa"/>
              <w:bottom w:w="50" w:type="dxa"/>
              <w:left w:w="90" w:type="dxa"/>
              <w:right w:w="90" w:type="dxa"/>
            </w:tcMar>
          </w:tcPr>
          <w:p>
            <w:pPr>
              <w:pStyle w:val="BDOITable"/>
            </w:pPr>
            <w:r>
              <w:rPr>
                <w:sz w:val="17"/>
              </w:rPr>
              <w:t>Issues per rule, severity and resolution</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MIG-REJECTS</w:t>
            </w:r>
          </w:p>
        </w:tc>
        <w:tc>
          <w:tcPr>
            <w:tcW w:type="dxa" w:w="3244"/>
            <w:tcMar>
              <w:top w:w="50" w:type="dxa"/>
              <w:bottom w:w="50" w:type="dxa"/>
              <w:left w:w="90" w:type="dxa"/>
              <w:right w:w="90" w:type="dxa"/>
            </w:tcMar>
            <w:shd w:val="clear" w:color="auto" w:fill="E5F5FF"/>
          </w:tcPr>
          <w:p>
            <w:pPr>
              <w:pStyle w:val="BDOITable"/>
            </w:pPr>
            <w:r>
              <w:rPr>
                <w:sz w:val="17"/>
              </w:rPr>
              <w:t>Rejected Rows</w:t>
            </w:r>
          </w:p>
        </w:tc>
        <w:tc>
          <w:tcPr>
            <w:tcW w:type="dxa" w:w="3004"/>
            <w:tcMar>
              <w:top w:w="50" w:type="dxa"/>
              <w:bottom w:w="50" w:type="dxa"/>
              <w:left w:w="90" w:type="dxa"/>
              <w:right w:w="90" w:type="dxa"/>
            </w:tcMar>
            <w:shd w:val="clear" w:color="auto" w:fill="E5F5FF"/>
          </w:tcPr>
          <w:p>
            <w:pPr>
              <w:pStyle w:val="BDOITable"/>
            </w:pPr>
            <w:r>
              <w:rPr>
                <w:sz w:val="17"/>
              </w:rPr>
              <w:t>Rejected and invalid rows with messages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MIG-BATCH-LOG</w:t>
            </w:r>
          </w:p>
        </w:tc>
        <w:tc>
          <w:tcPr>
            <w:tcW w:type="dxa" w:w="3244"/>
            <w:tcMar>
              <w:top w:w="50" w:type="dxa"/>
              <w:bottom w:w="50" w:type="dxa"/>
              <w:left w:w="90" w:type="dxa"/>
              <w:right w:w="90" w:type="dxa"/>
            </w:tcMar>
          </w:tcPr>
          <w:p>
            <w:pPr>
              <w:pStyle w:val="BDOITable"/>
            </w:pPr>
            <w:r>
              <w:rPr>
                <w:sz w:val="17"/>
              </w:rPr>
              <w:t>Batch Log</w:t>
            </w:r>
          </w:p>
        </w:tc>
        <w:tc>
          <w:tcPr>
            <w:tcW w:type="dxa" w:w="3004"/>
            <w:tcMar>
              <w:top w:w="50" w:type="dxa"/>
              <w:bottom w:w="50" w:type="dxa"/>
              <w:left w:w="90" w:type="dxa"/>
              <w:right w:w="90" w:type="dxa"/>
            </w:tcMar>
          </w:tcPr>
          <w:p>
            <w:pPr>
              <w:pStyle w:val="BDOITable"/>
            </w:pPr>
            <w:r>
              <w:rPr>
                <w:sz w:val="17"/>
              </w:rPr>
              <w:t>Batches with steps, counts and timings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MIG-RECON-SUMMARY</w:t>
            </w:r>
          </w:p>
        </w:tc>
        <w:tc>
          <w:tcPr>
            <w:tcW w:type="dxa" w:w="3244"/>
            <w:tcMar>
              <w:top w:w="50" w:type="dxa"/>
              <w:bottom w:w="50" w:type="dxa"/>
              <w:left w:w="90" w:type="dxa"/>
              <w:right w:w="90" w:type="dxa"/>
            </w:tcMar>
            <w:shd w:val="clear" w:color="auto" w:fill="E5F5FF"/>
          </w:tcPr>
          <w:p>
            <w:pPr>
              <w:pStyle w:val="BDOITable"/>
            </w:pPr>
            <w:r>
              <w:rPr>
                <w:sz w:val="17"/>
              </w:rPr>
              <w:t>Reconciliation Summary</w:t>
            </w:r>
          </w:p>
        </w:tc>
        <w:tc>
          <w:tcPr>
            <w:tcW w:type="dxa" w:w="3004"/>
            <w:tcMar>
              <w:top w:w="50" w:type="dxa"/>
              <w:bottom w:w="50" w:type="dxa"/>
              <w:left w:w="90" w:type="dxa"/>
              <w:right w:w="90" w:type="dxa"/>
            </w:tcMar>
            <w:shd w:val="clear" w:color="auto" w:fill="E5F5FF"/>
          </w:tcPr>
          <w:p>
            <w:pPr>
              <w:pStyle w:val="BDOITable"/>
            </w:pPr>
            <w:r>
              <w:rPr>
                <w:sz w:val="17"/>
              </w:rPr>
              <w:t>Object by level L1-L5 with status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MIG-RECON-DETAIL</w:t>
            </w:r>
          </w:p>
        </w:tc>
        <w:tc>
          <w:tcPr>
            <w:tcW w:type="dxa" w:w="3244"/>
            <w:tcMar>
              <w:top w:w="50" w:type="dxa"/>
              <w:bottom w:w="50" w:type="dxa"/>
              <w:left w:w="90" w:type="dxa"/>
              <w:right w:w="90" w:type="dxa"/>
            </w:tcMar>
          </w:tcPr>
          <w:p>
            <w:pPr>
              <w:pStyle w:val="BDOITable"/>
            </w:pPr>
            <w:r>
              <w:rPr>
                <w:sz w:val="17"/>
              </w:rPr>
              <w:t>Reconciliation Detail</w:t>
            </w:r>
          </w:p>
        </w:tc>
        <w:tc>
          <w:tcPr>
            <w:tcW w:type="dxa" w:w="3004"/>
            <w:tcMar>
              <w:top w:w="50" w:type="dxa"/>
              <w:bottom w:w="50" w:type="dxa"/>
              <w:left w:w="90" w:type="dxa"/>
              <w:right w:w="90" w:type="dxa"/>
            </w:tcMar>
          </w:tcPr>
          <w:p>
            <w:pPr>
              <w:pStyle w:val="BDOITable"/>
            </w:pPr>
            <w:r>
              <w:rPr>
                <w:sz w:val="17"/>
              </w:rPr>
              <w:t>Lines, breaks, explanations and approvals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MIG-GL-CLEARING</w:t>
            </w:r>
          </w:p>
        </w:tc>
        <w:tc>
          <w:tcPr>
            <w:tcW w:type="dxa" w:w="3244"/>
            <w:tcMar>
              <w:top w:w="50" w:type="dxa"/>
              <w:bottom w:w="50" w:type="dxa"/>
              <w:left w:w="90" w:type="dxa"/>
              <w:right w:w="90" w:type="dxa"/>
            </w:tcMar>
            <w:shd w:val="clear" w:color="auto" w:fill="E5F5FF"/>
          </w:tcPr>
          <w:p>
            <w:pPr>
              <w:pStyle w:val="BDOITable"/>
            </w:pPr>
            <w:r>
              <w:rPr>
                <w:sz w:val="17"/>
              </w:rPr>
              <w:t>Migration Clearing and Legacy Control Accounts</w:t>
            </w:r>
          </w:p>
        </w:tc>
        <w:tc>
          <w:tcPr>
            <w:tcW w:type="dxa" w:w="3004"/>
            <w:tcMar>
              <w:top w:w="50" w:type="dxa"/>
              <w:bottom w:w="50" w:type="dxa"/>
              <w:left w:w="90" w:type="dxa"/>
              <w:right w:w="90" w:type="dxa"/>
            </w:tcMar>
            <w:shd w:val="clear" w:color="auto" w:fill="E5F5FF"/>
          </w:tcPr>
          <w:p>
            <w:pPr>
              <w:pStyle w:val="BDOITable"/>
            </w:pPr>
            <w:r>
              <w:rPr>
                <w:sz w:val="17"/>
              </w:rPr>
              <w:t>Clearing balance per branch and currency; legacy control vs sub-ledger</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MIG-CLIENT-MATCH</w:t>
            </w:r>
          </w:p>
        </w:tc>
        <w:tc>
          <w:tcPr>
            <w:tcW w:type="dxa" w:w="3244"/>
            <w:tcMar>
              <w:top w:w="50" w:type="dxa"/>
              <w:bottom w:w="50" w:type="dxa"/>
              <w:left w:w="90" w:type="dxa"/>
              <w:right w:w="90" w:type="dxa"/>
            </w:tcMar>
          </w:tcPr>
          <w:p>
            <w:pPr>
              <w:pStyle w:val="BDOITable"/>
            </w:pPr>
            <w:r>
              <w:rPr>
                <w:sz w:val="17"/>
              </w:rPr>
              <w:t>Client Matching</w:t>
            </w:r>
          </w:p>
        </w:tc>
        <w:tc>
          <w:tcPr>
            <w:tcW w:type="dxa" w:w="3004"/>
            <w:tcMar>
              <w:top w:w="50" w:type="dxa"/>
              <w:bottom w:w="50" w:type="dxa"/>
              <w:left w:w="90" w:type="dxa"/>
              <w:right w:w="90" w:type="dxa"/>
            </w:tcMar>
          </w:tcPr>
          <w:p>
            <w:pPr>
              <w:pStyle w:val="BDOITable"/>
            </w:pPr>
            <w:r>
              <w:rPr>
                <w:sz w:val="17"/>
              </w:rPr>
              <w:t>Clusters, scores, decisions, survivor values</w:t>
            </w:r>
          </w:p>
        </w:tc>
        <w:tc>
          <w:tcPr>
            <w:tcW w:type="dxa" w:w="1201"/>
            <w:tcMar>
              <w:top w:w="50" w:type="dxa"/>
              <w:bottom w:w="50" w:type="dxa"/>
              <w:left w:w="90" w:type="dxa"/>
              <w:right w:w="90" w:type="dxa"/>
            </w:tcMar>
          </w:tcPr>
          <w:p>
            <w:pPr>
              <w:pStyle w:val="BDOITable"/>
            </w:pPr>
            <w:r>
              <w:rPr>
                <w:sz w:val="17"/>
              </w:rPr>
              <w:t>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MIG-SIGNOFF-STATUS</w:t>
            </w:r>
          </w:p>
        </w:tc>
        <w:tc>
          <w:tcPr>
            <w:tcW w:type="dxa" w:w="3244"/>
            <w:tcMar>
              <w:top w:w="50" w:type="dxa"/>
              <w:bottom w:w="50" w:type="dxa"/>
              <w:left w:w="90" w:type="dxa"/>
              <w:right w:w="90" w:type="dxa"/>
            </w:tcMar>
            <w:shd w:val="clear" w:color="auto" w:fill="E5F5FF"/>
          </w:tcPr>
          <w:p>
            <w:pPr>
              <w:pStyle w:val="BDOITable"/>
            </w:pPr>
            <w:r>
              <w:rPr>
                <w:sz w:val="17"/>
              </w:rPr>
              <w:t>Sign-off Status</w:t>
            </w:r>
          </w:p>
        </w:tc>
        <w:tc>
          <w:tcPr>
            <w:tcW w:type="dxa" w:w="3004"/>
            <w:tcMar>
              <w:top w:w="50" w:type="dxa"/>
              <w:bottom w:w="50" w:type="dxa"/>
              <w:left w:w="90" w:type="dxa"/>
              <w:right w:w="90" w:type="dxa"/>
            </w:tcMar>
            <w:shd w:val="clear" w:color="auto" w:fill="E5F5FF"/>
          </w:tcPr>
          <w:p>
            <w:pPr>
              <w:pStyle w:val="BDOITable"/>
            </w:pPr>
            <w:r>
              <w:rPr>
                <w:sz w:val="17"/>
              </w:rPr>
              <w:t>Gates per object and batch</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MIG-CUTOVER-STATUS</w:t>
            </w:r>
          </w:p>
        </w:tc>
        <w:tc>
          <w:tcPr>
            <w:tcW w:type="dxa" w:w="3244"/>
            <w:tcMar>
              <w:top w:w="50" w:type="dxa"/>
              <w:bottom w:w="50" w:type="dxa"/>
              <w:left w:w="90" w:type="dxa"/>
              <w:right w:w="90" w:type="dxa"/>
            </w:tcMar>
          </w:tcPr>
          <w:p>
            <w:pPr>
              <w:pStyle w:val="BDOITable"/>
            </w:pPr>
            <w:r>
              <w:rPr>
                <w:sz w:val="17"/>
              </w:rPr>
              <w:t>Cutover Status</w:t>
            </w:r>
          </w:p>
        </w:tc>
        <w:tc>
          <w:tcPr>
            <w:tcW w:type="dxa" w:w="3004"/>
            <w:tcMar>
              <w:top w:w="50" w:type="dxa"/>
              <w:bottom w:w="50" w:type="dxa"/>
              <w:left w:w="90" w:type="dxa"/>
              <w:right w:w="90" w:type="dxa"/>
            </w:tcMar>
          </w:tcPr>
          <w:p>
            <w:pPr>
              <w:pStyle w:val="BDOITable"/>
            </w:pPr>
            <w:r>
              <w:rPr>
                <w:sz w:val="17"/>
              </w:rPr>
              <w:t>Tasks with planned and actual times</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MIG-GONOGO</w:t>
            </w:r>
          </w:p>
        </w:tc>
        <w:tc>
          <w:tcPr>
            <w:tcW w:type="dxa" w:w="3244"/>
            <w:tcMar>
              <w:top w:w="50" w:type="dxa"/>
              <w:bottom w:w="50" w:type="dxa"/>
              <w:left w:w="90" w:type="dxa"/>
              <w:right w:w="90" w:type="dxa"/>
            </w:tcMar>
            <w:shd w:val="clear" w:color="auto" w:fill="E5F5FF"/>
          </w:tcPr>
          <w:p>
            <w:pPr>
              <w:pStyle w:val="BDOITable"/>
            </w:pPr>
            <w:r>
              <w:rPr>
                <w:sz w:val="17"/>
              </w:rPr>
              <w:t>Go / No-go</w:t>
            </w:r>
          </w:p>
        </w:tc>
        <w:tc>
          <w:tcPr>
            <w:tcW w:type="dxa" w:w="3004"/>
            <w:tcMar>
              <w:top w:w="50" w:type="dxa"/>
              <w:bottom w:w="50" w:type="dxa"/>
              <w:left w:w="90" w:type="dxa"/>
              <w:right w:w="90" w:type="dxa"/>
            </w:tcMar>
            <w:shd w:val="clear" w:color="auto" w:fill="E5F5FF"/>
          </w:tcPr>
          <w:p>
            <w:pPr>
              <w:pStyle w:val="BDOITable"/>
            </w:pPr>
            <w:r>
              <w:rPr>
                <w:sz w:val="17"/>
              </w:rPr>
              <w:t>Criteria, values, decision</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MIG-RUNOFF</w:t>
            </w:r>
          </w:p>
        </w:tc>
        <w:tc>
          <w:tcPr>
            <w:tcW w:type="dxa" w:w="3244"/>
            <w:tcMar>
              <w:top w:w="50" w:type="dxa"/>
              <w:bottom w:w="50" w:type="dxa"/>
              <w:left w:w="90" w:type="dxa"/>
              <w:right w:w="90" w:type="dxa"/>
            </w:tcMar>
          </w:tcPr>
          <w:p>
            <w:pPr>
              <w:pStyle w:val="BDOITable"/>
            </w:pPr>
            <w:r>
              <w:rPr>
                <w:sz w:val="17"/>
              </w:rPr>
              <w:t>Legacy Run-off</w:t>
            </w:r>
          </w:p>
        </w:tc>
        <w:tc>
          <w:tcPr>
            <w:tcW w:type="dxa" w:w="3004"/>
            <w:tcMar>
              <w:top w:w="50" w:type="dxa"/>
              <w:bottom w:w="50" w:type="dxa"/>
              <w:left w:w="90" w:type="dxa"/>
              <w:right w:w="90" w:type="dxa"/>
            </w:tcMar>
          </w:tcPr>
          <w:p>
            <w:pPr>
              <w:pStyle w:val="BDOITable"/>
            </w:pPr>
            <w:r>
              <w:rPr>
                <w:sz w:val="17"/>
              </w:rPr>
              <w:t>Legacy in force by expiry month and outcome</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MIG-LEGACY-POSITIONS</w:t>
            </w:r>
          </w:p>
        </w:tc>
        <w:tc>
          <w:tcPr>
            <w:tcW w:type="dxa" w:w="3244"/>
            <w:tcMar>
              <w:top w:w="50" w:type="dxa"/>
              <w:bottom w:w="50" w:type="dxa"/>
              <w:left w:w="90" w:type="dxa"/>
              <w:right w:w="90" w:type="dxa"/>
            </w:tcMar>
            <w:shd w:val="clear" w:color="auto" w:fill="E5F5FF"/>
          </w:tcPr>
          <w:p>
            <w:pPr>
              <w:pStyle w:val="BDOITable"/>
            </w:pPr>
            <w:r>
              <w:rPr>
                <w:sz w:val="17"/>
              </w:rPr>
              <w:t>Legacy Open Positions</w:t>
            </w:r>
          </w:p>
        </w:tc>
        <w:tc>
          <w:tcPr>
            <w:tcW w:type="dxa" w:w="3004"/>
            <w:tcMar>
              <w:top w:w="50" w:type="dxa"/>
              <w:bottom w:w="50" w:type="dxa"/>
              <w:left w:w="90" w:type="dxa"/>
              <w:right w:w="90" w:type="dxa"/>
            </w:tcMar>
            <w:shd w:val="clear" w:color="auto" w:fill="E5F5FF"/>
          </w:tcPr>
          <w:p>
            <w:pPr>
              <w:pStyle w:val="BDOITable"/>
            </w:pPr>
            <w:r>
              <w:rPr>
                <w:sz w:val="17"/>
              </w:rPr>
              <w:t>Open legacy invoices and UPP by component, insurer, client and age</w:t>
            </w:r>
          </w:p>
        </w:tc>
        <w:tc>
          <w:tcPr>
            <w:tcW w:type="dxa" w:w="1201"/>
            <w:tcMar>
              <w:top w:w="50" w:type="dxa"/>
              <w:bottom w:w="50" w:type="dxa"/>
              <w:left w:w="90" w:type="dxa"/>
              <w:right w:w="90" w:type="dxa"/>
            </w:tcMar>
            <w:shd w:val="clear" w:color="auto" w:fill="E5F5FF"/>
          </w:tcPr>
          <w:p>
            <w:pPr>
              <w:pStyle w:val="BDOITable"/>
            </w:pPr>
            <w:r>
              <w:rPr>
                <w:sz w:val="17"/>
              </w:rPr>
              <w:t>5.1-8.1</w:t>
            </w:r>
          </w:p>
        </w:tc>
      </w:tr>
      <w:tr>
        <w:trPr>
          <w:cantSplit w:val="true"/>
        </w:trPr>
        <w:tc>
          <w:tcPr>
            <w:tcW w:type="dxa" w:w="2523"/>
            <w:tcMar>
              <w:top w:w="50" w:type="dxa"/>
              <w:bottom w:w="50" w:type="dxa"/>
              <w:left w:w="90" w:type="dxa"/>
              <w:right w:w="90" w:type="dxa"/>
            </w:tcMar>
          </w:tcPr>
          <w:p>
            <w:pPr>
              <w:pStyle w:val="BDOITable"/>
            </w:pPr>
            <w:r>
              <w:rPr>
                <w:sz w:val="17"/>
              </w:rPr>
              <w:t>MIG-ACCESS-LOG</w:t>
            </w:r>
          </w:p>
        </w:tc>
        <w:tc>
          <w:tcPr>
            <w:tcW w:type="dxa" w:w="3244"/>
            <w:tcMar>
              <w:top w:w="50" w:type="dxa"/>
              <w:bottom w:w="50" w:type="dxa"/>
              <w:left w:w="90" w:type="dxa"/>
              <w:right w:w="90" w:type="dxa"/>
            </w:tcMar>
          </w:tcPr>
          <w:p>
            <w:pPr>
              <w:pStyle w:val="BDOITable"/>
            </w:pPr>
            <w:r>
              <w:rPr>
                <w:sz w:val="17"/>
              </w:rPr>
              <w:t>Legacy Access Log</w:t>
            </w:r>
          </w:p>
        </w:tc>
        <w:tc>
          <w:tcPr>
            <w:tcW w:type="dxa" w:w="3004"/>
            <w:tcMar>
              <w:top w:w="50" w:type="dxa"/>
              <w:bottom w:w="50" w:type="dxa"/>
              <w:left w:w="90" w:type="dxa"/>
              <w:right w:w="90" w:type="dxa"/>
            </w:tcMar>
          </w:tcPr>
          <w:p>
            <w:pPr>
              <w:pStyle w:val="BDOITable"/>
            </w:pPr>
            <w:r>
              <w:rPr>
                <w:sz w:val="17"/>
              </w:rPr>
              <w:t>Access to legacy history</w:t>
            </w:r>
          </w:p>
        </w:tc>
        <w:tc>
          <w:tcPr>
            <w:tcW w:type="dxa" w:w="1201"/>
            <w:tcMar>
              <w:top w:w="50" w:type="dxa"/>
              <w:bottom w:w="50" w:type="dxa"/>
              <w:left w:w="90" w:type="dxa"/>
              <w:right w:w="90" w:type="dxa"/>
            </w:tcMar>
          </w:tcPr>
          <w:p>
            <w:pPr>
              <w:pStyle w:val="BDOITable"/>
            </w:pPr>
            <w:r>
              <w:rPr>
                <w:sz w:val="17"/>
              </w:rPr>
              <w:t>11.1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PRC-LEGACY-CHANGES</w:t>
            </w:r>
          </w:p>
        </w:tc>
        <w:tc>
          <w:tcPr>
            <w:tcW w:type="dxa" w:w="3244"/>
            <w:tcMar>
              <w:top w:w="50" w:type="dxa"/>
              <w:bottom w:w="50" w:type="dxa"/>
              <w:left w:w="90" w:type="dxa"/>
              <w:right w:w="90" w:type="dxa"/>
            </w:tcMar>
            <w:shd w:val="clear" w:color="auto" w:fill="E5F5FF"/>
          </w:tcPr>
          <w:p>
            <w:pPr>
              <w:pStyle w:val="BDOITable"/>
            </w:pPr>
            <w:r>
              <w:rPr>
                <w:sz w:val="17"/>
              </w:rPr>
              <w:t>Legacy Invoice Changes</w:t>
            </w:r>
          </w:p>
        </w:tc>
        <w:tc>
          <w:tcPr>
            <w:tcW w:type="dxa" w:w="3004"/>
            <w:tcMar>
              <w:top w:w="50" w:type="dxa"/>
              <w:bottom w:w="50" w:type="dxa"/>
              <w:left w:w="90" w:type="dxa"/>
              <w:right w:w="90" w:type="dxa"/>
            </w:tcMar>
            <w:shd w:val="clear" w:color="auto" w:fill="E5F5FF"/>
          </w:tcPr>
          <w:p>
            <w:pPr>
              <w:pStyle w:val="BDOITable"/>
            </w:pPr>
            <w:r>
              <w:rPr>
                <w:sz w:val="17"/>
              </w:rPr>
              <w:t>Original, updated and delta per change</w:t>
            </w:r>
          </w:p>
        </w:tc>
        <w:tc>
          <w:tcPr>
            <w:tcW w:type="dxa" w:w="1201"/>
            <w:tcMar>
              <w:top w:w="50" w:type="dxa"/>
              <w:bottom w:w="50" w:type="dxa"/>
              <w:left w:w="90" w:type="dxa"/>
              <w:right w:w="90" w:type="dxa"/>
            </w:tcMar>
            <w:shd w:val="clear" w:color="auto" w:fill="E5F5FF"/>
          </w:tcPr>
          <w:p>
            <w:pPr>
              <w:pStyle w:val="BDOITable"/>
            </w:pPr>
            <w:r>
              <w:rPr>
                <w:sz w:val="17"/>
              </w:rPr>
              <w:t>10.1</w:t>
            </w:r>
          </w:p>
        </w:tc>
      </w:tr>
      <w:tr>
        <w:trPr>
          <w:cantSplit w:val="true"/>
        </w:trPr>
        <w:tc>
          <w:tcPr>
            <w:tcW w:type="dxa" w:w="2523"/>
            <w:tcMar>
              <w:top w:w="50" w:type="dxa"/>
              <w:bottom w:w="50" w:type="dxa"/>
              <w:left w:w="90" w:type="dxa"/>
              <w:right w:w="90" w:type="dxa"/>
            </w:tcMar>
          </w:tcPr>
          <w:p>
            <w:pPr>
              <w:pStyle w:val="BDOITable"/>
            </w:pPr>
            <w:r>
              <w:rPr>
                <w:sz w:val="17"/>
              </w:rPr>
              <w:t>CSH-UPP-LEGACY</w:t>
            </w:r>
          </w:p>
        </w:tc>
        <w:tc>
          <w:tcPr>
            <w:tcW w:type="dxa" w:w="3244"/>
            <w:tcMar>
              <w:top w:w="50" w:type="dxa"/>
              <w:bottom w:w="50" w:type="dxa"/>
              <w:left w:w="90" w:type="dxa"/>
              <w:right w:w="90" w:type="dxa"/>
            </w:tcMar>
          </w:tcPr>
          <w:p>
            <w:pPr>
              <w:pStyle w:val="BDOITable"/>
            </w:pPr>
            <w:r>
              <w:rPr>
                <w:sz w:val="17"/>
              </w:rPr>
              <w:t>Legacy UPP</w:t>
            </w:r>
          </w:p>
        </w:tc>
        <w:tc>
          <w:tcPr>
            <w:tcW w:type="dxa" w:w="3004"/>
            <w:tcMar>
              <w:top w:w="50" w:type="dxa"/>
              <w:bottom w:w="50" w:type="dxa"/>
              <w:left w:w="90" w:type="dxa"/>
              <w:right w:w="90" w:type="dxa"/>
            </w:tcMar>
          </w:tcPr>
          <w:p>
            <w:pPr>
              <w:pStyle w:val="BDOITable"/>
            </w:pPr>
            <w:r>
              <w:rPr>
                <w:sz w:val="17"/>
              </w:rPr>
              <w:t>Legacy UPP by age, status and client</w:t>
            </w:r>
          </w:p>
        </w:tc>
        <w:tc>
          <w:tcPr>
            <w:tcW w:type="dxa" w:w="1201"/>
            <w:tcMar>
              <w:top w:w="50" w:type="dxa"/>
              <w:bottom w:w="50" w:type="dxa"/>
              <w:left w:w="90" w:type="dxa"/>
              <w:right w:w="90" w:type="dxa"/>
            </w:tcMar>
          </w:tcPr>
          <w:p>
            <w:pPr>
              <w:pStyle w:val="BDOITable"/>
            </w:pPr>
            <w:r>
              <w:rPr>
                <w:sz w:val="17"/>
              </w:rPr>
              <w:t>5.1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CSH-UPP-INCOME-RECLASS</w:t>
            </w:r>
          </w:p>
        </w:tc>
        <w:tc>
          <w:tcPr>
            <w:tcW w:type="dxa" w:w="3244"/>
            <w:tcMar>
              <w:top w:w="50" w:type="dxa"/>
              <w:bottom w:w="50" w:type="dxa"/>
              <w:left w:w="90" w:type="dxa"/>
              <w:right w:w="90" w:type="dxa"/>
            </w:tcMar>
            <w:shd w:val="clear" w:color="auto" w:fill="E5F5FF"/>
          </w:tcPr>
          <w:p>
            <w:pPr>
              <w:pStyle w:val="BDOITable"/>
            </w:pPr>
            <w:r>
              <w:rPr>
                <w:sz w:val="17"/>
              </w:rPr>
              <w:t>UPP Reclassified to Income</w:t>
            </w:r>
          </w:p>
        </w:tc>
        <w:tc>
          <w:tcPr>
            <w:tcW w:type="dxa" w:w="3004"/>
            <w:tcMar>
              <w:top w:w="50" w:type="dxa"/>
              <w:bottom w:w="50" w:type="dxa"/>
              <w:left w:w="90" w:type="dxa"/>
              <w:right w:w="90" w:type="dxa"/>
            </w:tcMar>
            <w:shd w:val="clear" w:color="auto" w:fill="E5F5FF"/>
          </w:tcPr>
          <w:p>
            <w:pPr>
              <w:pStyle w:val="BDOITable"/>
            </w:pPr>
            <w:r>
              <w:rPr>
                <w:sz w:val="17"/>
              </w:rPr>
              <w:t>Batches, items, approvers, amounts</w:t>
            </w:r>
          </w:p>
        </w:tc>
        <w:tc>
          <w:tcPr>
            <w:tcW w:type="dxa" w:w="1201"/>
            <w:tcMar>
              <w:top w:w="50" w:type="dxa"/>
              <w:bottom w:w="50" w:type="dxa"/>
              <w:left w:w="90" w:type="dxa"/>
              <w:right w:w="90" w:type="dxa"/>
            </w:tcMar>
            <w:shd w:val="clear" w:color="auto" w:fill="E5F5FF"/>
          </w:tcPr>
          <w:p>
            <w:pPr>
              <w:pStyle w:val="BDOITable"/>
            </w:pPr>
            <w:r>
              <w:rPr>
                <w:sz w:val="17"/>
              </w:rPr>
              <w:t>5.5</w:t>
            </w:r>
          </w:p>
        </w:tc>
      </w:tr>
    </w:tbl>
    <w:p>
      <w:pPr>
        <w:pStyle w:val="BDOISpacer"/>
      </w:pPr>
    </w:p>
    <w:p>
      <w:r>
        <w:rPr/>
        <w:t>All reports export to Excel and PDF. The MIG reports need MIG_VIEW; PRC and CSH reports follow the Operations report permissions; MIG-ACCESS-LOG needs LEGACY_ACCESS_LOG_VIEW.</w:t>
      </w:r>
    </w:p>
    <w:p>
      <w:r>
        <w:rPr>
          <w:b/>
        </w:rPr>
        <w:t>Documents.</w:t>
      </w:r>
      <w:r>
        <w:rPr/>
        <w:t xml:space="preserve"> The data requirements workbook (layouts, formats, control file, code map templates) and the cutover runbook are generated from BIBS (layouts and cutover plan) in Excel and Word.</w:t>
      </w:r>
    </w:p>
    <w:p>
      <w:pPr>
        <w:pStyle w:val="Heading1"/>
        <w:pageBreakBefore/>
        <w:pBdr>
          <w:bottom w:val="single" w:sz="4" w:space="4" w:color="99C1E7"/>
        </w:pBdr>
      </w:pPr>
      <w:bookmarkStart w:id="173" w:name="_Toc000173"/>
      <w:r>
        <w:rPr/>
        <w:t>7 Interfaces and integration</w:t>
      </w:r>
      <w:bookmarkEnd w:id="173"/>
    </w:p>
    <w:p>
      <w:r>
        <w:rPr/>
        <w:t>Figure 4 shows the interfaces of the migration module. It writes into BIBS only through the services of the owning modules and serves the Renewal and Customer Servicing modules through their ports.</w:t>
      </w:r>
    </w:p>
    <w:p>
      <w:pPr>
        <w:keepNext/>
        <w:spacing w:before="80" w:after="0"/>
        <w:jc w:val="center"/>
      </w:pPr>
      <w:r>
        <w:drawing>
          <wp:inline xmlns:a="http://schemas.openxmlformats.org/drawingml/2006/main" xmlns:pic="http://schemas.openxmlformats.org/drawingml/2006/picture">
            <wp:extent cx="6332220" cy="5202375"/>
            <wp:docPr id="6" name="Picture 6"/>
            <wp:cNvGraphicFramePr>
              <a:graphicFrameLocks noChangeAspect="1"/>
            </wp:cNvGraphicFramePr>
            <a:graphic>
              <a:graphicData uri="http://schemas.openxmlformats.org/drawingml/2006/picture">
                <pic:pic>
                  <pic:nvPicPr>
                    <pic:cNvPr id="0" name="brd13_integration.png"/>
                    <pic:cNvPicPr/>
                  </pic:nvPicPr>
                  <pic:blipFill>
                    <a:blip r:embed="rId18"/>
                    <a:stretch>
                      <a:fillRect/>
                    </a:stretch>
                  </pic:blipFill>
                  <pic:spPr>
                    <a:xfrm>
                      <a:off x="0" y="0"/>
                      <a:ext cx="6332220" cy="5202375"/>
                    </a:xfrm>
                    <a:prstGeom prst="rect"/>
                  </pic:spPr>
                </pic:pic>
              </a:graphicData>
            </a:graphic>
          </wp:inline>
        </w:drawing>
      </w:r>
    </w:p>
    <w:p>
      <w:pPr>
        <w:pStyle w:val="Caption"/>
        <w:jc w:val="center"/>
      </w:pPr>
      <w:r>
        <w:rPr>
          <w:b/>
          <w:i w:val="0"/>
        </w:rPr>
        <w:t xml:space="preserve">Figure 4: </w:t>
      </w:r>
      <w:r>
        <w:rPr/>
        <w:t>Interfaces of the migration module (dashed = parked seam or link only)</w:t>
      </w:r>
    </w:p>
    <w:p>
      <w:pPr>
        <w:pStyle w:val="Caption"/>
        <w:keepNext/>
        <w:spacing w:after="60"/>
      </w:pPr>
      <w:r>
        <w:rPr>
          <w:b/>
          <w:i w:val="0"/>
        </w:rPr>
        <w:t xml:space="preserve">Table 15: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SFTP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a job</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and trial balance</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policy source)</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Carried cohorts and migrated headers for extraction</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Link and legacy reference only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SFTP drop, automated delta extracts, bulk transfer of legacy documents and the legacy read-only links depend on BDOI IT (DMQ24, DMQ28). BIBS works with console uploads until then; adding a transport is a configuration of the intake, with no change to the checks.</w:t>
            </w:r>
          </w:p>
        </w:tc>
      </w:tr>
    </w:tbl>
    <w:p>
      <w:pPr>
        <w:pStyle w:val="BDOISpacer"/>
      </w:pPr>
    </w:p>
    <w:p>
      <w:pPr>
        <w:pStyle w:val="Heading1"/>
        <w:pageBreakBefore/>
        <w:pBdr>
          <w:bottom w:val="single" w:sz="4" w:space="4" w:color="99C1E7"/>
        </w:pBdr>
      </w:pPr>
      <w:bookmarkStart w:id="174" w:name="_Toc000174"/>
      <w:r>
        <w:rPr/>
        <w:t>8 Non-functional requirements</w:t>
      </w:r>
      <w:bookmarkEnd w:id="174"/>
    </w:p>
    <w:p>
      <w:r>
        <w:rPr/>
        <w:t>The BRD refers every usage table to "the consolidated NFR requirements for BDO Insure Core Modernization project" (p.13-14), which is not in the pack (DMQ29). The values below are proposals.</w:t>
      </w:r>
    </w:p>
    <w:p>
      <w:pPr>
        <w:pStyle w:val="Caption"/>
        <w:keepNext/>
        <w:spacing w:after="60"/>
      </w:pPr>
      <w:r>
        <w:rPr>
          <w:b/>
          <w:i w:val="0"/>
        </w:rPr>
        <w:t xml:space="preserve">Table 16: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244"/>
        <w:gridCol w:w="336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Volumes</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Loaders sized for 1,000,000 client rows and 500,000 open-item rows; planning bounds from the umbrella BRD (clients 2020 to present, p.43; 21,200 bookings and 25,800 renewal accounts a month, p.44-45)</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Cutover window</w:t>
            </w:r>
          </w:p>
        </w:tc>
        <w:tc>
          <w:tcPr>
            <w:tcW w:type="dxa" w:w="3244"/>
            <w:tcMar>
              <w:top w:w="50" w:type="dxa"/>
              <w:bottom w:w="50" w:type="dxa"/>
              <w:left w:w="90" w:type="dxa"/>
              <w:right w:w="90" w:type="dxa"/>
            </w:tcMar>
            <w:shd w:val="clear" w:color="auto" w:fill="E5F5FF"/>
          </w:tcPr>
          <w:p>
            <w:pPr>
              <w:pStyle w:val="BDOITable"/>
            </w:pPr>
            <w:r>
              <w:rPr>
                <w:sz w:val="17"/>
              </w:rPr>
              <w:t>Not given</w:t>
            </w:r>
          </w:p>
        </w:tc>
        <w:tc>
          <w:tcPr>
            <w:tcW w:type="dxa" w:w="3364"/>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Load performance</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Staging security</w:t>
            </w:r>
          </w:p>
        </w:tc>
        <w:tc>
          <w:tcPr>
            <w:tcW w:type="dxa" w:w="3244"/>
            <w:tcMar>
              <w:top w:w="50" w:type="dxa"/>
              <w:bottom w:w="50" w:type="dxa"/>
              <w:left w:w="90" w:type="dxa"/>
              <w:right w:w="90" w:type="dxa"/>
            </w:tcMar>
            <w:shd w:val="clear" w:color="auto" w:fill="E5F5FF"/>
          </w:tcPr>
          <w:p>
            <w:pPr>
              <w:pStyle w:val="BDOITable"/>
            </w:pPr>
            <w:r>
              <w:rPr>
                <w:sz w:val="17"/>
              </w:rPr>
              <w:t>Hosting appendix</w:t>
            </w:r>
          </w:p>
        </w:tc>
        <w:tc>
          <w:tcPr>
            <w:tcW w:type="dxa" w:w="3364"/>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c>
          <w:tcPr>
            <w:tcW w:type="dxa" w:w="1562"/>
            <w:tcMar>
              <w:top w:w="50" w:type="dxa"/>
              <w:bottom w:w="50" w:type="dxa"/>
              <w:left w:w="90" w:type="dxa"/>
              <w:right w:w="90" w:type="dxa"/>
            </w:tcMar>
            <w:shd w:val="clear" w:color="auto" w:fill="E5F5FF"/>
          </w:tcPr>
          <w:p>
            <w:pPr>
              <w:pStyle w:val="BDOITable"/>
            </w:pPr>
            <w:r>
              <w:rPr>
                <w:sz w:val="17"/>
              </w:rPr>
              <w:t>NEW</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Every intake, validation, load, rerun, rollback, reconciliation, sign-off and archive access is audited</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244"/>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364"/>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Availability and recovery</w:t>
            </w:r>
          </w:p>
        </w:tc>
        <w:tc>
          <w:tcPr>
            <w:tcW w:type="dxa" w:w="3244"/>
            <w:tcMar>
              <w:top w:w="50" w:type="dxa"/>
              <w:bottom w:w="50" w:type="dxa"/>
              <w:left w:w="90" w:type="dxa"/>
              <w:right w:w="90" w:type="dxa"/>
            </w:tcMar>
          </w:tcPr>
          <w:p>
            <w:pPr>
              <w:pStyle w:val="BDOITable"/>
            </w:pPr>
            <w:r>
              <w:rPr>
                <w:sz w:val="17"/>
              </w:rPr>
              <w:t>Consolidated NFR</w:t>
            </w:r>
          </w:p>
        </w:tc>
        <w:tc>
          <w:tcPr>
            <w:tcW w:type="dxa" w:w="3364"/>
            <w:tcMar>
              <w:top w:w="50" w:type="dxa"/>
              <w:bottom w:w="50" w:type="dxa"/>
              <w:left w:w="90" w:type="dxa"/>
              <w:right w:w="90" w:type="dxa"/>
            </w:tcMar>
          </w:tcPr>
          <w:p>
            <w:pPr>
              <w:pStyle w:val="BDOITable"/>
            </w:pPr>
            <w:r>
              <w:rPr>
                <w:sz w:val="17"/>
              </w:rPr>
              <w:t>Same as BIBS; database snapshot before each production load gate</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175" w:name="_Toc000175"/>
      <w:r>
        <w:rPr/>
        <w:t>9 Configuration items</w:t>
      </w:r>
      <w:bookmarkEnd w:id="175"/>
    </w:p>
    <w:p>
      <w:pPr>
        <w:pStyle w:val="Heading2"/>
      </w:pPr>
      <w:bookmarkStart w:id="176" w:name="_Toc000176"/>
      <w:r>
        <w:rPr/>
        <w:t>9.1 Parameters</w:t>
      </w:r>
      <w:bookmarkEnd w:id="176"/>
    </w:p>
    <w:p>
      <w:pPr>
        <w:pStyle w:val="Caption"/>
        <w:keepNext/>
        <w:spacing w:after="60"/>
      </w:pPr>
      <w:r>
        <w:rPr>
          <w:b/>
          <w:i w:val="0"/>
        </w:rPr>
        <w:t xml:space="preserve">Table 17: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MIG_ENVIRONMENT_CLASS</w:t>
            </w:r>
          </w:p>
        </w:tc>
        <w:tc>
          <w:tcPr>
            <w:tcW w:type="dxa" w:w="1802"/>
            <w:tcMar>
              <w:top w:w="50" w:type="dxa"/>
              <w:bottom w:w="50" w:type="dxa"/>
              <w:left w:w="90" w:type="dxa"/>
              <w:right w:w="90" w:type="dxa"/>
            </w:tcMar>
          </w:tcPr>
          <w:p>
            <w:pPr>
              <w:pStyle w:val="BDOITable"/>
            </w:pPr>
            <w:r>
              <w:rPr>
                <w:sz w:val="17"/>
              </w:rPr>
              <w:t>NON_PRODUCTION</w:t>
            </w:r>
          </w:p>
        </w:tc>
        <w:tc>
          <w:tcPr>
            <w:tcW w:type="dxa" w:w="3724"/>
            <w:tcMar>
              <w:top w:w="50" w:type="dxa"/>
              <w:bottom w:w="50" w:type="dxa"/>
              <w:left w:w="90" w:type="dxa"/>
              <w:right w:w="90" w:type="dxa"/>
            </w:tcMar>
          </w:tcPr>
          <w:p>
            <w:pPr>
              <w:pStyle w:val="BDOITable"/>
            </w:pPr>
            <w:r>
              <w:rPr>
                <w:sz w:val="17"/>
              </w:rPr>
              <w:t>Masking applies unless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MIG_CUTOVER_DATE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Value date of the opening entries</w:t>
            </w:r>
          </w:p>
        </w:tc>
      </w:tr>
      <w:tr>
        <w:trPr>
          <w:cantSplit w:val="true"/>
        </w:trPr>
        <w:tc>
          <w:tcPr>
            <w:tcW w:type="dxa" w:w="4445"/>
            <w:tcMar>
              <w:top w:w="50" w:type="dxa"/>
              <w:bottom w:w="50" w:type="dxa"/>
              <w:left w:w="90" w:type="dxa"/>
              <w:right w:w="90" w:type="dxa"/>
            </w:tcMar>
          </w:tcPr>
          <w:p>
            <w:pPr>
              <w:pStyle w:val="BDOITable"/>
            </w:pPr>
            <w:r>
              <w:rPr>
                <w:sz w:val="17"/>
              </w:rPr>
              <w:t>MIG_STAGING_RETENTION_DAYS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MIG_CHUNK_SIZE</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MIG_PARTITIONS</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MIG_AMOUNT_TOLERANCE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MIG_MAX_ERROR_RATE_MASTER</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MIG_MAX_ERROR_RATE_FINANCIAL</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MIG_CLIENT_MATCH_AUTO</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MIG_CLIENT_MATCH_REVIEW</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MIG_INVOICE_NO_COLLISION_PREFIX</w:t>
            </w:r>
          </w:p>
        </w:tc>
        <w:tc>
          <w:tcPr>
            <w:tcW w:type="dxa" w:w="1802"/>
            <w:tcMar>
              <w:top w:w="50" w:type="dxa"/>
              <w:bottom w:w="50" w:type="dxa"/>
              <w:left w:w="90" w:type="dxa"/>
              <w:right w:w="90" w:type="dxa"/>
            </w:tcMar>
          </w:tcPr>
          <w:p>
            <w:pPr>
              <w:pStyle w:val="BDOITable"/>
            </w:pPr>
            <w:r>
              <w:rPr>
                <w:sz w:val="17"/>
              </w:rPr>
              <w:t>true</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MIG_ARCHIVE_EXPORT_MAX_ROWS</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MIG_ACCESS_EXPORT_ALERT_ROWS</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MIG_LEGACY_ACCESS_REASON_REQUIRED</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MIG_LEGACY_LINK_EBIX, MIG_LEGACY_LINK_QPS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CMR_INCENTIVE_INCLUDE_LEGACY</w:t>
            </w:r>
          </w:p>
        </w:tc>
        <w:tc>
          <w:tcPr>
            <w:tcW w:type="dxa" w:w="1802"/>
            <w:tcMar>
              <w:top w:w="50" w:type="dxa"/>
              <w:bottom w:w="50" w:type="dxa"/>
              <w:left w:w="90" w:type="dxa"/>
              <w:right w:w="90" w:type="dxa"/>
            </w:tcMar>
            <w:shd w:val="clear" w:color="auto" w:fill="E5F5FF"/>
          </w:tcPr>
          <w:p>
            <w:pPr>
              <w:pStyle w:val="BDOITable"/>
            </w:pPr>
            <w:r>
              <w:rPr>
                <w:sz w:val="17"/>
              </w:rPr>
              <w:t>false</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177" w:name="_Toc000177"/>
      <w:r>
        <w:rPr/>
        <w:t>9.2 Lists of values</w:t>
      </w:r>
      <w:bookmarkEnd w:id="177"/>
    </w:p>
    <w:p>
      <w:pPr>
        <w:pStyle w:val="Caption"/>
        <w:keepNext/>
        <w:spacing w:after="60"/>
      </w:pPr>
      <w:r>
        <w:rPr>
          <w:b/>
          <w:i w:val="0"/>
        </w:rPr>
        <w:t xml:space="preserve">Table 18: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MIG_SOURCE_SYSTEM</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MIG_OBJECT_CATEGORY</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MIG_TRUST_LEVEL</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MIG_BREAK_REASON</w:t>
            </w:r>
          </w:p>
        </w:tc>
        <w:tc>
          <w:tcPr>
            <w:tcW w:type="dxa" w:w="6728"/>
            <w:tcMar>
              <w:top w:w="50" w:type="dxa"/>
              <w:bottom w:w="50" w:type="dxa"/>
              <w:left w:w="90" w:type="dxa"/>
              <w:right w:w="90" w:type="dxa"/>
            </w:tcMar>
            <w:shd w:val="clear" w:color="auto" w:fill="E5F5FF"/>
          </w:tcPr>
          <w:p>
            <w:pPr>
              <w:pStyle w:val="BDOITable"/>
            </w:pPr>
            <w:r>
              <w:rPr>
                <w:sz w:val="17"/>
              </w:rPr>
              <w:t>Rounding at source; Record excluded by owner; Mapping difference; Legacy data error; Late legacy transaction; Other (see explanation)</w:t>
            </w:r>
          </w:p>
        </w:tc>
      </w:tr>
      <w:tr>
        <w:trPr>
          <w:cantSplit w:val="true"/>
        </w:trPr>
        <w:tc>
          <w:tcPr>
            <w:tcW w:type="dxa" w:w="3244"/>
            <w:tcMar>
              <w:top w:w="50" w:type="dxa"/>
              <w:bottom w:w="50" w:type="dxa"/>
              <w:left w:w="90" w:type="dxa"/>
              <w:right w:w="90" w:type="dxa"/>
            </w:tcMar>
          </w:tcPr>
          <w:p>
            <w:pPr>
              <w:pStyle w:val="BDOITable"/>
            </w:pPr>
            <w:r>
              <w:rPr>
                <w:sz w:val="17"/>
              </w:rPr>
              <w:t>MIG_WAIVER_REASON</w:t>
            </w:r>
          </w:p>
        </w:tc>
        <w:tc>
          <w:tcPr>
            <w:tcW w:type="dxa" w:w="6728"/>
            <w:tcMar>
              <w:top w:w="50" w:type="dxa"/>
              <w:bottom w:w="50" w:type="dxa"/>
              <w:left w:w="90" w:type="dxa"/>
              <w:right w:w="90" w:type="dxa"/>
            </w:tcMar>
          </w:tcPr>
          <w:p>
            <w:pPr>
              <w:pStyle w:val="BDOITable"/>
            </w:pPr>
            <w:r>
              <w:rPr>
                <w:sz w:val="17"/>
              </w:rPr>
              <w:t>Duplicate in source; Obsolete record; Corrected manually after go-live; Other (see reason)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MIG_ACCESS_REASON</w:t>
            </w:r>
          </w:p>
        </w:tc>
        <w:tc>
          <w:tcPr>
            <w:tcW w:type="dxa" w:w="6728"/>
            <w:tcMar>
              <w:top w:w="50" w:type="dxa"/>
              <w:bottom w:w="50" w:type="dxa"/>
              <w:left w:w="90" w:type="dxa"/>
              <w:right w:w="90" w:type="dxa"/>
            </w:tcMar>
            <w:shd w:val="clear" w:color="auto" w:fill="E5F5FF"/>
          </w:tcPr>
          <w:p>
            <w:pPr>
              <w:pStyle w:val="BDOITable"/>
            </w:pPr>
            <w:r>
              <w:rPr>
                <w:sz w:val="17"/>
              </w:rPr>
              <w:t>Audit request; Regulatory inquiry; Client request; Claim support; Internal investigation; Other (see text)</w:t>
            </w:r>
          </w:p>
        </w:tc>
      </w:tr>
      <w:tr>
        <w:trPr>
          <w:cantSplit w:val="true"/>
        </w:trPr>
        <w:tc>
          <w:tcPr>
            <w:tcW w:type="dxa" w:w="3244"/>
            <w:tcMar>
              <w:top w:w="50" w:type="dxa"/>
              <w:bottom w:w="50" w:type="dxa"/>
              <w:left w:w="90" w:type="dxa"/>
              <w:right w:w="90" w:type="dxa"/>
            </w:tcMar>
          </w:tcPr>
          <w:p>
            <w:pPr>
              <w:pStyle w:val="BDOITable"/>
            </w:pPr>
            <w:r>
              <w:rPr>
                <w:sz w:val="17"/>
              </w:rPr>
              <w:t>LEGACY_RECORD_TYPE</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UPP_INCOME_REASON</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178" w:name="_Toc000178"/>
      <w:r>
        <w:rPr/>
        <w:t>9.3 Masters and rules maintained by the business</w:t>
      </w:r>
      <w:bookmarkEnd w:id="178"/>
    </w:p>
    <w:p>
      <w:pPr>
        <w:pStyle w:val="Caption"/>
        <w:keepNext/>
        <w:spacing w:after="60"/>
      </w:pPr>
      <w:r>
        <w:rPr>
          <w:b/>
          <w:i w:val="0"/>
        </w:rPr>
        <w:t xml:space="preserve">Table 19: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Matching and survivorship rules</w:t>
            </w:r>
          </w:p>
        </w:tc>
        <w:tc>
          <w:tcPr>
            <w:tcW w:type="dxa" w:w="2763"/>
            <w:tcMar>
              <w:top w:w="50" w:type="dxa"/>
              <w:bottom w:w="50" w:type="dxa"/>
              <w:left w:w="90" w:type="dxa"/>
              <w:right w:w="90" w:type="dxa"/>
            </w:tcMar>
            <w:shd w:val="clear" w:color="auto" w:fill="E5F5FF"/>
          </w:tcPr>
          <w:p>
            <w:pPr>
              <w:pStyle w:val="BDOITable"/>
            </w:pPr>
            <w:r>
              <w:rPr>
                <w:sz w:val="17"/>
              </w:rPr>
              <w:t>Data Steward (business owner of clients)</w:t>
            </w:r>
          </w:p>
        </w:tc>
        <w:tc>
          <w:tcPr>
            <w:tcW w:type="dxa" w:w="4565"/>
            <w:tcMar>
              <w:top w:w="50" w:type="dxa"/>
              <w:bottom w:w="50" w:type="dxa"/>
              <w:left w:w="90" w:type="dxa"/>
              <w:right w:w="90" w:type="dxa"/>
            </w:tcMar>
            <w:shd w:val="clear" w:color="auto" w:fill="E5F5FF"/>
          </w:tcPr>
          <w:p>
            <w:pPr>
              <w:pStyle w:val="BDOITable"/>
            </w:pPr>
            <w:r>
              <w:rPr>
                <w:sz w:val="17"/>
              </w:rPr>
              <w:t>FR-DM-031</w:t>
            </w:r>
          </w:p>
        </w:tc>
      </w:tr>
      <w:tr>
        <w:trPr>
          <w:cantSplit w:val="true"/>
        </w:trPr>
        <w:tc>
          <w:tcPr>
            <w:tcW w:type="dxa" w:w="2643"/>
            <w:tcMar>
              <w:top w:w="50" w:type="dxa"/>
              <w:bottom w:w="50" w:type="dxa"/>
              <w:left w:w="90" w:type="dxa"/>
              <w:right w:w="90" w:type="dxa"/>
            </w:tcMar>
          </w:tcPr>
          <w:p>
            <w:pPr>
              <w:pStyle w:val="BDOITable"/>
            </w:pPr>
            <w:r>
              <w:rPr>
                <w:sz w:val="17"/>
              </w:rPr>
              <w:t>Legacy control accounts, Migration Clearing and the legacy accounting rule lines</w:t>
            </w:r>
          </w:p>
        </w:tc>
        <w:tc>
          <w:tcPr>
            <w:tcW w:type="dxa" w:w="2763"/>
            <w:tcMar>
              <w:top w:w="50" w:type="dxa"/>
              <w:bottom w:w="50" w:type="dxa"/>
              <w:left w:w="90" w:type="dxa"/>
              <w:right w:w="90" w:type="dxa"/>
            </w:tcMar>
          </w:tcPr>
          <w:p>
            <w:pPr>
              <w:pStyle w:val="BDOITable"/>
            </w:pPr>
            <w:r>
              <w:rPr>
                <w:sz w:val="17"/>
              </w:rPr>
              <w:t>Comptrollership (maker-checker on accounting rules)</w:t>
            </w:r>
          </w:p>
        </w:tc>
        <w:tc>
          <w:tcPr>
            <w:tcW w:type="dxa" w:w="4565"/>
            <w:tcMar>
              <w:top w:w="50" w:type="dxa"/>
              <w:bottom w:w="50" w:type="dxa"/>
              <w:left w:w="90" w:type="dxa"/>
              <w:right w:w="90" w:type="dxa"/>
            </w:tcMar>
          </w:tcPr>
          <w:p>
            <w:pPr>
              <w:pStyle w:val="BDOITable"/>
            </w:pPr>
            <w:r>
              <w:rPr>
                <w:sz w:val="17"/>
              </w:rPr>
              <w:t>FR-DM-021, 050-080</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Go / no-go criteria and cutover plan template</w:t>
            </w:r>
          </w:p>
        </w:tc>
        <w:tc>
          <w:tcPr>
            <w:tcW w:type="dxa" w:w="2763"/>
            <w:tcMar>
              <w:top w:w="50" w:type="dxa"/>
              <w:bottom w:w="50" w:type="dxa"/>
              <w:left w:w="90" w:type="dxa"/>
              <w:right w:w="90" w:type="dxa"/>
            </w:tcMar>
            <w:shd w:val="clear" w:color="auto" w:fill="E5F5FF"/>
          </w:tcPr>
          <w:p>
            <w:pPr>
              <w:pStyle w:val="BDOITable"/>
            </w:pPr>
            <w:r>
              <w:rPr>
                <w:sz w:val="17"/>
              </w:rPr>
              <w:t>Data Migration Lead (Program Manager)</w:t>
            </w:r>
          </w:p>
        </w:tc>
        <w:tc>
          <w:tcPr>
            <w:tcW w:type="dxa" w:w="4565"/>
            <w:tcMar>
              <w:top w:w="50" w:type="dxa"/>
              <w:bottom w:w="50" w:type="dxa"/>
              <w:left w:w="90" w:type="dxa"/>
              <w:right w:w="90" w:type="dxa"/>
            </w:tcMar>
            <w:shd w:val="clear" w:color="auto" w:fill="E5F5FF"/>
          </w:tcPr>
          <w:p>
            <w:pPr>
              <w:pStyle w:val="BDOITable"/>
            </w:pPr>
            <w:r>
              <w:rPr>
                <w:sz w:val="17"/>
              </w:rPr>
              <w:t>FR-DM-120, 121</w:t>
            </w:r>
          </w:p>
        </w:tc>
      </w:tr>
      <w:tr>
        <w:trPr>
          <w:cantSplit w:val="true"/>
        </w:trPr>
        <w:tc>
          <w:tcPr>
            <w:tcW w:type="dxa" w:w="2643"/>
            <w:tcMar>
              <w:top w:w="50" w:type="dxa"/>
              <w:bottom w:w="50" w:type="dxa"/>
              <w:left w:w="90" w:type="dxa"/>
              <w:right w:w="90" w:type="dxa"/>
            </w:tcMar>
          </w:tcPr>
          <w:p>
            <w:pPr>
              <w:pStyle w:val="BDOITable"/>
            </w:pPr>
            <w:r>
              <w:rPr>
                <w:sz w:val="17"/>
              </w:rPr>
              <w:t>Decommissioning checklist template</w:t>
            </w:r>
          </w:p>
        </w:tc>
        <w:tc>
          <w:tcPr>
            <w:tcW w:type="dxa" w:w="2763"/>
            <w:tcMar>
              <w:top w:w="50" w:type="dxa"/>
              <w:bottom w:w="50" w:type="dxa"/>
              <w:left w:w="90" w:type="dxa"/>
              <w:right w:w="90" w:type="dxa"/>
            </w:tcMar>
          </w:tcPr>
          <w:p>
            <w:pPr>
              <w:pStyle w:val="BDOITable"/>
            </w:pPr>
            <w:r>
              <w:rPr>
                <w:sz w:val="17"/>
              </w:rPr>
              <w:t>Program Manager</w:t>
            </w:r>
          </w:p>
        </w:tc>
        <w:tc>
          <w:tcPr>
            <w:tcW w:type="dxa" w:w="4565"/>
            <w:tcMar>
              <w:top w:w="50" w:type="dxa"/>
              <w:bottom w:w="50" w:type="dxa"/>
              <w:left w:w="90" w:type="dxa"/>
              <w:right w:w="90" w:type="dxa"/>
            </w:tcMar>
          </w:tcPr>
          <w:p>
            <w:pPr>
              <w:pStyle w:val="BDOITable"/>
            </w:pPr>
            <w:r>
              <w:rPr>
                <w:sz w:val="17"/>
              </w:rPr>
              <w:t>FR-DM-123</w:t>
            </w:r>
          </w:p>
        </w:tc>
      </w:tr>
    </w:tbl>
    <w:p>
      <w:pPr>
        <w:pStyle w:val="BDOISpacer"/>
      </w:pPr>
    </w:p>
    <w:p>
      <w:pPr>
        <w:pStyle w:val="Heading1"/>
        <w:pageBreakBefore/>
        <w:pBdr>
          <w:bottom w:val="single" w:sz="4" w:space="4" w:color="99C1E7"/>
        </w:pBdr>
      </w:pPr>
      <w:bookmarkStart w:id="179" w:name="_Toc000179"/>
      <w:r>
        <w:rPr/>
        <w:t>10 Assumptions, dependencies and open questions</w:t>
      </w:r>
      <w:bookmarkEnd w:id="179"/>
    </w:p>
    <w:p>
      <w:pPr>
        <w:pStyle w:val="Heading2"/>
      </w:pPr>
      <w:bookmarkStart w:id="180" w:name="_Toc000180"/>
      <w:r>
        <w:rPr/>
        <w:t>10.1 Assumptions</w:t>
      </w:r>
      <w:bookmarkEnd w:id="180"/>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The draft BRD v0.01 is the baseline until a signed version replaces it</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BRID 1.1 (p.7) is two requirements, numbered 1.1a and 1.1b here</w:t>
            </w:r>
          </w:p>
        </w:tc>
        <w:tc>
          <w:tcPr>
            <w:tcW w:type="dxa" w:w="2283"/>
            <w:tcMar>
              <w:top w:w="50" w:type="dxa"/>
              <w:bottom w:w="50" w:type="dxa"/>
              <w:left w:w="90" w:type="dxa"/>
              <w:right w:w="90" w:type="dxa"/>
            </w:tcMar>
            <w:shd w:val="clear" w:color="auto" w:fill="E5F5FF"/>
          </w:tcPr>
          <w:p>
            <w:pPr>
              <w:pStyle w:val="BDOITable"/>
            </w:pPr>
            <w:r>
              <w:rPr>
                <w:sz w:val="17"/>
              </w:rPr>
              <w:t>R1 p.7</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require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DPPR means direct-payment premium receivable</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on the first business day of a month, after a legacy month-end close</w:t>
            </w:r>
          </w:p>
        </w:tc>
        <w:tc>
          <w:tcPr>
            <w:tcW w:type="dxa" w:w="2283"/>
            <w:tcMar>
              <w:top w:w="50" w:type="dxa"/>
              <w:bottom w:w="50" w:type="dxa"/>
              <w:left w:w="90" w:type="dxa"/>
              <w:right w:w="90" w:type="dxa"/>
            </w:tcMar>
          </w:tcPr>
          <w:p>
            <w:pPr>
              <w:pStyle w:val="BDOITable"/>
            </w:pPr>
            <w:r>
              <w:rPr>
                <w:sz w:val="17"/>
              </w:rPr>
              <w:t>DMQ25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UPP at load</w:t>
            </w:r>
          </w:p>
        </w:tc>
        <w:tc>
          <w:tcPr>
            <w:tcW w:type="dxa" w:w="2283"/>
            <w:tcMar>
              <w:top w:w="50" w:type="dxa"/>
              <w:bottom w:w="50" w:type="dxa"/>
              <w:left w:w="90" w:type="dxa"/>
              <w:right w:w="90" w:type="dxa"/>
            </w:tcMar>
            <w:shd w:val="clear" w:color="auto" w:fill="E5F5FF"/>
          </w:tcPr>
          <w:p>
            <w:pPr>
              <w:pStyle w:val="BDOITable"/>
            </w:pPr>
            <w:r>
              <w:rPr>
                <w:sz w:val="17"/>
              </w:rPr>
              <w:t>DMQ14</w:t>
            </w:r>
          </w:p>
        </w:tc>
      </w:tr>
    </w:tbl>
    <w:p>
      <w:pPr>
        <w:pStyle w:val="BDOISpacer"/>
      </w:pPr>
    </w:p>
    <w:p>
      <w:pPr>
        <w:pStyle w:val="Heading2"/>
      </w:pPr>
      <w:bookmarkStart w:id="181" w:name="_Toc000181"/>
      <w:r>
        <w:rPr/>
        <w:t>10.2 Dependencies</w:t>
      </w:r>
      <w:bookmarkEnd w:id="181"/>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D-DM-01</w:t>
            </w:r>
          </w:p>
        </w:tc>
        <w:tc>
          <w:tcPr>
            <w:tcW w:type="dxa" w:w="6608"/>
            <w:tcMar>
              <w:top w:w="50" w:type="dxa"/>
              <w:bottom w:w="50" w:type="dxa"/>
              <w:left w:w="90" w:type="dxa"/>
              <w:right w:w="90" w:type="dxa"/>
            </w:tcMar>
          </w:tcPr>
          <w:p>
            <w:pPr>
              <w:pStyle w:val="BDOITable"/>
            </w:pPr>
            <w:r>
              <w:rPr>
                <w:sz w:val="17"/>
              </w:rPr>
              <w:t>BDOI supplies the data object inventory, owners, volumes and extracts in the agreed layouts</w:t>
            </w:r>
          </w:p>
        </w:tc>
        <w:tc>
          <w:tcPr>
            <w:tcW w:type="dxa" w:w="2283"/>
            <w:tcMar>
              <w:top w:w="50" w:type="dxa"/>
              <w:bottom w:w="50" w:type="dxa"/>
              <w:left w:w="90" w:type="dxa"/>
              <w:right w:w="90" w:type="dxa"/>
            </w:tcMar>
          </w:tcPr>
          <w:p>
            <w:pPr>
              <w:pStyle w:val="BDOITable"/>
            </w:pPr>
            <w:r>
              <w:rPr>
                <w:sz w:val="17"/>
              </w:rPr>
              <w:t>All FRs (DMQ01, DMQ28)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D-DM-02</w:t>
            </w:r>
          </w:p>
        </w:tc>
        <w:tc>
          <w:tcPr>
            <w:tcW w:type="dxa" w:w="6608"/>
            <w:tcMar>
              <w:top w:w="50" w:type="dxa"/>
              <w:bottom w:w="50" w:type="dxa"/>
              <w:left w:w="90" w:type="dxa"/>
              <w:right w:w="90" w:type="dxa"/>
            </w:tcMar>
            <w:shd w:val="clear" w:color="auto" w:fill="E5F5FF"/>
          </w:tcPr>
          <w:p>
            <w:pPr>
              <w:pStyle w:val="BDOITable"/>
            </w:pPr>
            <w:r>
              <w:rPr>
                <w:sz w:val="17"/>
              </w:rPr>
              <w:t>Comptrollership sets up the legacy control accounts, Migration Clearing and the legacy rule lines</w:t>
            </w:r>
          </w:p>
        </w:tc>
        <w:tc>
          <w:tcPr>
            <w:tcW w:type="dxa" w:w="2283"/>
            <w:tcMar>
              <w:top w:w="50" w:type="dxa"/>
              <w:bottom w:w="50" w:type="dxa"/>
              <w:left w:w="90" w:type="dxa"/>
              <w:right w:w="90" w:type="dxa"/>
            </w:tcMar>
            <w:shd w:val="clear" w:color="auto" w:fill="E5F5FF"/>
          </w:tcPr>
          <w:p>
            <w:pPr>
              <w:pStyle w:val="BDOITable"/>
            </w:pPr>
            <w:r>
              <w:rPr>
                <w:sz w:val="17"/>
              </w:rPr>
              <w:t>FR-DM-021, 050-091 (DMQ18)</w:t>
            </w:r>
          </w:p>
        </w:tc>
      </w:tr>
      <w:tr>
        <w:trPr>
          <w:cantSplit w:val="true"/>
        </w:trPr>
        <w:tc>
          <w:tcPr>
            <w:tcW w:type="dxa" w:w="1081"/>
            <w:tcMar>
              <w:top w:w="50" w:type="dxa"/>
              <w:bottom w:w="50" w:type="dxa"/>
              <w:left w:w="90" w:type="dxa"/>
              <w:right w:w="90" w:type="dxa"/>
            </w:tcMar>
          </w:tcPr>
          <w:p>
            <w:pPr>
              <w:pStyle w:val="BDOITable"/>
            </w:pPr>
            <w:r>
              <w:rPr>
                <w:sz w:val="17"/>
              </w:rPr>
              <w:t>D-DM-03</w:t>
            </w:r>
          </w:p>
        </w:tc>
        <w:tc>
          <w:tcPr>
            <w:tcW w:type="dxa" w:w="6608"/>
            <w:tcMar>
              <w:top w:w="50" w:type="dxa"/>
              <w:bottom w:w="50" w:type="dxa"/>
              <w:left w:w="90" w:type="dxa"/>
              <w:right w:w="90" w:type="dxa"/>
            </w:tcMar>
          </w:tcPr>
          <w:p>
            <w:pPr>
              <w:pStyle w:val="BDOITable"/>
            </w:pPr>
            <w:r>
              <w:rPr>
                <w:sz w:val="17"/>
              </w:rPr>
              <w:t>BDOI agrees the client dedupe keys and survivorship</w:t>
            </w:r>
          </w:p>
        </w:tc>
        <w:tc>
          <w:tcPr>
            <w:tcW w:type="dxa" w:w="2283"/>
            <w:tcMar>
              <w:top w:w="50" w:type="dxa"/>
              <w:bottom w:w="50" w:type="dxa"/>
              <w:left w:w="90" w:type="dxa"/>
              <w:right w:w="90" w:type="dxa"/>
            </w:tcMar>
          </w:tcPr>
          <w:p>
            <w:pPr>
              <w:pStyle w:val="BDOITable"/>
            </w:pPr>
            <w:r>
              <w:rPr>
                <w:sz w:val="17"/>
              </w:rPr>
              <w:t>FR-DM-031 (DMQ04)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D-DM-04</w:t>
            </w:r>
          </w:p>
        </w:tc>
        <w:tc>
          <w:tcPr>
            <w:tcW w:type="dxa" w:w="6608"/>
            <w:tcMar>
              <w:top w:w="50" w:type="dxa"/>
              <w:bottom w:w="50" w:type="dxa"/>
              <w:left w:w="90" w:type="dxa"/>
              <w:right w:w="90" w:type="dxa"/>
            </w:tcMar>
            <w:shd w:val="clear" w:color="auto" w:fill="E5F5FF"/>
          </w:tcPr>
          <w:p>
            <w:pPr>
              <w:pStyle w:val="BDOITable"/>
            </w:pPr>
            <w:r>
              <w:rPr>
                <w:sz w:val="17"/>
              </w:rPr>
              <w:t>The Renewal module is live at go-live</w:t>
            </w:r>
          </w:p>
        </w:tc>
        <w:tc>
          <w:tcPr>
            <w:tcW w:type="dxa" w:w="2283"/>
            <w:tcMar>
              <w:top w:w="50" w:type="dxa"/>
              <w:bottom w:w="50" w:type="dxa"/>
              <w:left w:w="90" w:type="dxa"/>
              <w:right w:w="90" w:type="dxa"/>
            </w:tcMar>
            <w:shd w:val="clear" w:color="auto" w:fill="E5F5FF"/>
          </w:tcPr>
          <w:p>
            <w:pPr>
              <w:pStyle w:val="BDOITable"/>
            </w:pPr>
            <w:r>
              <w:rPr>
                <w:sz w:val="17"/>
              </w:rPr>
              <w:t>FR-DM-122</w:t>
            </w:r>
          </w:p>
        </w:tc>
      </w:tr>
      <w:tr>
        <w:trPr>
          <w:cantSplit w:val="true"/>
        </w:trPr>
        <w:tc>
          <w:tcPr>
            <w:tcW w:type="dxa" w:w="1081"/>
            <w:tcMar>
              <w:top w:w="50" w:type="dxa"/>
              <w:bottom w:w="50" w:type="dxa"/>
              <w:left w:w="90" w:type="dxa"/>
              <w:right w:w="90" w:type="dxa"/>
            </w:tcMar>
          </w:tcPr>
          <w:p>
            <w:pPr>
              <w:pStyle w:val="BDOITable"/>
            </w:pPr>
            <w:r>
              <w:rPr>
                <w:sz w:val="17"/>
              </w:rPr>
              <w:t>D-DM-05</w:t>
            </w:r>
          </w:p>
        </w:tc>
        <w:tc>
          <w:tcPr>
            <w:tcW w:type="dxa" w:w="6608"/>
            <w:tcMar>
              <w:top w:w="50" w:type="dxa"/>
              <w:bottom w:w="50" w:type="dxa"/>
              <w:left w:w="90" w:type="dxa"/>
              <w:right w:w="90" w:type="dxa"/>
            </w:tcMar>
          </w:tcPr>
          <w:p>
            <w:pPr>
              <w:pStyle w:val="BDOITable"/>
            </w:pPr>
            <w:r>
              <w:rPr>
                <w:sz w:val="17"/>
              </w:rPr>
              <w:t>BDOI IT keeps the legacy systems read-only with access logging until the archive is loaded</w:t>
            </w:r>
          </w:p>
        </w:tc>
        <w:tc>
          <w:tcPr>
            <w:tcW w:type="dxa" w:w="2283"/>
            <w:tcMar>
              <w:top w:w="50" w:type="dxa"/>
              <w:bottom w:w="50" w:type="dxa"/>
              <w:left w:w="90" w:type="dxa"/>
              <w:right w:w="90" w:type="dxa"/>
            </w:tcMar>
          </w:tcPr>
          <w:p>
            <w:pPr>
              <w:pStyle w:val="BDOITable"/>
            </w:pPr>
            <w:r>
              <w:rPr>
                <w:sz w:val="17"/>
              </w:rPr>
              <w:t>FR-DM-110 (DMQ24)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D-DM-06</w:t>
            </w:r>
          </w:p>
        </w:tc>
        <w:tc>
          <w:tcPr>
            <w:tcW w:type="dxa" w:w="6608"/>
            <w:tcMar>
              <w:top w:w="50" w:type="dxa"/>
              <w:bottom w:w="50" w:type="dxa"/>
              <w:left w:w="90" w:type="dxa"/>
              <w:right w:w="90" w:type="dxa"/>
            </w:tcMar>
            <w:shd w:val="clear" w:color="auto" w:fill="E5F5FF"/>
          </w:tcPr>
          <w:p>
            <w:pPr>
              <w:pStyle w:val="BDOITable"/>
            </w:pPr>
            <w:r>
              <w:rPr>
                <w:sz w:val="17"/>
              </w:rPr>
              <w:t>The account business-type change (BT0) is built before the header load</w:t>
            </w:r>
          </w:p>
        </w:tc>
        <w:tc>
          <w:tcPr>
            <w:tcW w:type="dxa" w:w="2283"/>
            <w:tcMar>
              <w:top w:w="50" w:type="dxa"/>
              <w:bottom w:w="50" w:type="dxa"/>
              <w:left w:w="90" w:type="dxa"/>
              <w:right w:w="90" w:type="dxa"/>
            </w:tcMar>
            <w:shd w:val="clear" w:color="auto" w:fill="E5F5FF"/>
          </w:tcPr>
          <w:p>
            <w:pPr>
              <w:pStyle w:val="BDOITable"/>
            </w:pPr>
            <w:r>
              <w:rPr>
                <w:sz w:val="17"/>
              </w:rPr>
              <w:t>FR-DM-040</w:t>
            </w:r>
          </w:p>
        </w:tc>
      </w:tr>
    </w:tbl>
    <w:p>
      <w:pPr>
        <w:pStyle w:val="BDOISpacer"/>
      </w:pPr>
    </w:p>
    <w:p>
      <w:pPr>
        <w:pStyle w:val="Heading2"/>
      </w:pPr>
      <w:bookmarkStart w:id="182" w:name="_Toc000182"/>
      <w:r>
        <w:rPr/>
        <w:t>10.3 Open questions</w:t>
      </w:r>
      <w:bookmarkEnd w:id="182"/>
    </w:p>
    <w:p>
      <w:pPr>
        <w:pStyle w:val="Caption"/>
        <w:keepNext/>
        <w:spacing w:after="60"/>
      </w:pPr>
      <w:r>
        <w:rPr>
          <w:b/>
          <w:i w:val="0"/>
        </w:rPr>
        <w:t xml:space="preserve">Table 22: </w:t>
      </w:r>
      <w:r>
        <w:rPr/>
        <w:t>Open questions on BRD-13 (baseline R2 section 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DMQ01</w:t>
            </w:r>
          </w:p>
        </w:tc>
        <w:tc>
          <w:tcPr>
            <w:tcW w:type="dxa" w:w="6031"/>
            <w:tcMar>
              <w:top w:w="50" w:type="dxa"/>
              <w:bottom w:w="50" w:type="dxa"/>
              <w:left w:w="90" w:type="dxa"/>
              <w:right w:w="90" w:type="dxa"/>
            </w:tcMar>
          </w:tcPr>
          <w:p>
            <w:pPr>
              <w:pStyle w:val="BDOITable"/>
            </w:pPr>
            <w:r>
              <w:rPr>
                <w:sz w:val="17"/>
              </w:rPr>
              <w:t>Data object inventory, owners and classes</w:t>
            </w:r>
          </w:p>
        </w:tc>
        <w:tc>
          <w:tcPr>
            <w:tcW w:type="dxa" w:w="1672"/>
            <w:tcMar>
              <w:top w:w="50" w:type="dxa"/>
              <w:bottom w:w="50" w:type="dxa"/>
              <w:left w:w="90" w:type="dxa"/>
              <w:right w:w="90" w:type="dxa"/>
            </w:tcMar>
          </w:tcPr>
          <w:p>
            <w:pPr>
              <w:pStyle w:val="BDOITable"/>
            </w:pPr>
            <w:r>
              <w:rPr>
                <w:sz w:val="17"/>
              </w:rPr>
              <w:t>FR-DM-001,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DMQ02</w:t>
            </w:r>
          </w:p>
        </w:tc>
        <w:tc>
          <w:tcPr>
            <w:tcW w:type="dxa" w:w="6031"/>
            <w:tcMar>
              <w:top w:w="50" w:type="dxa"/>
              <w:bottom w:w="50" w:type="dxa"/>
              <w:left w:w="90" w:type="dxa"/>
              <w:right w:w="90" w:type="dxa"/>
            </w:tcMar>
            <w:shd w:val="clear" w:color="auto" w:fill="E5F5FF"/>
          </w:tcPr>
          <w:p>
            <w:pPr>
              <w:pStyle w:val="BDOITable"/>
            </w:pPr>
            <w:r>
              <w:rPr>
                <w:sz w:val="17"/>
              </w:rPr>
              <w:t>Rating of the four criteria and the rule that sets the class</w:t>
            </w:r>
          </w:p>
        </w:tc>
        <w:tc>
          <w:tcPr>
            <w:tcW w:type="dxa" w:w="1672"/>
            <w:tcMar>
              <w:top w:w="50" w:type="dxa"/>
              <w:bottom w:w="50" w:type="dxa"/>
              <w:left w:w="90" w:type="dxa"/>
              <w:right w:w="90" w:type="dxa"/>
            </w:tcMar>
            <w:shd w:val="clear" w:color="auto" w:fill="E5F5FF"/>
          </w:tcPr>
          <w:p>
            <w:pPr>
              <w:pStyle w:val="BDOITable"/>
            </w:pPr>
            <w:r>
              <w:rPr>
                <w:sz w:val="17"/>
              </w:rPr>
              <w:t>FR-DM-002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DMQ03</w:t>
            </w:r>
          </w:p>
        </w:tc>
        <w:tc>
          <w:tcPr>
            <w:tcW w:type="dxa" w:w="6031"/>
            <w:tcMar>
              <w:top w:w="50" w:type="dxa"/>
              <w:bottom w:w="50" w:type="dxa"/>
              <w:left w:w="90" w:type="dxa"/>
              <w:right w:w="90" w:type="dxa"/>
            </w:tcMar>
          </w:tcPr>
          <w:p>
            <w:pPr>
              <w:pStyle w:val="BDOITable"/>
            </w:pPr>
            <w:r>
              <w:rPr>
                <w:sz w:val="17"/>
              </w:rPr>
              <w:t>Source systems in scope and system of record per object</w:t>
            </w:r>
          </w:p>
        </w:tc>
        <w:tc>
          <w:tcPr>
            <w:tcW w:type="dxa" w:w="1672"/>
            <w:tcMar>
              <w:top w:w="50" w:type="dxa"/>
              <w:bottom w:w="50" w:type="dxa"/>
              <w:left w:w="90" w:type="dxa"/>
              <w:right w:w="90" w:type="dxa"/>
            </w:tcMar>
          </w:tcPr>
          <w:p>
            <w:pPr>
              <w:pStyle w:val="BDOITable"/>
            </w:pPr>
            <w:r>
              <w:rPr>
                <w:sz w:val="17"/>
              </w:rPr>
              <w:t>FR-DM-001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DMQ04</w:t>
            </w:r>
          </w:p>
        </w:tc>
        <w:tc>
          <w:tcPr>
            <w:tcW w:type="dxa" w:w="6031"/>
            <w:tcMar>
              <w:top w:w="50" w:type="dxa"/>
              <w:bottom w:w="50" w:type="dxa"/>
              <w:left w:w="90" w:type="dxa"/>
              <w:right w:w="90" w:type="dxa"/>
            </w:tcMar>
            <w:shd w:val="clear" w:color="auto" w:fill="E5F5FF"/>
          </w:tcPr>
          <w:p>
            <w:pPr>
              <w:pStyle w:val="BDOITable"/>
            </w:pPr>
            <w:r>
              <w:rPr>
                <w:sz w:val="17"/>
              </w:rPr>
              <w:t>Client dedupe keys, survivorship, review ownership</w:t>
            </w:r>
          </w:p>
        </w:tc>
        <w:tc>
          <w:tcPr>
            <w:tcW w:type="dxa" w:w="1672"/>
            <w:tcMar>
              <w:top w:w="50" w:type="dxa"/>
              <w:bottom w:w="50" w:type="dxa"/>
              <w:left w:w="90" w:type="dxa"/>
              <w:right w:w="90" w:type="dxa"/>
            </w:tcMar>
            <w:shd w:val="clear" w:color="auto" w:fill="E5F5FF"/>
          </w:tcPr>
          <w:p>
            <w:pPr>
              <w:pStyle w:val="BDOITable"/>
            </w:pPr>
            <w:r>
              <w:rPr>
                <w:sz w:val="17"/>
              </w:rPr>
              <w:t>FR-DM-031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DMQ05</w:t>
            </w:r>
          </w:p>
        </w:tc>
        <w:tc>
          <w:tcPr>
            <w:tcW w:type="dxa" w:w="6031"/>
            <w:tcMar>
              <w:top w:w="50" w:type="dxa"/>
              <w:bottom w:w="50" w:type="dxa"/>
              <w:left w:w="90" w:type="dxa"/>
              <w:right w:w="90" w:type="dxa"/>
            </w:tcMar>
          </w:tcPr>
          <w:p>
            <w:pPr>
              <w:pStyle w:val="BDOITable"/>
            </w:pPr>
            <w:r>
              <w:rPr>
                <w:sz w:val="17"/>
              </w:rPr>
              <w:t>Client scope (2020 to present; active only?)</w:t>
            </w:r>
          </w:p>
        </w:tc>
        <w:tc>
          <w:tcPr>
            <w:tcW w:type="dxa" w:w="1672"/>
            <w:tcMar>
              <w:top w:w="50" w:type="dxa"/>
              <w:bottom w:w="50" w:type="dxa"/>
              <w:left w:w="90" w:type="dxa"/>
              <w:right w:w="90" w:type="dxa"/>
            </w:tcMar>
          </w:tcPr>
          <w:p>
            <w:pPr>
              <w:pStyle w:val="BDOITable"/>
            </w:pPr>
            <w:r>
              <w:rPr>
                <w:sz w:val="17"/>
              </w:rPr>
              <w:t>FR-DM-032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DMQ06</w:t>
            </w:r>
          </w:p>
        </w:tc>
        <w:tc>
          <w:tcPr>
            <w:tcW w:type="dxa" w:w="6031"/>
            <w:tcMar>
              <w:top w:w="50" w:type="dxa"/>
              <w:bottom w:w="50" w:type="dxa"/>
              <w:left w:w="90" w:type="dxa"/>
              <w:right w:w="90" w:type="dxa"/>
            </w:tcMar>
            <w:shd w:val="clear" w:color="auto" w:fill="E5F5FF"/>
          </w:tcPr>
          <w:p>
            <w:pPr>
              <w:pStyle w:val="BDOITable"/>
            </w:pPr>
            <w:r>
              <w:rPr>
                <w:sz w:val="17"/>
              </w:rPr>
              <w:t>Screening of migrated clients</w:t>
            </w:r>
          </w:p>
        </w:tc>
        <w:tc>
          <w:tcPr>
            <w:tcW w:type="dxa" w:w="1672"/>
            <w:tcMar>
              <w:top w:w="50" w:type="dxa"/>
              <w:bottom w:w="50" w:type="dxa"/>
              <w:left w:w="90" w:type="dxa"/>
              <w:right w:w="90" w:type="dxa"/>
            </w:tcMar>
            <w:shd w:val="clear" w:color="auto" w:fill="E5F5FF"/>
          </w:tcPr>
          <w:p>
            <w:pPr>
              <w:pStyle w:val="BDOITable"/>
            </w:pPr>
            <w:r>
              <w:rPr>
                <w:sz w:val="17"/>
              </w:rPr>
              <w:t>FR-DM-032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DMQ07</w:t>
            </w:r>
          </w:p>
        </w:tc>
        <w:tc>
          <w:tcPr>
            <w:tcW w:type="dxa" w:w="6031"/>
            <w:tcMar>
              <w:top w:w="50" w:type="dxa"/>
              <w:bottom w:w="50" w:type="dxa"/>
              <w:left w:w="90" w:type="dxa"/>
              <w:right w:w="90" w:type="dxa"/>
            </w:tcMar>
          </w:tcPr>
          <w:p>
            <w:pPr>
              <w:pStyle w:val="BDOITable"/>
            </w:pPr>
            <w:r>
              <w:rPr>
                <w:sz w:val="17"/>
              </w:rPr>
              <w:t>KYC documents - migrate or archive</w:t>
            </w:r>
          </w:p>
        </w:tc>
        <w:tc>
          <w:tcPr>
            <w:tcW w:type="dxa" w:w="1672"/>
            <w:tcMar>
              <w:top w:w="50" w:type="dxa"/>
              <w:bottom w:w="50" w:type="dxa"/>
              <w:left w:w="90" w:type="dxa"/>
              <w:right w:w="90" w:type="dxa"/>
            </w:tcMar>
          </w:tcPr>
          <w:p>
            <w:pPr>
              <w:pStyle w:val="BDOITable"/>
            </w:pPr>
            <w:r>
              <w:rPr>
                <w:sz w:val="17"/>
              </w:rPr>
              <w:t>FR-DM-032, 110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DMQ08</w:t>
            </w:r>
          </w:p>
        </w:tc>
        <w:tc>
          <w:tcPr>
            <w:tcW w:type="dxa" w:w="6031"/>
            <w:tcMar>
              <w:top w:w="50" w:type="dxa"/>
              <w:bottom w:w="50" w:type="dxa"/>
              <w:left w:w="90" w:type="dxa"/>
              <w:right w:w="90" w:type="dxa"/>
            </w:tcMar>
            <w:shd w:val="clear" w:color="auto" w:fill="E5F5FF"/>
          </w:tcPr>
          <w:p>
            <w:pPr>
              <w:pStyle w:val="BDOITable"/>
            </w:pPr>
            <w:r>
              <w:rPr>
                <w:sz w:val="17"/>
              </w:rPr>
              <w:t>Code map ownership and MIS fields</w:t>
            </w:r>
          </w:p>
        </w:tc>
        <w:tc>
          <w:tcPr>
            <w:tcW w:type="dxa" w:w="1672"/>
            <w:tcMar>
              <w:top w:w="50" w:type="dxa"/>
              <w:bottom w:w="50" w:type="dxa"/>
              <w:left w:w="90" w:type="dxa"/>
              <w:right w:w="90" w:type="dxa"/>
            </w:tcMar>
            <w:shd w:val="clear" w:color="auto" w:fill="E5F5FF"/>
          </w:tcPr>
          <w:p>
            <w:pPr>
              <w:pStyle w:val="BDOITable"/>
            </w:pPr>
            <w:r>
              <w:rPr>
                <w:sz w:val="17"/>
              </w:rPr>
              <w:t>FR-DM-011,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DMQ09</w:t>
            </w:r>
          </w:p>
        </w:tc>
        <w:tc>
          <w:tcPr>
            <w:tcW w:type="dxa" w:w="6031"/>
            <w:tcMar>
              <w:top w:w="50" w:type="dxa"/>
              <w:bottom w:w="50" w:type="dxa"/>
              <w:left w:w="90" w:type="dxa"/>
              <w:right w:w="90" w:type="dxa"/>
            </w:tcMar>
          </w:tcPr>
          <w:p>
            <w:pPr>
              <w:pStyle w:val="BDOITable"/>
            </w:pPr>
            <w:r>
              <w:rPr>
                <w:sz w:val="17"/>
              </w:rPr>
              <w:t>Condition and fields of the in-force header</w:t>
            </w:r>
          </w:p>
        </w:tc>
        <w:tc>
          <w:tcPr>
            <w:tcW w:type="dxa" w:w="1672"/>
            <w:tcMar>
              <w:top w:w="50" w:type="dxa"/>
              <w:bottom w:w="50" w:type="dxa"/>
              <w:left w:w="90" w:type="dxa"/>
              <w:right w:w="90" w:type="dxa"/>
            </w:tcMar>
          </w:tcPr>
          <w:p>
            <w:pPr>
              <w:pStyle w:val="BDOITable"/>
            </w:pPr>
            <w:r>
              <w:rPr>
                <w:sz w:val="17"/>
              </w:rPr>
              <w:t>FR-DM-040, 090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DMQ10</w:t>
            </w:r>
          </w:p>
        </w:tc>
        <w:tc>
          <w:tcPr>
            <w:tcW w:type="dxa" w:w="6031"/>
            <w:tcMar>
              <w:top w:w="50" w:type="dxa"/>
              <w:bottom w:w="50" w:type="dxa"/>
              <w:left w:w="90" w:type="dxa"/>
              <w:right w:w="90" w:type="dxa"/>
            </w:tcMar>
            <w:shd w:val="clear" w:color="auto" w:fill="E5F5FF"/>
          </w:tcPr>
          <w:p>
            <w:pPr>
              <w:pStyle w:val="BDOITable"/>
            </w:pPr>
            <w:r>
              <w:rPr>
                <w:sz w:val="17"/>
              </w:rPr>
              <w:t>Scope of legacy invoices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DMQ11</w:t>
            </w:r>
          </w:p>
        </w:tc>
        <w:tc>
          <w:tcPr>
            <w:tcW w:type="dxa" w:w="6031"/>
            <w:tcMar>
              <w:top w:w="50" w:type="dxa"/>
              <w:bottom w:w="50" w:type="dxa"/>
              <w:left w:w="90" w:type="dxa"/>
              <w:right w:w="90" w:type="dxa"/>
            </w:tcMar>
          </w:tcPr>
          <w:p>
            <w:pPr>
              <w:pStyle w:val="BDOITable"/>
            </w:pPr>
            <w:r>
              <w:rPr>
                <w:sz w:val="17"/>
              </w:rPr>
              <w:t>Invoice number uniqueness and QPS format</w:t>
            </w:r>
          </w:p>
        </w:tc>
        <w:tc>
          <w:tcPr>
            <w:tcW w:type="dxa" w:w="1672"/>
            <w:tcMar>
              <w:top w:w="50" w:type="dxa"/>
              <w:bottom w:w="50" w:type="dxa"/>
              <w:left w:w="90" w:type="dxa"/>
              <w:right w:w="90" w:type="dxa"/>
            </w:tcMar>
          </w:tcPr>
          <w:p>
            <w:pPr>
              <w:pStyle w:val="BDOITable"/>
            </w:pPr>
            <w:r>
              <w:rPr>
                <w:sz w:val="17"/>
              </w:rPr>
              <w:t>FR-DM-050, 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DMQ12</w:t>
            </w:r>
          </w:p>
        </w:tc>
        <w:tc>
          <w:tcPr>
            <w:tcW w:type="dxa" w:w="6031"/>
            <w:tcMar>
              <w:top w:w="50" w:type="dxa"/>
              <w:bottom w:w="50" w:type="dxa"/>
              <w:left w:w="90" w:type="dxa"/>
              <w:right w:w="90" w:type="dxa"/>
            </w:tcMar>
            <w:shd w:val="clear" w:color="auto" w:fill="E5F5FF"/>
          </w:tcPr>
          <w:p>
            <w:pPr>
              <w:pStyle w:val="BDOITable"/>
            </w:pPr>
            <w:r>
              <w:rPr>
                <w:sz w:val="17"/>
              </w:rPr>
              <w:t>Component and share breakdown from legacy</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DMQ13</w:t>
            </w:r>
          </w:p>
        </w:tc>
        <w:tc>
          <w:tcPr>
            <w:tcW w:type="dxa" w:w="6031"/>
            <w:tcMar>
              <w:top w:w="50" w:type="dxa"/>
              <w:bottom w:w="50" w:type="dxa"/>
              <w:left w:w="90" w:type="dxa"/>
              <w:right w:w="90" w:type="dxa"/>
            </w:tcMar>
          </w:tcPr>
          <w:p>
            <w:pPr>
              <w:pStyle w:val="BDOITable"/>
            </w:pPr>
            <w:r>
              <w:rPr>
                <w:sz w:val="17"/>
              </w:rPr>
              <w:t>Commission realisation state</w:t>
            </w:r>
          </w:p>
        </w:tc>
        <w:tc>
          <w:tcPr>
            <w:tcW w:type="dxa" w:w="1672"/>
            <w:tcMar>
              <w:top w:w="50" w:type="dxa"/>
              <w:bottom w:w="50" w:type="dxa"/>
              <w:left w:w="90" w:type="dxa"/>
              <w:right w:w="90" w:type="dxa"/>
            </w:tcMar>
          </w:tcPr>
          <w:p>
            <w:pPr>
              <w:pStyle w:val="BDOITable"/>
            </w:pPr>
            <w:r>
              <w:rPr>
                <w:sz w:val="17"/>
              </w:rPr>
              <w:t>FR-DM-050,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DMQ14</w:t>
            </w:r>
          </w:p>
        </w:tc>
        <w:tc>
          <w:tcPr>
            <w:tcW w:type="dxa" w:w="6031"/>
            <w:tcMar>
              <w:top w:w="50" w:type="dxa"/>
              <w:bottom w:w="50" w:type="dxa"/>
              <w:left w:w="90" w:type="dxa"/>
              <w:right w:w="90" w:type="dxa"/>
            </w:tcMar>
            <w:shd w:val="clear" w:color="auto" w:fill="E5F5FF"/>
          </w:tcPr>
          <w:p>
            <w:pPr>
              <w:pStyle w:val="BDOITable"/>
            </w:pPr>
            <w:r>
              <w:rPr>
                <w:sz w:val="17"/>
              </w:rPr>
              <w:t>Receipt for migrated UPP; status mapping</w:t>
            </w:r>
          </w:p>
        </w:tc>
        <w:tc>
          <w:tcPr>
            <w:tcW w:type="dxa" w:w="1672"/>
            <w:tcMar>
              <w:top w:w="50" w:type="dxa"/>
              <w:bottom w:w="50" w:type="dxa"/>
              <w:left w:w="90" w:type="dxa"/>
              <w:right w:w="90" w:type="dxa"/>
            </w:tcMar>
            <w:shd w:val="clear" w:color="auto" w:fill="E5F5FF"/>
          </w:tcPr>
          <w:p>
            <w:pPr>
              <w:pStyle w:val="BDOITable"/>
            </w:pPr>
            <w:r>
              <w:rPr>
                <w:sz w:val="17"/>
              </w:rPr>
              <w:t>FR-DM-051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DMQ15</w:t>
            </w:r>
          </w:p>
        </w:tc>
        <w:tc>
          <w:tcPr>
            <w:tcW w:type="dxa" w:w="6031"/>
            <w:tcMar>
              <w:top w:w="50" w:type="dxa"/>
              <w:bottom w:w="50" w:type="dxa"/>
              <w:left w:w="90" w:type="dxa"/>
              <w:right w:w="90" w:type="dxa"/>
            </w:tcMar>
          </w:tcPr>
          <w:p>
            <w:pPr>
              <w:pStyle w:val="BDOITable"/>
            </w:pPr>
            <w:r>
              <w:rPr>
                <w:sz w:val="17"/>
              </w:rPr>
              <w:t>UPP match references; rerun frequency</w:t>
            </w:r>
          </w:p>
        </w:tc>
        <w:tc>
          <w:tcPr>
            <w:tcW w:type="dxa" w:w="1672"/>
            <w:tcMar>
              <w:top w:w="50" w:type="dxa"/>
              <w:bottom w:w="50" w:type="dxa"/>
              <w:left w:w="90" w:type="dxa"/>
              <w:right w:w="90" w:type="dxa"/>
            </w:tcMar>
          </w:tcPr>
          <w:p>
            <w:pPr>
              <w:pStyle w:val="BDOITable"/>
            </w:pPr>
            <w:r>
              <w:rPr>
                <w:sz w:val="17"/>
              </w:rPr>
              <w:t>FR-DM-052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DMQ16</w:t>
            </w:r>
          </w:p>
        </w:tc>
        <w:tc>
          <w:tcPr>
            <w:tcW w:type="dxa" w:w="6031"/>
            <w:tcMar>
              <w:top w:w="50" w:type="dxa"/>
              <w:bottom w:w="50" w:type="dxa"/>
              <w:left w:w="90" w:type="dxa"/>
              <w:right w:w="90" w:type="dxa"/>
            </w:tcMar>
            <w:shd w:val="clear" w:color="auto" w:fill="E5F5FF"/>
          </w:tcPr>
          <w:p>
            <w:pPr>
              <w:pStyle w:val="BDOITable"/>
            </w:pPr>
            <w:r>
              <w:rPr>
                <w:sz w:val="17"/>
              </w:rPr>
              <w:t>Top management, criteria and account for reclassification to income</w:t>
            </w:r>
          </w:p>
        </w:tc>
        <w:tc>
          <w:tcPr>
            <w:tcW w:type="dxa" w:w="1672"/>
            <w:tcMar>
              <w:top w:w="50" w:type="dxa"/>
              <w:bottom w:w="50" w:type="dxa"/>
              <w:left w:w="90" w:type="dxa"/>
              <w:right w:w="90" w:type="dxa"/>
            </w:tcMar>
            <w:shd w:val="clear" w:color="auto" w:fill="E5F5FF"/>
          </w:tcPr>
          <w:p>
            <w:pPr>
              <w:pStyle w:val="BDOITable"/>
            </w:pPr>
            <w:r>
              <w:rPr>
                <w:sz w:val="17"/>
              </w:rPr>
              <w:t>FR-DM-055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DMQ17</w:t>
            </w:r>
          </w:p>
        </w:tc>
        <w:tc>
          <w:tcPr>
            <w:tcW w:type="dxa" w:w="6031"/>
            <w:tcMar>
              <w:top w:w="50" w:type="dxa"/>
              <w:bottom w:w="50" w:type="dxa"/>
              <w:left w:w="90" w:type="dxa"/>
              <w:right w:w="90" w:type="dxa"/>
            </w:tcMar>
          </w:tcPr>
          <w:p>
            <w:pPr>
              <w:pStyle w:val="BDOITable"/>
            </w:pPr>
            <w:r>
              <w:rPr>
                <w:sz w:val="17"/>
              </w:rPr>
              <w:t>Refund approvals for legacy UPP</w:t>
            </w:r>
          </w:p>
        </w:tc>
        <w:tc>
          <w:tcPr>
            <w:tcW w:type="dxa" w:w="1672"/>
            <w:tcMar>
              <w:top w:w="50" w:type="dxa"/>
              <w:bottom w:w="50" w:type="dxa"/>
              <w:left w:w="90" w:type="dxa"/>
              <w:right w:w="90" w:type="dxa"/>
            </w:tcMar>
          </w:tcPr>
          <w:p>
            <w:pPr>
              <w:pStyle w:val="BDOITable"/>
            </w:pPr>
            <w:r>
              <w:rPr>
                <w:sz w:val="17"/>
              </w:rPr>
              <w:t>FR-DM-054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DMQ18</w:t>
            </w:r>
          </w:p>
        </w:tc>
        <w:tc>
          <w:tcPr>
            <w:tcW w:type="dxa" w:w="6031"/>
            <w:tcMar>
              <w:top w:w="50" w:type="dxa"/>
              <w:bottom w:w="50" w:type="dxa"/>
              <w:left w:w="90" w:type="dxa"/>
              <w:right w:w="90" w:type="dxa"/>
            </w:tcMar>
            <w:shd w:val="clear" w:color="auto" w:fill="E5F5FF"/>
          </w:tcPr>
          <w:p>
            <w:pPr>
              <w:pStyle w:val="BDOITable"/>
            </w:pPr>
            <w:r>
              <w:rPr>
                <w:sz w:val="17"/>
              </w:rPr>
              <w:t>Legacy control accounts, clearing, end state, GL trial balance, GL ageing</w:t>
            </w:r>
          </w:p>
        </w:tc>
        <w:tc>
          <w:tcPr>
            <w:tcW w:type="dxa" w:w="1672"/>
            <w:tcMar>
              <w:top w:w="50" w:type="dxa"/>
              <w:bottom w:w="50" w:type="dxa"/>
              <w:left w:w="90" w:type="dxa"/>
              <w:right w:w="90" w:type="dxa"/>
            </w:tcMar>
            <w:shd w:val="clear" w:color="auto" w:fill="E5F5FF"/>
          </w:tcPr>
          <w:p>
            <w:pPr>
              <w:pStyle w:val="BDOITable"/>
            </w:pPr>
            <w:r>
              <w:rPr>
                <w:sz w:val="17"/>
              </w:rPr>
              <w:t>FR-DM-021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DMQ19</w:t>
            </w:r>
          </w:p>
        </w:tc>
        <w:tc>
          <w:tcPr>
            <w:tcW w:type="dxa" w:w="6031"/>
            <w:tcMar>
              <w:top w:w="50" w:type="dxa"/>
              <w:bottom w:w="50" w:type="dxa"/>
              <w:left w:w="90" w:type="dxa"/>
              <w:right w:w="90" w:type="dxa"/>
            </w:tcMar>
          </w:tcPr>
          <w:p>
            <w:pPr>
              <w:pStyle w:val="BDOITable"/>
            </w:pPr>
            <w:r>
              <w:rPr>
                <w:sz w:val="17"/>
              </w:rPr>
              <w:t>DPPR definition, entries, list source, approver</w:t>
            </w:r>
          </w:p>
        </w:tc>
        <w:tc>
          <w:tcPr>
            <w:tcW w:type="dxa" w:w="1672"/>
            <w:tcMar>
              <w:top w:w="50" w:type="dxa"/>
              <w:bottom w:w="50" w:type="dxa"/>
              <w:left w:w="90" w:type="dxa"/>
              <w:right w:w="90" w:type="dxa"/>
            </w:tcMar>
          </w:tcPr>
          <w:p>
            <w:pPr>
              <w:pStyle w:val="BDOITable"/>
            </w:pPr>
            <w:r>
              <w:rPr>
                <w:sz w:val="17"/>
              </w:rPr>
              <w:t>FR-DM-070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DMQ20</w:t>
            </w:r>
          </w:p>
        </w:tc>
        <w:tc>
          <w:tcPr>
            <w:tcW w:type="dxa" w:w="6031"/>
            <w:tcMar>
              <w:top w:w="50" w:type="dxa"/>
              <w:bottom w:w="50" w:type="dxa"/>
              <w:left w:w="90" w:type="dxa"/>
              <w:right w:w="90" w:type="dxa"/>
            </w:tcMar>
            <w:shd w:val="clear" w:color="auto" w:fill="E5F5FF"/>
          </w:tcPr>
          <w:p>
            <w:pPr>
              <w:pStyle w:val="BDOITable"/>
            </w:pPr>
            <w:r>
              <w:rPr>
                <w:sz w:val="17"/>
              </w:rPr>
              <w:t>PR2307 reversal entries, evidence, approver</w:t>
            </w:r>
          </w:p>
        </w:tc>
        <w:tc>
          <w:tcPr>
            <w:tcW w:type="dxa" w:w="1672"/>
            <w:tcMar>
              <w:top w:w="50" w:type="dxa"/>
              <w:bottom w:w="50" w:type="dxa"/>
              <w:left w:w="90" w:type="dxa"/>
              <w:right w:w="90" w:type="dxa"/>
            </w:tcMar>
            <w:shd w:val="clear" w:color="auto" w:fill="E5F5FF"/>
          </w:tcPr>
          <w:p>
            <w:pPr>
              <w:pStyle w:val="BDOITable"/>
            </w:pPr>
            <w:r>
              <w:rPr>
                <w:sz w:val="17"/>
              </w:rPr>
              <w:t>FR-DM-071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DMQ21</w:t>
            </w:r>
          </w:p>
        </w:tc>
        <w:tc>
          <w:tcPr>
            <w:tcW w:type="dxa" w:w="6031"/>
            <w:tcMar>
              <w:top w:w="50" w:type="dxa"/>
              <w:bottom w:w="50" w:type="dxa"/>
              <w:left w:w="90" w:type="dxa"/>
              <w:right w:w="90" w:type="dxa"/>
            </w:tcMar>
          </w:tcPr>
          <w:p>
            <w:pPr>
              <w:pStyle w:val="BDOITable"/>
            </w:pPr>
            <w:r>
              <w:rPr>
                <w:sz w:val="17"/>
              </w:rPr>
              <w:t>Remittance batches, holds and special remittances at cutover</w:t>
            </w:r>
          </w:p>
        </w:tc>
        <w:tc>
          <w:tcPr>
            <w:tcW w:type="dxa" w:w="1672"/>
            <w:tcMar>
              <w:top w:w="50" w:type="dxa"/>
              <w:bottom w:w="50" w:type="dxa"/>
              <w:left w:w="90" w:type="dxa"/>
              <w:right w:w="90" w:type="dxa"/>
            </w:tcMar>
          </w:tcPr>
          <w:p>
            <w:pPr>
              <w:pStyle w:val="BDOITable"/>
            </w:pPr>
            <w:r>
              <w:rPr>
                <w:sz w:val="17"/>
              </w:rPr>
              <w:t>FR-DM-080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DMQ22</w:t>
            </w:r>
          </w:p>
        </w:tc>
        <w:tc>
          <w:tcPr>
            <w:tcW w:type="dxa" w:w="6031"/>
            <w:tcMar>
              <w:top w:w="50" w:type="dxa"/>
              <w:bottom w:w="50" w:type="dxa"/>
              <w:left w:w="90" w:type="dxa"/>
              <w:right w:w="90" w:type="dxa"/>
            </w:tcMar>
            <w:shd w:val="clear" w:color="auto" w:fill="E5F5FF"/>
          </w:tcPr>
          <w:p>
            <w:pPr>
              <w:pStyle w:val="BDOITable"/>
            </w:pPr>
            <w:r>
              <w:rPr>
                <w:sz w:val="17"/>
              </w:rPr>
              <w:t>Coexistence decision for endorsements; service invoices</w:t>
            </w:r>
          </w:p>
        </w:tc>
        <w:tc>
          <w:tcPr>
            <w:tcW w:type="dxa" w:w="1672"/>
            <w:tcMar>
              <w:top w:w="50" w:type="dxa"/>
              <w:bottom w:w="50" w:type="dxa"/>
              <w:left w:w="90" w:type="dxa"/>
              <w:right w:w="90" w:type="dxa"/>
            </w:tcMar>
            <w:shd w:val="clear" w:color="auto" w:fill="E5F5FF"/>
          </w:tcPr>
          <w:p>
            <w:pPr>
              <w:pStyle w:val="BDOITable"/>
            </w:pPr>
            <w:r>
              <w:rPr>
                <w:sz w:val="17"/>
              </w:rPr>
              <w:t>FR-DM-090-092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DMQ23</w:t>
            </w:r>
          </w:p>
        </w:tc>
        <w:tc>
          <w:tcPr>
            <w:tcW w:type="dxa" w:w="6031"/>
            <w:tcMar>
              <w:top w:w="50" w:type="dxa"/>
              <w:bottom w:w="50" w:type="dxa"/>
              <w:left w:w="90" w:type="dxa"/>
              <w:right w:w="90" w:type="dxa"/>
            </w:tcMar>
          </w:tcPr>
          <w:p>
            <w:pPr>
              <w:pStyle w:val="BDOITable"/>
            </w:pPr>
            <w:r>
              <w:rPr>
                <w:sz w:val="17"/>
              </w:rPr>
              <w:t>Changes included in the legacy change report</w:t>
            </w:r>
          </w:p>
        </w:tc>
        <w:tc>
          <w:tcPr>
            <w:tcW w:type="dxa" w:w="1672"/>
            <w:tcMar>
              <w:top w:w="50" w:type="dxa"/>
              <w:bottom w:w="50" w:type="dxa"/>
              <w:left w:w="90" w:type="dxa"/>
              <w:right w:w="90" w:type="dxa"/>
            </w:tcMar>
          </w:tcPr>
          <w:p>
            <w:pPr>
              <w:pStyle w:val="BDOITable"/>
            </w:pPr>
            <w:r>
              <w:rPr>
                <w:sz w:val="17"/>
              </w:rPr>
              <w:t>FR-DM-100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DMQ24</w:t>
            </w:r>
          </w:p>
        </w:tc>
        <w:tc>
          <w:tcPr>
            <w:tcW w:type="dxa" w:w="6031"/>
            <w:tcMar>
              <w:top w:w="50" w:type="dxa"/>
              <w:bottom w:w="50" w:type="dxa"/>
              <w:left w:w="90" w:type="dxa"/>
              <w:right w:w="90" w:type="dxa"/>
            </w:tcMar>
            <w:shd w:val="clear" w:color="auto" w:fill="E5F5FF"/>
          </w:tcPr>
          <w:p>
            <w:pPr>
              <w:pStyle w:val="BDOITable"/>
            </w:pPr>
            <w:r>
              <w:rPr>
                <w:sz w:val="17"/>
              </w:rPr>
              <w:t>Read-only legacy or archive per system; retention</w:t>
            </w:r>
          </w:p>
        </w:tc>
        <w:tc>
          <w:tcPr>
            <w:tcW w:type="dxa" w:w="1672"/>
            <w:tcMar>
              <w:top w:w="50" w:type="dxa"/>
              <w:bottom w:w="50" w:type="dxa"/>
              <w:left w:w="90" w:type="dxa"/>
              <w:right w:w="90" w:type="dxa"/>
            </w:tcMar>
            <w:shd w:val="clear" w:color="auto" w:fill="E5F5FF"/>
          </w:tcPr>
          <w:p>
            <w:pPr>
              <w:pStyle w:val="BDOITable"/>
            </w:pPr>
            <w:r>
              <w:rPr>
                <w:sz w:val="17"/>
              </w:rPr>
              <w:t>FR-DM-110,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DMQ25</w:t>
            </w:r>
          </w:p>
        </w:tc>
        <w:tc>
          <w:tcPr>
            <w:tcW w:type="dxa" w:w="6031"/>
            <w:tcMar>
              <w:top w:w="50" w:type="dxa"/>
              <w:bottom w:w="50" w:type="dxa"/>
              <w:left w:w="90" w:type="dxa"/>
              <w:right w:w="90" w:type="dxa"/>
            </w:tcMar>
          </w:tcPr>
          <w:p>
            <w:pPr>
              <w:pStyle w:val="BDOITable"/>
            </w:pPr>
            <w:r>
              <w:rPr>
                <w:sz w:val="17"/>
              </w:rPr>
              <w:t>Go-live date, window, freeze, month-end alignment</w:t>
            </w:r>
          </w:p>
        </w:tc>
        <w:tc>
          <w:tcPr>
            <w:tcW w:type="dxa" w:w="1672"/>
            <w:tcMar>
              <w:top w:w="50" w:type="dxa"/>
              <w:bottom w:w="50" w:type="dxa"/>
              <w:left w:w="90" w:type="dxa"/>
              <w:right w:w="90" w:type="dxa"/>
            </w:tcMar>
          </w:tcPr>
          <w:p>
            <w:pPr>
              <w:pStyle w:val="BDOITable"/>
            </w:pPr>
            <w:r>
              <w:rPr>
                <w:sz w:val="17"/>
              </w:rPr>
              <w:t>FR-DM-120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DMQ26</w:t>
            </w:r>
          </w:p>
        </w:tc>
        <w:tc>
          <w:tcPr>
            <w:tcW w:type="dxa" w:w="6031"/>
            <w:tcMar>
              <w:top w:w="50" w:type="dxa"/>
              <w:bottom w:w="50" w:type="dxa"/>
              <w:left w:w="90" w:type="dxa"/>
              <w:right w:w="90" w:type="dxa"/>
            </w:tcMar>
            <w:shd w:val="clear" w:color="auto" w:fill="E5F5FF"/>
          </w:tcPr>
          <w:p>
            <w:pPr>
              <w:pStyle w:val="BDOITable"/>
            </w:pPr>
            <w:r>
              <w:rPr>
                <w:sz w:val="17"/>
              </w:rPr>
              <w:t>RMEL transition model</w:t>
            </w:r>
          </w:p>
        </w:tc>
        <w:tc>
          <w:tcPr>
            <w:tcW w:type="dxa" w:w="1672"/>
            <w:tcMar>
              <w:top w:w="50" w:type="dxa"/>
              <w:bottom w:w="50" w:type="dxa"/>
              <w:left w:w="90" w:type="dxa"/>
              <w:right w:w="90" w:type="dxa"/>
            </w:tcMar>
            <w:shd w:val="clear" w:color="auto" w:fill="E5F5FF"/>
          </w:tcPr>
          <w:p>
            <w:pPr>
              <w:pStyle w:val="BDOITable"/>
            </w:pPr>
            <w:r>
              <w:rPr>
                <w:sz w:val="17"/>
              </w:rPr>
              <w:t>FR-DM-122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DMQ27</w:t>
            </w:r>
          </w:p>
        </w:tc>
        <w:tc>
          <w:tcPr>
            <w:tcW w:type="dxa" w:w="6031"/>
            <w:tcMar>
              <w:top w:w="50" w:type="dxa"/>
              <w:bottom w:w="50" w:type="dxa"/>
              <w:left w:w="90" w:type="dxa"/>
              <w:right w:w="90" w:type="dxa"/>
            </w:tcMar>
          </w:tcPr>
          <w:p>
            <w:pPr>
              <w:pStyle w:val="BDOITable"/>
            </w:pPr>
            <w:r>
              <w:rPr>
                <w:sz w:val="17"/>
              </w:rPr>
              <w:t>Decommissioning criteria and owners</w:t>
            </w:r>
          </w:p>
        </w:tc>
        <w:tc>
          <w:tcPr>
            <w:tcW w:type="dxa" w:w="1672"/>
            <w:tcMar>
              <w:top w:w="50" w:type="dxa"/>
              <w:bottom w:w="50" w:type="dxa"/>
              <w:left w:w="90" w:type="dxa"/>
              <w:right w:w="90" w:type="dxa"/>
            </w:tcMar>
          </w:tcPr>
          <w:p>
            <w:pPr>
              <w:pStyle w:val="BDOITable"/>
            </w:pPr>
            <w:r>
              <w:rPr>
                <w:sz w:val="17"/>
              </w:rPr>
              <w:t>FR-DM-123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DMQ28</w:t>
            </w:r>
          </w:p>
        </w:tc>
        <w:tc>
          <w:tcPr>
            <w:tcW w:type="dxa" w:w="6031"/>
            <w:tcMar>
              <w:top w:w="50" w:type="dxa"/>
              <w:bottom w:w="50" w:type="dxa"/>
              <w:left w:w="90" w:type="dxa"/>
              <w:right w:w="90" w:type="dxa"/>
            </w:tcMar>
            <w:shd w:val="clear" w:color="auto" w:fill="E5F5FF"/>
          </w:tcPr>
          <w:p>
            <w:pPr>
              <w:pStyle w:val="BDOITable"/>
            </w:pPr>
            <w:r>
              <w:rPr>
                <w:sz w:val="17"/>
              </w:rPr>
              <w:t>Volumes, data quality, historic depth, delta frequency</w:t>
            </w:r>
          </w:p>
        </w:tc>
        <w:tc>
          <w:tcPr>
            <w:tcW w:type="dxa" w:w="1672"/>
            <w:tcMar>
              <w:top w:w="50" w:type="dxa"/>
              <w:bottom w:w="50" w:type="dxa"/>
              <w:left w:w="90" w:type="dxa"/>
              <w:right w:w="90" w:type="dxa"/>
            </w:tcMar>
            <w:shd w:val="clear" w:color="auto" w:fill="E5F5FF"/>
          </w:tcPr>
          <w:p>
            <w:pPr>
              <w:pStyle w:val="BDOITable"/>
            </w:pPr>
            <w:r>
              <w:rPr>
                <w:sz w:val="17"/>
              </w:rPr>
              <w:t>NFR</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DMQ29</w:t>
            </w:r>
          </w:p>
        </w:tc>
        <w:tc>
          <w:tcPr>
            <w:tcW w:type="dxa" w:w="6031"/>
            <w:tcMar>
              <w:top w:w="50" w:type="dxa"/>
              <w:bottom w:w="50" w:type="dxa"/>
              <w:left w:w="90" w:type="dxa"/>
              <w:right w:w="90" w:type="dxa"/>
            </w:tcMar>
          </w:tcPr>
          <w:p>
            <w:pPr>
              <w:pStyle w:val="BDOITable"/>
            </w:pPr>
            <w:r>
              <w:rPr>
                <w:sz w:val="17"/>
              </w:rPr>
              <w:t>Consolidated NFR document</w:t>
            </w:r>
          </w:p>
        </w:tc>
        <w:tc>
          <w:tcPr>
            <w:tcW w:type="dxa" w:w="1672"/>
            <w:tcMar>
              <w:top w:w="50" w:type="dxa"/>
              <w:bottom w:w="50" w:type="dxa"/>
              <w:left w:w="90" w:type="dxa"/>
              <w:right w:w="90" w:type="dxa"/>
            </w:tcMar>
          </w:tcPr>
          <w:p>
            <w:pPr>
              <w:pStyle w:val="BDOITable"/>
            </w:pPr>
            <w:r>
              <w:rPr>
                <w:sz w:val="17"/>
              </w:rPr>
              <w:t>NFR</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DMQ30</w:t>
            </w:r>
          </w:p>
        </w:tc>
        <w:tc>
          <w:tcPr>
            <w:tcW w:type="dxa" w:w="6031"/>
            <w:tcMar>
              <w:top w:w="50" w:type="dxa"/>
              <w:bottom w:w="50" w:type="dxa"/>
              <w:left w:w="90" w:type="dxa"/>
              <w:right w:w="90" w:type="dxa"/>
            </w:tcMar>
            <w:shd w:val="clear" w:color="auto" w:fill="E5F5FF"/>
          </w:tcPr>
          <w:p>
            <w:pPr>
              <w:pStyle w:val="BDOITable"/>
            </w:pPr>
            <w:r>
              <w:rPr>
                <w:sz w:val="17"/>
              </w:rPr>
              <w:t>Claims, EB, submitted policies, payees, users in scope</w:t>
            </w:r>
          </w:p>
        </w:tc>
        <w:tc>
          <w:tcPr>
            <w:tcW w:type="dxa" w:w="1672"/>
            <w:tcMar>
              <w:top w:w="50" w:type="dxa"/>
              <w:bottom w:w="50" w:type="dxa"/>
              <w:left w:w="90" w:type="dxa"/>
              <w:right w:w="90" w:type="dxa"/>
            </w:tcMar>
            <w:shd w:val="clear" w:color="auto" w:fill="E5F5FF"/>
          </w:tcPr>
          <w:p>
            <w:pPr>
              <w:pStyle w:val="BDOITable"/>
            </w:pPr>
            <w:r>
              <w:rPr>
                <w:sz w:val="17"/>
              </w:rPr>
              <w:t>Scope</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DMQ31</w:t>
            </w:r>
          </w:p>
        </w:tc>
        <w:tc>
          <w:tcPr>
            <w:tcW w:type="dxa" w:w="6031"/>
            <w:tcMar>
              <w:top w:w="50" w:type="dxa"/>
              <w:bottom w:w="50" w:type="dxa"/>
              <w:left w:w="90" w:type="dxa"/>
              <w:right w:w="90" w:type="dxa"/>
            </w:tcMar>
          </w:tcPr>
          <w:p>
            <w:pPr>
              <w:pStyle w:val="BDOITable"/>
            </w:pPr>
            <w:r>
              <w:rPr>
                <w:sz w:val="17"/>
              </w:rPr>
              <w:t>Number of mocks; masked production data in test</w:t>
            </w:r>
          </w:p>
        </w:tc>
        <w:tc>
          <w:tcPr>
            <w:tcW w:type="dxa" w:w="1672"/>
            <w:tcMar>
              <w:top w:w="50" w:type="dxa"/>
              <w:bottom w:w="50" w:type="dxa"/>
              <w:left w:w="90" w:type="dxa"/>
              <w:right w:w="90" w:type="dxa"/>
            </w:tcMar>
          </w:tcPr>
          <w:p>
            <w:pPr>
              <w:pStyle w:val="BDOITable"/>
            </w:pPr>
            <w:r>
              <w:rPr>
                <w:sz w:val="17"/>
              </w:rPr>
              <w:t>FR-DM-120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DMQ32</w:t>
            </w:r>
          </w:p>
        </w:tc>
        <w:tc>
          <w:tcPr>
            <w:tcW w:type="dxa" w:w="6031"/>
            <w:tcMar>
              <w:top w:w="50" w:type="dxa"/>
              <w:bottom w:w="50" w:type="dxa"/>
              <w:left w:w="90" w:type="dxa"/>
              <w:right w:w="90" w:type="dxa"/>
            </w:tcMar>
            <w:shd w:val="clear" w:color="auto" w:fill="E5F5FF"/>
          </w:tcPr>
          <w:p>
            <w:pPr>
              <w:pStyle w:val="BDOITable"/>
            </w:pPr>
            <w:r>
              <w:rPr>
                <w:sz w:val="17"/>
              </w:rPr>
              <w:t>Point of no return and fallback</w:t>
            </w:r>
          </w:p>
        </w:tc>
        <w:tc>
          <w:tcPr>
            <w:tcW w:type="dxa" w:w="1672"/>
            <w:tcMar>
              <w:top w:w="50" w:type="dxa"/>
              <w:bottom w:w="50" w:type="dxa"/>
              <w:left w:w="90" w:type="dxa"/>
              <w:right w:w="90" w:type="dxa"/>
            </w:tcMar>
            <w:shd w:val="clear" w:color="auto" w:fill="E5F5FF"/>
          </w:tcPr>
          <w:p>
            <w:pPr>
              <w:pStyle w:val="BDOITable"/>
            </w:pPr>
            <w:r>
              <w:rPr>
                <w:sz w:val="17"/>
              </w:rPr>
              <w:t>FR-DM-121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DMQ33</w:t>
            </w:r>
          </w:p>
        </w:tc>
        <w:tc>
          <w:tcPr>
            <w:tcW w:type="dxa" w:w="6031"/>
            <w:tcMar>
              <w:top w:w="50" w:type="dxa"/>
              <w:bottom w:w="50" w:type="dxa"/>
              <w:left w:w="90" w:type="dxa"/>
              <w:right w:w="90" w:type="dxa"/>
            </w:tcMar>
          </w:tcPr>
          <w:p>
            <w:pPr>
              <w:pStyle w:val="BDOITable"/>
            </w:pPr>
            <w:r>
              <w:rPr>
                <w:sz w:val="17"/>
              </w:rPr>
              <w:t>In-flight legacy items at the freeze</w:t>
            </w:r>
          </w:p>
        </w:tc>
        <w:tc>
          <w:tcPr>
            <w:tcW w:type="dxa" w:w="1672"/>
            <w:tcMar>
              <w:top w:w="50" w:type="dxa"/>
              <w:bottom w:w="50" w:type="dxa"/>
              <w:left w:w="90" w:type="dxa"/>
              <w:right w:w="90" w:type="dxa"/>
            </w:tcMar>
          </w:tcPr>
          <w:p>
            <w:pPr>
              <w:pStyle w:val="BDOITable"/>
            </w:pPr>
            <w:r>
              <w:rPr>
                <w:sz w:val="17"/>
              </w:rPr>
              <w:t>FR-DM-050,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DMQ34</w:t>
            </w:r>
          </w:p>
        </w:tc>
        <w:tc>
          <w:tcPr>
            <w:tcW w:type="dxa" w:w="6031"/>
            <w:tcMar>
              <w:top w:w="50" w:type="dxa"/>
              <w:bottom w:w="50" w:type="dxa"/>
              <w:left w:w="90" w:type="dxa"/>
              <w:right w:w="90" w:type="dxa"/>
            </w:tcMar>
            <w:shd w:val="clear" w:color="auto" w:fill="E5F5FF"/>
          </w:tcPr>
          <w:p>
            <w:pPr>
              <w:pStyle w:val="BDOITable"/>
            </w:pPr>
            <w:r>
              <w:rPr>
                <w:sz w:val="17"/>
              </w:rPr>
              <w:t>Collection history and open dispositions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DMQ35</w:t>
            </w:r>
          </w:p>
        </w:tc>
        <w:tc>
          <w:tcPr>
            <w:tcW w:type="dxa" w:w="6031"/>
            <w:tcMar>
              <w:top w:w="50" w:type="dxa"/>
              <w:bottom w:w="50" w:type="dxa"/>
              <w:left w:w="90" w:type="dxa"/>
              <w:right w:w="90" w:type="dxa"/>
            </w:tcMar>
          </w:tcPr>
          <w:p>
            <w:pPr>
              <w:pStyle w:val="BDOITable"/>
            </w:pPr>
            <w:r>
              <w:rPr>
                <w:sz w:val="17"/>
              </w:rPr>
              <w:t>Exchange rate for foreign-currency openings</w:t>
            </w:r>
          </w:p>
        </w:tc>
        <w:tc>
          <w:tcPr>
            <w:tcW w:type="dxa" w:w="1672"/>
            <w:tcMar>
              <w:top w:w="50" w:type="dxa"/>
              <w:bottom w:w="50" w:type="dxa"/>
              <w:left w:w="90" w:type="dxa"/>
              <w:right w:w="90" w:type="dxa"/>
            </w:tcMar>
          </w:tcPr>
          <w:p>
            <w:pPr>
              <w:pStyle w:val="BDOITable"/>
            </w:pPr>
            <w:r>
              <w:rPr>
                <w:sz w:val="17"/>
              </w:rPr>
              <w:t>FR-DM-050,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83" w:name="_Toc000183"/>
      <w:r>
        <w:rPr/>
        <w:t>11 Traceability</w:t>
      </w:r>
      <w:bookmarkEnd w:id="183"/>
    </w:p>
    <w:p>
      <w:r>
        <w:rPr/>
        <w:t>Every BRD-13 requirement is met by at least one FR. The screen and API columns name the main entry points.</w:t>
      </w:r>
    </w:p>
    <w:p>
      <w:pPr>
        <w:pStyle w:val="Caption"/>
        <w:keepNext/>
        <w:spacing w:after="60"/>
      </w:pPr>
      <w:r>
        <w:rPr>
          <w:b/>
          <w:i w:val="0"/>
        </w:rPr>
        <w:t xml:space="preserve">Table 23: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2162"/>
        <w:gridCol w:w="2883"/>
        <w:gridCol w:w="3244"/>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API</w:t>
            </w:r>
          </w:p>
        </w:tc>
      </w:tr>
      <w:tr>
        <w:trPr>
          <w:cantSplit w:val="true"/>
        </w:trPr>
        <w:tc>
          <w:tcPr>
            <w:tcW w:type="dxa" w:w="1682"/>
            <w:tcMar>
              <w:top w:w="50" w:type="dxa"/>
              <w:bottom w:w="50" w:type="dxa"/>
              <w:left w:w="90" w:type="dxa"/>
              <w:right w:w="90" w:type="dxa"/>
            </w:tcMar>
          </w:tcPr>
          <w:p>
            <w:pPr>
              <w:pStyle w:val="BDOITable"/>
            </w:pPr>
            <w:r>
              <w:rPr>
                <w:sz w:val="16"/>
              </w:rPr>
              <w:t>BRID 1.1a (p.7)</w:t>
            </w:r>
          </w:p>
        </w:tc>
        <w:tc>
          <w:tcPr>
            <w:tcW w:type="dxa" w:w="2163"/>
            <w:tcMar>
              <w:top w:w="50" w:type="dxa"/>
              <w:bottom w:w="50" w:type="dxa"/>
              <w:left w:w="90" w:type="dxa"/>
              <w:right w:w="90" w:type="dxa"/>
            </w:tcMar>
          </w:tcPr>
          <w:p>
            <w:pPr>
              <w:pStyle w:val="BDOITable"/>
            </w:pPr>
            <w:r>
              <w:rPr>
                <w:sz w:val="16"/>
              </w:rPr>
              <w:t>FR-DM-001, FR-DM-002, FR-DM-003</w:t>
            </w:r>
          </w:p>
        </w:tc>
        <w:tc>
          <w:tcPr>
            <w:tcW w:type="dxa" w:w="2883"/>
            <w:tcMar>
              <w:top w:w="50" w:type="dxa"/>
              <w:bottom w:w="50" w:type="dxa"/>
              <w:left w:w="90" w:type="dxa"/>
              <w:right w:w="90" w:type="dxa"/>
            </w:tcMar>
          </w:tcPr>
          <w:p>
            <w:pPr>
              <w:pStyle w:val="BDOITable"/>
            </w:pPr>
            <w:r>
              <w:rPr>
                <w:sz w:val="16"/>
              </w:rPr>
              <w:t>Data Objects; Sign-off</w:t>
            </w:r>
          </w:p>
        </w:tc>
        <w:tc>
          <w:tcPr>
            <w:tcW w:type="dxa" w:w="3244"/>
            <w:tcMar>
              <w:top w:w="50" w:type="dxa"/>
              <w:bottom w:w="50" w:type="dxa"/>
              <w:left w:w="90" w:type="dxa"/>
              <w:right w:w="90" w:type="dxa"/>
            </w:tcMar>
          </w:tcPr>
          <w:p>
            <w:pPr>
              <w:pStyle w:val="BDOITable"/>
            </w:pPr>
            <w:r>
              <w:rPr>
                <w:sz w:val="16"/>
              </w:rPr>
              <w:t>/migration/objects; .../decision; /migration/batches/{no}/signoff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1.1b (p.7)</w:t>
            </w:r>
          </w:p>
        </w:tc>
        <w:tc>
          <w:tcPr>
            <w:tcW w:type="dxa" w:w="2163"/>
            <w:tcMar>
              <w:top w:w="50" w:type="dxa"/>
              <w:bottom w:w="50" w:type="dxa"/>
              <w:left w:w="90" w:type="dxa"/>
              <w:right w:w="90" w:type="dxa"/>
            </w:tcMar>
            <w:shd w:val="clear" w:color="auto" w:fill="E5F5FF"/>
          </w:tcPr>
          <w:p>
            <w:pPr>
              <w:pStyle w:val="BDOITable"/>
            </w:pPr>
            <w:r>
              <w:rPr>
                <w:sz w:val="16"/>
              </w:rPr>
              <w:t>FR-DM-010, 013, 014, 015, 020, 021, 003</w:t>
            </w:r>
          </w:p>
        </w:tc>
        <w:tc>
          <w:tcPr>
            <w:tcW w:type="dxa" w:w="2883"/>
            <w:tcMar>
              <w:top w:w="50" w:type="dxa"/>
              <w:bottom w:w="50" w:type="dxa"/>
              <w:left w:w="90" w:type="dxa"/>
              <w:right w:w="90" w:type="dxa"/>
            </w:tcMar>
            <w:shd w:val="clear" w:color="auto" w:fill="E5F5FF"/>
          </w:tcPr>
          <w:p>
            <w:pPr>
              <w:pStyle w:val="BDOITable"/>
            </w:pPr>
            <w:r>
              <w:rPr>
                <w:sz w:val="16"/>
              </w:rPr>
              <w:t>Extracts; Batches; Reconciliation</w:t>
            </w:r>
          </w:p>
        </w:tc>
        <w:tc>
          <w:tcPr>
            <w:tcW w:type="dxa" w:w="3244"/>
            <w:tcMar>
              <w:top w:w="50" w:type="dxa"/>
              <w:bottom w:w="50" w:type="dxa"/>
              <w:left w:w="90" w:type="dxa"/>
              <w:right w:w="90" w:type="dxa"/>
            </w:tcMar>
            <w:shd w:val="clear" w:color="auto" w:fill="E5F5FF"/>
          </w:tcPr>
          <w:p>
            <w:pPr>
              <w:pStyle w:val="BDOITable"/>
            </w:pPr>
            <w:r>
              <w:rPr>
                <w:sz w:val="16"/>
              </w:rPr>
              <w:t>/migration/extracts; /migration/batches; reports MIG-RECON-*</w:t>
            </w:r>
          </w:p>
        </w:tc>
      </w:tr>
      <w:tr>
        <w:trPr>
          <w:cantSplit w:val="true"/>
        </w:trPr>
        <w:tc>
          <w:tcPr>
            <w:tcW w:type="dxa" w:w="1682"/>
            <w:tcMar>
              <w:top w:w="50" w:type="dxa"/>
              <w:bottom w:w="50" w:type="dxa"/>
              <w:left w:w="90" w:type="dxa"/>
              <w:right w:w="90" w:type="dxa"/>
            </w:tcMar>
          </w:tcPr>
          <w:p>
            <w:pPr>
              <w:pStyle w:val="BDOITable"/>
            </w:pPr>
            <w:r>
              <w:rPr>
                <w:sz w:val="16"/>
              </w:rPr>
              <w:t>BRID 2.1 (p.7)</w:t>
            </w:r>
          </w:p>
        </w:tc>
        <w:tc>
          <w:tcPr>
            <w:tcW w:type="dxa" w:w="2163"/>
            <w:tcMar>
              <w:top w:w="50" w:type="dxa"/>
              <w:bottom w:w="50" w:type="dxa"/>
              <w:left w:w="90" w:type="dxa"/>
              <w:right w:w="90" w:type="dxa"/>
            </w:tcMar>
          </w:tcPr>
          <w:p>
            <w:pPr>
              <w:pStyle w:val="BDOITable"/>
            </w:pPr>
            <w:r>
              <w:rPr>
                <w:sz w:val="16"/>
              </w:rPr>
              <w:t>FR-DM-031, FR-DM-032, FR-DM-033</w:t>
            </w:r>
          </w:p>
        </w:tc>
        <w:tc>
          <w:tcPr>
            <w:tcW w:type="dxa" w:w="2883"/>
            <w:tcMar>
              <w:top w:w="50" w:type="dxa"/>
              <w:bottom w:w="50" w:type="dxa"/>
              <w:left w:w="90" w:type="dxa"/>
              <w:right w:w="90" w:type="dxa"/>
            </w:tcMar>
          </w:tcPr>
          <w:p>
            <w:pPr>
              <w:pStyle w:val="BDOITable"/>
            </w:pPr>
            <w:r>
              <w:rPr>
                <w:sz w:val="16"/>
              </w:rPr>
              <w:t>Client Matching; Client search</w:t>
            </w:r>
          </w:p>
        </w:tc>
        <w:tc>
          <w:tcPr>
            <w:tcW w:type="dxa" w:w="3244"/>
            <w:tcMar>
              <w:top w:w="50" w:type="dxa"/>
              <w:bottom w:w="50" w:type="dxa"/>
              <w:left w:w="90" w:type="dxa"/>
              <w:right w:w="90" w:type="dxa"/>
            </w:tcMar>
          </w:tcPr>
          <w:p>
            <w:pPr>
              <w:pStyle w:val="BDOITable"/>
            </w:pPr>
            <w:r>
              <w:rPr>
                <w:sz w:val="16"/>
              </w:rPr>
              <w:t>/migration/matching; /crm/clients?legacyRef=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3.1 (p.7)</w:t>
            </w:r>
          </w:p>
        </w:tc>
        <w:tc>
          <w:tcPr>
            <w:tcW w:type="dxa" w:w="2163"/>
            <w:tcMar>
              <w:top w:w="50" w:type="dxa"/>
              <w:bottom w:w="50" w:type="dxa"/>
              <w:left w:w="90" w:type="dxa"/>
              <w:right w:w="90" w:type="dxa"/>
            </w:tcMar>
            <w:shd w:val="clear" w:color="auto" w:fill="E5F5FF"/>
          </w:tcPr>
          <w:p>
            <w:pPr>
              <w:pStyle w:val="BDOITable"/>
            </w:pPr>
            <w:r>
              <w:rPr>
                <w:sz w:val="16"/>
              </w:rPr>
              <w:t>FR-DM-011, FR-DM-012, FR-DM-030</w:t>
            </w:r>
          </w:p>
        </w:tc>
        <w:tc>
          <w:tcPr>
            <w:tcW w:type="dxa" w:w="2883"/>
            <w:tcMar>
              <w:top w:w="50" w:type="dxa"/>
              <w:bottom w:w="50" w:type="dxa"/>
              <w:left w:w="90" w:type="dxa"/>
              <w:right w:w="90" w:type="dxa"/>
            </w:tcMar>
            <w:shd w:val="clear" w:color="auto" w:fill="E5F5FF"/>
          </w:tcPr>
          <w:p>
            <w:pPr>
              <w:pStyle w:val="BDOITable"/>
            </w:pPr>
            <w:r>
              <w:rPr>
                <w:sz w:val="16"/>
              </w:rPr>
              <w:t>Code Maps</w:t>
            </w:r>
          </w:p>
        </w:tc>
        <w:tc>
          <w:tcPr>
            <w:tcW w:type="dxa" w:w="3244"/>
            <w:tcMar>
              <w:top w:w="50" w:type="dxa"/>
              <w:bottom w:w="50" w:type="dxa"/>
              <w:left w:w="90" w:type="dxa"/>
              <w:right w:w="90" w:type="dxa"/>
            </w:tcMar>
            <w:shd w:val="clear" w:color="auto" w:fill="E5F5FF"/>
          </w:tcPr>
          <w:p>
            <w:pPr>
              <w:pStyle w:val="BDOITable"/>
            </w:pPr>
            <w:r>
              <w:rPr>
                <w:sz w:val="16"/>
              </w:rPr>
              <w:t>/migration/maps; report MIG-UNMAPPED-CODES</w:t>
            </w:r>
          </w:p>
        </w:tc>
      </w:tr>
      <w:tr>
        <w:trPr>
          <w:cantSplit w:val="true"/>
        </w:trPr>
        <w:tc>
          <w:tcPr>
            <w:tcW w:type="dxa" w:w="1682"/>
            <w:tcMar>
              <w:top w:w="50" w:type="dxa"/>
              <w:bottom w:w="50" w:type="dxa"/>
              <w:left w:w="90" w:type="dxa"/>
              <w:right w:w="90" w:type="dxa"/>
            </w:tcMar>
          </w:tcPr>
          <w:p>
            <w:pPr>
              <w:pStyle w:val="BDOITable"/>
            </w:pPr>
            <w:r>
              <w:rPr>
                <w:sz w:val="16"/>
              </w:rPr>
              <w:t>BRID 4.1 (p.8)</w:t>
            </w:r>
          </w:p>
        </w:tc>
        <w:tc>
          <w:tcPr>
            <w:tcW w:type="dxa" w:w="2163"/>
            <w:tcMar>
              <w:top w:w="50" w:type="dxa"/>
              <w:bottom w:w="50" w:type="dxa"/>
              <w:left w:w="90" w:type="dxa"/>
              <w:right w:w="90" w:type="dxa"/>
            </w:tcMar>
          </w:tcPr>
          <w:p>
            <w:pPr>
              <w:pStyle w:val="BDOITable"/>
            </w:pPr>
            <w:r>
              <w:rPr>
                <w:sz w:val="16"/>
              </w:rPr>
              <w:t>FR-DM-040, FR-DM-041, FR-DM-033</w:t>
            </w:r>
          </w:p>
        </w:tc>
        <w:tc>
          <w:tcPr>
            <w:tcW w:type="dxa" w:w="2883"/>
            <w:tcMar>
              <w:top w:w="50" w:type="dxa"/>
              <w:bottom w:w="50" w:type="dxa"/>
              <w:left w:w="90" w:type="dxa"/>
              <w:right w:w="90" w:type="dxa"/>
            </w:tcMar>
          </w:tcPr>
          <w:p>
            <w:pPr>
              <w:pStyle w:val="BDOITable"/>
            </w:pPr>
            <w:r>
              <w:rPr>
                <w:sz w:val="16"/>
              </w:rPr>
              <w:t>Account search; Account page</w:t>
            </w:r>
          </w:p>
        </w:tc>
        <w:tc>
          <w:tcPr>
            <w:tcW w:type="dxa" w:w="3244"/>
            <w:tcMar>
              <w:top w:w="50" w:type="dxa"/>
              <w:bottom w:w="50" w:type="dxa"/>
              <w:left w:w="90" w:type="dxa"/>
              <w:right w:w="90" w:type="dxa"/>
            </w:tcMar>
          </w:tcPr>
          <w:p>
            <w:pPr>
              <w:pStyle w:val="BDOITable"/>
            </w:pPr>
            <w:r>
              <w:rPr>
                <w:sz w:val="16"/>
              </w:rPr>
              <w:t>/accounts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5.1 (p.8)</w:t>
            </w:r>
          </w:p>
        </w:tc>
        <w:tc>
          <w:tcPr>
            <w:tcW w:type="dxa" w:w="2163"/>
            <w:tcMar>
              <w:top w:w="50" w:type="dxa"/>
              <w:bottom w:w="50" w:type="dxa"/>
              <w:left w:w="90" w:type="dxa"/>
              <w:right w:w="90" w:type="dxa"/>
            </w:tcMar>
            <w:shd w:val="clear" w:color="auto" w:fill="E5F5FF"/>
          </w:tcPr>
          <w:p>
            <w:pPr>
              <w:pStyle w:val="BDOITable"/>
            </w:pPr>
            <w:r>
              <w:rPr>
                <w:sz w:val="16"/>
              </w:rPr>
              <w:t>FR-DM-051, FR-DM-021</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w:t>
            </w:r>
          </w:p>
        </w:tc>
      </w:tr>
      <w:tr>
        <w:trPr>
          <w:cantSplit w:val="true"/>
        </w:trPr>
        <w:tc>
          <w:tcPr>
            <w:tcW w:type="dxa" w:w="1682"/>
            <w:tcMar>
              <w:top w:w="50" w:type="dxa"/>
              <w:bottom w:w="50" w:type="dxa"/>
              <w:left w:w="90" w:type="dxa"/>
              <w:right w:w="90" w:type="dxa"/>
            </w:tcMar>
          </w:tcPr>
          <w:p>
            <w:pPr>
              <w:pStyle w:val="BDOITable"/>
            </w:pPr>
            <w:r>
              <w:rPr>
                <w:sz w:val="16"/>
              </w:rPr>
              <w:t>BRID 5.2 (p.8)</w:t>
            </w:r>
          </w:p>
        </w:tc>
        <w:tc>
          <w:tcPr>
            <w:tcW w:type="dxa" w:w="2163"/>
            <w:tcMar>
              <w:top w:w="50" w:type="dxa"/>
              <w:bottom w:w="50" w:type="dxa"/>
              <w:left w:w="90" w:type="dxa"/>
              <w:right w:w="90" w:type="dxa"/>
            </w:tcMar>
          </w:tcPr>
          <w:p>
            <w:pPr>
              <w:pStyle w:val="BDOITable"/>
            </w:pPr>
            <w:r>
              <w:rPr>
                <w:sz w:val="16"/>
              </w:rPr>
              <w:t>FR-DM-052, FR-DM-050</w:t>
            </w:r>
          </w:p>
        </w:tc>
        <w:tc>
          <w:tcPr>
            <w:tcW w:type="dxa" w:w="2883"/>
            <w:tcMar>
              <w:top w:w="50" w:type="dxa"/>
              <w:bottom w:w="50" w:type="dxa"/>
              <w:left w:w="90" w:type="dxa"/>
              <w:right w:w="90" w:type="dxa"/>
            </w:tcMar>
          </w:tcPr>
          <w:p>
            <w:pPr>
              <w:pStyle w:val="BDOITable"/>
            </w:pPr>
            <w:r>
              <w:rPr>
                <w:sz w:val="16"/>
              </w:rPr>
              <w:t>Unapplied Payments;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5.3 (p.8)</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/cashiering/unapplied/{id}/disposition</w:t>
            </w:r>
          </w:p>
        </w:tc>
      </w:tr>
      <w:tr>
        <w:trPr>
          <w:cantSplit w:val="true"/>
        </w:trPr>
        <w:tc>
          <w:tcPr>
            <w:tcW w:type="dxa" w:w="1682"/>
            <w:tcMar>
              <w:top w:w="50" w:type="dxa"/>
              <w:bottom w:w="50" w:type="dxa"/>
              <w:left w:w="90" w:type="dxa"/>
              <w:right w:w="90" w:type="dxa"/>
            </w:tcMar>
          </w:tcPr>
          <w:p>
            <w:pPr>
              <w:pStyle w:val="BDOITable"/>
            </w:pPr>
            <w:r>
              <w:rPr>
                <w:sz w:val="16"/>
              </w:rPr>
              <w:t>BRID 5.4 (p.8-9)</w:t>
            </w:r>
          </w:p>
        </w:tc>
        <w:tc>
          <w:tcPr>
            <w:tcW w:type="dxa" w:w="2163"/>
            <w:tcMar>
              <w:top w:w="50" w:type="dxa"/>
              <w:bottom w:w="50" w:type="dxa"/>
              <w:left w:w="90" w:type="dxa"/>
              <w:right w:w="90" w:type="dxa"/>
            </w:tcMar>
          </w:tcPr>
          <w:p>
            <w:pPr>
              <w:pStyle w:val="BDOITable"/>
            </w:pPr>
            <w:r>
              <w:rPr>
                <w:sz w:val="16"/>
              </w:rPr>
              <w:t>FR-DM-054</w:t>
            </w:r>
          </w:p>
        </w:tc>
        <w:tc>
          <w:tcPr>
            <w:tcW w:type="dxa" w:w="2883"/>
            <w:tcMar>
              <w:top w:w="50" w:type="dxa"/>
              <w:bottom w:w="50" w:type="dxa"/>
              <w:left w:w="90" w:type="dxa"/>
              <w:right w:w="90" w:type="dxa"/>
            </w:tcMar>
          </w:tcPr>
          <w:p>
            <w:pPr>
              <w:pStyle w:val="BDOITable"/>
            </w:pPr>
            <w:r>
              <w:rPr>
                <w:sz w:val="16"/>
              </w:rPr>
              <w:t>Unapplied Payments; Disbursement queue</w:t>
            </w:r>
          </w:p>
        </w:tc>
        <w:tc>
          <w:tcPr>
            <w:tcW w:type="dxa" w:w="3244"/>
            <w:tcMar>
              <w:top w:w="50" w:type="dxa"/>
              <w:bottom w:w="50" w:type="dxa"/>
              <w:left w:w="90" w:type="dxa"/>
              <w:right w:w="90" w:type="dxa"/>
            </w:tcMar>
          </w:tcPr>
          <w:p>
            <w:pPr>
              <w:pStyle w:val="BDOITable"/>
            </w:pPr>
            <w:r>
              <w:rPr>
                <w:sz w:val="16"/>
              </w:rPr>
              <w:t>.../disposition (REFUND)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5.5 (p.9)</w:t>
            </w:r>
          </w:p>
        </w:tc>
        <w:tc>
          <w:tcPr>
            <w:tcW w:type="dxa" w:w="2163"/>
            <w:tcMar>
              <w:top w:w="50" w:type="dxa"/>
              <w:bottom w:w="50" w:type="dxa"/>
              <w:left w:w="90" w:type="dxa"/>
              <w:right w:w="90" w:type="dxa"/>
            </w:tcMar>
            <w:shd w:val="clear" w:color="auto" w:fill="E5F5FF"/>
          </w:tcPr>
          <w:p>
            <w:pPr>
              <w:pStyle w:val="BDOITable"/>
            </w:pPr>
            <w:r>
              <w:rPr>
                <w:sz w:val="16"/>
              </w:rPr>
              <w:t>FR-DM-055</w:t>
            </w:r>
          </w:p>
        </w:tc>
        <w:tc>
          <w:tcPr>
            <w:tcW w:type="dxa" w:w="2883"/>
            <w:tcMar>
              <w:top w:w="50" w:type="dxa"/>
              <w:bottom w:w="50" w:type="dxa"/>
              <w:left w:w="90" w:type="dxa"/>
              <w:right w:w="90" w:type="dxa"/>
            </w:tcMar>
            <w:shd w:val="clear" w:color="auto" w:fill="E5F5FF"/>
          </w:tcPr>
          <w:p>
            <w:pPr>
              <w:pStyle w:val="BDOITable"/>
            </w:pPr>
            <w:r>
              <w:rPr>
                <w:sz w:val="16"/>
              </w:rPr>
              <w:t>UPP Income Reclassification; My Approvals</w:t>
            </w:r>
          </w:p>
        </w:tc>
        <w:tc>
          <w:tcPr>
            <w:tcW w:type="dxa" w:w="3244"/>
            <w:tcMar>
              <w:top w:w="50" w:type="dxa"/>
              <w:bottom w:w="50" w:type="dxa"/>
              <w:left w:w="90" w:type="dxa"/>
              <w:right w:w="90" w:type="dxa"/>
            </w:tcMar>
            <w:shd w:val="clear" w:color="auto" w:fill="E5F5FF"/>
          </w:tcPr>
          <w:p>
            <w:pPr>
              <w:pStyle w:val="BDOITable"/>
            </w:pPr>
            <w:r>
              <w:rPr>
                <w:sz w:val="16"/>
              </w:rPr>
              <w:t>/cashiering/income-reclass-batches</w:t>
            </w:r>
          </w:p>
        </w:tc>
      </w:tr>
      <w:tr>
        <w:trPr>
          <w:cantSplit w:val="true"/>
        </w:trPr>
        <w:tc>
          <w:tcPr>
            <w:tcW w:type="dxa" w:w="1682"/>
            <w:tcMar>
              <w:top w:w="50" w:type="dxa"/>
              <w:bottom w:w="50" w:type="dxa"/>
              <w:left w:w="90" w:type="dxa"/>
              <w:right w:w="90" w:type="dxa"/>
            </w:tcMar>
          </w:tcPr>
          <w:p>
            <w:pPr>
              <w:pStyle w:val="BDOITable"/>
            </w:pPr>
            <w:r>
              <w:rPr>
                <w:sz w:val="16"/>
              </w:rPr>
              <w:t>BRID 6.1 (p.9)</w:t>
            </w:r>
          </w:p>
        </w:tc>
        <w:tc>
          <w:tcPr>
            <w:tcW w:type="dxa" w:w="2163"/>
            <w:tcMar>
              <w:top w:w="50" w:type="dxa"/>
              <w:bottom w:w="50" w:type="dxa"/>
              <w:left w:w="90" w:type="dxa"/>
              <w:right w:w="90" w:type="dxa"/>
            </w:tcMar>
          </w:tcPr>
          <w:p>
            <w:pPr>
              <w:pStyle w:val="BDOITable"/>
            </w:pPr>
            <w:r>
              <w:rPr>
                <w:sz w:val="16"/>
              </w:rPr>
              <w:t>FR-DM-060, FR-DM-050</w:t>
            </w:r>
          </w:p>
        </w:tc>
        <w:tc>
          <w:tcPr>
            <w:tcW w:type="dxa" w:w="2883"/>
            <w:tcMar>
              <w:top w:w="50" w:type="dxa"/>
              <w:bottom w:w="50" w:type="dxa"/>
              <w:left w:w="90" w:type="dxa"/>
              <w:right w:w="90" w:type="dxa"/>
            </w:tcMar>
          </w:tcPr>
          <w:p>
            <w:pPr>
              <w:pStyle w:val="BDOITable"/>
            </w:pPr>
            <w:r>
              <w:rPr>
                <w:sz w:val="16"/>
              </w:rPr>
              <w:t>Receive payment (OTC)</w:t>
            </w:r>
          </w:p>
        </w:tc>
        <w:tc>
          <w:tcPr>
            <w:tcW w:type="dxa" w:w="3244"/>
            <w:tcMar>
              <w:top w:w="50" w:type="dxa"/>
              <w:bottom w:w="50" w:type="dxa"/>
              <w:left w:w="90" w:type="dxa"/>
              <w:right w:w="90" w:type="dxa"/>
            </w:tcMar>
          </w:tcPr>
          <w:p>
            <w:pPr>
              <w:pStyle w:val="BDOITable"/>
            </w:pPr>
            <w:r>
              <w:rPr>
                <w:sz w:val="16"/>
              </w:rPr>
              <w:t>/cashiering/payments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6.2 (p.9)</w:t>
            </w:r>
          </w:p>
        </w:tc>
        <w:tc>
          <w:tcPr>
            <w:tcW w:type="dxa" w:w="2163"/>
            <w:tcMar>
              <w:top w:w="50" w:type="dxa"/>
              <w:bottom w:w="50" w:type="dxa"/>
              <w:left w:w="90" w:type="dxa"/>
              <w:right w:w="90" w:type="dxa"/>
            </w:tcMar>
            <w:shd w:val="clear" w:color="auto" w:fill="E5F5FF"/>
          </w:tcPr>
          <w:p>
            <w:pPr>
              <w:pStyle w:val="BDOITable"/>
            </w:pPr>
            <w:r>
              <w:rPr>
                <w:sz w:val="16"/>
              </w:rPr>
              <w:t>FR-DM-061</w:t>
            </w:r>
          </w:p>
        </w:tc>
        <w:tc>
          <w:tcPr>
            <w:tcW w:type="dxa" w:w="2883"/>
            <w:tcMar>
              <w:top w:w="50" w:type="dxa"/>
              <w:bottom w:w="50" w:type="dxa"/>
              <w:left w:w="90" w:type="dxa"/>
              <w:right w:w="90" w:type="dxa"/>
            </w:tcMar>
            <w:shd w:val="clear" w:color="auto" w:fill="E5F5FF"/>
          </w:tcPr>
          <w:p>
            <w:pPr>
              <w:pStyle w:val="BDOITable"/>
            </w:pPr>
            <w:r>
              <w:rPr>
                <w:sz w:val="16"/>
              </w:rPr>
              <w:t>Payment uploads</w:t>
            </w:r>
          </w:p>
        </w:tc>
        <w:tc>
          <w:tcPr>
            <w:tcW w:type="dxa" w:w="3244"/>
            <w:tcMar>
              <w:top w:w="50" w:type="dxa"/>
              <w:bottom w:w="50" w:type="dxa"/>
              <w:left w:w="90" w:type="dxa"/>
              <w:right w:w="90" w:type="dxa"/>
            </w:tcMar>
            <w:shd w:val="clear" w:color="auto" w:fill="E5F5FF"/>
          </w:tcPr>
          <w:p>
            <w:pPr>
              <w:pStyle w:val="BDOITable"/>
            </w:pPr>
            <w:r>
              <w:rPr>
                <w:sz w:val="16"/>
              </w:rPr>
              <w:t>PAY_* handlers</w:t>
            </w:r>
          </w:p>
        </w:tc>
      </w:tr>
      <w:tr>
        <w:trPr>
          <w:cantSplit w:val="true"/>
        </w:trPr>
        <w:tc>
          <w:tcPr>
            <w:tcW w:type="dxa" w:w="1682"/>
            <w:tcMar>
              <w:top w:w="50" w:type="dxa"/>
              <w:bottom w:w="50" w:type="dxa"/>
              <w:left w:w="90" w:type="dxa"/>
              <w:right w:w="90" w:type="dxa"/>
            </w:tcMar>
          </w:tcPr>
          <w:p>
            <w:pPr>
              <w:pStyle w:val="BDOITable"/>
            </w:pPr>
            <w:r>
              <w:rPr>
                <w:sz w:val="16"/>
              </w:rPr>
              <w:t>BRID 6.3 (p.9)</w:t>
            </w:r>
          </w:p>
        </w:tc>
        <w:tc>
          <w:tcPr>
            <w:tcW w:type="dxa" w:w="2163"/>
            <w:tcMar>
              <w:top w:w="50" w:type="dxa"/>
              <w:bottom w:w="50" w:type="dxa"/>
              <w:left w:w="90" w:type="dxa"/>
              <w:right w:w="90" w:type="dxa"/>
            </w:tcMar>
          </w:tcPr>
          <w:p>
            <w:pPr>
              <w:pStyle w:val="BDOITable"/>
            </w:pPr>
            <w:r>
              <w:rPr>
                <w:sz w:val="16"/>
              </w:rPr>
              <w:t>FR-DM-052</w:t>
            </w:r>
          </w:p>
        </w:tc>
        <w:tc>
          <w:tcPr>
            <w:tcW w:type="dxa" w:w="2883"/>
            <w:tcMar>
              <w:top w:w="50" w:type="dxa"/>
              <w:bottom w:w="50" w:type="dxa"/>
              <w:left w:w="90" w:type="dxa"/>
              <w:right w:w="90" w:type="dxa"/>
            </w:tcMar>
          </w:tcPr>
          <w:p>
            <w:pPr>
              <w:pStyle w:val="BDOITable"/>
            </w:pPr>
            <w:r>
              <w:rPr>
                <w:sz w:val="16"/>
              </w:rPr>
              <w:t>Unapplied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6.4 (p.10)</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.../disposition</w:t>
            </w:r>
          </w:p>
        </w:tc>
      </w:tr>
      <w:tr>
        <w:trPr>
          <w:cantSplit w:val="true"/>
        </w:trPr>
        <w:tc>
          <w:tcPr>
            <w:tcW w:type="dxa" w:w="1682"/>
            <w:tcMar>
              <w:top w:w="50" w:type="dxa"/>
              <w:bottom w:w="50" w:type="dxa"/>
              <w:left w:w="90" w:type="dxa"/>
              <w:right w:w="90" w:type="dxa"/>
            </w:tcMar>
          </w:tcPr>
          <w:p>
            <w:pPr>
              <w:pStyle w:val="BDOITable"/>
            </w:pPr>
            <w:r>
              <w:rPr>
                <w:sz w:val="16"/>
              </w:rPr>
              <w:t>BRID 7.1 (p.10)</w:t>
            </w:r>
          </w:p>
        </w:tc>
        <w:tc>
          <w:tcPr>
            <w:tcW w:type="dxa" w:w="2163"/>
            <w:tcMar>
              <w:top w:w="50" w:type="dxa"/>
              <w:bottom w:w="50" w:type="dxa"/>
              <w:left w:w="90" w:type="dxa"/>
              <w:right w:w="90" w:type="dxa"/>
            </w:tcMar>
          </w:tcPr>
          <w:p>
            <w:pPr>
              <w:pStyle w:val="BDOITable"/>
            </w:pPr>
            <w:r>
              <w:rPr>
                <w:sz w:val="16"/>
              </w:rPr>
              <w:t>FR-DM-070</w:t>
            </w:r>
          </w:p>
        </w:tc>
        <w:tc>
          <w:tcPr>
            <w:tcW w:type="dxa" w:w="2883"/>
            <w:tcMar>
              <w:top w:w="50" w:type="dxa"/>
              <w:bottom w:w="50" w:type="dxa"/>
              <w:left w:w="90" w:type="dxa"/>
              <w:right w:w="90" w:type="dxa"/>
            </w:tcMar>
          </w:tcPr>
          <w:p>
            <w:pPr>
              <w:pStyle w:val="BDOITable"/>
            </w:pPr>
            <w:r>
              <w:rPr>
                <w:sz w:val="16"/>
              </w:rPr>
              <w:t>DPPR Legacy Reversal</w:t>
            </w:r>
          </w:p>
        </w:tc>
        <w:tc>
          <w:tcPr>
            <w:tcW w:type="dxa" w:w="3244"/>
            <w:tcMar>
              <w:top w:w="50" w:type="dxa"/>
              <w:bottom w:w="50" w:type="dxa"/>
              <w:left w:w="90" w:type="dxa"/>
              <w:right w:w="90" w:type="dxa"/>
            </w:tcMar>
          </w:tcPr>
          <w:p>
            <w:pPr>
              <w:pStyle w:val="BDOITable"/>
            </w:pPr>
            <w:r>
              <w:rPr>
                <w:sz w:val="16"/>
              </w:rPr>
              <w:t>/commission/dppr-batches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7.2 (p.10)</w:t>
            </w:r>
          </w:p>
        </w:tc>
        <w:tc>
          <w:tcPr>
            <w:tcW w:type="dxa" w:w="2163"/>
            <w:tcMar>
              <w:top w:w="50" w:type="dxa"/>
              <w:bottom w:w="50" w:type="dxa"/>
              <w:left w:w="90" w:type="dxa"/>
              <w:right w:w="90" w:type="dxa"/>
            </w:tcMar>
            <w:shd w:val="clear" w:color="auto" w:fill="E5F5FF"/>
          </w:tcPr>
          <w:p>
            <w:pPr>
              <w:pStyle w:val="BDOITable"/>
            </w:pPr>
            <w:r>
              <w:rPr>
                <w:sz w:val="16"/>
              </w:rPr>
              <w:t>FR-DM-071</w:t>
            </w:r>
          </w:p>
        </w:tc>
        <w:tc>
          <w:tcPr>
            <w:tcW w:type="dxa" w:w="2883"/>
            <w:tcMar>
              <w:top w:w="50" w:type="dxa"/>
              <w:bottom w:w="50" w:type="dxa"/>
              <w:left w:w="90" w:type="dxa"/>
              <w:right w:w="90" w:type="dxa"/>
            </w:tcMar>
            <w:shd w:val="clear" w:color="auto" w:fill="E5F5FF"/>
          </w:tcPr>
          <w:p>
            <w:pPr>
              <w:pStyle w:val="BDOITable"/>
            </w:pPr>
            <w:r>
              <w:rPr>
                <w:sz w:val="16"/>
              </w:rPr>
              <w:t>PR2307 Legacy Reversal</w:t>
            </w:r>
          </w:p>
        </w:tc>
        <w:tc>
          <w:tcPr>
            <w:tcW w:type="dxa" w:w="3244"/>
            <w:tcMar>
              <w:top w:w="50" w:type="dxa"/>
              <w:bottom w:w="50" w:type="dxa"/>
              <w:left w:w="90" w:type="dxa"/>
              <w:right w:w="90" w:type="dxa"/>
            </w:tcMar>
            <w:shd w:val="clear" w:color="auto" w:fill="E5F5FF"/>
          </w:tcPr>
          <w:p>
            <w:pPr>
              <w:pStyle w:val="BDOITable"/>
            </w:pPr>
            <w:r>
              <w:rPr>
                <w:sz w:val="16"/>
              </w:rPr>
              <w:t>/cashiering/pr2307-reversal-batches</w:t>
            </w:r>
          </w:p>
        </w:tc>
      </w:tr>
      <w:tr>
        <w:trPr>
          <w:cantSplit w:val="true"/>
        </w:trPr>
        <w:tc>
          <w:tcPr>
            <w:tcW w:type="dxa" w:w="1682"/>
            <w:tcMar>
              <w:top w:w="50" w:type="dxa"/>
              <w:bottom w:w="50" w:type="dxa"/>
              <w:left w:w="90" w:type="dxa"/>
              <w:right w:w="90" w:type="dxa"/>
            </w:tcMar>
          </w:tcPr>
          <w:p>
            <w:pPr>
              <w:pStyle w:val="BDOITable"/>
            </w:pPr>
            <w:r>
              <w:rPr>
                <w:sz w:val="16"/>
              </w:rPr>
              <w:t>BRID 8.1 (p.10)</w:t>
            </w:r>
          </w:p>
        </w:tc>
        <w:tc>
          <w:tcPr>
            <w:tcW w:type="dxa" w:w="2163"/>
            <w:tcMar>
              <w:top w:w="50" w:type="dxa"/>
              <w:bottom w:w="50" w:type="dxa"/>
              <w:left w:w="90" w:type="dxa"/>
              <w:right w:w="90" w:type="dxa"/>
            </w:tcMar>
          </w:tcPr>
          <w:p>
            <w:pPr>
              <w:pStyle w:val="BDOITable"/>
            </w:pPr>
            <w:r>
              <w:rPr>
                <w:sz w:val="16"/>
              </w:rPr>
              <w:t>FR-DM-080, FR-DM-050</w:t>
            </w:r>
          </w:p>
        </w:tc>
        <w:tc>
          <w:tcPr>
            <w:tcW w:type="dxa" w:w="2883"/>
            <w:tcMar>
              <w:top w:w="50" w:type="dxa"/>
              <w:bottom w:w="50" w:type="dxa"/>
              <w:left w:w="90" w:type="dxa"/>
              <w:right w:w="90" w:type="dxa"/>
            </w:tcMar>
          </w:tcPr>
          <w:p>
            <w:pPr>
              <w:pStyle w:val="BDOITable"/>
            </w:pPr>
            <w:r>
              <w:rPr>
                <w:sz w:val="16"/>
              </w:rPr>
              <w:t>Remittance screens</w:t>
            </w:r>
          </w:p>
        </w:tc>
        <w:tc>
          <w:tcPr>
            <w:tcW w:type="dxa" w:w="3244"/>
            <w:tcMar>
              <w:top w:w="50" w:type="dxa"/>
              <w:bottom w:w="50" w:type="dxa"/>
              <w:left w:w="90" w:type="dxa"/>
              <w:right w:w="90" w:type="dxa"/>
            </w:tcMar>
          </w:tcPr>
          <w:p>
            <w:pPr>
              <w:pStyle w:val="BDOITable"/>
            </w:pPr>
            <w:r>
              <w:rPr>
                <w:sz w:val="16"/>
              </w:rPr>
              <w:t>remittance module</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9.1 (p.11)</w:t>
            </w:r>
          </w:p>
        </w:tc>
        <w:tc>
          <w:tcPr>
            <w:tcW w:type="dxa" w:w="2163"/>
            <w:tcMar>
              <w:top w:w="50" w:type="dxa"/>
              <w:bottom w:w="50" w:type="dxa"/>
              <w:left w:w="90" w:type="dxa"/>
              <w:right w:w="90" w:type="dxa"/>
            </w:tcMar>
            <w:shd w:val="clear" w:color="auto" w:fill="E5F5FF"/>
          </w:tcPr>
          <w:p>
            <w:pPr>
              <w:pStyle w:val="BDOITable"/>
            </w:pPr>
            <w:r>
              <w:rPr>
                <w:sz w:val="16"/>
              </w:rPr>
              <w:t>FR-DM-090</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9.2 (p.11)</w:t>
            </w:r>
          </w:p>
        </w:tc>
        <w:tc>
          <w:tcPr>
            <w:tcW w:type="dxa" w:w="2163"/>
            <w:tcMar>
              <w:top w:w="50" w:type="dxa"/>
              <w:bottom w:w="50" w:type="dxa"/>
              <w:left w:w="90" w:type="dxa"/>
              <w:right w:w="90" w:type="dxa"/>
            </w:tcMar>
          </w:tcPr>
          <w:p>
            <w:pPr>
              <w:pStyle w:val="BDOITable"/>
            </w:pPr>
            <w:r>
              <w:rPr>
                <w:sz w:val="16"/>
              </w:rPr>
              <w:t>FR-DM-091</w:t>
            </w:r>
          </w:p>
        </w:tc>
        <w:tc>
          <w:tcPr>
            <w:tcW w:type="dxa" w:w="2883"/>
            <w:tcMar>
              <w:top w:w="50" w:type="dxa"/>
              <w:bottom w:w="50" w:type="dxa"/>
              <w:left w:w="90" w:type="dxa"/>
              <w:right w:w="90" w:type="dxa"/>
            </w:tcMar>
          </w:tcPr>
          <w:p>
            <w:pPr>
              <w:pStyle w:val="BDOITable"/>
            </w:pPr>
            <w:r>
              <w:rPr>
                <w:sz w:val="16"/>
              </w:rPr>
              <w:t>Endorsement request</w:t>
            </w:r>
          </w:p>
        </w:tc>
        <w:tc>
          <w:tcPr>
            <w:tcW w:type="dxa" w:w="3244"/>
            <w:tcMar>
              <w:top w:w="50" w:type="dxa"/>
              <w:bottom w:w="50" w:type="dxa"/>
              <w:left w:w="90" w:type="dxa"/>
              <w:right w:w="90" w:type="dxa"/>
            </w:tcMar>
          </w:tcPr>
          <w:p>
            <w:pPr>
              <w:pStyle w:val="BDOITable"/>
            </w:pPr>
            <w:r>
              <w:rPr>
                <w:sz w:val="16"/>
              </w:rPr>
              <w:t>/adjustment/requests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9.3 (p.11)</w:t>
            </w:r>
          </w:p>
        </w:tc>
        <w:tc>
          <w:tcPr>
            <w:tcW w:type="dxa" w:w="2163"/>
            <w:tcMar>
              <w:top w:w="50" w:type="dxa"/>
              <w:bottom w:w="50" w:type="dxa"/>
              <w:left w:w="90" w:type="dxa"/>
              <w:right w:w="90" w:type="dxa"/>
            </w:tcMar>
            <w:shd w:val="clear" w:color="auto" w:fill="E5F5FF"/>
          </w:tcPr>
          <w:p>
            <w:pPr>
              <w:pStyle w:val="BDOITable"/>
            </w:pPr>
            <w:r>
              <w:rPr>
                <w:sz w:val="16"/>
              </w:rPr>
              <w:t>FR-DM-092</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10.1 (p.11)</w:t>
            </w:r>
          </w:p>
        </w:tc>
        <w:tc>
          <w:tcPr>
            <w:tcW w:type="dxa" w:w="2163"/>
            <w:tcMar>
              <w:top w:w="50" w:type="dxa"/>
              <w:bottom w:w="50" w:type="dxa"/>
              <w:left w:w="90" w:type="dxa"/>
              <w:right w:w="90" w:type="dxa"/>
            </w:tcMar>
          </w:tcPr>
          <w:p>
            <w:pPr>
              <w:pStyle w:val="BDOITable"/>
            </w:pPr>
            <w:r>
              <w:rPr>
                <w:sz w:val="16"/>
              </w:rPr>
              <w:t>FR-DM-100, FR-DM-050</w:t>
            </w:r>
          </w:p>
        </w:tc>
        <w:tc>
          <w:tcPr>
            <w:tcW w:type="dxa" w:w="2883"/>
            <w:tcMar>
              <w:top w:w="50" w:type="dxa"/>
              <w:bottom w:w="50" w:type="dxa"/>
              <w:left w:w="90" w:type="dxa"/>
              <w:right w:w="90" w:type="dxa"/>
            </w:tcMar>
          </w:tcPr>
          <w:p>
            <w:pPr>
              <w:pStyle w:val="BDOITable"/>
            </w:pPr>
            <w:r>
              <w:rPr>
                <w:sz w:val="16"/>
              </w:rPr>
              <w:t>Reports</w:t>
            </w:r>
          </w:p>
        </w:tc>
        <w:tc>
          <w:tcPr>
            <w:tcW w:type="dxa" w:w="3244"/>
            <w:tcMar>
              <w:top w:w="50" w:type="dxa"/>
              <w:bottom w:w="50" w:type="dxa"/>
              <w:left w:w="90" w:type="dxa"/>
              <w:right w:w="90" w:type="dxa"/>
            </w:tcMar>
          </w:tcPr>
          <w:p>
            <w:pPr>
              <w:pStyle w:val="BDOITable"/>
            </w:pPr>
            <w:r>
              <w:rPr>
                <w:sz w:val="16"/>
              </w:rPr>
              <w:t>report PRC-LEGACY-CHANGES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11.1 (p.11-12)</w:t>
            </w:r>
          </w:p>
        </w:tc>
        <w:tc>
          <w:tcPr>
            <w:tcW w:type="dxa" w:w="2163"/>
            <w:tcMar>
              <w:top w:w="50" w:type="dxa"/>
              <w:bottom w:w="50" w:type="dxa"/>
              <w:left w:w="90" w:type="dxa"/>
              <w:right w:w="90" w:type="dxa"/>
            </w:tcMar>
            <w:shd w:val="clear" w:color="auto" w:fill="E5F5FF"/>
          </w:tcPr>
          <w:p>
            <w:pPr>
              <w:pStyle w:val="BDOITable"/>
            </w:pPr>
            <w:r>
              <w:rPr>
                <w:sz w:val="16"/>
              </w:rPr>
              <w:t>FR-DM-110, FR-DM-111</w:t>
            </w:r>
          </w:p>
        </w:tc>
        <w:tc>
          <w:tcPr>
            <w:tcW w:type="dxa" w:w="2883"/>
            <w:tcMar>
              <w:top w:w="50" w:type="dxa"/>
              <w:bottom w:w="50" w:type="dxa"/>
              <w:left w:w="90" w:type="dxa"/>
              <w:right w:w="90" w:type="dxa"/>
            </w:tcMar>
            <w:shd w:val="clear" w:color="auto" w:fill="E5F5FF"/>
          </w:tcPr>
          <w:p>
            <w:pPr>
              <w:pStyle w:val="BDOITable"/>
            </w:pPr>
            <w:r>
              <w:rPr>
                <w:sz w:val="16"/>
              </w:rPr>
              <w:t>Legacy Inquiry; Legacy Access Log</w:t>
            </w:r>
          </w:p>
        </w:tc>
        <w:tc>
          <w:tcPr>
            <w:tcW w:type="dxa" w:w="3244"/>
            <w:tcMar>
              <w:top w:w="50" w:type="dxa"/>
              <w:bottom w:w="50" w:type="dxa"/>
              <w:left w:w="90" w:type="dxa"/>
              <w:right w:w="90" w:type="dxa"/>
            </w:tcMar>
            <w:shd w:val="clear" w:color="auto" w:fill="E5F5FF"/>
          </w:tcPr>
          <w:p>
            <w:pPr>
              <w:pStyle w:val="BDOITable"/>
            </w:pPr>
            <w:r>
              <w:rPr>
                <w:sz w:val="16"/>
              </w:rPr>
              <w:t>/legacy-inquiry</w:t>
            </w:r>
          </w:p>
        </w:tc>
      </w:tr>
      <w:tr>
        <w:trPr>
          <w:cantSplit w:val="true"/>
        </w:trPr>
        <w:tc>
          <w:tcPr>
            <w:tcW w:type="dxa" w:w="1682"/>
            <w:tcMar>
              <w:top w:w="50" w:type="dxa"/>
              <w:bottom w:w="50" w:type="dxa"/>
              <w:left w:w="90" w:type="dxa"/>
              <w:right w:w="90" w:type="dxa"/>
            </w:tcMar>
          </w:tcPr>
          <w:p>
            <w:pPr>
              <w:pStyle w:val="BDOITable"/>
            </w:pPr>
            <w:r>
              <w:rPr>
                <w:sz w:val="16"/>
              </w:rPr>
              <w:t>BRID 12.1 (p.12)</w:t>
            </w:r>
          </w:p>
        </w:tc>
        <w:tc>
          <w:tcPr>
            <w:tcW w:type="dxa" w:w="2163"/>
            <w:tcMar>
              <w:top w:w="50" w:type="dxa"/>
              <w:bottom w:w="50" w:type="dxa"/>
              <w:left w:w="90" w:type="dxa"/>
              <w:right w:w="90" w:type="dxa"/>
            </w:tcMar>
          </w:tcPr>
          <w:p>
            <w:pPr>
              <w:pStyle w:val="BDOITable"/>
            </w:pPr>
            <w:r>
              <w:rPr>
                <w:sz w:val="16"/>
              </w:rPr>
              <w:t>FR-DM-120, 121, 122, 123</w:t>
            </w:r>
          </w:p>
        </w:tc>
        <w:tc>
          <w:tcPr>
            <w:tcW w:type="dxa" w:w="2883"/>
            <w:tcMar>
              <w:top w:w="50" w:type="dxa"/>
              <w:bottom w:w="50" w:type="dxa"/>
              <w:left w:w="90" w:type="dxa"/>
              <w:right w:w="90" w:type="dxa"/>
            </w:tcMar>
          </w:tcPr>
          <w:p>
            <w:pPr>
              <w:pStyle w:val="BDOITable"/>
            </w:pPr>
            <w:r>
              <w:rPr>
                <w:sz w:val="16"/>
              </w:rPr>
              <w:t>Cutover; Run-off and Decommissioning</w:t>
            </w:r>
          </w:p>
        </w:tc>
        <w:tc>
          <w:tcPr>
            <w:tcW w:type="dxa" w:w="3244"/>
            <w:tcMar>
              <w:top w:w="50" w:type="dxa"/>
              <w:bottom w:w="50" w:type="dxa"/>
              <w:left w:w="90" w:type="dxa"/>
              <w:right w:w="90" w:type="dxa"/>
            </w:tcMar>
          </w:tcPr>
          <w:p>
            <w:pPr>
              <w:pStyle w:val="BDOITable"/>
            </w:pPr>
            <w:r>
              <w:rPr>
                <w:sz w:val="16"/>
              </w:rPr>
              <w:t>/migration/cutover-plans; /migration/runoff</w:t>
            </w:r>
          </w:p>
        </w:tc>
      </w:tr>
    </w:tbl>
    <w:p>
      <w:pPr>
        <w:pStyle w:val="BDOISpacer"/>
      </w:pPr>
    </w:p>
    <w:p>
      <w:r>
        <w:rPr/>
        <w:t xml:space="preserve">API paths start with </w:t>
      </w:r>
      <w:r>
        <w:rPr>
          <w:rFonts w:ascii="Courier New" w:hAnsi="Courier New" w:cs="Courier New" w:eastAsia="Courier New"/>
          <w:color w:val="2E2E2E"/>
          <w:sz w:val="19"/>
        </w:rPr>
        <w:t>/api/v1</w:t>
      </w:r>
      <w:r>
        <w:rPr/>
        <w:t>.</w:t>
      </w:r>
    </w:p>
    <w:p>
      <w:pPr>
        <w:pStyle w:val="Heading1"/>
        <w:pageBreakBefore/>
        <w:pBdr>
          <w:bottom w:val="single" w:sz="4" w:space="4" w:color="99C1E7"/>
        </w:pBdr>
      </w:pPr>
      <w:bookmarkStart w:id="184" w:name="_Toc000184"/>
      <w:r>
        <w:rPr/>
        <w:t>12 Sign-off</w:t>
      </w:r>
      <w:bookmarkEnd w:id="184"/>
    </w:p>
    <w:p>
      <w:r>
        <w:rPr/>
        <w:t>By signing, BDOI confirms that this FRS describes the data migration and the processing of legacy items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Operations -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BRD-13 Data Migration</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Data Migration</dc:title>
  <dc:subject>BIBS – BDOI Broker System</dc:subject>
  <dc:creator>iorta TechNXT</dc:creator>
  <cp:keywords>FRS, BRD-13,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