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Accountant and FRBS Officer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BIBS-QRG-FRBS</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Accountant and FRBS Officer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2.1 Enter and post a manual accrual</w:t>
        </w:r>
        <w:r>
          <w:t xml:space="preserve">	</w:t>
        </w:r>
        <w:r>
          <w:t xml:space="preserve">4</w:t>
        </w:r>
      </w:hyperlink>
    </w:p>
    <w:p>
      <w:pPr>
        <w:pStyle w:val="toc2"/>
      </w:pPr>
      <w:hyperlink w:anchor="_Toc000105" w:history="1">
        <w:r>
          <w:t xml:space="preserve">2.2 Close the month</w:t>
        </w:r>
        <w:r>
          <w:t xml:space="preserve">	</w:t>
        </w:r>
        <w:r>
          <w:t xml:space="preserve">4</w:t>
        </w:r>
      </w:hyperlink>
    </w:p>
    <w:p>
      <w:pPr>
        <w:pStyle w:val="toc2"/>
      </w:pPr>
      <w:hyperlink w:anchor="_Toc000106" w:history="1">
        <w:r>
          <w:t xml:space="preserve">2.3 Reconcile a bank account</w:t>
        </w:r>
        <w:r>
          <w:t xml:space="preserve">	</w:t>
        </w:r>
        <w:r>
          <w:t xml:space="preserve">5</w:t>
        </w:r>
      </w:hyperlink>
    </w:p>
    <w:p>
      <w:pPr>
        <w:pStyle w:val="toc2"/>
      </w:pPr>
      <w:hyperlink w:anchor="_Toc000107" w:history="1">
        <w:r>
          <w:t xml:space="preserve">2.4 Reconcile an insurer's statement and correct a posting (ACSL)</w:t>
        </w:r>
        <w:r>
          <w:t xml:space="preserve">	</w:t>
        </w:r>
        <w:r>
          <w:t xml:space="preserve">5</w:t>
        </w:r>
      </w:hyperlink>
    </w:p>
    <w:p>
      <w:pPr>
        <w:pStyle w:val="toc1"/>
      </w:pPr>
      <w:hyperlink w:anchor="_Toc000108" w:history="1">
        <w:r>
          <w:t xml:space="preserve">3 Tips</w:t>
        </w:r>
        <w:r>
          <w:t xml:space="preserve">	</w:t>
        </w:r>
        <w:r>
          <w:t xml:space="preserve">5</w:t>
        </w:r>
      </w:hyperlink>
    </w:p>
    <w:p>
      <w:pPr>
        <w:pStyle w:val="toc1"/>
      </w:pPr>
      <w:hyperlink w:anchor="_Toc000109" w:history="1">
        <w:r>
          <w:t xml:space="preserve">4 Where to get help</w:t>
        </w:r>
        <w:r>
          <w:t xml:space="preserve">	</w:t>
        </w:r>
        <w:r>
          <w:t xml:space="preserve">5</w:t>
        </w:r>
      </w:hyperlink>
      <w:r>
        <w:fldChar w:fldCharType="end"/>
      </w:r>
    </w:p>
    <w:p>
      <w:pPr>
        <w:pStyle w:val="Heading1"/>
        <w:pageBreakBefore/>
        <w:pBdr>
          <w:bottom w:val="single" w:sz="4" w:space="4" w:color="99C1E7"/>
        </w:pBdr>
      </w:pPr>
      <w:bookmarkStart w:id="101" w:name="_Toc000101"/>
      <w:r>
        <w:rPr/>
        <w:t>1 Your role in BIBS</w:t>
      </w:r>
      <w:bookmarkEnd w:id="101"/>
    </w:p>
    <w:p>
      <w:r>
        <w:rPr/>
        <w:t>You keep the books of BDOI. In BIBS you enter and post journals under maker-checker, inquire on accounts, run the month-end revaluation and GL close, compute the service fee, reconcile the bank accounts and, in ACSL, reconcile the insurers' statements of account and correct wrong postings.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Accountant and FRBS Officer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BRD-05 Accounting (FRBS, ACSL, bank reconciliation)</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Finance dashboard; Journals and reconciliations to act on</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40"/>
        <w:ind w:left="312" w:hanging="283"/>
      </w:pPr>
      <w:r>
        <w:rPr>
          <w:color w:val="004EA8"/>
        </w:rPr>
        <w:t>•</w:t>
        <w:tab/>
      </w:r>
      <w:r>
        <w:rPr/>
        <w:t>Finance &gt; General Ledger: Journals, New Journal, Recurring Journals, Journal Upload, Account Inquiry, Party Statement, Chart of Accounts, Financial Periods</w:t>
      </w:r>
    </w:p>
    <w:p>
      <w:pPr>
        <w:tabs>
          <w:tab w:pos="312" w:val="left"/>
        </w:tabs>
        <w:spacing w:after="40"/>
        <w:ind w:left="312" w:hanging="283"/>
      </w:pPr>
      <w:r>
        <w:rPr>
          <w:color w:val="004EA8"/>
        </w:rPr>
        <w:t>•</w:t>
        <w:tab/>
      </w:r>
      <w:r>
        <w:rPr/>
        <w:t>Finance &gt; Receivables &amp; Banking: Bank Statements, Bank Reconciliation</w:t>
      </w:r>
    </w:p>
    <w:p>
      <w:pPr>
        <w:tabs>
          <w:tab w:pos="312" w:val="left"/>
        </w:tabs>
        <w:spacing w:after="40"/>
        <w:ind w:left="312" w:hanging="283"/>
      </w:pPr>
      <w:r>
        <w:rPr>
          <w:color w:val="004EA8"/>
        </w:rPr>
        <w:t>•</w:t>
        <w:tab/>
      </w:r>
      <w:r>
        <w:rPr/>
        <w:t>Finance &gt; Accounting Reports: Report Pack, Account Schedules, Service Fee Runs, Service Fee Rates</w:t>
      </w:r>
    </w:p>
    <w:p>
      <w:pPr>
        <w:tabs>
          <w:tab w:pos="312" w:val="left"/>
        </w:tabs>
        <w:spacing w:after="40"/>
        <w:ind w:left="312" w:hanging="283"/>
      </w:pPr>
      <w:r>
        <w:rPr>
          <w:color w:val="004EA8"/>
        </w:rPr>
        <w:t>•</w:t>
        <w:tab/>
      </w:r>
      <w:r>
        <w:rPr/>
        <w:t>Finance &gt; ACSL: ACSL Cases, Correction Entries, Insurer SOA Reconciliation, GL-SL Reconciliation</w:t>
      </w:r>
    </w:p>
    <w:p>
      <w:pPr>
        <w:tabs>
          <w:tab w:pos="312" w:val="left"/>
        </w:tabs>
        <w:spacing w:after="120"/>
        <w:ind w:left="312" w:hanging="283"/>
      </w:pPr>
      <w:r>
        <w:rPr>
          <w:color w:val="004EA8"/>
        </w:rPr>
        <w:t>•</w:t>
        <w:tab/>
      </w:r>
      <w:r>
        <w:rPr/>
        <w:t>Reports &gt; Report Centre</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2.1 Enter and post a manual accrual</w:t>
      </w:r>
      <w:bookmarkEnd w:id="104"/>
    </w:p>
    <w:p>
      <w:r>
        <w:rPr/>
        <w:t>Reference: FRS BRD-05, walkthrough WT-A.</w:t>
      </w:r>
    </w:p>
    <w:p>
      <w:pPr>
        <w:pStyle w:val="Caption"/>
        <w:keepNext/>
        <w:spacing w:after="60"/>
      </w:pPr>
      <w:r>
        <w:rPr>
          <w:b/>
          <w:i w:val="0"/>
        </w:rPr>
        <w:t xml:space="preserve">Table 1: </w:t>
      </w:r>
      <w:r>
        <w:rPr/>
        <w:t>Enter and post a manual accrual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Enter the accrual on New Journal: value date, Reverse on the first day of next month, the debit with its cost centre and the credit; save and submit.</w:t>
            </w:r>
          </w:p>
        </w:tc>
        <w:tc>
          <w:tcPr>
            <w:tcW w:type="dxa" w:w="2523"/>
            <w:tcMar>
              <w:top w:w="50" w:type="dxa"/>
              <w:bottom w:w="50" w:type="dxa"/>
              <w:left w:w="90" w:type="dxa"/>
              <w:right w:w="90" w:type="dxa"/>
            </w:tcMar>
          </w:tcPr>
          <w:p>
            <w:pPr>
              <w:pStyle w:val="BDOITable"/>
            </w:pPr>
            <w:r>
              <w:rPr>
                <w:sz w:val="17"/>
              </w:rPr>
              <w:t>SCR-AC-02 New Journal</w:t>
            </w:r>
          </w:p>
        </w:tc>
        <w:tc>
          <w:tcPr>
            <w:tcW w:type="dxa" w:w="1322"/>
            <w:tcMar>
              <w:top w:w="50" w:type="dxa"/>
              <w:bottom w:w="50" w:type="dxa"/>
              <w:left w:w="90" w:type="dxa"/>
              <w:right w:w="90" w:type="dxa"/>
            </w:tcMar>
          </w:tcPr>
          <w:p>
            <w:pPr>
              <w:pStyle w:val="BDOITable"/>
            </w:pPr>
            <w:r>
              <w:rPr>
                <w:sz w:val="17"/>
              </w:rPr>
              <w:t>WT-A.1</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Team Lead: select the voucher on Journals, click Assign and choose the GL Section Head.</w:t>
            </w:r>
          </w:p>
        </w:tc>
        <w:tc>
          <w:tcPr>
            <w:tcW w:type="dxa" w:w="2523"/>
            <w:tcMar>
              <w:top w:w="50" w:type="dxa"/>
              <w:bottom w:w="50" w:type="dxa"/>
              <w:left w:w="90" w:type="dxa"/>
              <w:right w:w="90" w:type="dxa"/>
            </w:tcMar>
            <w:shd w:val="clear" w:color="auto" w:fill="E5F5FF"/>
          </w:tcPr>
          <w:p>
            <w:pPr>
              <w:pStyle w:val="BDOITable"/>
            </w:pPr>
            <w:r>
              <w:rPr>
                <w:sz w:val="17"/>
              </w:rPr>
              <w:t>SCR-AC-01 Journals</w:t>
            </w:r>
          </w:p>
        </w:tc>
        <w:tc>
          <w:tcPr>
            <w:tcW w:type="dxa" w:w="1322"/>
            <w:tcMar>
              <w:top w:w="50" w:type="dxa"/>
              <w:bottom w:w="50" w:type="dxa"/>
              <w:left w:w="90" w:type="dxa"/>
              <w:right w:w="90" w:type="dxa"/>
            </w:tcMar>
            <w:shd w:val="clear" w:color="auto" w:fill="E5F5FF"/>
          </w:tcPr>
          <w:p>
            <w:pPr>
              <w:pStyle w:val="BDOITable"/>
            </w:pPr>
            <w:r>
              <w:rPr>
                <w:sz w:val="17"/>
              </w:rPr>
              <w:t>WT-A.2</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Section Head: choose Assigned to me, select the voucher, click Post Selected and confirm.</w:t>
            </w:r>
          </w:p>
        </w:tc>
        <w:tc>
          <w:tcPr>
            <w:tcW w:type="dxa" w:w="2523"/>
            <w:tcMar>
              <w:top w:w="50" w:type="dxa"/>
              <w:bottom w:w="50" w:type="dxa"/>
              <w:left w:w="90" w:type="dxa"/>
              <w:right w:w="90" w:type="dxa"/>
            </w:tcMar>
          </w:tcPr>
          <w:p>
            <w:pPr>
              <w:pStyle w:val="BDOITable"/>
            </w:pPr>
            <w:r>
              <w:rPr>
                <w:sz w:val="17"/>
              </w:rPr>
              <w:t>SCR-AC-01 Journals</w:t>
            </w:r>
          </w:p>
        </w:tc>
        <w:tc>
          <w:tcPr>
            <w:tcW w:type="dxa" w:w="1322"/>
            <w:tcMar>
              <w:top w:w="50" w:type="dxa"/>
              <w:bottom w:w="50" w:type="dxa"/>
              <w:left w:w="90" w:type="dxa"/>
              <w:right w:w="90" w:type="dxa"/>
            </w:tcMar>
          </w:tcPr>
          <w:p>
            <w:pPr>
              <w:pStyle w:val="BDOITable"/>
            </w:pPr>
            <w:r>
              <w:rPr>
                <w:sz w:val="17"/>
              </w:rPr>
              <w:t>WT-A.3</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647"/>
            <w:tcMar>
              <w:top w:w="50" w:type="dxa"/>
              <w:bottom w:w="50" w:type="dxa"/>
              <w:left w:w="90" w:type="dxa"/>
              <w:right w:w="90" w:type="dxa"/>
            </w:tcMar>
            <w:shd w:val="clear" w:color="auto" w:fill="E5F5FF"/>
          </w:tcPr>
          <w:p>
            <w:pPr>
              <w:pStyle w:val="BDOITable"/>
            </w:pPr>
            <w:r>
              <w:rPr>
                <w:sz w:val="17"/>
              </w:rPr>
              <w:t>Check the posting on the journal and on Account Inquiry for the month.</w:t>
            </w:r>
          </w:p>
        </w:tc>
        <w:tc>
          <w:tcPr>
            <w:tcW w:type="dxa" w:w="2523"/>
            <w:tcMar>
              <w:top w:w="50" w:type="dxa"/>
              <w:bottom w:w="50" w:type="dxa"/>
              <w:left w:w="90" w:type="dxa"/>
              <w:right w:w="90" w:type="dxa"/>
            </w:tcMar>
            <w:shd w:val="clear" w:color="auto" w:fill="E5F5FF"/>
          </w:tcPr>
          <w:p>
            <w:pPr>
              <w:pStyle w:val="BDOITable"/>
            </w:pPr>
            <w:r>
              <w:rPr>
                <w:sz w:val="17"/>
              </w:rPr>
              <w:t>SCR-AC-03 Journal; SCR-AC-04 Account Inquiry</w:t>
            </w:r>
          </w:p>
        </w:tc>
        <w:tc>
          <w:tcPr>
            <w:tcW w:type="dxa" w:w="1322"/>
            <w:tcMar>
              <w:top w:w="50" w:type="dxa"/>
              <w:bottom w:w="50" w:type="dxa"/>
              <w:left w:w="90" w:type="dxa"/>
              <w:right w:w="90" w:type="dxa"/>
            </w:tcMar>
            <w:shd w:val="clear" w:color="auto" w:fill="E5F5FF"/>
          </w:tcPr>
          <w:p>
            <w:pPr>
              <w:pStyle w:val="BDOITable"/>
            </w:pPr>
            <w:r>
              <w:rPr>
                <w:sz w:val="17"/>
              </w:rPr>
              <w:t>WT-A.4, A.5</w:t>
            </w:r>
          </w:p>
        </w:tc>
      </w:tr>
    </w:tbl>
    <w:p>
      <w:pPr>
        <w:pStyle w:val="BDOISpacer"/>
      </w:pPr>
    </w:p>
    <w:p>
      <w:pPr>
        <w:pStyle w:val="Heading2"/>
      </w:pPr>
      <w:bookmarkStart w:id="105" w:name="_Toc000105"/>
      <w:r>
        <w:rPr/>
        <w:t>2.2 Close the month</w:t>
      </w:r>
      <w:bookmarkEnd w:id="105"/>
    </w:p>
    <w:p>
      <w:r>
        <w:rPr/>
        <w:t>Reference: FRS BRD-05, walkthrough WT-D.</w:t>
      </w:r>
    </w:p>
    <w:p>
      <w:pPr>
        <w:pStyle w:val="Caption"/>
        <w:keepNext/>
        <w:spacing w:after="60"/>
      </w:pPr>
      <w:r>
        <w:rPr>
          <w:b/>
          <w:i w:val="0"/>
        </w:rPr>
        <w:t xml:space="preserve">Table 2: </w:t>
      </w:r>
      <w:r>
        <w:rPr/>
        <w:t>Close the month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Enter the month-end rate of each currency on Monthly revaluation rates and click Save Rate.</w:t>
            </w:r>
          </w:p>
        </w:tc>
        <w:tc>
          <w:tcPr>
            <w:tcW w:type="dxa" w:w="2523"/>
            <w:tcMar>
              <w:top w:w="50" w:type="dxa"/>
              <w:bottom w:w="50" w:type="dxa"/>
              <w:left w:w="90" w:type="dxa"/>
              <w:right w:w="90" w:type="dxa"/>
            </w:tcMar>
          </w:tcPr>
          <w:p>
            <w:pPr>
              <w:pStyle w:val="BDOITable"/>
            </w:pPr>
            <w:r>
              <w:rPr>
                <w:sz w:val="17"/>
              </w:rPr>
              <w:t>SCR-AC-08 Currencies &amp; Rates</w:t>
            </w:r>
          </w:p>
        </w:tc>
        <w:tc>
          <w:tcPr>
            <w:tcW w:type="dxa" w:w="1322"/>
            <w:tcMar>
              <w:top w:w="50" w:type="dxa"/>
              <w:bottom w:w="50" w:type="dxa"/>
              <w:left w:w="90" w:type="dxa"/>
              <w:right w:w="90" w:type="dxa"/>
            </w:tcMar>
          </w:tcPr>
          <w:p>
            <w:pPr>
              <w:pStyle w:val="BDOITable"/>
            </w:pPr>
            <w:r>
              <w:rPr>
                <w:sz w:val="17"/>
              </w:rPr>
              <w:t>WT-D.1</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Choose the month, check the preview and click Post revaluation.</w:t>
            </w:r>
          </w:p>
        </w:tc>
        <w:tc>
          <w:tcPr>
            <w:tcW w:type="dxa" w:w="2523"/>
            <w:tcMar>
              <w:top w:w="50" w:type="dxa"/>
              <w:bottom w:w="50" w:type="dxa"/>
              <w:left w:w="90" w:type="dxa"/>
              <w:right w:w="90" w:type="dxa"/>
            </w:tcMar>
            <w:shd w:val="clear" w:color="auto" w:fill="E5F5FF"/>
          </w:tcPr>
          <w:p>
            <w:pPr>
              <w:pStyle w:val="BDOITable"/>
            </w:pPr>
            <w:r>
              <w:rPr>
                <w:sz w:val="17"/>
              </w:rPr>
              <w:t>SCR-AC-13 FX Revaluation</w:t>
            </w:r>
          </w:p>
        </w:tc>
        <w:tc>
          <w:tcPr>
            <w:tcW w:type="dxa" w:w="1322"/>
            <w:tcMar>
              <w:top w:w="50" w:type="dxa"/>
              <w:bottom w:w="50" w:type="dxa"/>
              <w:left w:w="90" w:type="dxa"/>
              <w:right w:w="90" w:type="dxa"/>
            </w:tcMar>
            <w:shd w:val="clear" w:color="auto" w:fill="E5F5FF"/>
          </w:tcPr>
          <w:p>
            <w:pPr>
              <w:pStyle w:val="BDOITable"/>
            </w:pPr>
            <w:r>
              <w:rPr>
                <w:sz w:val="17"/>
              </w:rPr>
              <w:t>WT-D.2</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Click Schedule Close for the month at the proposed date and time; open Broking Books Cut-Off.</w:t>
            </w:r>
          </w:p>
        </w:tc>
        <w:tc>
          <w:tcPr>
            <w:tcW w:type="dxa" w:w="2523"/>
            <w:tcMar>
              <w:top w:w="50" w:type="dxa"/>
              <w:bottom w:w="50" w:type="dxa"/>
              <w:left w:w="90" w:type="dxa"/>
              <w:right w:w="90" w:type="dxa"/>
            </w:tcMar>
          </w:tcPr>
          <w:p>
            <w:pPr>
              <w:pStyle w:val="BDOITable"/>
            </w:pPr>
            <w:r>
              <w:rPr>
                <w:sz w:val="17"/>
              </w:rPr>
              <w:t>SCR-AC-11 GL Close &amp; Cut-Off</w:t>
            </w:r>
          </w:p>
        </w:tc>
        <w:tc>
          <w:tcPr>
            <w:tcW w:type="dxa" w:w="1322"/>
            <w:tcMar>
              <w:top w:w="50" w:type="dxa"/>
              <w:bottom w:w="50" w:type="dxa"/>
              <w:left w:w="90" w:type="dxa"/>
              <w:right w:w="90" w:type="dxa"/>
            </w:tcMar>
          </w:tcPr>
          <w:p>
            <w:pPr>
              <w:pStyle w:val="BDOITable"/>
            </w:pPr>
            <w:r>
              <w:rPr>
                <w:sz w:val="17"/>
              </w:rPr>
              <w:t>WT-D.3, D.4</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647"/>
            <w:tcMar>
              <w:top w:w="50" w:type="dxa"/>
              <w:bottom w:w="50" w:type="dxa"/>
              <w:left w:w="90" w:type="dxa"/>
              <w:right w:w="90" w:type="dxa"/>
            </w:tcMar>
            <w:shd w:val="clear" w:color="auto" w:fill="E5F5FF"/>
          </w:tcPr>
          <w:p>
            <w:pPr>
              <w:pStyle w:val="BDOITable"/>
            </w:pPr>
            <w:r>
              <w:rPr>
                <w:sz w:val="17"/>
              </w:rPr>
              <w:t>Open the service-fee run of the month and tag a line Released with the date the recipient was credited.</w:t>
            </w:r>
          </w:p>
        </w:tc>
        <w:tc>
          <w:tcPr>
            <w:tcW w:type="dxa" w:w="2523"/>
            <w:tcMar>
              <w:top w:w="50" w:type="dxa"/>
              <w:bottom w:w="50" w:type="dxa"/>
              <w:left w:w="90" w:type="dxa"/>
              <w:right w:w="90" w:type="dxa"/>
            </w:tcMar>
            <w:shd w:val="clear" w:color="auto" w:fill="E5F5FF"/>
          </w:tcPr>
          <w:p>
            <w:pPr>
              <w:pStyle w:val="BDOITable"/>
            </w:pPr>
            <w:r>
              <w:rPr>
                <w:sz w:val="17"/>
              </w:rPr>
              <w:t>SCR-AC-22 Service Fee Run</w:t>
            </w:r>
          </w:p>
        </w:tc>
        <w:tc>
          <w:tcPr>
            <w:tcW w:type="dxa" w:w="1322"/>
            <w:tcMar>
              <w:top w:w="50" w:type="dxa"/>
              <w:bottom w:w="50" w:type="dxa"/>
              <w:left w:w="90" w:type="dxa"/>
              <w:right w:w="90" w:type="dxa"/>
            </w:tcMar>
            <w:shd w:val="clear" w:color="auto" w:fill="E5F5FF"/>
          </w:tcPr>
          <w:p>
            <w:pPr>
              <w:pStyle w:val="BDOITable"/>
            </w:pPr>
            <w:r>
              <w:rPr>
                <w:sz w:val="17"/>
              </w:rPr>
              <w:t>WT-D.5</w:t>
            </w:r>
          </w:p>
        </w:tc>
      </w:tr>
    </w:tbl>
    <w:p>
      <w:pPr>
        <w:pStyle w:val="BDOISpacer"/>
      </w:pPr>
    </w:p>
    <w:p>
      <w:pPr>
        <w:pStyle w:val="Heading2"/>
      </w:pPr>
      <w:bookmarkStart w:id="106" w:name="_Toc000106"/>
      <w:r>
        <w:rPr/>
        <w:t>2.3 Reconcile a bank account</w:t>
      </w:r>
      <w:bookmarkEnd w:id="106"/>
    </w:p>
    <w:p>
      <w:r>
        <w:rPr/>
        <w:t>Reference: FRS BRD-05, FR-AC-050, FR-AC-051.</w:t>
      </w:r>
    </w:p>
    <w:p>
      <w:pPr>
        <w:pStyle w:val="Caption"/>
        <w:keepNext/>
        <w:spacing w:after="60"/>
      </w:pPr>
      <w:r>
        <w:rPr>
          <w:b/>
          <w:i w:val="0"/>
        </w:rPr>
        <w:t xml:space="preserve">Table 3: </w:t>
      </w:r>
      <w:r>
        <w:rPr/>
        <w:t>Reconcile a bank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Bank Statements and upload the statement file of the bank account; BIBS imports the lines and matches them.</w:t>
            </w:r>
          </w:p>
        </w:tc>
        <w:tc>
          <w:tcPr>
            <w:tcW w:type="dxa" w:w="2523"/>
            <w:tcMar>
              <w:top w:w="50" w:type="dxa"/>
              <w:bottom w:w="50" w:type="dxa"/>
              <w:left w:w="90" w:type="dxa"/>
              <w:right w:w="90" w:type="dxa"/>
            </w:tcMar>
          </w:tcPr>
          <w:p>
            <w:pPr>
              <w:pStyle w:val="BDOITable"/>
            </w:pPr>
            <w:r>
              <w:rPr>
                <w:sz w:val="17"/>
              </w:rPr>
              <w:t>SCR-AC-15 Bank Statements</w:t>
            </w:r>
          </w:p>
        </w:tc>
        <w:tc>
          <w:tcPr>
            <w:tcW w:type="dxa" w:w="1322"/>
            <w:tcMar>
              <w:top w:w="50" w:type="dxa"/>
              <w:bottom w:w="50" w:type="dxa"/>
              <w:left w:w="90" w:type="dxa"/>
              <w:right w:w="90" w:type="dxa"/>
            </w:tcMar>
          </w:tcPr>
          <w:p>
            <w:pPr>
              <w:pStyle w:val="BDOITable"/>
            </w:pPr>
            <w:r>
              <w:rPr>
                <w:sz w:val="17"/>
              </w:rPr>
              <w:t>FR-AC-050</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Review the reconciliation, adjust the matches and finalise.</w:t>
            </w:r>
          </w:p>
        </w:tc>
        <w:tc>
          <w:tcPr>
            <w:tcW w:type="dxa" w:w="2523"/>
            <w:tcMar>
              <w:top w:w="50" w:type="dxa"/>
              <w:bottom w:w="50" w:type="dxa"/>
              <w:left w:w="90" w:type="dxa"/>
              <w:right w:w="90" w:type="dxa"/>
            </w:tcMar>
            <w:shd w:val="clear" w:color="auto" w:fill="E5F5FF"/>
          </w:tcPr>
          <w:p>
            <w:pPr>
              <w:pStyle w:val="BDOITable"/>
            </w:pPr>
            <w:r>
              <w:rPr>
                <w:sz w:val="17"/>
              </w:rPr>
              <w:t>SCR-AC-16 Bank Reconciliation</w:t>
            </w:r>
          </w:p>
        </w:tc>
        <w:tc>
          <w:tcPr>
            <w:tcW w:type="dxa" w:w="1322"/>
            <w:tcMar>
              <w:top w:w="50" w:type="dxa"/>
              <w:bottom w:w="50" w:type="dxa"/>
              <w:left w:w="90" w:type="dxa"/>
              <w:right w:w="90" w:type="dxa"/>
            </w:tcMar>
            <w:shd w:val="clear" w:color="auto" w:fill="E5F5FF"/>
          </w:tcPr>
          <w:p>
            <w:pPr>
              <w:pStyle w:val="BDOITable"/>
            </w:pPr>
            <w:r>
              <w:rPr>
                <w:sz w:val="17"/>
              </w:rPr>
              <w:t>FR-AC-050</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Run the unmatched reports for the bank account and date.</w:t>
            </w:r>
          </w:p>
        </w:tc>
        <w:tc>
          <w:tcPr>
            <w:tcW w:type="dxa" w:w="2523"/>
            <w:tcMar>
              <w:top w:w="50" w:type="dxa"/>
              <w:bottom w:w="50" w:type="dxa"/>
              <w:left w:w="90" w:type="dxa"/>
              <w:right w:w="90" w:type="dxa"/>
            </w:tcMar>
          </w:tcPr>
          <w:p>
            <w:pPr>
              <w:pStyle w:val="BDOITable"/>
            </w:pPr>
            <w:r>
              <w:rPr>
                <w:sz w:val="17"/>
              </w:rPr>
              <w:t>SCR-AC-17 Report Centre</w:t>
            </w:r>
          </w:p>
        </w:tc>
        <w:tc>
          <w:tcPr>
            <w:tcW w:type="dxa" w:w="1322"/>
            <w:tcMar>
              <w:top w:w="50" w:type="dxa"/>
              <w:bottom w:w="50" w:type="dxa"/>
              <w:left w:w="90" w:type="dxa"/>
              <w:right w:w="90" w:type="dxa"/>
            </w:tcMar>
          </w:tcPr>
          <w:p>
            <w:pPr>
              <w:pStyle w:val="BDOITable"/>
            </w:pPr>
            <w:r>
              <w:rPr>
                <w:sz w:val="17"/>
              </w:rPr>
              <w:t>FR-AC-051</w:t>
            </w:r>
          </w:p>
        </w:tc>
      </w:tr>
    </w:tbl>
    <w:p>
      <w:pPr>
        <w:pStyle w:val="BDOISpacer"/>
      </w:pPr>
    </w:p>
    <w:p>
      <w:pPr>
        <w:pStyle w:val="Heading2"/>
      </w:pPr>
      <w:bookmarkStart w:id="107" w:name="_Toc000107"/>
      <w:r>
        <w:rPr/>
        <w:t>2.4 Reconcile an insurer's statement and correct a posting (ACSL)</w:t>
      </w:r>
      <w:bookmarkEnd w:id="107"/>
    </w:p>
    <w:p>
      <w:r>
        <w:rPr/>
        <w:t>Reference: FRS BRD-05, walkthrough WT-C.</w:t>
      </w:r>
    </w:p>
    <w:p>
      <w:pPr>
        <w:pStyle w:val="Caption"/>
        <w:keepNext/>
        <w:spacing w:after="60"/>
      </w:pPr>
      <w:r>
        <w:rPr>
          <w:b/>
          <w:i w:val="0"/>
        </w:rPr>
        <w:t xml:space="preserve">Table 4: </w:t>
      </w:r>
      <w:r>
        <w:rPr/>
        <w:t>Reconcile an insurer's statement and correct a posting (ACSL)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Click Upload SOA, choose the insurer, the period and the file, and click Upload and Reconcile; open the upload.</w:t>
            </w:r>
          </w:p>
        </w:tc>
        <w:tc>
          <w:tcPr>
            <w:tcW w:type="dxa" w:w="2523"/>
            <w:tcMar>
              <w:top w:w="50" w:type="dxa"/>
              <w:bottom w:w="50" w:type="dxa"/>
              <w:left w:w="90" w:type="dxa"/>
              <w:right w:w="90" w:type="dxa"/>
            </w:tcMar>
          </w:tcPr>
          <w:p>
            <w:pPr>
              <w:pStyle w:val="BDOITable"/>
            </w:pPr>
            <w:r>
              <w:rPr>
                <w:sz w:val="17"/>
              </w:rPr>
              <w:t>SCR-AC-49 Insurer SOA Reconciliation; SCR-AC-50 Insurer SOA</w:t>
            </w:r>
          </w:p>
        </w:tc>
        <w:tc>
          <w:tcPr>
            <w:tcW w:type="dxa" w:w="1322"/>
            <w:tcMar>
              <w:top w:w="50" w:type="dxa"/>
              <w:bottom w:w="50" w:type="dxa"/>
              <w:left w:w="90" w:type="dxa"/>
              <w:right w:w="90" w:type="dxa"/>
            </w:tcMar>
          </w:tcPr>
          <w:p>
            <w:pPr>
              <w:pStyle w:val="BDOITable"/>
            </w:pPr>
            <w:r>
              <w:rPr>
                <w:sz w:val="17"/>
              </w:rPr>
              <w:t>WT-C.1, C.2</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Team Lead: open a case for the variance and assign it.</w:t>
            </w:r>
          </w:p>
        </w:tc>
        <w:tc>
          <w:tcPr>
            <w:tcW w:type="dxa" w:w="2523"/>
            <w:tcMar>
              <w:top w:w="50" w:type="dxa"/>
              <w:bottom w:w="50" w:type="dxa"/>
              <w:left w:w="90" w:type="dxa"/>
              <w:right w:w="90" w:type="dxa"/>
            </w:tcMar>
            <w:shd w:val="clear" w:color="auto" w:fill="E5F5FF"/>
          </w:tcPr>
          <w:p>
            <w:pPr>
              <w:pStyle w:val="BDOITable"/>
            </w:pPr>
            <w:r>
              <w:rPr>
                <w:sz w:val="17"/>
              </w:rPr>
              <w:t>SCR-AC-45 ACSL Cases; SCR-AC-46 ACSL Case</w:t>
            </w:r>
          </w:p>
        </w:tc>
        <w:tc>
          <w:tcPr>
            <w:tcW w:type="dxa" w:w="1322"/>
            <w:tcMar>
              <w:top w:w="50" w:type="dxa"/>
              <w:bottom w:w="50" w:type="dxa"/>
              <w:left w:w="90" w:type="dxa"/>
              <w:right w:w="90" w:type="dxa"/>
            </w:tcMar>
            <w:shd w:val="clear" w:color="auto" w:fill="E5F5FF"/>
          </w:tcPr>
          <w:p>
            <w:pPr>
              <w:pStyle w:val="BDOITable"/>
            </w:pPr>
            <w:r>
              <w:rPr>
                <w:sz w:val="17"/>
              </w:rPr>
              <w:t>WT-C.3, C.4</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Click Start Investigation, record the findings and click Raise Correction; correct the wrong line and submit for review, endorsement and approval.</w:t>
            </w:r>
          </w:p>
        </w:tc>
        <w:tc>
          <w:tcPr>
            <w:tcW w:type="dxa" w:w="2523"/>
            <w:tcMar>
              <w:top w:w="50" w:type="dxa"/>
              <w:bottom w:w="50" w:type="dxa"/>
              <w:left w:w="90" w:type="dxa"/>
              <w:right w:w="90" w:type="dxa"/>
            </w:tcMar>
          </w:tcPr>
          <w:p>
            <w:pPr>
              <w:pStyle w:val="BDOITable"/>
            </w:pPr>
            <w:r>
              <w:rPr>
                <w:sz w:val="17"/>
              </w:rPr>
              <w:t>SCR-AC-46; SCR-AC-48 Correction Entry</w:t>
            </w:r>
          </w:p>
        </w:tc>
        <w:tc>
          <w:tcPr>
            <w:tcW w:type="dxa" w:w="1322"/>
            <w:tcMar>
              <w:top w:w="50" w:type="dxa"/>
              <w:bottom w:w="50" w:type="dxa"/>
              <w:left w:w="90" w:type="dxa"/>
              <w:right w:w="90" w:type="dxa"/>
            </w:tcMar>
          </w:tcPr>
          <w:p>
            <w:pPr>
              <w:pStyle w:val="BDOITable"/>
            </w:pPr>
            <w:r>
              <w:rPr>
                <w:sz w:val="17"/>
              </w:rPr>
              <w:t>WT-C.5-C.9</w:t>
            </w:r>
          </w:p>
        </w:tc>
      </w:tr>
    </w:tbl>
    <w:p>
      <w:pPr>
        <w:pStyle w:val="BDOISpacer"/>
      </w:pPr>
    </w:p>
    <w:p>
      <w:pPr>
        <w:pStyle w:val="Heading1"/>
        <w:pBdr>
          <w:bottom w:val="single" w:sz="4" w:space="4" w:color="99C1E7"/>
        </w:pBdr>
      </w:pPr>
      <w:bookmarkStart w:id="108" w:name="_Toc000108"/>
      <w:r>
        <w:rPr/>
        <w:t>3 Tips</w:t>
      </w:r>
      <w:bookmarkEnd w:id="108"/>
    </w:p>
    <w:p>
      <w:pPr>
        <w:tabs>
          <w:tab w:pos="312" w:val="left"/>
        </w:tabs>
        <w:spacing w:after="40"/>
        <w:ind w:left="312" w:hanging="283"/>
      </w:pPr>
      <w:r>
        <w:rPr>
          <w:color w:val="004EA8"/>
        </w:rPr>
        <w:t>•</w:t>
        <w:tab/>
      </w:r>
      <w:r>
        <w:rPr/>
        <w:t>A voucher whose debit and credit differ is refused (WT-E.1).</w:t>
      </w:r>
    </w:p>
    <w:p>
      <w:pPr>
        <w:tabs>
          <w:tab w:pos="312" w:val="left"/>
        </w:tabs>
        <w:spacing w:after="40"/>
        <w:ind w:left="312" w:hanging="283"/>
      </w:pPr>
      <w:r>
        <w:rPr>
          <w:color w:val="004EA8"/>
        </w:rPr>
        <w:t>•</w:t>
        <w:tab/>
      </w:r>
      <w:r>
        <w:rPr/>
        <w:t>The same insurer statement uploaded again is refused (WT-E.3).</w:t>
      </w:r>
    </w:p>
    <w:p>
      <w:pPr>
        <w:tabs>
          <w:tab w:pos="312" w:val="left"/>
        </w:tabs>
        <w:spacing w:after="120"/>
        <w:ind w:left="312" w:hanging="283"/>
      </w:pPr>
      <w:r>
        <w:rPr>
          <w:color w:val="004EA8"/>
        </w:rPr>
        <w:t>•</w:t>
        <w:tab/>
      </w:r>
      <w:r>
        <w:rPr/>
        <w:t>Posting is done by a user other than the preparer.</w:t>
      </w:r>
    </w:p>
    <w:p>
      <w:pPr>
        <w:pStyle w:val="Heading1"/>
        <w:pBdr>
          <w:bottom w:val="single" w:sz="4" w:space="4" w:color="99C1E7"/>
        </w:pBdr>
      </w:pPr>
      <w:bookmarkStart w:id="109" w:name="_Toc000109"/>
      <w:r>
        <w:rPr/>
        <w:t>4 Where to get help</w:t>
      </w:r>
      <w:bookmarkEnd w:id="109"/>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Accountant and FRBS Officer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Accountant and FRBS Officer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