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QUICK-REFERENCE GUIDE</w:t>
      </w:r>
    </w:p>
    <w:p>
      <w:pPr>
        <w:spacing w:after="80" w:line="240" w:lineRule="auto"/>
      </w:pPr>
      <w:r>
        <w:rPr>
          <w:b/>
          <w:color w:val="004EA8"/>
          <w:sz w:val="56"/>
        </w:rPr>
        <w:t>Quick-Reference Guide: Business Administrator</w:t>
      </w:r>
    </w:p>
    <w:p>
      <w:pPr>
        <w:spacing w:after="40"/>
      </w:pPr>
      <w:r>
        <w:rPr>
          <w:color w:val="2E2E2E"/>
          <w:sz w:val="28"/>
        </w:rPr>
        <w:t>What you do in BIBS, your main tasks step by step, tips and where to get help</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BIBS-QRG-BADM</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change and training lead</w:t>
            </w:r>
          </w:p>
        </w:tc>
        <w:tc>
          <w:tcPr>
            <w:tcW w:type="dxa" w:w="1700"/>
            <w:tcMar>
              <w:top w:w="50" w:type="dxa"/>
              <w:bottom w:w="50" w:type="dxa"/>
              <w:left w:w="90" w:type="dxa"/>
              <w:right w:w="90" w:type="dxa"/>
            </w:tcMar>
          </w:tcPr>
          <w:p>
            <w:pPr>
              <w:pStyle w:val="BDOITable"/>
            </w:pPr>
            <w:r>
              <w:rPr>
                <w:sz w:val="18"/>
              </w:rPr>
              <w:t>iorta TechNXT Business Analyst lead</w:t>
            </w:r>
          </w:p>
        </w:tc>
        <w:tc>
          <w:tcPr>
            <w:tcW w:type="dxa" w:w="1700"/>
            <w:tcMar>
              <w:top w:w="50" w:type="dxa"/>
              <w:bottom w:w="50" w:type="dxa"/>
              <w:left w:w="90" w:type="dxa"/>
              <w:right w:w="90" w:type="dxa"/>
            </w:tcMar>
          </w:tcPr>
          <w:p>
            <w:pPr>
              <w:pStyle w:val="BDOITable"/>
            </w:pPr>
            <w:r>
              <w:rPr>
                <w:sz w:val="18"/>
              </w:rPr>
              <w:t>BIBS Product Owner (pending)</w:t>
            </w:r>
          </w:p>
        </w:tc>
        <w:tc>
          <w:tcPr>
            <w:tcW w:type="dxa" w:w="2606"/>
            <w:tcMar>
              <w:top w:w="50" w:type="dxa"/>
              <w:bottom w:w="50" w:type="dxa"/>
              <w:left w:w="90" w:type="dxa"/>
              <w:right w:w="90" w:type="dxa"/>
            </w:tcMar>
          </w:tcPr>
          <w:p>
            <w:pPr>
              <w:pStyle w:val="BDOITable"/>
            </w:pPr>
            <w:r>
              <w:rPr>
                <w:sz w:val="18"/>
              </w:rPr>
              <w:t>First issue, from the FRS walkthroughs and functional requirements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BIBS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Approval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Key users of the Business Administrator persona</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Check against the screens in UAT</w:t>
            </w:r>
          </w:p>
        </w:tc>
      </w:tr>
      <w:tr>
        <w:trPr>
          <w:cantSplit w:val="true"/>
        </w:trPr>
        <w:tc>
          <w:tcPr>
            <w:tcW w:type="dxa" w:w="2606"/>
            <w:tcMar>
              <w:top w:w="50" w:type="dxa"/>
              <w:bottom w:w="50" w:type="dxa"/>
              <w:left w:w="90" w:type="dxa"/>
              <w:right w:w="90" w:type="dxa"/>
            </w:tcMar>
          </w:tcPr>
          <w:p>
            <w:pPr>
              <w:pStyle w:val="BDOITable"/>
            </w:pPr>
            <w:r>
              <w:rPr>
                <w:sz w:val="18"/>
              </w:rPr>
              <w:t>BDOI trainers</w:t>
            </w:r>
          </w:p>
        </w:tc>
        <w:tc>
          <w:tcPr>
            <w:tcW w:type="dxa" w:w="2266"/>
            <w:tcMar>
              <w:top w:w="50" w:type="dxa"/>
              <w:bottom w:w="50" w:type="dxa"/>
              <w:left w:w="90" w:type="dxa"/>
              <w:right w:w="90" w:type="dxa"/>
            </w:tcMar>
          </w:tcPr>
          <w:p>
            <w:pPr>
              <w:pStyle w:val="BDOITable"/>
            </w:pPr>
            <w:r>
              <w:rPr>
                <w:sz w:val="18"/>
              </w:rPr>
              <w:t>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End-user training</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1 Your role in BIBS</w:t>
        </w:r>
        <w:r>
          <w:t xml:space="preserve">	</w:t>
        </w:r>
        <w:r>
          <w:t xml:space="preserve">4</w:t>
        </w:r>
      </w:hyperlink>
    </w:p>
    <w:p>
      <w:pPr>
        <w:pStyle w:val="toc2"/>
      </w:pPr>
      <w:hyperlink w:anchor="_Toc000102" w:history="1">
        <w:r>
          <w:t xml:space="preserve">1.1 Your menus</w:t>
        </w:r>
        <w:r>
          <w:t xml:space="preserve">	</w:t>
        </w:r>
        <w:r>
          <w:t xml:space="preserve">4</w:t>
        </w:r>
      </w:hyperlink>
    </w:p>
    <w:p>
      <w:pPr>
        <w:pStyle w:val="toc1"/>
      </w:pPr>
      <w:hyperlink w:anchor="_Toc000103" w:history="1">
        <w:r>
          <w:t xml:space="preserve">2 Your main tasks</w:t>
        </w:r>
        <w:r>
          <w:t xml:space="preserve">	</w:t>
        </w:r>
        <w:r>
          <w:t xml:space="preserve">4</w:t>
        </w:r>
      </w:hyperlink>
    </w:p>
    <w:p>
      <w:pPr>
        <w:pStyle w:val="toc2"/>
      </w:pPr>
      <w:hyperlink w:anchor="_Toc000104" w:history="1">
        <w:r>
          <w:t xml:space="preserve">2.1 Authorise a clause and add an insurer commission rate</w:t>
        </w:r>
        <w:r>
          <w:t xml:space="preserve">	</w:t>
        </w:r>
        <w:r>
          <w:t xml:space="preserve">4</w:t>
        </w:r>
      </w:hyperlink>
    </w:p>
    <w:p>
      <w:pPr>
        <w:pStyle w:val="toc2"/>
      </w:pPr>
      <w:hyperlink w:anchor="_Toc000105" w:history="1">
        <w:r>
          <w:t xml:space="preserve">2.2 Request a new group profile</w:t>
        </w:r>
        <w:r>
          <w:t xml:space="preserve">	</w:t>
        </w:r>
        <w:r>
          <w:t xml:space="preserve">4</w:t>
        </w:r>
      </w:hyperlink>
    </w:p>
    <w:p>
      <w:pPr>
        <w:pStyle w:val="toc2"/>
      </w:pPr>
      <w:hyperlink w:anchor="_Toc000106" w:history="1">
        <w:r>
          <w:t xml:space="preserve">2.3 Maintain lists of values, templates and renewal rules</w:t>
        </w:r>
        <w:r>
          <w:t xml:space="preserve">	</w:t>
        </w:r>
        <w:r>
          <w:t xml:space="preserve">5</w:t>
        </w:r>
      </w:hyperlink>
    </w:p>
    <w:p>
      <w:pPr>
        <w:pStyle w:val="toc1"/>
      </w:pPr>
      <w:hyperlink w:anchor="_Toc000107" w:history="1">
        <w:r>
          <w:t xml:space="preserve">3 Tips</w:t>
        </w:r>
        <w:r>
          <w:t xml:space="preserve">	</w:t>
        </w:r>
        <w:r>
          <w:t xml:space="preserve">5</w:t>
        </w:r>
      </w:hyperlink>
    </w:p>
    <w:p>
      <w:pPr>
        <w:pStyle w:val="toc1"/>
      </w:pPr>
      <w:hyperlink w:anchor="_Toc000108" w:history="1">
        <w:r>
          <w:t xml:space="preserve">4 Where to get help</w:t>
        </w:r>
        <w:r>
          <w:t xml:space="preserve">	</w:t>
        </w:r>
        <w:r>
          <w:t xml:space="preserve">5</w:t>
        </w:r>
      </w:hyperlink>
      <w:r>
        <w:fldChar w:fldCharType="end"/>
      </w:r>
    </w:p>
    <w:p>
      <w:pPr>
        <w:pStyle w:val="Heading1"/>
        <w:pageBreakBefore/>
        <w:pBdr>
          <w:bottom w:val="single" w:sz="4" w:space="4" w:color="99C1E7"/>
        </w:pBdr>
      </w:pPr>
      <w:bookmarkStart w:id="101" w:name="_Toc000101"/>
      <w:r>
        <w:rPr/>
        <w:t>1 Your role in BIBS</w:t>
      </w:r>
      <w:bookmarkEnd w:id="101"/>
    </w:p>
    <w:p>
      <w:r>
        <w:rPr/>
        <w:t>You maintain the business set-up of BIBS: lists of values, document templates, renewal rules, escalation rules, clauses and insurer commission rates, and you raise group-profile requests for the roles of the business units. Every change you make is authorised by a second user before it takes effect.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Persona</w:t>
            </w:r>
          </w:p>
        </w:tc>
        <w:tc>
          <w:tcPr>
            <w:tcW w:type="dxa" w:w="7704"/>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BRDs</w:t>
            </w:r>
          </w:p>
        </w:tc>
        <w:tc>
          <w:tcPr>
            <w:tcW w:type="dxa" w:w="7704"/>
            <w:tcMar>
              <w:top w:w="50" w:type="dxa"/>
              <w:bottom w:w="50" w:type="dxa"/>
              <w:left w:w="90" w:type="dxa"/>
              <w:right w:w="90" w:type="dxa"/>
            </w:tcMar>
          </w:tcPr>
          <w:p>
            <w:pPr>
              <w:pStyle w:val="BDOITable"/>
              <w:keepNext/>
            </w:pPr>
            <w:r>
              <w:rPr>
                <w:sz w:val="18"/>
              </w:rPr>
              <w:t>BRD-03 Product Maintenance, BRD-04 Collections, BRD-06 Renewal, BRD-11 User Access Maintenance</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Home page</w:t>
            </w:r>
          </w:p>
        </w:tc>
        <w:tc>
          <w:tcPr>
            <w:tcW w:type="dxa" w:w="7704"/>
            <w:tcMar>
              <w:top w:w="50" w:type="dxa"/>
              <w:bottom w:w="50" w:type="dxa"/>
              <w:left w:w="90" w:type="dxa"/>
              <w:right w:w="90" w:type="dxa"/>
            </w:tcMar>
          </w:tcPr>
          <w:p>
            <w:pPr>
              <w:pStyle w:val="BDOITable"/>
              <w:keepNext/>
            </w:pPr>
            <w:r>
              <w:rPr>
                <w:sz w:val="18"/>
              </w:rPr>
              <w:t>My Approvals and My Work: set-up changes waiting for authorisation</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Sign-in</w:t>
            </w:r>
          </w:p>
        </w:tc>
        <w:tc>
          <w:tcPr>
            <w:tcW w:type="dxa" w:w="7704"/>
            <w:tcMar>
              <w:top w:w="50" w:type="dxa"/>
              <w:bottom w:w="50" w:type="dxa"/>
              <w:left w:w="90" w:type="dxa"/>
              <w:right w:w="90" w:type="dxa"/>
            </w:tcMar>
          </w:tcPr>
          <w:p>
            <w:pPr>
              <w:pStyle w:val="BDOITable"/>
              <w:keepNext/>
            </w:pPr>
            <w:r>
              <w:rPr>
                <w:sz w:val="18"/>
              </w:rPr>
              <w:t>BDO single sign-on (EIAM); MFA as set by Information Security</w:t>
            </w:r>
          </w:p>
        </w:tc>
      </w:tr>
    </w:tbl>
    <w:p>
      <w:pPr>
        <w:pStyle w:val="BDOISpacer"/>
      </w:pPr>
    </w:p>
    <w:p>
      <w:pPr>
        <w:pStyle w:val="Heading2"/>
      </w:pPr>
      <w:bookmarkStart w:id="102" w:name="_Toc000102"/>
      <w:r>
        <w:rPr/>
        <w:t>1.1 Your menus</w:t>
      </w:r>
      <w:bookmarkEnd w:id="102"/>
    </w:p>
    <w:p>
      <w:r>
        <w:rPr/>
        <w:t>The sidebar shows only the screens your roles allow. Your main menus:</w:t>
      </w:r>
    </w:p>
    <w:p>
      <w:pPr>
        <w:tabs>
          <w:tab w:pos="312" w:val="left"/>
        </w:tabs>
        <w:spacing w:after="40"/>
        <w:ind w:left="312" w:hanging="283"/>
      </w:pPr>
      <w:r>
        <w:rPr>
          <w:color w:val="004EA8"/>
        </w:rPr>
        <w:t>•</w:t>
        <w:tab/>
      </w:r>
      <w:r>
        <w:rPr/>
        <w:t>Setup &amp; Administration &gt; Broking Setup: Lists of Values, Data Retention, Document Templates, Outbound Messages</w:t>
      </w:r>
    </w:p>
    <w:p>
      <w:pPr>
        <w:tabs>
          <w:tab w:pos="312" w:val="left"/>
        </w:tabs>
        <w:spacing w:after="40"/>
        <w:ind w:left="312" w:hanging="283"/>
      </w:pPr>
      <w:r>
        <w:rPr>
          <w:color w:val="004EA8"/>
        </w:rPr>
        <w:t>•</w:t>
        <w:tab/>
      </w:r>
      <w:r>
        <w:rPr/>
        <w:t>Setup &amp; Administration &gt; User Access: Access Requests, Group Profile Requests, Bulk Request, User Access Matrix, Separation of Duties, User Access Reports</w:t>
      </w:r>
    </w:p>
    <w:p>
      <w:pPr>
        <w:tabs>
          <w:tab w:pos="312" w:val="left"/>
        </w:tabs>
        <w:spacing w:after="40"/>
        <w:ind w:left="312" w:hanging="283"/>
      </w:pPr>
      <w:r>
        <w:rPr>
          <w:color w:val="004EA8"/>
        </w:rPr>
        <w:t>•</w:t>
        <w:tab/>
      </w:r>
      <w:r>
        <w:rPr/>
        <w:t>Client &amp; Policy &gt; Product Maintenance: Coverages &amp; Clauses, Insurers, Rates &amp; Taxes, Sales Organisation, Validation Queue</w:t>
      </w:r>
    </w:p>
    <w:p>
      <w:pPr>
        <w:tabs>
          <w:tab w:pos="312" w:val="left"/>
        </w:tabs>
        <w:spacing w:after="120"/>
        <w:ind w:left="312" w:hanging="283"/>
      </w:pPr>
      <w:r>
        <w:rPr>
          <w:color w:val="004EA8"/>
        </w:rPr>
        <w:t>•</w:t>
        <w:tab/>
      </w:r>
      <w:r>
        <w:rPr/>
        <w:t>Client &amp; Policy &gt; Renewal: Renewal Setup; Finance &gt; Collections: Escalation Rules, Collections Setup</w:t>
      </w:r>
    </w:p>
    <w:p>
      <w:pPr>
        <w:pStyle w:val="Heading1"/>
        <w:pBdr>
          <w:bottom w:val="single" w:sz="4" w:space="4" w:color="99C1E7"/>
        </w:pBdr>
      </w:pPr>
      <w:bookmarkStart w:id="103" w:name="_Toc000103"/>
      <w:r>
        <w:rPr/>
        <w:t>2 Your main tasks</w:t>
      </w:r>
      <w:bookmarkEnd w:id="103"/>
    </w:p>
    <w:p>
      <w:r>
        <w:rPr/>
        <w:t>Each task lists the steps in order, the screen (ID and name of the screen specification) and the step of the FRS walkthrough or the functional requirement it follows. The FRS walkthroughs show every step with its screenshot.</w:t>
      </w:r>
    </w:p>
    <w:p>
      <w:pPr>
        <w:pStyle w:val="Heading2"/>
      </w:pPr>
      <w:bookmarkStart w:id="104" w:name="_Toc000104"/>
      <w:r>
        <w:rPr/>
        <w:t>2.1 Authorise a clause and add an insurer commission rate</w:t>
      </w:r>
      <w:bookmarkEnd w:id="104"/>
    </w:p>
    <w:p>
      <w:r>
        <w:rPr/>
        <w:t>Reference: FRS BRD-03, walkthrough WT-A steps 2, 18 and 19.</w:t>
      </w:r>
    </w:p>
    <w:p>
      <w:pPr>
        <w:pStyle w:val="Caption"/>
        <w:keepNext/>
        <w:spacing w:after="60"/>
      </w:pPr>
      <w:r>
        <w:rPr>
          <w:b/>
          <w:i w:val="0"/>
        </w:rPr>
        <w:t xml:space="preserve">Table 1: </w:t>
      </w:r>
      <w:r>
        <w:rPr/>
        <w:t>Authorise a clause and add an insurer commission rate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the Clause Library and click Authorize on the clause entered by MBS.</w:t>
            </w:r>
          </w:p>
        </w:tc>
        <w:tc>
          <w:tcPr>
            <w:tcW w:type="dxa" w:w="2523"/>
            <w:tcMar>
              <w:top w:w="50" w:type="dxa"/>
              <w:bottom w:w="50" w:type="dxa"/>
              <w:left w:w="90" w:type="dxa"/>
              <w:right w:w="90" w:type="dxa"/>
            </w:tcMar>
          </w:tcPr>
          <w:p>
            <w:pPr>
              <w:pStyle w:val="BDOITable"/>
            </w:pPr>
            <w:r>
              <w:rPr>
                <w:sz w:val="17"/>
              </w:rPr>
              <w:t>SCR-PM-15 Coverages &amp; Clauses</w:t>
            </w:r>
          </w:p>
        </w:tc>
        <w:tc>
          <w:tcPr>
            <w:tcW w:type="dxa" w:w="1322"/>
            <w:tcMar>
              <w:top w:w="50" w:type="dxa"/>
              <w:bottom w:w="50" w:type="dxa"/>
              <w:left w:w="90" w:type="dxa"/>
              <w:right w:w="90" w:type="dxa"/>
            </w:tcMar>
          </w:tcPr>
          <w:p>
            <w:pPr>
              <w:pStyle w:val="BDOITable"/>
            </w:pPr>
            <w:r>
              <w:rPr>
                <w:sz w:val="17"/>
              </w:rPr>
              <w:t>BRD-03 WT-A.2</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Open Insurers and the insurer, click Add rate, choose the package and the rate from the effective date and click Save for Authorization; the New Business Approver authorises it.</w:t>
            </w:r>
          </w:p>
        </w:tc>
        <w:tc>
          <w:tcPr>
            <w:tcW w:type="dxa" w:w="2523"/>
            <w:tcMar>
              <w:top w:w="50" w:type="dxa"/>
              <w:bottom w:w="50" w:type="dxa"/>
              <w:left w:w="90" w:type="dxa"/>
              <w:right w:w="90" w:type="dxa"/>
            </w:tcMar>
            <w:shd w:val="clear" w:color="auto" w:fill="E5F5FF"/>
          </w:tcPr>
          <w:p>
            <w:pPr>
              <w:pStyle w:val="BDOITable"/>
            </w:pPr>
            <w:r>
              <w:rPr>
                <w:sz w:val="17"/>
              </w:rPr>
              <w:t>SCR-PM-18 Insurer record</w:t>
            </w:r>
          </w:p>
        </w:tc>
        <w:tc>
          <w:tcPr>
            <w:tcW w:type="dxa" w:w="1322"/>
            <w:tcMar>
              <w:top w:w="50" w:type="dxa"/>
              <w:bottom w:w="50" w:type="dxa"/>
              <w:left w:w="90" w:type="dxa"/>
              <w:right w:w="90" w:type="dxa"/>
            </w:tcMar>
            <w:shd w:val="clear" w:color="auto" w:fill="E5F5FF"/>
          </w:tcPr>
          <w:p>
            <w:pPr>
              <w:pStyle w:val="BDOITable"/>
            </w:pPr>
            <w:r>
              <w:rPr>
                <w:sz w:val="17"/>
              </w:rPr>
              <w:t>BRD-03 WT-A.18, A.19</w:t>
            </w:r>
          </w:p>
        </w:tc>
      </w:tr>
    </w:tbl>
    <w:p>
      <w:pPr>
        <w:pStyle w:val="BDOISpacer"/>
      </w:pPr>
    </w:p>
    <w:p>
      <w:pPr>
        <w:pStyle w:val="Heading2"/>
      </w:pPr>
      <w:bookmarkStart w:id="105" w:name="_Toc000105"/>
      <w:r>
        <w:rPr/>
        <w:t>2.2 Request a new group profile</w:t>
      </w:r>
      <w:bookmarkEnd w:id="105"/>
    </w:p>
    <w:p>
      <w:r>
        <w:rPr/>
        <w:t>Reference: FRS BRD-11, walkthrough WT-B step 4.</w:t>
      </w:r>
    </w:p>
    <w:p>
      <w:pPr>
        <w:pStyle w:val="Caption"/>
        <w:keepNext/>
        <w:spacing w:after="60"/>
      </w:pPr>
      <w:r>
        <w:rPr>
          <w:b/>
          <w:i w:val="0"/>
        </w:rPr>
        <w:t xml:space="preserve">Table 2: </w:t>
      </w:r>
      <w:r>
        <w:rPr/>
        <w:t>Request a new group profile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Group Profile Requests &gt; New Group Profile Request, enter the code, the name and description, keep the level, tick the permissions and submit; the approvers approve in order and the System Administrator implements it.</w:t>
            </w:r>
          </w:p>
        </w:tc>
        <w:tc>
          <w:tcPr>
            <w:tcW w:type="dxa" w:w="2523"/>
            <w:tcMar>
              <w:top w:w="50" w:type="dxa"/>
              <w:bottom w:w="50" w:type="dxa"/>
              <w:left w:w="90" w:type="dxa"/>
              <w:right w:w="90" w:type="dxa"/>
            </w:tcMar>
          </w:tcPr>
          <w:p>
            <w:pPr>
              <w:pStyle w:val="BDOITable"/>
            </w:pPr>
            <w:r>
              <w:rPr>
                <w:sz w:val="17"/>
              </w:rPr>
              <w:t>SCR-UA-12 New Group Profile Request</w:t>
            </w:r>
          </w:p>
        </w:tc>
        <w:tc>
          <w:tcPr>
            <w:tcW w:type="dxa" w:w="1322"/>
            <w:tcMar>
              <w:top w:w="50" w:type="dxa"/>
              <w:bottom w:w="50" w:type="dxa"/>
              <w:left w:w="90" w:type="dxa"/>
              <w:right w:w="90" w:type="dxa"/>
            </w:tcMar>
          </w:tcPr>
          <w:p>
            <w:pPr>
              <w:pStyle w:val="BDOITable"/>
            </w:pPr>
            <w:r>
              <w:rPr>
                <w:sz w:val="17"/>
              </w:rPr>
              <w:t>BRD-11 WT-B.4</w:t>
            </w:r>
          </w:p>
        </w:tc>
      </w:tr>
    </w:tbl>
    <w:p>
      <w:pPr>
        <w:pStyle w:val="BDOISpacer"/>
      </w:pPr>
    </w:p>
    <w:p>
      <w:pPr>
        <w:pStyle w:val="Heading2"/>
      </w:pPr>
      <w:bookmarkStart w:id="106" w:name="_Toc000106"/>
      <w:r>
        <w:rPr/>
        <w:t>2.3 Maintain lists of values, templates and renewal rules</w:t>
      </w:r>
      <w:bookmarkEnd w:id="106"/>
    </w:p>
    <w:p>
      <w:r>
        <w:rPr/>
        <w:t>Reference: FRS BRD-06, FR-RN-110, FR-RN-111, FR-RN-112.</w:t>
      </w:r>
    </w:p>
    <w:p>
      <w:pPr>
        <w:pStyle w:val="Caption"/>
        <w:keepNext/>
        <w:spacing w:after="60"/>
      </w:pPr>
      <w:r>
        <w:rPr>
          <w:b/>
          <w:i w:val="0"/>
        </w:rPr>
        <w:t xml:space="preserve">Table 3: </w:t>
      </w:r>
      <w:r>
        <w:rPr/>
        <w:t>Maintain lists of values, templates and renewal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the list, add or edit a value with its effective dates and save; a checker authorises it.</w:t>
            </w:r>
          </w:p>
        </w:tc>
        <w:tc>
          <w:tcPr>
            <w:tcW w:type="dxa" w:w="2523"/>
            <w:tcMar>
              <w:top w:w="50" w:type="dxa"/>
              <w:bottom w:w="50" w:type="dxa"/>
              <w:left w:w="90" w:type="dxa"/>
              <w:right w:w="90" w:type="dxa"/>
            </w:tcMar>
          </w:tcPr>
          <w:p>
            <w:pPr>
              <w:pStyle w:val="BDOITable"/>
            </w:pPr>
            <w:r>
              <w:rPr>
                <w:sz w:val="17"/>
              </w:rPr>
              <w:t>Lists of Values (Broking Setup)</w:t>
            </w:r>
          </w:p>
        </w:tc>
        <w:tc>
          <w:tcPr>
            <w:tcW w:type="dxa" w:w="1322"/>
            <w:tcMar>
              <w:top w:w="50" w:type="dxa"/>
              <w:bottom w:w="50" w:type="dxa"/>
              <w:left w:w="90" w:type="dxa"/>
              <w:right w:w="90" w:type="dxa"/>
            </w:tcMar>
          </w:tcPr>
          <w:p>
            <w:pPr>
              <w:pStyle w:val="BDOITable"/>
            </w:pPr>
            <w:r>
              <w:rPr>
                <w:sz w:val="17"/>
              </w:rPr>
              <w:t>FR-RN-110</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Update the Renewal Advice and letter templates on Document Templates.</w:t>
            </w:r>
          </w:p>
        </w:tc>
        <w:tc>
          <w:tcPr>
            <w:tcW w:type="dxa" w:w="2523"/>
            <w:tcMar>
              <w:top w:w="50" w:type="dxa"/>
              <w:bottom w:w="50" w:type="dxa"/>
              <w:left w:w="90" w:type="dxa"/>
              <w:right w:w="90" w:type="dxa"/>
            </w:tcMar>
            <w:shd w:val="clear" w:color="auto" w:fill="E5F5FF"/>
          </w:tcPr>
          <w:p>
            <w:pPr>
              <w:pStyle w:val="BDOITable"/>
            </w:pPr>
            <w:r>
              <w:rPr>
                <w:sz w:val="17"/>
              </w:rPr>
              <w:t>Document Templates</w:t>
            </w:r>
          </w:p>
        </w:tc>
        <w:tc>
          <w:tcPr>
            <w:tcW w:type="dxa" w:w="1322"/>
            <w:tcMar>
              <w:top w:w="50" w:type="dxa"/>
              <w:bottom w:w="50" w:type="dxa"/>
              <w:left w:w="90" w:type="dxa"/>
              <w:right w:w="90" w:type="dxa"/>
            </w:tcMar>
            <w:shd w:val="clear" w:color="auto" w:fill="E5F5FF"/>
          </w:tcPr>
          <w:p>
            <w:pPr>
              <w:pStyle w:val="BDOITable"/>
            </w:pPr>
            <w:r>
              <w:rPr>
                <w:sz w:val="17"/>
              </w:rPr>
              <w:t>FR-RN-111</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647"/>
            <w:tcMar>
              <w:top w:w="50" w:type="dxa"/>
              <w:bottom w:w="50" w:type="dxa"/>
              <w:left w:w="90" w:type="dxa"/>
              <w:right w:w="90" w:type="dxa"/>
            </w:tcMar>
          </w:tcPr>
          <w:p>
            <w:pPr>
              <w:pStyle w:val="BDOITable"/>
            </w:pPr>
            <w:r>
              <w:rPr>
                <w:sz w:val="17"/>
              </w:rPr>
              <w:t>Draft a new version of a rule set or matrix on Renewal Setup and submit it; a checker compares it with the active version and activates it.</w:t>
            </w:r>
          </w:p>
        </w:tc>
        <w:tc>
          <w:tcPr>
            <w:tcW w:type="dxa" w:w="2523"/>
            <w:tcMar>
              <w:top w:w="50" w:type="dxa"/>
              <w:bottom w:w="50" w:type="dxa"/>
              <w:left w:w="90" w:type="dxa"/>
              <w:right w:w="90" w:type="dxa"/>
            </w:tcMar>
          </w:tcPr>
          <w:p>
            <w:pPr>
              <w:pStyle w:val="BDOITable"/>
            </w:pPr>
            <w:r>
              <w:rPr>
                <w:sz w:val="17"/>
              </w:rPr>
              <w:t>Renewal Setup</w:t>
            </w:r>
          </w:p>
        </w:tc>
        <w:tc>
          <w:tcPr>
            <w:tcW w:type="dxa" w:w="1322"/>
            <w:tcMar>
              <w:top w:w="50" w:type="dxa"/>
              <w:bottom w:w="50" w:type="dxa"/>
              <w:left w:w="90" w:type="dxa"/>
              <w:right w:w="90" w:type="dxa"/>
            </w:tcMar>
          </w:tcPr>
          <w:p>
            <w:pPr>
              <w:pStyle w:val="BDOITable"/>
            </w:pPr>
            <w:r>
              <w:rPr>
                <w:sz w:val="17"/>
              </w:rPr>
              <w:t>FR-RN-112</w:t>
            </w:r>
          </w:p>
        </w:tc>
      </w:tr>
    </w:tbl>
    <w:p>
      <w:pPr>
        <w:pStyle w:val="BDOISpacer"/>
      </w:pPr>
    </w:p>
    <w:p>
      <w:pPr>
        <w:pStyle w:val="Heading1"/>
        <w:pBdr>
          <w:bottom w:val="single" w:sz="4" w:space="4" w:color="99C1E7"/>
        </w:pBdr>
      </w:pPr>
      <w:bookmarkStart w:id="107" w:name="_Toc000107"/>
      <w:r>
        <w:rPr/>
        <w:t>3 Tips</w:t>
      </w:r>
      <w:bookmarkEnd w:id="107"/>
    </w:p>
    <w:p>
      <w:pPr>
        <w:tabs>
          <w:tab w:pos="312" w:val="left"/>
        </w:tabs>
        <w:spacing w:after="40"/>
        <w:ind w:left="312" w:hanging="283"/>
      </w:pPr>
      <w:r>
        <w:rPr>
          <w:color w:val="004EA8"/>
        </w:rPr>
        <w:t>•</w:t>
        <w:tab/>
      </w:r>
      <w:r>
        <w:rPr/>
        <w:t>Values are end-dated, never deleted; disposition codes are fixed and only their labels change.</w:t>
      </w:r>
    </w:p>
    <w:p>
      <w:pPr>
        <w:tabs>
          <w:tab w:pos="312" w:val="left"/>
        </w:tabs>
        <w:spacing w:after="120"/>
        <w:ind w:left="312" w:hanging="283"/>
      </w:pPr>
      <w:r>
        <w:rPr>
          <w:color w:val="004EA8"/>
        </w:rPr>
        <w:t>•</w:t>
        <w:tab/>
      </w:r>
      <w:r>
        <w:rPr/>
        <w:t>Insurer-side permissions (underwriting, insurer claims, reinsurance, reserves) are not offered to BDOI group profiles (BRD-11 WT-D.5).</w:t>
      </w:r>
    </w:p>
    <w:p>
      <w:pPr>
        <w:pStyle w:val="Heading1"/>
        <w:pBdr>
          <w:bottom w:val="single" w:sz="4" w:space="4" w:color="99C1E7"/>
        </w:pBdr>
      </w:pPr>
      <w:bookmarkStart w:id="108" w:name="_Toc000108"/>
      <w:r>
        <w:rPr/>
        <w:t>4 Where to get help</w:t>
      </w:r>
      <w:bookmarkEnd w:id="108"/>
    </w:p>
    <w:p>
      <w:pPr>
        <w:tabs>
          <w:tab w:pos="312" w:val="left"/>
        </w:tabs>
        <w:spacing w:after="40"/>
        <w:ind w:left="312" w:hanging="283"/>
      </w:pPr>
      <w:r>
        <w:rPr>
          <w:color w:val="004EA8"/>
        </w:rPr>
        <w:t>•</w:t>
        <w:tab/>
      </w:r>
      <w:r>
        <w:rPr/>
        <w:t>Help Center (sidebar, Help &gt; Help Center): the help of every screen you may open, with How it works and Controls; search by word.</w:t>
      </w:r>
    </w:p>
    <w:p>
      <w:pPr>
        <w:tabs>
          <w:tab w:pos="312" w:val="left"/>
        </w:tabs>
        <w:spacing w:after="40"/>
        <w:ind w:left="312" w:hanging="283"/>
      </w:pPr>
      <w:r>
        <w:rPr>
          <w:color w:val="004EA8"/>
        </w:rPr>
        <w:t>•</w:t>
        <w:tab/>
      </w:r>
      <w:r>
        <w:rPr/>
        <w:t>Info icons on field labels: the format and rule of the field; the short format hint under a field gives dates as dd-MMM-yyyy and the file limits.</w:t>
      </w:r>
    </w:p>
    <w:p>
      <w:pPr>
        <w:tabs>
          <w:tab w:pos="312" w:val="left"/>
        </w:tabs>
        <w:spacing w:after="40"/>
        <w:ind w:left="312" w:hanging="283"/>
      </w:pPr>
      <w:r>
        <w:rPr>
          <w:color w:val="004EA8"/>
        </w:rPr>
        <w:t>•</w:t>
        <w:tab/>
      </w:r>
      <w:r>
        <w:rPr/>
        <w:t>Messages: a refused action shows the message on the screen in plain words; the message tells what to correct (the tips above list the frequent ones).</w:t>
      </w:r>
    </w:p>
    <w:p>
      <w:pPr>
        <w:tabs>
          <w:tab w:pos="312" w:val="left"/>
        </w:tabs>
        <w:spacing w:after="40"/>
        <w:ind w:left="312" w:hanging="283"/>
      </w:pPr>
      <w:r>
        <w:rPr>
          <w:color w:val="004EA8"/>
        </w:rPr>
        <w:t>•</w:t>
        <w:tab/>
      </w:r>
      <w:r>
        <w:rPr/>
        <w:t>My Work and My Approvals: every record waiting for you, with the action to take; notices in the bell icon link to the record.</w:t>
      </w:r>
    </w:p>
    <w:p>
      <w:pPr>
        <w:tabs>
          <w:tab w:pos="312" w:val="left"/>
        </w:tabs>
        <w:spacing w:after="40"/>
        <w:ind w:left="312" w:hanging="283"/>
      </w:pPr>
      <w:r>
        <w:rPr>
          <w:color w:val="004EA8"/>
        </w:rPr>
        <w:t>•</w:t>
        <w:tab/>
      </w:r>
      <w:r>
        <w:rPr/>
        <w:t>Key user of your unit: first point of contact for how-to questions and for a second pair of eyes.</w:t>
      </w:r>
    </w:p>
    <w:p>
      <w:pPr>
        <w:tabs>
          <w:tab w:pos="312" w:val="left"/>
        </w:tabs>
        <w:spacing w:after="120"/>
        <w:ind w:left="312" w:hanging="283"/>
      </w:pPr>
      <w:r>
        <w:rPr>
          <w:color w:val="004EA8"/>
        </w:rPr>
        <w:t>•</w:t>
        <w:tab/>
      </w:r>
      <w:r>
        <w:rPr/>
        <w:t>Service desk (BDOI IT): access problems, errors and anything the key user cannot solve; give the record number, the screen ID and the time.</w:t>
      </w:r>
    </w:p>
    <w:p>
      <w:r>
        <w:rPr/>
        <w:t>Report a problem with: the record number, the screen ID or name, what you did, the message shown word for word and the time.</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QRG Business Administrator</w:t>
    </w:r>
    <w:r>
      <w:rPr>
        <w:color w:val="656565"/>
        <w:sz w:val="16"/>
      </w:rPr>
      <w:t xml:space="preserve">   Quick-Reference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Quick-Reference Guide Quick-Reference Guide: Business Administrator</dc:title>
  <dc:subject>BIBS – BDOI Broker System</dc:subject>
  <dc:creator>iorta TechNXT</dc:creator>
  <cp:keywords>QRG,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