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drawing>
          <wp:inline xmlns:a="http://schemas.openxmlformats.org/drawingml/2006/main" xmlns:pic="http://schemas.openxmlformats.org/drawingml/2006/picture">
            <wp:extent cx="2232000" cy="454667"/>
            <wp:docPr id="1" name="Picture 1"/>
            <wp:cNvGraphicFramePr>
              <a:graphicFrameLocks noChangeAspect="1"/>
            </wp:cNvGraphicFramePr>
            <a:graphic>
              <a:graphicData uri="http://schemas.openxmlformats.org/drawingml/2006/picture">
                <pic:pic>
                  <pic:nvPicPr>
                    <pic:cNvPr id="0" name="client-logo.png"/>
                    <pic:cNvPicPr/>
                  </pic:nvPicPr>
                  <pic:blipFill>
                    <a:blip r:embed="rId13"/>
                    <a:stretch>
                      <a:fillRect/>
                    </a:stretch>
                  </pic:blipFill>
                  <pic:spPr>
                    <a:xfrm>
                      <a:off x="0" y="0"/>
                      <a:ext cx="2232000" cy="454667"/>
                    </a:xfrm>
                    <a:prstGeom prst="rect"/>
                  </pic:spPr>
                </pic:pic>
              </a:graphicData>
            </a:graphic>
          </wp:inline>
        </w:drawing>
      </w:r>
    </w:p>
    <w:p>
      <w:pPr>
        <w:spacing w:before="200" w:after="0"/>
        <w:pBdr>
          <w:bottom w:val="single" w:sz="12" w:space="1" w:color="FDB913"/>
        </w:pBdr>
      </w:pPr>
    </w:p>
    <w:p>
      <w:pPr>
        <w:spacing w:before="1600" w:after="0"/>
      </w:pPr>
    </w:p>
    <w:p>
      <w:pPr>
        <w:spacing w:after="120"/>
      </w:pPr>
      <w:r>
        <w:rPr>
          <w:b/>
          <w:color w:val="0072D8"/>
          <w:sz w:val="22"/>
        </w:rPr>
        <w:t>QUICK-REFERENCE GUIDE</w:t>
      </w:r>
    </w:p>
    <w:p>
      <w:pPr>
        <w:spacing w:after="80" w:line="240" w:lineRule="auto"/>
      </w:pPr>
      <w:r>
        <w:rPr>
          <w:b/>
          <w:color w:val="004EA8"/>
          <w:sz w:val="56"/>
        </w:rPr>
        <w:t>Quick-Reference Guide: Renewal Officer</w:t>
      </w:r>
    </w:p>
    <w:p>
      <w:pPr>
        <w:spacing w:after="40"/>
      </w:pPr>
      <w:r>
        <w:rPr>
          <w:color w:val="2E2E2E"/>
          <w:sz w:val="28"/>
        </w:rPr>
        <w:t>What you do in BIBS, your main tasks step by step, tips and where to get help</w:t>
      </w:r>
    </w:p>
    <w:p>
      <w:pPr>
        <w:spacing w:after="560"/>
      </w:pPr>
      <w:r>
        <w:rPr>
          <w:color w:val="656565"/>
          <w:sz w:val="24"/>
        </w:rPr>
        <w:t>BIBS – BDOI Broker System</w:t>
      </w:r>
    </w:p>
    <w:tbl>
      <w:tblPr>
        <w:tblW w:type="dxa" w:w="8278"/>
        <w:tblLook w:firstColumn="1" w:firstRow="1" w:lastColumn="0" w:lastRow="0" w:noHBand="0" w:noVBand="1" w:val="04A0"/>
        <w:tblBorders>
          <w:top w:val="nil"/>
          <w:left w:val="nil"/>
          <w:bottom w:val="nil"/>
          <w:right w:val="nil"/>
          <w:insideH w:val="nil"/>
          <w:insideV w:val="nil"/>
        </w:tblBorders>
        <w:tblLayout w:type="fixed"/>
      </w:tblPr>
      <w:tblGrid>
        <w:gridCol w:w="2041"/>
        <w:gridCol w:w="6237"/>
      </w:tblGrid>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Client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BDO Insurance and Reinsurance Brokers, Inc.</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Document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BIBS-QRG-RNW</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Version</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1.0</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Date</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08 October 2026</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Status</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Issued for BDOI review</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Classification</w:t>
            </w:r>
          </w:p>
        </w:tc>
        <w:tc>
          <w:tcPr>
            <w:tcW w:type="dxa" w:w="6236"/>
            <w:tcMar>
              <w:top w:w="40" w:type="dxa"/>
              <w:bottom w:w="40" w:type="dxa"/>
              <w:left w:w="0" w:type="dxa"/>
              <w:right w:w="60" w:type="dxa"/>
            </w:tcMar>
            <w:tcBorders>
              <w:bottom w:val="single" w:sz="4" w:space="0" w:color="E4E4E4"/>
            </w:tcBorders>
          </w:tcPr>
          <w:p>
            <w:pPr>
              <w:pStyle w:val="BDOITable"/>
            </w:pPr>
            <w:r>
              <w:rPr>
                <w:b/>
                <w:color w:val="2E2E2E"/>
                <w:sz w:val="20"/>
              </w:rPr>
              <w:t>Confidential</w:t>
            </w:r>
          </w:p>
        </w:tc>
      </w:tr>
    </w:tbl>
    <w:p>
      <w:pPr>
        <w:spacing w:before="2600" w:after="0"/>
      </w:pPr>
    </w:p>
    <w:p>
      <w:pPr>
        <w:pBdr>
          <w:top w:val="single" w:sz="4" w:space="6" w:color="C2C2C1"/>
        </w:pBdr>
        <w:tabs>
          <w:tab w:pos="9972" w:val="right"/>
        </w:tabs>
      </w:pPr>
      <w:r>
        <w:rPr>
          <w:color w:val="656565"/>
          <w:sz w:val="18"/>
        </w:rPr>
        <w:t>Prepared by iorta TechNXT for BDOI</w:t>
      </w:r>
      <w:r>
        <w:tab/>
      </w:r>
      <w:r>
        <w:drawing>
          <wp:inline xmlns:a="http://schemas.openxmlformats.org/drawingml/2006/main" xmlns:pic="http://schemas.openxmlformats.org/drawingml/2006/picture">
            <wp:extent cx="977258" cy="288000"/>
            <wp:docPr id="2" name="Picture 2"/>
            <wp:cNvGraphicFramePr>
              <a:graphicFrameLocks noChangeAspect="1"/>
            </wp:cNvGraphicFramePr>
            <a:graphic>
              <a:graphicData uri="http://schemas.openxmlformats.org/drawingml/2006/picture">
                <pic:pic>
                  <pic:nvPicPr>
                    <pic:cNvPr id="0" name="iorta-technxt.png"/>
                    <pic:cNvPicPr/>
                  </pic:nvPicPr>
                  <pic:blipFill>
                    <a:blip r:embed="rId14"/>
                    <a:stretch>
                      <a:fillRect/>
                    </a:stretch>
                  </pic:blipFill>
                  <pic:spPr>
                    <a:xfrm>
                      <a:off x="0" y="0"/>
                      <a:ext cx="977258" cy="288000"/>
                    </a:xfrm>
                    <a:prstGeom prst="rect"/>
                  </pic:spPr>
                </pic:pic>
              </a:graphicData>
            </a:graphic>
          </wp:inline>
        </w:drawing>
      </w:r>
    </w:p>
    <w:p>
      <w:r>
        <w:rPr>
          <w:color w:val="919191"/>
          <w:sz w:val="15"/>
        </w:rPr>
        <w:t>iNXT BrokerVerse. This document is confidential to BDO Insurance and Reinsurance Brokers, Inc. and iorta TechNXT.</w:t>
      </w:r>
    </w:p>
    <w:p>
      <w:pPr>
        <w:pStyle w:val="BDOIFrontHeading"/>
        <w:pageBreakBefore/>
      </w:pPr>
      <w:r>
        <w:t>Document Control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6"/>
        <w:gridCol w:w="1359"/>
        <w:gridCol w:w="1699"/>
        <w:gridCol w:w="1699"/>
        <w:gridCol w:w="1699"/>
        <w:gridCol w:w="2606"/>
      </w:tblGrid>
      <w:tr>
        <w:trPr>
          <w:tblHeader w:val="true"/>
          <w:cantSplit w:val="true"/>
        </w:trPr>
        <w:tc>
          <w:tcPr>
            <w:tcW w:type="dxa" w:w="907"/>
            <w:shd w:val="clear" w:color="auto" w:fill="004EA8"/>
            <w:tcMar>
              <w:top w:w="50" w:type="dxa"/>
              <w:bottom w:w="50" w:type="dxa"/>
              <w:left w:w="90" w:type="dxa"/>
              <w:right w:w="90" w:type="dxa"/>
            </w:tcMar>
            <w:vAlign w:val="center"/>
          </w:tcPr>
          <w:p>
            <w:pPr>
              <w:pStyle w:val="BDOITableHeader"/>
            </w:pPr>
            <w:r>
              <w:rPr>
                <w:b/>
                <w:color w:val="FFFFFF"/>
                <w:sz w:val="18"/>
              </w:rPr>
              <w:t>Version</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Author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Reviewer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Approver</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Change</w:t>
            </w:r>
          </w:p>
        </w:tc>
      </w:tr>
      <w:tr>
        <w:trPr>
          <w:cantSplit w:val="true"/>
        </w:trPr>
        <w:tc>
          <w:tcPr>
            <w:tcW w:type="dxa" w:w="907"/>
            <w:tcMar>
              <w:top w:w="50" w:type="dxa"/>
              <w:bottom w:w="50" w:type="dxa"/>
              <w:left w:w="90" w:type="dxa"/>
              <w:right w:w="90" w:type="dxa"/>
            </w:tcMar>
          </w:tcPr>
          <w:p>
            <w:pPr>
              <w:pStyle w:val="BDOITable"/>
            </w:pPr>
            <w:r>
              <w:rPr>
                <w:sz w:val="18"/>
              </w:rPr>
              <w:t>1.0</w:t>
            </w:r>
          </w:p>
        </w:tc>
        <w:tc>
          <w:tcPr>
            <w:tcW w:type="dxa" w:w="1360"/>
            <w:tcMar>
              <w:top w:w="50" w:type="dxa"/>
              <w:bottom w:w="50" w:type="dxa"/>
              <w:left w:w="90" w:type="dxa"/>
              <w:right w:w="90" w:type="dxa"/>
            </w:tcMar>
          </w:tcPr>
          <w:p>
            <w:pPr>
              <w:pStyle w:val="BDOITable"/>
            </w:pPr>
            <w:r>
              <w:rPr>
                <w:sz w:val="18"/>
              </w:rPr>
              <w:t>08 Oct 2026</w:t>
            </w:r>
          </w:p>
        </w:tc>
        <w:tc>
          <w:tcPr>
            <w:tcW w:type="dxa" w:w="1700"/>
            <w:tcMar>
              <w:top w:w="50" w:type="dxa"/>
              <w:bottom w:w="50" w:type="dxa"/>
              <w:left w:w="90" w:type="dxa"/>
              <w:right w:w="90" w:type="dxa"/>
            </w:tcMar>
          </w:tcPr>
          <w:p>
            <w:pPr>
              <w:pStyle w:val="BDOITable"/>
            </w:pPr>
            <w:r>
              <w:rPr>
                <w:sz w:val="18"/>
              </w:rPr>
              <w:t>iorta TechNXT change and training lead</w:t>
            </w:r>
          </w:p>
        </w:tc>
        <w:tc>
          <w:tcPr>
            <w:tcW w:type="dxa" w:w="1700"/>
            <w:tcMar>
              <w:top w:w="50" w:type="dxa"/>
              <w:bottom w:w="50" w:type="dxa"/>
              <w:left w:w="90" w:type="dxa"/>
              <w:right w:w="90" w:type="dxa"/>
            </w:tcMar>
          </w:tcPr>
          <w:p>
            <w:pPr>
              <w:pStyle w:val="BDOITable"/>
            </w:pPr>
            <w:r>
              <w:rPr>
                <w:sz w:val="18"/>
              </w:rPr>
              <w:t>iorta TechNXT Business Analyst lead</w:t>
            </w:r>
          </w:p>
        </w:tc>
        <w:tc>
          <w:tcPr>
            <w:tcW w:type="dxa" w:w="1700"/>
            <w:tcMar>
              <w:top w:w="50" w:type="dxa"/>
              <w:bottom w:w="50" w:type="dxa"/>
              <w:left w:w="90" w:type="dxa"/>
              <w:right w:w="90" w:type="dxa"/>
            </w:tcMar>
          </w:tcPr>
          <w:p>
            <w:pPr>
              <w:pStyle w:val="BDOITable"/>
            </w:pPr>
            <w:r>
              <w:rPr>
                <w:sz w:val="18"/>
              </w:rPr>
              <w:t>BIBS Product Owner (pending)</w:t>
            </w:r>
          </w:p>
        </w:tc>
        <w:tc>
          <w:tcPr>
            <w:tcW w:type="dxa" w:w="2606"/>
            <w:tcMar>
              <w:top w:w="50" w:type="dxa"/>
              <w:bottom w:w="50" w:type="dxa"/>
              <w:left w:w="90" w:type="dxa"/>
              <w:right w:w="90" w:type="dxa"/>
            </w:tcMar>
          </w:tcPr>
          <w:p>
            <w:pPr>
              <w:pStyle w:val="BDOITable"/>
            </w:pPr>
            <w:r>
              <w:rPr>
                <w:sz w:val="18"/>
              </w:rPr>
              <w:t>First issue, from the FRS walkthroughs and functional requirements</w:t>
            </w:r>
          </w:p>
        </w:tc>
      </w:tr>
    </w:tbl>
    <w:p>
      <w:pPr>
        <w:pStyle w:val="BDOISpacer"/>
      </w:pPr>
    </w:p>
    <w:p>
      <w:pPr>
        <w:spacing w:after="80"/>
      </w:pPr>
    </w:p>
    <w:p>
      <w:pPr>
        <w:pStyle w:val="BDOIFrontHeading"/>
      </w:pPr>
      <w:r>
        <w:t>Distribution 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2266"/>
        <w:gridCol w:w="2266"/>
        <w:gridCol w:w="2833"/>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Name / Unit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Purpose</w:t>
            </w:r>
          </w:p>
        </w:tc>
      </w:tr>
      <w:tr>
        <w:trPr>
          <w:cantSplit w:val="true"/>
        </w:trPr>
        <w:tc>
          <w:tcPr>
            <w:tcW w:type="dxa" w:w="2606"/>
            <w:tcMar>
              <w:top w:w="50" w:type="dxa"/>
              <w:bottom w:w="50" w:type="dxa"/>
              <w:left w:w="90" w:type="dxa"/>
              <w:right w:w="90" w:type="dxa"/>
            </w:tcMar>
          </w:tcPr>
          <w:p>
            <w:pPr>
              <w:pStyle w:val="BDOITable"/>
            </w:pPr>
            <w:r>
              <w:rPr>
                <w:sz w:val="18"/>
              </w:rPr>
              <w:t>BIBS Product Owner</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Approval</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Key users of the Renewal Officer persona</w:t>
            </w:r>
          </w:p>
        </w:tc>
        <w:tc>
          <w:tcPr>
            <w:tcW w:type="dxa" w:w="2266"/>
            <w:tcMar>
              <w:top w:w="50" w:type="dxa"/>
              <w:bottom w:w="50" w:type="dxa"/>
              <w:left w:w="90" w:type="dxa"/>
              <w:right w:w="90" w:type="dxa"/>
            </w:tcMar>
            <w:shd w:val="clear" w:color="auto" w:fill="E5F5FF"/>
          </w:tcPr>
          <w:p>
            <w:pPr>
              <w:pStyle w:val="BDOITable"/>
            </w:pPr>
            <w:r>
              <w:rPr>
                <w:sz w:val="18"/>
              </w:rPr>
              <w:t>Reviewer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Check against the screens in UAT</w:t>
            </w:r>
          </w:p>
        </w:tc>
      </w:tr>
      <w:tr>
        <w:trPr>
          <w:cantSplit w:val="true"/>
        </w:trPr>
        <w:tc>
          <w:tcPr>
            <w:tcW w:type="dxa" w:w="2606"/>
            <w:tcMar>
              <w:top w:w="50" w:type="dxa"/>
              <w:bottom w:w="50" w:type="dxa"/>
              <w:left w:w="90" w:type="dxa"/>
              <w:right w:w="90" w:type="dxa"/>
            </w:tcMar>
          </w:tcPr>
          <w:p>
            <w:pPr>
              <w:pStyle w:val="BDOITable"/>
            </w:pPr>
            <w:r>
              <w:rPr>
                <w:sz w:val="18"/>
              </w:rPr>
              <w:t>BDOI trainers</w:t>
            </w:r>
          </w:p>
        </w:tc>
        <w:tc>
          <w:tcPr>
            <w:tcW w:type="dxa" w:w="2266"/>
            <w:tcMar>
              <w:top w:w="50" w:type="dxa"/>
              <w:bottom w:w="50" w:type="dxa"/>
              <w:left w:w="90" w:type="dxa"/>
              <w:right w:w="90" w:type="dxa"/>
            </w:tcMar>
          </w:tcPr>
          <w:p>
            <w:pPr>
              <w:pStyle w:val="BDOITable"/>
            </w:pPr>
            <w:r>
              <w:rPr>
                <w:sz w:val="18"/>
              </w:rPr>
              <w:t>User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End-user training</w:t>
            </w:r>
          </w:p>
        </w:tc>
      </w:tr>
    </w:tbl>
    <w:p>
      <w:pPr>
        <w:pStyle w:val="BDOISpacer"/>
      </w:pPr>
    </w:p>
    <w:p>
      <w:pPr>
        <w:pStyle w:val="BDOIFrontHeading"/>
        <w:pageBreakBefore/>
      </w:pPr>
      <w:r>
        <w:t>Contents</w:t>
      </w:r>
    </w:p>
    <w:p>
      <w:pPr>
        <w:spacing w:after="0"/>
      </w:pPr>
    </w:p>
    <w:p>
      <w:pPr>
        <w:pStyle w:val="toc1"/>
      </w:pPr>
      <w:r>
        <w:fldChar w:fldCharType="begin" w:dirty="false"/>
      </w:r>
      <w:r>
        <w:instrText xml:space="preserve"> TOC \o "1-3" \h \z \u </w:instrText>
      </w:r>
      <w:r>
        <w:fldChar w:fldCharType="separate"/>
      </w:r>
      <w:hyperlink w:anchor="_Toc000101" w:history="1">
        <w:r>
          <w:t xml:space="preserve">1 Your role in BIBS</w:t>
        </w:r>
        <w:r>
          <w:t xml:space="preserve">	</w:t>
        </w:r>
        <w:r>
          <w:t xml:space="preserve">4</w:t>
        </w:r>
      </w:hyperlink>
    </w:p>
    <w:p>
      <w:pPr>
        <w:pStyle w:val="toc2"/>
      </w:pPr>
      <w:hyperlink w:anchor="_Toc000102" w:history="1">
        <w:r>
          <w:t xml:space="preserve">1.1 Your menus</w:t>
        </w:r>
        <w:r>
          <w:t xml:space="preserve">	</w:t>
        </w:r>
        <w:r>
          <w:t xml:space="preserve">4</w:t>
        </w:r>
      </w:hyperlink>
    </w:p>
    <w:p>
      <w:pPr>
        <w:pStyle w:val="toc1"/>
      </w:pPr>
      <w:hyperlink w:anchor="_Toc000103" w:history="1">
        <w:r>
          <w:t xml:space="preserve">2 Your main tasks</w:t>
        </w:r>
        <w:r>
          <w:t xml:space="preserve">	</w:t>
        </w:r>
        <w:r>
          <w:t xml:space="preserve">4</w:t>
        </w:r>
      </w:hyperlink>
    </w:p>
    <w:p>
      <w:pPr>
        <w:pStyle w:val="toc2"/>
      </w:pPr>
      <w:hyperlink w:anchor="_Toc000104" w:history="1">
        <w:r>
          <w:t xml:space="preserve">2.1 Prepare the processing list</w:t>
        </w:r>
        <w:r>
          <w:t xml:space="preserve">	</w:t>
        </w:r>
        <w:r>
          <w:t xml:space="preserve">4</w:t>
        </w:r>
      </w:hyperlink>
    </w:p>
    <w:p>
      <w:pPr>
        <w:pStyle w:val="toc2"/>
      </w:pPr>
      <w:hyperlink w:anchor="_Toc000105" w:history="1">
        <w:r>
          <w:t xml:space="preserve">2.2 Process an account and work with the insurer</w:t>
        </w:r>
        <w:r>
          <w:t xml:space="preserve">	</w:t>
        </w:r>
        <w:r>
          <w:t xml:space="preserve">4</w:t>
        </w:r>
      </w:hyperlink>
    </w:p>
    <w:p>
      <w:pPr>
        <w:pStyle w:val="toc2"/>
      </w:pPr>
      <w:hyperlink w:anchor="_Toc000106" w:history="1">
        <w:r>
          <w:t xml:space="preserve">2.3 Send the Renewal Advice and record the acceptance</w:t>
        </w:r>
        <w:r>
          <w:t xml:space="preserve">	</w:t>
        </w:r>
        <w:r>
          <w:t xml:space="preserve">5</w:t>
        </w:r>
      </w:hyperlink>
    </w:p>
    <w:p>
      <w:pPr>
        <w:pStyle w:val="toc2"/>
      </w:pPr>
      <w:hyperlink w:anchor="_Toc000107" w:history="1">
        <w:r>
          <w:t xml:space="preserve">2.4 Take over the expiries at go-live</w:t>
        </w:r>
        <w:r>
          <w:t xml:space="preserve">	</w:t>
        </w:r>
        <w:r>
          <w:t xml:space="preserve">5</w:t>
        </w:r>
      </w:hyperlink>
    </w:p>
    <w:p>
      <w:pPr>
        <w:pStyle w:val="toc1"/>
      </w:pPr>
      <w:hyperlink w:anchor="_Toc000108" w:history="1">
        <w:r>
          <w:t xml:space="preserve">3 Tips</w:t>
        </w:r>
        <w:r>
          <w:t xml:space="preserve">	</w:t>
        </w:r>
        <w:r>
          <w:t xml:space="preserve">5</w:t>
        </w:r>
      </w:hyperlink>
    </w:p>
    <w:p>
      <w:pPr>
        <w:pStyle w:val="toc1"/>
      </w:pPr>
      <w:hyperlink w:anchor="_Toc000109" w:history="1">
        <w:r>
          <w:t xml:space="preserve">4 Where to get help</w:t>
        </w:r>
        <w:r>
          <w:t xml:space="preserve">	</w:t>
        </w:r>
        <w:r>
          <w:t xml:space="preserve">5</w:t>
        </w:r>
      </w:hyperlink>
      <w:r>
        <w:fldChar w:fldCharType="end"/>
      </w:r>
    </w:p>
    <w:p>
      <w:pPr>
        <w:pStyle w:val="Heading1"/>
        <w:pageBreakBefore/>
        <w:pBdr>
          <w:bottom w:val="single" w:sz="4" w:space="4" w:color="99C1E7"/>
        </w:pBdr>
      </w:pPr>
      <w:bookmarkStart w:id="101" w:name="_Toc000101"/>
      <w:r>
        <w:rPr/>
        <w:t>1 Your role in BIBS</w:t>
      </w:r>
      <w:bookmarkEnd w:id="101"/>
    </w:p>
    <w:p>
      <w:r>
        <w:rPr/>
        <w:t>You are in the Renewal processing team (Processing Team Leader or Processing Officer). In BIBS you generate the expiring list, upload dispositioned files, assign the accounts to officers, work the processing list, extract the accounts per insurer and apply the insurers' responses, generate and send the Renewal Advices, record the client's acceptance and, at go-live, take over the January to May 2028 expiries.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8"/>
        <w:gridCol w:w="7705"/>
      </w:tblGrid>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Persona</w:t>
            </w:r>
          </w:p>
        </w:tc>
        <w:tc>
          <w:tcPr>
            <w:tcW w:type="dxa" w:w="7704"/>
            <w:tcMar>
              <w:top w:w="50" w:type="dxa"/>
              <w:bottom w:w="50" w:type="dxa"/>
              <w:left w:w="90" w:type="dxa"/>
              <w:right w:w="90" w:type="dxa"/>
            </w:tcMar>
          </w:tcPr>
          <w:p>
            <w:pPr>
              <w:pStyle w:val="BDOITable"/>
              <w:keepNext/>
            </w:pPr>
            <w:r>
              <w:rPr>
                <w:sz w:val="18"/>
              </w:rPr>
              <w:t>Renewal Officer</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BRDs</w:t>
            </w:r>
          </w:p>
        </w:tc>
        <w:tc>
          <w:tcPr>
            <w:tcW w:type="dxa" w:w="7704"/>
            <w:tcMar>
              <w:top w:w="50" w:type="dxa"/>
              <w:bottom w:w="50" w:type="dxa"/>
              <w:left w:w="90" w:type="dxa"/>
              <w:right w:w="90" w:type="dxa"/>
            </w:tcMar>
          </w:tcPr>
          <w:p>
            <w:pPr>
              <w:pStyle w:val="BDOITable"/>
              <w:keepNext/>
            </w:pPr>
            <w:r>
              <w:rPr>
                <w:sz w:val="18"/>
              </w:rPr>
              <w:t>BRD-06 Renewal, BRD-13 Data Migration (go-live takeover)</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Home page</w:t>
            </w:r>
          </w:p>
        </w:tc>
        <w:tc>
          <w:tcPr>
            <w:tcW w:type="dxa" w:w="7704"/>
            <w:tcMar>
              <w:top w:w="50" w:type="dxa"/>
              <w:bottom w:w="50" w:type="dxa"/>
              <w:left w:w="90" w:type="dxa"/>
              <w:right w:w="90" w:type="dxa"/>
            </w:tcMar>
          </w:tcPr>
          <w:p>
            <w:pPr>
              <w:pStyle w:val="BDOITable"/>
              <w:keepNext/>
            </w:pPr>
            <w:r>
              <w:rPr>
                <w:sz w:val="18"/>
              </w:rPr>
              <w:t>Renewal Home and the Processing Worklist</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Sign-in</w:t>
            </w:r>
          </w:p>
        </w:tc>
        <w:tc>
          <w:tcPr>
            <w:tcW w:type="dxa" w:w="7704"/>
            <w:tcMar>
              <w:top w:w="50" w:type="dxa"/>
              <w:bottom w:w="50" w:type="dxa"/>
              <w:left w:w="90" w:type="dxa"/>
              <w:right w:w="90" w:type="dxa"/>
            </w:tcMar>
          </w:tcPr>
          <w:p>
            <w:pPr>
              <w:pStyle w:val="BDOITable"/>
              <w:keepNext/>
            </w:pPr>
            <w:r>
              <w:rPr>
                <w:sz w:val="18"/>
              </w:rPr>
              <w:t>BDO single sign-on (EIAM); MFA as set by Information Security</w:t>
            </w:r>
          </w:p>
        </w:tc>
      </w:tr>
    </w:tbl>
    <w:p>
      <w:pPr>
        <w:pStyle w:val="BDOISpacer"/>
      </w:pPr>
    </w:p>
    <w:p>
      <w:pPr>
        <w:pStyle w:val="Heading2"/>
      </w:pPr>
      <w:bookmarkStart w:id="102" w:name="_Toc000102"/>
      <w:r>
        <w:rPr/>
        <w:t>1.1 Your menus</w:t>
      </w:r>
      <w:bookmarkEnd w:id="102"/>
    </w:p>
    <w:p>
      <w:r>
        <w:rPr/>
        <w:t>The sidebar shows only the screens your roles allow. Your main menus:</w:t>
      </w:r>
    </w:p>
    <w:p>
      <w:pPr>
        <w:tabs>
          <w:tab w:pos="312" w:val="left"/>
        </w:tabs>
        <w:spacing w:after="40"/>
        <w:ind w:left="312" w:hanging="283"/>
      </w:pPr>
      <w:r>
        <w:rPr>
          <w:color w:val="004EA8"/>
        </w:rPr>
        <w:t>•</w:t>
        <w:tab/>
      </w:r>
      <w:r>
        <w:rPr/>
        <w:t>Client &amp; Policy &gt; Renewal: Renewal Home, Expiry List, Processing Worklist, Insurer Batches, Letters, Renewal Setup (Team Leader)</w:t>
      </w:r>
    </w:p>
    <w:p>
      <w:pPr>
        <w:tabs>
          <w:tab w:pos="312" w:val="left"/>
        </w:tabs>
        <w:spacing w:after="120"/>
        <w:ind w:left="312" w:hanging="283"/>
      </w:pPr>
      <w:r>
        <w:rPr>
          <w:color w:val="004EA8"/>
        </w:rPr>
        <w:t>•</w:t>
        <w:tab/>
      </w:r>
      <w:r>
        <w:rPr/>
        <w:t>Client &amp; Policy &gt; Bulk Processing: Bulk Uploads</w:t>
      </w:r>
    </w:p>
    <w:p>
      <w:pPr>
        <w:pStyle w:val="Heading1"/>
        <w:pBdr>
          <w:bottom w:val="single" w:sz="4" w:space="4" w:color="99C1E7"/>
        </w:pBdr>
      </w:pPr>
      <w:bookmarkStart w:id="103" w:name="_Toc000103"/>
      <w:r>
        <w:rPr/>
        <w:t>2 Your main tasks</w:t>
      </w:r>
      <w:bookmarkEnd w:id="103"/>
    </w:p>
    <w:p>
      <w:r>
        <w:rPr/>
        <w:t>Each task lists the steps in order, the screen (ID and name of the screen specification) and the step of the FRS walkthrough or the functional requirement it follows. The FRS walkthroughs show every step with its screenshot.</w:t>
      </w:r>
    </w:p>
    <w:p>
      <w:pPr>
        <w:pStyle w:val="Heading2"/>
      </w:pPr>
      <w:bookmarkStart w:id="104" w:name="_Toc000104"/>
      <w:r>
        <w:rPr/>
        <w:t>2.1 Prepare the processing list</w:t>
      </w:r>
      <w:bookmarkEnd w:id="104"/>
    </w:p>
    <w:p>
      <w:r>
        <w:rPr/>
        <w:t>Reference: FRS BRD-06, FR-RN-011, FR-RN-060, FR-RN-061.</w:t>
      </w:r>
    </w:p>
    <w:p>
      <w:pPr>
        <w:pStyle w:val="Caption"/>
        <w:keepNext/>
        <w:spacing w:after="60"/>
      </w:pPr>
      <w:r>
        <w:rPr>
          <w:b/>
          <w:i w:val="0"/>
        </w:rPr>
        <w:t xml:space="preserve">Table 1: </w:t>
      </w:r>
      <w:r>
        <w:rPr/>
        <w:t>Prepare the processing 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80"/>
        <w:gridCol w:w="5647"/>
        <w:gridCol w:w="2523"/>
        <w:gridCol w:w="1321"/>
      </w:tblGrid>
      <w:tr>
        <w:trPr>
          <w:tblHeader w:val="true"/>
          <w:cantSplit w:val="true"/>
        </w:trPr>
        <w:tc>
          <w:tcPr>
            <w:tcW w:type="dxa" w:w="481"/>
            <w:shd w:val="clear" w:color="auto" w:fill="004EA8"/>
            <w:tcMar>
              <w:top w:w="50" w:type="dxa"/>
              <w:bottom w:w="50" w:type="dxa"/>
              <w:left w:w="90" w:type="dxa"/>
              <w:right w:w="90" w:type="dxa"/>
            </w:tcMar>
            <w:vAlign w:val="center"/>
          </w:tcPr>
          <w:p>
            <w:pPr>
              <w:pStyle w:val="BDOITableHeader"/>
            </w:pPr>
            <w:r>
              <w:rPr>
                <w:b/>
                <w:color w:val="FFFFFF"/>
                <w:sz w:val="17"/>
              </w:rPr>
              <w:t>No.</w:t>
            </w:r>
          </w:p>
        </w:tc>
        <w:tc>
          <w:tcPr>
            <w:tcW w:type="dxa" w:w="5647"/>
            <w:shd w:val="clear" w:color="auto" w:fill="004EA8"/>
            <w:tcMar>
              <w:top w:w="50" w:type="dxa"/>
              <w:bottom w:w="50" w:type="dxa"/>
              <w:left w:w="90" w:type="dxa"/>
              <w:right w:w="90" w:type="dxa"/>
            </w:tcMar>
            <w:vAlign w:val="center"/>
          </w:tcPr>
          <w:p>
            <w:pPr>
              <w:pStyle w:val="BDOITableHeader"/>
            </w:pPr>
            <w:r>
              <w:rPr>
                <w:b/>
                <w:color w:val="FFFFFF"/>
                <w:sz w:val="17"/>
              </w:rPr>
              <w:t>What you do</w:t>
            </w:r>
          </w:p>
        </w:tc>
        <w:tc>
          <w:tcPr>
            <w:tcW w:type="dxa" w:w="2523"/>
            <w:shd w:val="clear" w:color="auto" w:fill="004EA8"/>
            <w:tcMar>
              <w:top w:w="50" w:type="dxa"/>
              <w:bottom w:w="50" w:type="dxa"/>
              <w:left w:w="90" w:type="dxa"/>
              <w:right w:w="90" w:type="dxa"/>
            </w:tcMar>
            <w:vAlign w:val="center"/>
          </w:tcPr>
          <w:p>
            <w:pPr>
              <w:pStyle w:val="BDOITableHeader"/>
            </w:pPr>
            <w:r>
              <w:rPr>
                <w:b/>
                <w:color w:val="FFFFFF"/>
                <w:sz w:val="17"/>
              </w:rPr>
              <w:t>Screen</w:t>
            </w:r>
          </w:p>
        </w:tc>
        <w:tc>
          <w:tcPr>
            <w:tcW w:type="dxa" w:w="1322"/>
            <w:shd w:val="clear" w:color="auto" w:fill="004EA8"/>
            <w:tcMar>
              <w:top w:w="50" w:type="dxa"/>
              <w:bottom w:w="50" w:type="dxa"/>
              <w:left w:w="90" w:type="dxa"/>
              <w:right w:w="90" w:type="dxa"/>
            </w:tcMar>
            <w:vAlign w:val="center"/>
          </w:tcPr>
          <w:p>
            <w:pPr>
              <w:pStyle w:val="BDOITableHeader"/>
            </w:pPr>
            <w:r>
              <w:rPr>
                <w:b/>
                <w:color w:val="FFFFFF"/>
                <w:sz w:val="17"/>
              </w:rPr>
              <w:t>Ref.</w:t>
            </w:r>
          </w:p>
        </w:tc>
      </w:tr>
      <w:tr>
        <w:trPr>
          <w:cantSplit w:val="true"/>
        </w:trPr>
        <w:tc>
          <w:tcPr>
            <w:tcW w:type="dxa" w:w="481"/>
            <w:tcMar>
              <w:top w:w="50" w:type="dxa"/>
              <w:bottom w:w="50" w:type="dxa"/>
              <w:left w:w="90" w:type="dxa"/>
              <w:right w:w="90" w:type="dxa"/>
            </w:tcMar>
          </w:tcPr>
          <w:p>
            <w:pPr>
              <w:pStyle w:val="BDOITable"/>
            </w:pPr>
            <w:r>
              <w:rPr>
                <w:sz w:val="17"/>
              </w:rPr>
              <w:t>1</w:t>
            </w:r>
          </w:p>
        </w:tc>
        <w:tc>
          <w:tcPr>
            <w:tcW w:type="dxa" w:w="5647"/>
            <w:tcMar>
              <w:top w:w="50" w:type="dxa"/>
              <w:bottom w:w="50" w:type="dxa"/>
              <w:left w:w="90" w:type="dxa"/>
              <w:right w:w="90" w:type="dxa"/>
            </w:tcMar>
          </w:tcPr>
          <w:p>
            <w:pPr>
              <w:pStyle w:val="BDOITable"/>
            </w:pPr>
            <w:r>
              <w:rPr>
                <w:sz w:val="17"/>
              </w:rPr>
              <w:t>On Expiry List, click Generate Expiry List, pick the dates and click Generate.</w:t>
            </w:r>
          </w:p>
        </w:tc>
        <w:tc>
          <w:tcPr>
            <w:tcW w:type="dxa" w:w="2523"/>
            <w:tcMar>
              <w:top w:w="50" w:type="dxa"/>
              <w:bottom w:w="50" w:type="dxa"/>
              <w:left w:w="90" w:type="dxa"/>
              <w:right w:w="90" w:type="dxa"/>
            </w:tcMar>
          </w:tcPr>
          <w:p>
            <w:pPr>
              <w:pStyle w:val="BDOITable"/>
            </w:pPr>
            <w:r>
              <w:rPr>
                <w:sz w:val="17"/>
              </w:rPr>
              <w:t>Expiry List</w:t>
            </w:r>
          </w:p>
        </w:tc>
        <w:tc>
          <w:tcPr>
            <w:tcW w:type="dxa" w:w="1322"/>
            <w:tcMar>
              <w:top w:w="50" w:type="dxa"/>
              <w:bottom w:w="50" w:type="dxa"/>
              <w:left w:w="90" w:type="dxa"/>
              <w:right w:w="90" w:type="dxa"/>
            </w:tcMar>
          </w:tcPr>
          <w:p>
            <w:pPr>
              <w:pStyle w:val="BDOITable"/>
            </w:pPr>
            <w:r>
              <w:rPr>
                <w:sz w:val="17"/>
              </w:rPr>
              <w:t>FR-RN-011</w:t>
            </w:r>
          </w:p>
        </w:tc>
      </w:tr>
      <w:tr>
        <w:trPr>
          <w:cantSplit w:val="true"/>
        </w:trPr>
        <w:tc>
          <w:tcPr>
            <w:tcW w:type="dxa" w:w="481"/>
            <w:tcMar>
              <w:top w:w="50" w:type="dxa"/>
              <w:bottom w:w="50" w:type="dxa"/>
              <w:left w:w="90" w:type="dxa"/>
              <w:right w:w="90" w:type="dxa"/>
            </w:tcMar>
            <w:shd w:val="clear" w:color="auto" w:fill="E5F5FF"/>
          </w:tcPr>
          <w:p>
            <w:pPr>
              <w:pStyle w:val="BDOITable"/>
            </w:pPr>
            <w:r>
              <w:rPr>
                <w:sz w:val="17"/>
              </w:rPr>
              <w:t>2</w:t>
            </w:r>
          </w:p>
        </w:tc>
        <w:tc>
          <w:tcPr>
            <w:tcW w:type="dxa" w:w="5647"/>
            <w:tcMar>
              <w:top w:w="50" w:type="dxa"/>
              <w:bottom w:w="50" w:type="dxa"/>
              <w:left w:w="90" w:type="dxa"/>
              <w:right w:w="90" w:type="dxa"/>
            </w:tcMar>
            <w:shd w:val="clear" w:color="auto" w:fill="E5F5FF"/>
          </w:tcPr>
          <w:p>
            <w:pPr>
              <w:pStyle w:val="BDOITable"/>
            </w:pPr>
            <w:r>
              <w:rPr>
                <w:sz w:val="17"/>
              </w:rPr>
              <w:t>On the Processing Worklist, click Upload Dispositioned File, select the files, check the valid and invalid counts and confirm.</w:t>
            </w:r>
          </w:p>
        </w:tc>
        <w:tc>
          <w:tcPr>
            <w:tcW w:type="dxa" w:w="2523"/>
            <w:tcMar>
              <w:top w:w="50" w:type="dxa"/>
              <w:bottom w:w="50" w:type="dxa"/>
              <w:left w:w="90" w:type="dxa"/>
              <w:right w:w="90" w:type="dxa"/>
            </w:tcMar>
            <w:shd w:val="clear" w:color="auto" w:fill="E5F5FF"/>
          </w:tcPr>
          <w:p>
            <w:pPr>
              <w:pStyle w:val="BDOITable"/>
            </w:pPr>
            <w:r>
              <w:rPr>
                <w:sz w:val="17"/>
              </w:rPr>
              <w:t>Processing Worklist</w:t>
            </w:r>
          </w:p>
        </w:tc>
        <w:tc>
          <w:tcPr>
            <w:tcW w:type="dxa" w:w="1322"/>
            <w:tcMar>
              <w:top w:w="50" w:type="dxa"/>
              <w:bottom w:w="50" w:type="dxa"/>
              <w:left w:w="90" w:type="dxa"/>
              <w:right w:w="90" w:type="dxa"/>
            </w:tcMar>
            <w:shd w:val="clear" w:color="auto" w:fill="E5F5FF"/>
          </w:tcPr>
          <w:p>
            <w:pPr>
              <w:pStyle w:val="BDOITable"/>
            </w:pPr>
            <w:r>
              <w:rPr>
                <w:sz w:val="17"/>
              </w:rPr>
              <w:t>FR-RN-060</w:t>
            </w:r>
          </w:p>
        </w:tc>
      </w:tr>
      <w:tr>
        <w:trPr>
          <w:cantSplit w:val="true"/>
        </w:trPr>
        <w:tc>
          <w:tcPr>
            <w:tcW w:type="dxa" w:w="481"/>
            <w:tcMar>
              <w:top w:w="50" w:type="dxa"/>
              <w:bottom w:w="50" w:type="dxa"/>
              <w:left w:w="90" w:type="dxa"/>
              <w:right w:w="90" w:type="dxa"/>
            </w:tcMar>
          </w:tcPr>
          <w:p>
            <w:pPr>
              <w:pStyle w:val="BDOITable"/>
            </w:pPr>
            <w:r>
              <w:rPr>
                <w:sz w:val="17"/>
              </w:rPr>
              <w:t>3</w:t>
            </w:r>
          </w:p>
        </w:tc>
        <w:tc>
          <w:tcPr>
            <w:tcW w:type="dxa" w:w="5647"/>
            <w:tcMar>
              <w:top w:w="50" w:type="dxa"/>
              <w:bottom w:w="50" w:type="dxa"/>
              <w:left w:w="90" w:type="dxa"/>
              <w:right w:w="90" w:type="dxa"/>
            </w:tcMar>
          </w:tcPr>
          <w:p>
            <w:pPr>
              <w:pStyle w:val="BDOITable"/>
            </w:pPr>
            <w:r>
              <w:rPr>
                <w:sz w:val="17"/>
              </w:rPr>
              <w:t>Team Leader: tick the accounts and click Assign PO (or Assign to Me), select the officer and push.</w:t>
            </w:r>
          </w:p>
        </w:tc>
        <w:tc>
          <w:tcPr>
            <w:tcW w:type="dxa" w:w="2523"/>
            <w:tcMar>
              <w:top w:w="50" w:type="dxa"/>
              <w:bottom w:w="50" w:type="dxa"/>
              <w:left w:w="90" w:type="dxa"/>
              <w:right w:w="90" w:type="dxa"/>
            </w:tcMar>
          </w:tcPr>
          <w:p>
            <w:pPr>
              <w:pStyle w:val="BDOITable"/>
            </w:pPr>
            <w:r>
              <w:rPr>
                <w:sz w:val="17"/>
              </w:rPr>
              <w:t>Processing Worklist</w:t>
            </w:r>
          </w:p>
        </w:tc>
        <w:tc>
          <w:tcPr>
            <w:tcW w:type="dxa" w:w="1322"/>
            <w:tcMar>
              <w:top w:w="50" w:type="dxa"/>
              <w:bottom w:w="50" w:type="dxa"/>
              <w:left w:w="90" w:type="dxa"/>
              <w:right w:w="90" w:type="dxa"/>
            </w:tcMar>
          </w:tcPr>
          <w:p>
            <w:pPr>
              <w:pStyle w:val="BDOITable"/>
            </w:pPr>
            <w:r>
              <w:rPr>
                <w:sz w:val="17"/>
              </w:rPr>
              <w:t>FR-RN-061</w:t>
            </w:r>
          </w:p>
        </w:tc>
      </w:tr>
    </w:tbl>
    <w:p>
      <w:pPr>
        <w:pStyle w:val="BDOISpacer"/>
      </w:pPr>
    </w:p>
    <w:p>
      <w:pPr>
        <w:pStyle w:val="Heading2"/>
      </w:pPr>
      <w:bookmarkStart w:id="105" w:name="_Toc000105"/>
      <w:r>
        <w:rPr/>
        <w:t>2.2 Process an account and work with the insurer</w:t>
      </w:r>
      <w:bookmarkEnd w:id="105"/>
    </w:p>
    <w:p>
      <w:r>
        <w:rPr/>
        <w:t>Reference: FRS BRD-06, FR-RN-062, FR-RN-064, FR-RN-070, FR-RN-071.</w:t>
      </w:r>
    </w:p>
    <w:p>
      <w:pPr>
        <w:pStyle w:val="Caption"/>
        <w:keepNext/>
        <w:spacing w:after="60"/>
      </w:pPr>
      <w:r>
        <w:rPr>
          <w:b/>
          <w:i w:val="0"/>
        </w:rPr>
        <w:t xml:space="preserve">Table 2: </w:t>
      </w:r>
      <w:r>
        <w:rPr/>
        <w:t>Process an account and work with the insurer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80"/>
        <w:gridCol w:w="5647"/>
        <w:gridCol w:w="2523"/>
        <w:gridCol w:w="1321"/>
      </w:tblGrid>
      <w:tr>
        <w:trPr>
          <w:tblHeader w:val="true"/>
          <w:cantSplit w:val="true"/>
        </w:trPr>
        <w:tc>
          <w:tcPr>
            <w:tcW w:type="dxa" w:w="481"/>
            <w:shd w:val="clear" w:color="auto" w:fill="004EA8"/>
            <w:tcMar>
              <w:top w:w="50" w:type="dxa"/>
              <w:bottom w:w="50" w:type="dxa"/>
              <w:left w:w="90" w:type="dxa"/>
              <w:right w:w="90" w:type="dxa"/>
            </w:tcMar>
            <w:vAlign w:val="center"/>
          </w:tcPr>
          <w:p>
            <w:pPr>
              <w:pStyle w:val="BDOITableHeader"/>
            </w:pPr>
            <w:r>
              <w:rPr>
                <w:b/>
                <w:color w:val="FFFFFF"/>
                <w:sz w:val="17"/>
              </w:rPr>
              <w:t>No.</w:t>
            </w:r>
          </w:p>
        </w:tc>
        <w:tc>
          <w:tcPr>
            <w:tcW w:type="dxa" w:w="5647"/>
            <w:shd w:val="clear" w:color="auto" w:fill="004EA8"/>
            <w:tcMar>
              <w:top w:w="50" w:type="dxa"/>
              <w:bottom w:w="50" w:type="dxa"/>
              <w:left w:w="90" w:type="dxa"/>
              <w:right w:w="90" w:type="dxa"/>
            </w:tcMar>
            <w:vAlign w:val="center"/>
          </w:tcPr>
          <w:p>
            <w:pPr>
              <w:pStyle w:val="BDOITableHeader"/>
            </w:pPr>
            <w:r>
              <w:rPr>
                <w:b/>
                <w:color w:val="FFFFFF"/>
                <w:sz w:val="17"/>
              </w:rPr>
              <w:t>What you do</w:t>
            </w:r>
          </w:p>
        </w:tc>
        <w:tc>
          <w:tcPr>
            <w:tcW w:type="dxa" w:w="2523"/>
            <w:shd w:val="clear" w:color="auto" w:fill="004EA8"/>
            <w:tcMar>
              <w:top w:w="50" w:type="dxa"/>
              <w:bottom w:w="50" w:type="dxa"/>
              <w:left w:w="90" w:type="dxa"/>
              <w:right w:w="90" w:type="dxa"/>
            </w:tcMar>
            <w:vAlign w:val="center"/>
          </w:tcPr>
          <w:p>
            <w:pPr>
              <w:pStyle w:val="BDOITableHeader"/>
            </w:pPr>
            <w:r>
              <w:rPr>
                <w:b/>
                <w:color w:val="FFFFFF"/>
                <w:sz w:val="17"/>
              </w:rPr>
              <w:t>Screen</w:t>
            </w:r>
          </w:p>
        </w:tc>
        <w:tc>
          <w:tcPr>
            <w:tcW w:type="dxa" w:w="1322"/>
            <w:shd w:val="clear" w:color="auto" w:fill="004EA8"/>
            <w:tcMar>
              <w:top w:w="50" w:type="dxa"/>
              <w:bottom w:w="50" w:type="dxa"/>
              <w:left w:w="90" w:type="dxa"/>
              <w:right w:w="90" w:type="dxa"/>
            </w:tcMar>
            <w:vAlign w:val="center"/>
          </w:tcPr>
          <w:p>
            <w:pPr>
              <w:pStyle w:val="BDOITableHeader"/>
            </w:pPr>
            <w:r>
              <w:rPr>
                <w:b/>
                <w:color w:val="FFFFFF"/>
                <w:sz w:val="17"/>
              </w:rPr>
              <w:t>Ref.</w:t>
            </w:r>
          </w:p>
        </w:tc>
      </w:tr>
      <w:tr>
        <w:trPr>
          <w:cantSplit w:val="true"/>
        </w:trPr>
        <w:tc>
          <w:tcPr>
            <w:tcW w:type="dxa" w:w="481"/>
            <w:tcMar>
              <w:top w:w="50" w:type="dxa"/>
              <w:bottom w:w="50" w:type="dxa"/>
              <w:left w:w="90" w:type="dxa"/>
              <w:right w:w="90" w:type="dxa"/>
            </w:tcMar>
          </w:tcPr>
          <w:p>
            <w:pPr>
              <w:pStyle w:val="BDOITable"/>
            </w:pPr>
            <w:r>
              <w:rPr>
                <w:sz w:val="17"/>
              </w:rPr>
              <w:t>1</w:t>
            </w:r>
          </w:p>
        </w:tc>
        <w:tc>
          <w:tcPr>
            <w:tcW w:type="dxa" w:w="5647"/>
            <w:tcMar>
              <w:top w:w="50" w:type="dxa"/>
              <w:bottom w:w="50" w:type="dxa"/>
              <w:left w:w="90" w:type="dxa"/>
              <w:right w:w="90" w:type="dxa"/>
            </w:tcMar>
          </w:tcPr>
          <w:p>
            <w:pPr>
              <w:pStyle w:val="BDOITable"/>
            </w:pPr>
            <w:r>
              <w:rPr>
                <w:sz w:val="17"/>
              </w:rPr>
              <w:t>Open the account from the tab For Processing or In Processing; check the Computations tab and the financial-impact result.</w:t>
            </w:r>
          </w:p>
        </w:tc>
        <w:tc>
          <w:tcPr>
            <w:tcW w:type="dxa" w:w="2523"/>
            <w:tcMar>
              <w:top w:w="50" w:type="dxa"/>
              <w:bottom w:w="50" w:type="dxa"/>
              <w:left w:w="90" w:type="dxa"/>
              <w:right w:w="90" w:type="dxa"/>
            </w:tcMar>
          </w:tcPr>
          <w:p>
            <w:pPr>
              <w:pStyle w:val="BDOITable"/>
            </w:pPr>
            <w:r>
              <w:rPr>
                <w:sz w:val="17"/>
              </w:rPr>
              <w:t>Processing Worklist; Renewal record page</w:t>
            </w:r>
          </w:p>
        </w:tc>
        <w:tc>
          <w:tcPr>
            <w:tcW w:type="dxa" w:w="1322"/>
            <w:tcMar>
              <w:top w:w="50" w:type="dxa"/>
              <w:bottom w:w="50" w:type="dxa"/>
              <w:left w:w="90" w:type="dxa"/>
              <w:right w:w="90" w:type="dxa"/>
            </w:tcMar>
          </w:tcPr>
          <w:p>
            <w:pPr>
              <w:pStyle w:val="BDOITable"/>
            </w:pPr>
            <w:r>
              <w:rPr>
                <w:sz w:val="17"/>
              </w:rPr>
              <w:t>FR-RN-062, FR-RN-064</w:t>
            </w:r>
          </w:p>
        </w:tc>
      </w:tr>
      <w:tr>
        <w:trPr>
          <w:cantSplit w:val="true"/>
        </w:trPr>
        <w:tc>
          <w:tcPr>
            <w:tcW w:type="dxa" w:w="481"/>
            <w:tcMar>
              <w:top w:w="50" w:type="dxa"/>
              <w:bottom w:w="50" w:type="dxa"/>
              <w:left w:w="90" w:type="dxa"/>
              <w:right w:w="90" w:type="dxa"/>
            </w:tcMar>
            <w:shd w:val="clear" w:color="auto" w:fill="E5F5FF"/>
          </w:tcPr>
          <w:p>
            <w:pPr>
              <w:pStyle w:val="BDOITable"/>
            </w:pPr>
            <w:r>
              <w:rPr>
                <w:sz w:val="17"/>
              </w:rPr>
              <w:t>2</w:t>
            </w:r>
          </w:p>
        </w:tc>
        <w:tc>
          <w:tcPr>
            <w:tcW w:type="dxa" w:w="5647"/>
            <w:tcMar>
              <w:top w:w="50" w:type="dxa"/>
              <w:bottom w:w="50" w:type="dxa"/>
              <w:left w:w="90" w:type="dxa"/>
              <w:right w:w="90" w:type="dxa"/>
            </w:tcMar>
            <w:shd w:val="clear" w:color="auto" w:fill="E5F5FF"/>
          </w:tcPr>
          <w:p>
            <w:pPr>
              <w:pStyle w:val="BDOITable"/>
            </w:pPr>
            <w:r>
              <w:rPr>
                <w:sz w:val="17"/>
              </w:rPr>
              <w:t>On Insurer Batches, click New Batch, select the range and the insurer, check the list and click Send (or Download).</w:t>
            </w:r>
          </w:p>
        </w:tc>
        <w:tc>
          <w:tcPr>
            <w:tcW w:type="dxa" w:w="2523"/>
            <w:tcMar>
              <w:top w:w="50" w:type="dxa"/>
              <w:bottom w:w="50" w:type="dxa"/>
              <w:left w:w="90" w:type="dxa"/>
              <w:right w:w="90" w:type="dxa"/>
            </w:tcMar>
            <w:shd w:val="clear" w:color="auto" w:fill="E5F5FF"/>
          </w:tcPr>
          <w:p>
            <w:pPr>
              <w:pStyle w:val="BDOITable"/>
            </w:pPr>
            <w:r>
              <w:rPr>
                <w:sz w:val="17"/>
              </w:rPr>
              <w:t>Insurer Batches</w:t>
            </w:r>
          </w:p>
        </w:tc>
        <w:tc>
          <w:tcPr>
            <w:tcW w:type="dxa" w:w="1322"/>
            <w:tcMar>
              <w:top w:w="50" w:type="dxa"/>
              <w:bottom w:w="50" w:type="dxa"/>
              <w:left w:w="90" w:type="dxa"/>
              <w:right w:w="90" w:type="dxa"/>
            </w:tcMar>
            <w:shd w:val="clear" w:color="auto" w:fill="E5F5FF"/>
          </w:tcPr>
          <w:p>
            <w:pPr>
              <w:pStyle w:val="BDOITable"/>
            </w:pPr>
            <w:r>
              <w:rPr>
                <w:sz w:val="17"/>
              </w:rPr>
              <w:t>FR-RN-070</w:t>
            </w:r>
          </w:p>
        </w:tc>
      </w:tr>
      <w:tr>
        <w:trPr>
          <w:cantSplit w:val="true"/>
        </w:trPr>
        <w:tc>
          <w:tcPr>
            <w:tcW w:type="dxa" w:w="481"/>
            <w:tcMar>
              <w:top w:w="50" w:type="dxa"/>
              <w:bottom w:w="50" w:type="dxa"/>
              <w:left w:w="90" w:type="dxa"/>
              <w:right w:w="90" w:type="dxa"/>
            </w:tcMar>
          </w:tcPr>
          <w:p>
            <w:pPr>
              <w:pStyle w:val="BDOITable"/>
            </w:pPr>
            <w:r>
              <w:rPr>
                <w:sz w:val="17"/>
              </w:rPr>
              <w:t>3</w:t>
            </w:r>
          </w:p>
        </w:tc>
        <w:tc>
          <w:tcPr>
            <w:tcW w:type="dxa" w:w="5647"/>
            <w:tcMar>
              <w:top w:w="50" w:type="dxa"/>
              <w:bottom w:w="50" w:type="dxa"/>
              <w:left w:w="90" w:type="dxa"/>
              <w:right w:w="90" w:type="dxa"/>
            </w:tcMar>
          </w:tcPr>
          <w:p>
            <w:pPr>
              <w:pStyle w:val="BDOITable"/>
            </w:pPr>
            <w:r>
              <w:rPr>
                <w:sz w:val="17"/>
              </w:rPr>
              <w:t>Click Upload Response on the batch, select the insurer's file, check matched, mismatched and late rows and confirm.</w:t>
            </w:r>
          </w:p>
        </w:tc>
        <w:tc>
          <w:tcPr>
            <w:tcW w:type="dxa" w:w="2523"/>
            <w:tcMar>
              <w:top w:w="50" w:type="dxa"/>
              <w:bottom w:w="50" w:type="dxa"/>
              <w:left w:w="90" w:type="dxa"/>
              <w:right w:w="90" w:type="dxa"/>
            </w:tcMar>
          </w:tcPr>
          <w:p>
            <w:pPr>
              <w:pStyle w:val="BDOITable"/>
            </w:pPr>
            <w:r>
              <w:rPr>
                <w:sz w:val="17"/>
              </w:rPr>
              <w:t>Insurer Batches</w:t>
            </w:r>
          </w:p>
        </w:tc>
        <w:tc>
          <w:tcPr>
            <w:tcW w:type="dxa" w:w="1322"/>
            <w:tcMar>
              <w:top w:w="50" w:type="dxa"/>
              <w:bottom w:w="50" w:type="dxa"/>
              <w:left w:w="90" w:type="dxa"/>
              <w:right w:w="90" w:type="dxa"/>
            </w:tcMar>
          </w:tcPr>
          <w:p>
            <w:pPr>
              <w:pStyle w:val="BDOITable"/>
            </w:pPr>
            <w:r>
              <w:rPr>
                <w:sz w:val="17"/>
              </w:rPr>
              <w:t>FR-RN-071</w:t>
            </w:r>
          </w:p>
        </w:tc>
      </w:tr>
    </w:tbl>
    <w:p>
      <w:pPr>
        <w:pStyle w:val="BDOISpacer"/>
      </w:pPr>
    </w:p>
    <w:p>
      <w:pPr>
        <w:pStyle w:val="Heading2"/>
      </w:pPr>
      <w:bookmarkStart w:id="106" w:name="_Toc000106"/>
      <w:r>
        <w:rPr/>
        <w:t>2.3 Send the Renewal Advice and record the acceptance</w:t>
      </w:r>
      <w:bookmarkEnd w:id="106"/>
    </w:p>
    <w:p>
      <w:r>
        <w:rPr/>
        <w:t>Reference: FRS BRD-06, FR-RN-080, FR-RN-081, FR-RN-084.</w:t>
      </w:r>
    </w:p>
    <w:p>
      <w:pPr>
        <w:pStyle w:val="Caption"/>
        <w:keepNext/>
        <w:spacing w:after="60"/>
      </w:pPr>
      <w:r>
        <w:rPr>
          <w:b/>
          <w:i w:val="0"/>
        </w:rPr>
        <w:t xml:space="preserve">Table 3: </w:t>
      </w:r>
      <w:r>
        <w:rPr/>
        <w:t>Send the Renewal Advice and record the acceptance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80"/>
        <w:gridCol w:w="5647"/>
        <w:gridCol w:w="2523"/>
        <w:gridCol w:w="1321"/>
      </w:tblGrid>
      <w:tr>
        <w:trPr>
          <w:tblHeader w:val="true"/>
          <w:cantSplit w:val="true"/>
        </w:trPr>
        <w:tc>
          <w:tcPr>
            <w:tcW w:type="dxa" w:w="481"/>
            <w:shd w:val="clear" w:color="auto" w:fill="004EA8"/>
            <w:tcMar>
              <w:top w:w="50" w:type="dxa"/>
              <w:bottom w:w="50" w:type="dxa"/>
              <w:left w:w="90" w:type="dxa"/>
              <w:right w:w="90" w:type="dxa"/>
            </w:tcMar>
            <w:vAlign w:val="center"/>
          </w:tcPr>
          <w:p>
            <w:pPr>
              <w:pStyle w:val="BDOITableHeader"/>
            </w:pPr>
            <w:r>
              <w:rPr>
                <w:b/>
                <w:color w:val="FFFFFF"/>
                <w:sz w:val="17"/>
              </w:rPr>
              <w:t>No.</w:t>
            </w:r>
          </w:p>
        </w:tc>
        <w:tc>
          <w:tcPr>
            <w:tcW w:type="dxa" w:w="5647"/>
            <w:shd w:val="clear" w:color="auto" w:fill="004EA8"/>
            <w:tcMar>
              <w:top w:w="50" w:type="dxa"/>
              <w:bottom w:w="50" w:type="dxa"/>
              <w:left w:w="90" w:type="dxa"/>
              <w:right w:w="90" w:type="dxa"/>
            </w:tcMar>
            <w:vAlign w:val="center"/>
          </w:tcPr>
          <w:p>
            <w:pPr>
              <w:pStyle w:val="BDOITableHeader"/>
            </w:pPr>
            <w:r>
              <w:rPr>
                <w:b/>
                <w:color w:val="FFFFFF"/>
                <w:sz w:val="17"/>
              </w:rPr>
              <w:t>What you do</w:t>
            </w:r>
          </w:p>
        </w:tc>
        <w:tc>
          <w:tcPr>
            <w:tcW w:type="dxa" w:w="2523"/>
            <w:shd w:val="clear" w:color="auto" w:fill="004EA8"/>
            <w:tcMar>
              <w:top w:w="50" w:type="dxa"/>
              <w:bottom w:w="50" w:type="dxa"/>
              <w:left w:w="90" w:type="dxa"/>
              <w:right w:w="90" w:type="dxa"/>
            </w:tcMar>
            <w:vAlign w:val="center"/>
          </w:tcPr>
          <w:p>
            <w:pPr>
              <w:pStyle w:val="BDOITableHeader"/>
            </w:pPr>
            <w:r>
              <w:rPr>
                <w:b/>
                <w:color w:val="FFFFFF"/>
                <w:sz w:val="17"/>
              </w:rPr>
              <w:t>Screen</w:t>
            </w:r>
          </w:p>
        </w:tc>
        <w:tc>
          <w:tcPr>
            <w:tcW w:type="dxa" w:w="1322"/>
            <w:shd w:val="clear" w:color="auto" w:fill="004EA8"/>
            <w:tcMar>
              <w:top w:w="50" w:type="dxa"/>
              <w:bottom w:w="50" w:type="dxa"/>
              <w:left w:w="90" w:type="dxa"/>
              <w:right w:w="90" w:type="dxa"/>
            </w:tcMar>
            <w:vAlign w:val="center"/>
          </w:tcPr>
          <w:p>
            <w:pPr>
              <w:pStyle w:val="BDOITableHeader"/>
            </w:pPr>
            <w:r>
              <w:rPr>
                <w:b/>
                <w:color w:val="FFFFFF"/>
                <w:sz w:val="17"/>
              </w:rPr>
              <w:t>Ref.</w:t>
            </w:r>
          </w:p>
        </w:tc>
      </w:tr>
      <w:tr>
        <w:trPr>
          <w:cantSplit w:val="true"/>
        </w:trPr>
        <w:tc>
          <w:tcPr>
            <w:tcW w:type="dxa" w:w="481"/>
            <w:tcMar>
              <w:top w:w="50" w:type="dxa"/>
              <w:bottom w:w="50" w:type="dxa"/>
              <w:left w:w="90" w:type="dxa"/>
              <w:right w:w="90" w:type="dxa"/>
            </w:tcMar>
          </w:tcPr>
          <w:p>
            <w:pPr>
              <w:pStyle w:val="BDOITable"/>
            </w:pPr>
            <w:r>
              <w:rPr>
                <w:sz w:val="17"/>
              </w:rPr>
              <w:t>1</w:t>
            </w:r>
          </w:p>
        </w:tc>
        <w:tc>
          <w:tcPr>
            <w:tcW w:type="dxa" w:w="5647"/>
            <w:tcMar>
              <w:top w:w="50" w:type="dxa"/>
              <w:bottom w:w="50" w:type="dxa"/>
              <w:left w:w="90" w:type="dxa"/>
              <w:right w:w="90" w:type="dxa"/>
            </w:tcMar>
          </w:tcPr>
          <w:p>
            <w:pPr>
              <w:pStyle w:val="BDOITable"/>
            </w:pPr>
            <w:r>
              <w:rPr>
                <w:sz w:val="17"/>
              </w:rPr>
              <w:t>Open Letters, tab RA Ready, select the accounts, click Generate RA and choose First or Second Notice; preview or download.</w:t>
            </w:r>
          </w:p>
        </w:tc>
        <w:tc>
          <w:tcPr>
            <w:tcW w:type="dxa" w:w="2523"/>
            <w:tcMar>
              <w:top w:w="50" w:type="dxa"/>
              <w:bottom w:w="50" w:type="dxa"/>
              <w:left w:w="90" w:type="dxa"/>
              <w:right w:w="90" w:type="dxa"/>
            </w:tcMar>
          </w:tcPr>
          <w:p>
            <w:pPr>
              <w:pStyle w:val="BDOITable"/>
            </w:pPr>
            <w:r>
              <w:rPr>
                <w:sz w:val="17"/>
              </w:rPr>
              <w:t>Letters</w:t>
            </w:r>
          </w:p>
        </w:tc>
        <w:tc>
          <w:tcPr>
            <w:tcW w:type="dxa" w:w="1322"/>
            <w:tcMar>
              <w:top w:w="50" w:type="dxa"/>
              <w:bottom w:w="50" w:type="dxa"/>
              <w:left w:w="90" w:type="dxa"/>
              <w:right w:w="90" w:type="dxa"/>
            </w:tcMar>
          </w:tcPr>
          <w:p>
            <w:pPr>
              <w:pStyle w:val="BDOITable"/>
            </w:pPr>
            <w:r>
              <w:rPr>
                <w:sz w:val="17"/>
              </w:rPr>
              <w:t>FR-RN-080</w:t>
            </w:r>
          </w:p>
        </w:tc>
      </w:tr>
      <w:tr>
        <w:trPr>
          <w:cantSplit w:val="true"/>
        </w:trPr>
        <w:tc>
          <w:tcPr>
            <w:tcW w:type="dxa" w:w="481"/>
            <w:tcMar>
              <w:top w:w="50" w:type="dxa"/>
              <w:bottom w:w="50" w:type="dxa"/>
              <w:left w:w="90" w:type="dxa"/>
              <w:right w:w="90" w:type="dxa"/>
            </w:tcMar>
            <w:shd w:val="clear" w:color="auto" w:fill="E5F5FF"/>
          </w:tcPr>
          <w:p>
            <w:pPr>
              <w:pStyle w:val="BDOITable"/>
            </w:pPr>
            <w:r>
              <w:rPr>
                <w:sz w:val="17"/>
              </w:rPr>
              <w:t>2</w:t>
            </w:r>
          </w:p>
        </w:tc>
        <w:tc>
          <w:tcPr>
            <w:tcW w:type="dxa" w:w="5647"/>
            <w:tcMar>
              <w:top w:w="50" w:type="dxa"/>
              <w:bottom w:w="50" w:type="dxa"/>
              <w:left w:w="90" w:type="dxa"/>
              <w:right w:w="90" w:type="dxa"/>
            </w:tcMar>
            <w:shd w:val="clear" w:color="auto" w:fill="E5F5FF"/>
          </w:tcPr>
          <w:p>
            <w:pPr>
              <w:pStyle w:val="BDOITable"/>
            </w:pPr>
            <w:r>
              <w:rPr>
                <w:sz w:val="17"/>
              </w:rPr>
              <w:t>On the tab RA Generated, select the RAs and click Send in Batch; follow the status Queued, Sent or Failed.</w:t>
            </w:r>
          </w:p>
        </w:tc>
        <w:tc>
          <w:tcPr>
            <w:tcW w:type="dxa" w:w="2523"/>
            <w:tcMar>
              <w:top w:w="50" w:type="dxa"/>
              <w:bottom w:w="50" w:type="dxa"/>
              <w:left w:w="90" w:type="dxa"/>
              <w:right w:w="90" w:type="dxa"/>
            </w:tcMar>
            <w:shd w:val="clear" w:color="auto" w:fill="E5F5FF"/>
          </w:tcPr>
          <w:p>
            <w:pPr>
              <w:pStyle w:val="BDOITable"/>
            </w:pPr>
            <w:r>
              <w:rPr>
                <w:sz w:val="17"/>
              </w:rPr>
              <w:t>Letters</w:t>
            </w:r>
          </w:p>
        </w:tc>
        <w:tc>
          <w:tcPr>
            <w:tcW w:type="dxa" w:w="1322"/>
            <w:tcMar>
              <w:top w:w="50" w:type="dxa"/>
              <w:bottom w:w="50" w:type="dxa"/>
              <w:left w:w="90" w:type="dxa"/>
              <w:right w:w="90" w:type="dxa"/>
            </w:tcMar>
            <w:shd w:val="clear" w:color="auto" w:fill="E5F5FF"/>
          </w:tcPr>
          <w:p>
            <w:pPr>
              <w:pStyle w:val="BDOITable"/>
            </w:pPr>
            <w:r>
              <w:rPr>
                <w:sz w:val="17"/>
              </w:rPr>
              <w:t>FR-RN-081</w:t>
            </w:r>
          </w:p>
        </w:tc>
      </w:tr>
      <w:tr>
        <w:trPr>
          <w:cantSplit w:val="true"/>
        </w:trPr>
        <w:tc>
          <w:tcPr>
            <w:tcW w:type="dxa" w:w="481"/>
            <w:tcMar>
              <w:top w:w="50" w:type="dxa"/>
              <w:bottom w:w="50" w:type="dxa"/>
              <w:left w:w="90" w:type="dxa"/>
              <w:right w:w="90" w:type="dxa"/>
            </w:tcMar>
          </w:tcPr>
          <w:p>
            <w:pPr>
              <w:pStyle w:val="BDOITable"/>
            </w:pPr>
            <w:r>
              <w:rPr>
                <w:sz w:val="17"/>
              </w:rPr>
              <w:t>3</w:t>
            </w:r>
          </w:p>
        </w:tc>
        <w:tc>
          <w:tcPr>
            <w:tcW w:type="dxa" w:w="5647"/>
            <w:tcMar>
              <w:top w:w="50" w:type="dxa"/>
              <w:bottom w:w="50" w:type="dxa"/>
              <w:left w:w="90" w:type="dxa"/>
              <w:right w:w="90" w:type="dxa"/>
            </w:tcMar>
          </w:tcPr>
          <w:p>
            <w:pPr>
              <w:pStyle w:val="BDOITable"/>
            </w:pPr>
            <w:r>
              <w:rPr>
                <w:sz w:val="17"/>
              </w:rPr>
              <w:t>On the account, click Record Acceptance, choose the method and attach the evidence. Payment, placement, issuance and booking follow.</w:t>
            </w:r>
          </w:p>
        </w:tc>
        <w:tc>
          <w:tcPr>
            <w:tcW w:type="dxa" w:w="2523"/>
            <w:tcMar>
              <w:top w:w="50" w:type="dxa"/>
              <w:bottom w:w="50" w:type="dxa"/>
              <w:left w:w="90" w:type="dxa"/>
              <w:right w:w="90" w:type="dxa"/>
            </w:tcMar>
          </w:tcPr>
          <w:p>
            <w:pPr>
              <w:pStyle w:val="BDOITable"/>
            </w:pPr>
            <w:r>
              <w:rPr>
                <w:sz w:val="17"/>
              </w:rPr>
              <w:t>Renewal record page</w:t>
            </w:r>
          </w:p>
        </w:tc>
        <w:tc>
          <w:tcPr>
            <w:tcW w:type="dxa" w:w="1322"/>
            <w:tcMar>
              <w:top w:w="50" w:type="dxa"/>
              <w:bottom w:w="50" w:type="dxa"/>
              <w:left w:w="90" w:type="dxa"/>
              <w:right w:w="90" w:type="dxa"/>
            </w:tcMar>
          </w:tcPr>
          <w:p>
            <w:pPr>
              <w:pStyle w:val="BDOITable"/>
            </w:pPr>
            <w:r>
              <w:rPr>
                <w:sz w:val="17"/>
              </w:rPr>
              <w:t>FR-RN-084</w:t>
            </w:r>
          </w:p>
        </w:tc>
      </w:tr>
    </w:tbl>
    <w:p>
      <w:pPr>
        <w:pStyle w:val="BDOISpacer"/>
      </w:pPr>
    </w:p>
    <w:p>
      <w:pPr>
        <w:pStyle w:val="Heading2"/>
      </w:pPr>
      <w:bookmarkStart w:id="107" w:name="_Toc000107"/>
      <w:r>
        <w:rPr/>
        <w:t>2.4 Take over the expiries at go-live</w:t>
      </w:r>
      <w:bookmarkEnd w:id="107"/>
    </w:p>
    <w:p>
      <w:r>
        <w:rPr/>
        <w:t>Reference: FRS BRD-06, FR-RN-016, FR-RN-028.</w:t>
      </w:r>
    </w:p>
    <w:p>
      <w:pPr>
        <w:pStyle w:val="Caption"/>
        <w:keepNext/>
        <w:spacing w:after="60"/>
      </w:pPr>
      <w:r>
        <w:rPr>
          <w:b/>
          <w:i w:val="0"/>
        </w:rPr>
        <w:t xml:space="preserve">Table 4: </w:t>
      </w:r>
      <w:r>
        <w:rPr/>
        <w:t>Take over the expiries at go-live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80"/>
        <w:gridCol w:w="5647"/>
        <w:gridCol w:w="2523"/>
        <w:gridCol w:w="1321"/>
      </w:tblGrid>
      <w:tr>
        <w:trPr>
          <w:tblHeader w:val="true"/>
          <w:cantSplit w:val="true"/>
        </w:trPr>
        <w:tc>
          <w:tcPr>
            <w:tcW w:type="dxa" w:w="481"/>
            <w:shd w:val="clear" w:color="auto" w:fill="004EA8"/>
            <w:tcMar>
              <w:top w:w="50" w:type="dxa"/>
              <w:bottom w:w="50" w:type="dxa"/>
              <w:left w:w="90" w:type="dxa"/>
              <w:right w:w="90" w:type="dxa"/>
            </w:tcMar>
            <w:vAlign w:val="center"/>
          </w:tcPr>
          <w:p>
            <w:pPr>
              <w:pStyle w:val="BDOITableHeader"/>
            </w:pPr>
            <w:r>
              <w:rPr>
                <w:b/>
                <w:color w:val="FFFFFF"/>
                <w:sz w:val="17"/>
              </w:rPr>
              <w:t>No.</w:t>
            </w:r>
          </w:p>
        </w:tc>
        <w:tc>
          <w:tcPr>
            <w:tcW w:type="dxa" w:w="5647"/>
            <w:shd w:val="clear" w:color="auto" w:fill="004EA8"/>
            <w:tcMar>
              <w:top w:w="50" w:type="dxa"/>
              <w:bottom w:w="50" w:type="dxa"/>
              <w:left w:w="90" w:type="dxa"/>
              <w:right w:w="90" w:type="dxa"/>
            </w:tcMar>
            <w:vAlign w:val="center"/>
          </w:tcPr>
          <w:p>
            <w:pPr>
              <w:pStyle w:val="BDOITableHeader"/>
            </w:pPr>
            <w:r>
              <w:rPr>
                <w:b/>
                <w:color w:val="FFFFFF"/>
                <w:sz w:val="17"/>
              </w:rPr>
              <w:t>What you do</w:t>
            </w:r>
          </w:p>
        </w:tc>
        <w:tc>
          <w:tcPr>
            <w:tcW w:type="dxa" w:w="2523"/>
            <w:shd w:val="clear" w:color="auto" w:fill="004EA8"/>
            <w:tcMar>
              <w:top w:w="50" w:type="dxa"/>
              <w:bottom w:w="50" w:type="dxa"/>
              <w:left w:w="90" w:type="dxa"/>
              <w:right w:w="90" w:type="dxa"/>
            </w:tcMar>
            <w:vAlign w:val="center"/>
          </w:tcPr>
          <w:p>
            <w:pPr>
              <w:pStyle w:val="BDOITableHeader"/>
            </w:pPr>
            <w:r>
              <w:rPr>
                <w:b/>
                <w:color w:val="FFFFFF"/>
                <w:sz w:val="17"/>
              </w:rPr>
              <w:t>Screen</w:t>
            </w:r>
          </w:p>
        </w:tc>
        <w:tc>
          <w:tcPr>
            <w:tcW w:type="dxa" w:w="1322"/>
            <w:shd w:val="clear" w:color="auto" w:fill="004EA8"/>
            <w:tcMar>
              <w:top w:w="50" w:type="dxa"/>
              <w:bottom w:w="50" w:type="dxa"/>
              <w:left w:w="90" w:type="dxa"/>
              <w:right w:w="90" w:type="dxa"/>
            </w:tcMar>
            <w:vAlign w:val="center"/>
          </w:tcPr>
          <w:p>
            <w:pPr>
              <w:pStyle w:val="BDOITableHeader"/>
            </w:pPr>
            <w:r>
              <w:rPr>
                <w:b/>
                <w:color w:val="FFFFFF"/>
                <w:sz w:val="17"/>
              </w:rPr>
              <w:t>Ref.</w:t>
            </w:r>
          </w:p>
        </w:tc>
      </w:tr>
      <w:tr>
        <w:trPr>
          <w:cantSplit w:val="true"/>
        </w:trPr>
        <w:tc>
          <w:tcPr>
            <w:tcW w:type="dxa" w:w="481"/>
            <w:tcMar>
              <w:top w:w="50" w:type="dxa"/>
              <w:bottom w:w="50" w:type="dxa"/>
              <w:left w:w="90" w:type="dxa"/>
              <w:right w:w="90" w:type="dxa"/>
            </w:tcMar>
          </w:tcPr>
          <w:p>
            <w:pPr>
              <w:pStyle w:val="BDOITable"/>
            </w:pPr>
            <w:r>
              <w:rPr>
                <w:sz w:val="17"/>
              </w:rPr>
              <w:t>1</w:t>
            </w:r>
          </w:p>
        </w:tc>
        <w:tc>
          <w:tcPr>
            <w:tcW w:type="dxa" w:w="5647"/>
            <w:tcMar>
              <w:top w:w="50" w:type="dxa"/>
              <w:bottom w:w="50" w:type="dxa"/>
              <w:left w:w="90" w:type="dxa"/>
              <w:right w:w="90" w:type="dxa"/>
            </w:tcMar>
          </w:tcPr>
          <w:p>
            <w:pPr>
              <w:pStyle w:val="BDOITable"/>
            </w:pPr>
            <w:r>
              <w:rPr>
                <w:sz w:val="17"/>
              </w:rPr>
              <w:t>After the go-live extraction, work the candidates flagged Urgent first (January 2028 expiries).</w:t>
            </w:r>
          </w:p>
        </w:tc>
        <w:tc>
          <w:tcPr>
            <w:tcW w:type="dxa" w:w="2523"/>
            <w:tcMar>
              <w:top w:w="50" w:type="dxa"/>
              <w:bottom w:w="50" w:type="dxa"/>
              <w:left w:w="90" w:type="dxa"/>
              <w:right w:w="90" w:type="dxa"/>
            </w:tcMar>
          </w:tcPr>
          <w:p>
            <w:pPr>
              <w:pStyle w:val="BDOITable"/>
            </w:pPr>
            <w:r>
              <w:rPr>
                <w:sz w:val="17"/>
              </w:rPr>
              <w:t>Expiry List</w:t>
            </w:r>
          </w:p>
        </w:tc>
        <w:tc>
          <w:tcPr>
            <w:tcW w:type="dxa" w:w="1322"/>
            <w:tcMar>
              <w:top w:w="50" w:type="dxa"/>
              <w:bottom w:w="50" w:type="dxa"/>
              <w:left w:w="90" w:type="dxa"/>
              <w:right w:w="90" w:type="dxa"/>
            </w:tcMar>
          </w:tcPr>
          <w:p>
            <w:pPr>
              <w:pStyle w:val="BDOITable"/>
            </w:pPr>
            <w:r>
              <w:rPr>
                <w:sz w:val="17"/>
              </w:rPr>
              <w:t>FR-RN-016</w:t>
            </w:r>
          </w:p>
        </w:tc>
      </w:tr>
      <w:tr>
        <w:trPr>
          <w:cantSplit w:val="true"/>
        </w:trPr>
        <w:tc>
          <w:tcPr>
            <w:tcW w:type="dxa" w:w="481"/>
            <w:tcMar>
              <w:top w:w="50" w:type="dxa"/>
              <w:bottom w:w="50" w:type="dxa"/>
              <w:left w:w="90" w:type="dxa"/>
              <w:right w:w="90" w:type="dxa"/>
            </w:tcMar>
            <w:shd w:val="clear" w:color="auto" w:fill="E5F5FF"/>
          </w:tcPr>
          <w:p>
            <w:pPr>
              <w:pStyle w:val="BDOITable"/>
            </w:pPr>
            <w:r>
              <w:rPr>
                <w:sz w:val="17"/>
              </w:rPr>
              <w:t>2</w:t>
            </w:r>
          </w:p>
        </w:tc>
        <w:tc>
          <w:tcPr>
            <w:tcW w:type="dxa" w:w="5647"/>
            <w:tcMar>
              <w:top w:w="50" w:type="dxa"/>
              <w:bottom w:w="50" w:type="dxa"/>
              <w:left w:w="90" w:type="dxa"/>
              <w:right w:w="90" w:type="dxa"/>
            </w:tcMar>
            <w:shd w:val="clear" w:color="auto" w:fill="E5F5FF"/>
          </w:tcPr>
          <w:p>
            <w:pPr>
              <w:pStyle w:val="BDOITable"/>
            </w:pPr>
            <w:r>
              <w:rPr>
                <w:sz w:val="17"/>
              </w:rPr>
              <w:t>Upload the tracker of Renewal Advices already sent in legacy; those advices are not generated or sent again.</w:t>
            </w:r>
          </w:p>
        </w:tc>
        <w:tc>
          <w:tcPr>
            <w:tcW w:type="dxa" w:w="2523"/>
            <w:tcMar>
              <w:top w:w="50" w:type="dxa"/>
              <w:bottom w:w="50" w:type="dxa"/>
              <w:left w:w="90" w:type="dxa"/>
              <w:right w:w="90" w:type="dxa"/>
            </w:tcMar>
            <w:shd w:val="clear" w:color="auto" w:fill="E5F5FF"/>
          </w:tcPr>
          <w:p>
            <w:pPr>
              <w:pStyle w:val="BDOITable"/>
            </w:pPr>
            <w:r>
              <w:rPr>
                <w:sz w:val="17"/>
              </w:rPr>
              <w:t>Processing Worklist</w:t>
            </w:r>
          </w:p>
        </w:tc>
        <w:tc>
          <w:tcPr>
            <w:tcW w:type="dxa" w:w="1322"/>
            <w:tcMar>
              <w:top w:w="50" w:type="dxa"/>
              <w:bottom w:w="50" w:type="dxa"/>
              <w:left w:w="90" w:type="dxa"/>
              <w:right w:w="90" w:type="dxa"/>
            </w:tcMar>
            <w:shd w:val="clear" w:color="auto" w:fill="E5F5FF"/>
          </w:tcPr>
          <w:p>
            <w:pPr>
              <w:pStyle w:val="BDOITable"/>
            </w:pPr>
            <w:r>
              <w:rPr>
                <w:sz w:val="17"/>
              </w:rPr>
              <w:t>FR-RN-016</w:t>
            </w:r>
          </w:p>
        </w:tc>
      </w:tr>
      <w:tr>
        <w:trPr>
          <w:cantSplit w:val="true"/>
        </w:trPr>
        <w:tc>
          <w:tcPr>
            <w:tcW w:type="dxa" w:w="481"/>
            <w:tcMar>
              <w:top w:w="50" w:type="dxa"/>
              <w:bottom w:w="50" w:type="dxa"/>
              <w:left w:w="90" w:type="dxa"/>
              <w:right w:w="90" w:type="dxa"/>
            </w:tcMar>
          </w:tcPr>
          <w:p>
            <w:pPr>
              <w:pStyle w:val="BDOITable"/>
            </w:pPr>
            <w:r>
              <w:rPr>
                <w:sz w:val="17"/>
              </w:rPr>
              <w:t>3</w:t>
            </w:r>
          </w:p>
        </w:tc>
        <w:tc>
          <w:tcPr>
            <w:tcW w:type="dxa" w:w="5647"/>
            <w:tcMar>
              <w:top w:w="50" w:type="dxa"/>
              <w:bottom w:w="50" w:type="dxa"/>
              <w:left w:w="90" w:type="dxa"/>
              <w:right w:w="90" w:type="dxa"/>
            </w:tcMar>
          </w:tcPr>
          <w:p>
            <w:pPr>
              <w:pStyle w:val="BDOITable"/>
            </w:pPr>
            <w:r>
              <w:rPr>
                <w:sz w:val="17"/>
              </w:rPr>
              <w:t>For a migrated policy whose package is not mapped, choose the package version with a reason; a second processor approves.</w:t>
            </w:r>
          </w:p>
        </w:tc>
        <w:tc>
          <w:tcPr>
            <w:tcW w:type="dxa" w:w="2523"/>
            <w:tcMar>
              <w:top w:w="50" w:type="dxa"/>
              <w:bottom w:w="50" w:type="dxa"/>
              <w:left w:w="90" w:type="dxa"/>
              <w:right w:w="90" w:type="dxa"/>
            </w:tcMar>
          </w:tcPr>
          <w:p>
            <w:pPr>
              <w:pStyle w:val="BDOITable"/>
            </w:pPr>
            <w:r>
              <w:rPr>
                <w:sz w:val="17"/>
              </w:rPr>
              <w:t>Renewal record page (Checks &amp; Bucket)</w:t>
            </w:r>
          </w:p>
        </w:tc>
        <w:tc>
          <w:tcPr>
            <w:tcW w:type="dxa" w:w="1322"/>
            <w:tcMar>
              <w:top w:w="50" w:type="dxa"/>
              <w:bottom w:w="50" w:type="dxa"/>
              <w:left w:w="90" w:type="dxa"/>
              <w:right w:w="90" w:type="dxa"/>
            </w:tcMar>
          </w:tcPr>
          <w:p>
            <w:pPr>
              <w:pStyle w:val="BDOITable"/>
            </w:pPr>
            <w:r>
              <w:rPr>
                <w:sz w:val="17"/>
              </w:rPr>
              <w:t>FR-RN-028</w:t>
            </w:r>
          </w:p>
        </w:tc>
      </w:tr>
    </w:tbl>
    <w:p>
      <w:pPr>
        <w:pStyle w:val="BDOISpacer"/>
      </w:pPr>
    </w:p>
    <w:p>
      <w:pPr>
        <w:pStyle w:val="Heading1"/>
        <w:pBdr>
          <w:bottom w:val="single" w:sz="4" w:space="4" w:color="99C1E7"/>
        </w:pBdr>
      </w:pPr>
      <w:bookmarkStart w:id="108" w:name="_Toc000108"/>
      <w:r>
        <w:rPr/>
        <w:t>3 Tips</w:t>
      </w:r>
      <w:bookmarkEnd w:id="108"/>
    </w:p>
    <w:p>
      <w:pPr>
        <w:tabs>
          <w:tab w:pos="312" w:val="left"/>
        </w:tabs>
        <w:spacing w:after="40"/>
        <w:ind w:left="312" w:hanging="283"/>
      </w:pPr>
      <w:r>
        <w:rPr>
          <w:color w:val="004EA8"/>
        </w:rPr>
        <w:t>•</w:t>
        <w:tab/>
      </w:r>
      <w:r>
        <w:rPr/>
        <w:t>Renewal Advices leave BIBS only as protected files; the password is sent separately.</w:t>
      </w:r>
    </w:p>
    <w:p>
      <w:pPr>
        <w:tabs>
          <w:tab w:pos="312" w:val="left"/>
        </w:tabs>
        <w:spacing w:after="40"/>
        <w:ind w:left="312" w:hanging="283"/>
      </w:pPr>
      <w:r>
        <w:rPr>
          <w:color w:val="004EA8"/>
        </w:rPr>
        <w:t>•</w:t>
        <w:tab/>
      </w:r>
      <w:r>
        <w:rPr/>
        <w:t>BIBS warns when an RA is generated less than 30 days before expiry; the second notice follows after 15 days without acceptance (default).</w:t>
      </w:r>
    </w:p>
    <w:p>
      <w:pPr>
        <w:tabs>
          <w:tab w:pos="312" w:val="left"/>
        </w:tabs>
        <w:spacing w:after="120"/>
        <w:ind w:left="312" w:hanging="283"/>
      </w:pPr>
      <w:r>
        <w:rPr>
          <w:color w:val="004EA8"/>
        </w:rPr>
        <w:t>•</w:t>
        <w:tab/>
      </w:r>
      <w:r>
        <w:rPr/>
        <w:t>A response received after the reply due date is marked late.</w:t>
      </w:r>
    </w:p>
    <w:p>
      <w:pPr>
        <w:pStyle w:val="Heading1"/>
        <w:pBdr>
          <w:bottom w:val="single" w:sz="4" w:space="4" w:color="99C1E7"/>
        </w:pBdr>
      </w:pPr>
      <w:bookmarkStart w:id="109" w:name="_Toc000109"/>
      <w:r>
        <w:rPr/>
        <w:t>4 Where to get help</w:t>
      </w:r>
      <w:bookmarkEnd w:id="109"/>
    </w:p>
    <w:p>
      <w:pPr>
        <w:tabs>
          <w:tab w:pos="312" w:val="left"/>
        </w:tabs>
        <w:spacing w:after="40"/>
        <w:ind w:left="312" w:hanging="283"/>
      </w:pPr>
      <w:r>
        <w:rPr>
          <w:color w:val="004EA8"/>
        </w:rPr>
        <w:t>•</w:t>
        <w:tab/>
      </w:r>
      <w:r>
        <w:rPr/>
        <w:t>Help Center (sidebar, Help &gt; Help Center): the help of every screen you may open, with How it works and Controls; search by word.</w:t>
      </w:r>
    </w:p>
    <w:p>
      <w:pPr>
        <w:tabs>
          <w:tab w:pos="312" w:val="left"/>
        </w:tabs>
        <w:spacing w:after="40"/>
        <w:ind w:left="312" w:hanging="283"/>
      </w:pPr>
      <w:r>
        <w:rPr>
          <w:color w:val="004EA8"/>
        </w:rPr>
        <w:t>•</w:t>
        <w:tab/>
      </w:r>
      <w:r>
        <w:rPr/>
        <w:t>Info icons on field labels: the format and rule of the field; the short format hint under a field gives dates as dd-MMM-yyyy and the file limits.</w:t>
      </w:r>
    </w:p>
    <w:p>
      <w:pPr>
        <w:tabs>
          <w:tab w:pos="312" w:val="left"/>
        </w:tabs>
        <w:spacing w:after="40"/>
        <w:ind w:left="312" w:hanging="283"/>
      </w:pPr>
      <w:r>
        <w:rPr>
          <w:color w:val="004EA8"/>
        </w:rPr>
        <w:t>•</w:t>
        <w:tab/>
      </w:r>
      <w:r>
        <w:rPr/>
        <w:t>Messages: a refused action shows the message on the screen in plain words; the message tells what to correct (the tips above list the frequent ones).</w:t>
      </w:r>
    </w:p>
    <w:p>
      <w:pPr>
        <w:tabs>
          <w:tab w:pos="312" w:val="left"/>
        </w:tabs>
        <w:spacing w:after="40"/>
        <w:ind w:left="312" w:hanging="283"/>
      </w:pPr>
      <w:r>
        <w:rPr>
          <w:color w:val="004EA8"/>
        </w:rPr>
        <w:t>•</w:t>
        <w:tab/>
      </w:r>
      <w:r>
        <w:rPr/>
        <w:t>My Work and My Approvals: every record waiting for you, with the action to take; notices in the bell icon link to the record.</w:t>
      </w:r>
    </w:p>
    <w:p>
      <w:pPr>
        <w:tabs>
          <w:tab w:pos="312" w:val="left"/>
        </w:tabs>
        <w:spacing w:after="40"/>
        <w:ind w:left="312" w:hanging="283"/>
      </w:pPr>
      <w:r>
        <w:rPr>
          <w:color w:val="004EA8"/>
        </w:rPr>
        <w:t>•</w:t>
        <w:tab/>
      </w:r>
      <w:r>
        <w:rPr/>
        <w:t>Key user of your unit: first point of contact for how-to questions and for a second pair of eyes.</w:t>
      </w:r>
    </w:p>
    <w:p>
      <w:pPr>
        <w:tabs>
          <w:tab w:pos="312" w:val="left"/>
        </w:tabs>
        <w:spacing w:after="120"/>
        <w:ind w:left="312" w:hanging="283"/>
      </w:pPr>
      <w:r>
        <w:rPr>
          <w:color w:val="004EA8"/>
        </w:rPr>
        <w:t>•</w:t>
        <w:tab/>
      </w:r>
      <w:r>
        <w:rPr/>
        <w:t>Service desk (BDOI IT): access problems, errors and anything the key user cannot solve; give the record number, the screen ID and the time.</w:t>
      </w:r>
    </w:p>
    <w:p>
      <w:r>
        <w:rPr/>
        <w:t>Report a problem with: the record number, the screen ID or name, what you did, the message shown word for word and the time.</w:t>
      </w:r>
    </w:p>
    <w:sectPr w:rsidR="00FC693F" w:rsidRPr="0006063C" w:rsidSect="00034616">
      <w:headerReference w:type="default" r:id="rId9"/>
      <w:footerReference w:type="default" r:id="rId10"/>
      <w:headerReference w:type="first" r:id="rId11"/>
      <w:footerReference w:type="first" r:id="rId12"/>
      <w:pgSz w:w="12240" w:h="15840"/>
      <w:pgMar w:top="1417" w:right="1134" w:bottom="1247" w:left="1134" w:header="567" w:footer="51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1.0</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QRG Renewal Officer</w:t>
    </w:r>
    <w:r>
      <w:rPr>
        <w:color w:val="656565"/>
        <w:sz w:val="16"/>
      </w:rPr>
      <w:t xml:space="preserve">   Quick-Reference Guide</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b w:val="0"/>
      <w:i w:val="0"/>
      <w:color w:val="4B4B4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40" w:lineRule="auto"/>
      <w:outlineLvl w:val="0"/>
    </w:pPr>
    <w:rPr>
      <w:rFonts w:ascii="Arial" w:hAnsi="Arial" w:cs="Arial" w:eastAsia="Arial"/>
      <w:b/>
      <w:bCs/>
      <w:i w:val="0"/>
      <w:color w:val="004EA8"/>
      <w:sz w:val="32"/>
      <w:szCs w:val="28"/>
    </w:rPr>
  </w:style>
  <w:style w:type="paragraph" w:styleId="Heading2">
    <w:name w:val="heading 2"/>
    <w:basedOn w:val="Normal"/>
    <w:next w:val="Normal"/>
    <w:link w:val="Heading2Char"/>
    <w:uiPriority w:val="9"/>
    <w:unhideWhenUsed/>
    <w:qFormat/>
    <w:rsid w:val="00FC693F"/>
    <w:pPr>
      <w:keepNext/>
      <w:keepLines/>
      <w:spacing w:before="280" w:after="120" w:line="240" w:lineRule="auto"/>
      <w:outlineLvl w:val="1"/>
    </w:pPr>
    <w:rPr>
      <w:rFonts w:ascii="Arial" w:hAnsi="Arial" w:cs="Arial" w:eastAsia="Arial"/>
      <w:b/>
      <w:bCs/>
      <w:i w:val="0"/>
      <w:color w:val="004EA8"/>
      <w:sz w:val="26"/>
      <w:szCs w:val="26"/>
    </w:rPr>
  </w:style>
  <w:style w:type="paragraph" w:styleId="Heading3">
    <w:name w:val="heading 3"/>
    <w:basedOn w:val="Normal"/>
    <w:next w:val="Normal"/>
    <w:link w:val="Heading3Char"/>
    <w:uiPriority w:val="9"/>
    <w:unhideWhenUsed/>
    <w:qFormat/>
    <w:rsid w:val="00FC693F"/>
    <w:pPr>
      <w:keepNext/>
      <w:keepLines/>
      <w:spacing w:before="240" w:after="80" w:line="240" w:lineRule="auto"/>
      <w:outlineLvl w:val="2"/>
    </w:pPr>
    <w:rPr>
      <w:rFonts w:ascii="Arial" w:hAnsi="Arial" w:cs="Arial" w:eastAsia="Arial"/>
      <w:b/>
      <w:bCs/>
      <w:i w:val="0"/>
      <w:color w:val="004EA8"/>
      <w:sz w:val="23"/>
    </w:rPr>
  </w:style>
  <w:style w:type="paragraph" w:styleId="Heading4">
    <w:name w:val="heading 4"/>
    <w:basedOn w:val="Normal"/>
    <w:next w:val="Normal"/>
    <w:link w:val="Heading4Char"/>
    <w:uiPriority w:val="9"/>
    <w:semiHidden/>
    <w:unhideWhenUsed/>
    <w:qFormat/>
    <w:rsid w:val="00FC693F"/>
    <w:pPr>
      <w:keepNext/>
      <w:keepLines/>
      <w:spacing w:before="160" w:after="60" w:line="240" w:lineRule="auto"/>
      <w:outlineLvl w:val="9"/>
    </w:pPr>
    <w:rPr>
      <w:rFonts w:ascii="Arial" w:hAnsi="Arial" w:cs="Arial" w:eastAsia="Arial"/>
      <w:b/>
      <w:bCs/>
      <w:i w:val="0"/>
      <w:iCs/>
      <w:color w:val="2E2E2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5656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DOITable">
    <w:name w:val="BDOI Table"/>
    <w:basedOn w:val="Normal"/>
    <w:pPr>
      <w:spacing w:before="0" w:after="0" w:line="252" w:lineRule="auto"/>
    </w:pPr>
    <w:rPr>
      <w:rFonts w:ascii="Arial" w:hAnsi="Arial" w:cs="Arial" w:eastAsia="Arial"/>
      <w:b w:val="0"/>
      <w:i w:val="0"/>
      <w:color w:val="4B4B4B"/>
      <w:sz w:val="18"/>
    </w:rPr>
  </w:style>
  <w:style w:type="paragraph" w:customStyle="1" w:styleId="BDOITableHeader">
    <w:name w:val="BDOI Table Header"/>
    <w:basedOn w:val="Normal"/>
    <w:pPr>
      <w:spacing w:before="0" w:after="0" w:line="252" w:lineRule="auto"/>
    </w:pPr>
    <w:rPr>
      <w:rFonts w:ascii="Arial" w:hAnsi="Arial" w:cs="Arial" w:eastAsia="Arial"/>
      <w:b/>
      <w:i w:val="0"/>
      <w:color w:val="FFFFFF"/>
      <w:sz w:val="18"/>
    </w:rPr>
  </w:style>
  <w:style w:type="paragraph" w:customStyle="1" w:styleId="BDOISmall">
    <w:name w:val="BDOI Small"/>
    <w:basedOn w:val="Normal"/>
    <w:rPr>
      <w:rFonts w:ascii="Arial" w:hAnsi="Arial" w:cs="Arial" w:eastAsia="Arial"/>
      <w:b w:val="0"/>
      <w:i w:val="0"/>
      <w:color w:val="656565"/>
      <w:sz w:val="16"/>
    </w:rPr>
  </w:style>
  <w:style w:type="paragraph" w:customStyle="1" w:styleId="BDOIFrontHeading">
    <w:name w:val="BDOI Front Heading"/>
    <w:basedOn w:val="Normal"/>
    <w:pPr>
      <w:keepNext/>
      <w:spacing w:before="0" w:after="200"/>
    </w:pPr>
    <w:rPr>
      <w:rFonts w:ascii="Arial" w:hAnsi="Arial" w:cs="Arial" w:eastAsia="Arial"/>
      <w:b/>
      <w:i w:val="0"/>
      <w:color w:val="004EA8"/>
      <w:sz w:val="32"/>
    </w:rPr>
  </w:style>
  <w:style w:type="paragraph" w:customStyle="1" w:styleId="BDOILabel">
    <w:name w:val="BDOI Label"/>
    <w:basedOn w:val="Normal"/>
    <w:pPr>
      <w:keepNext/>
      <w:spacing w:before="160" w:after="60"/>
    </w:pPr>
    <w:rPr>
      <w:rFonts w:ascii="Arial" w:hAnsi="Arial" w:cs="Arial" w:eastAsia="Arial"/>
      <w:b/>
      <w:i w:val="0"/>
      <w:color w:val="004EA8"/>
      <w:sz w:val="20"/>
    </w:rPr>
  </w:style>
  <w:style w:type="paragraph" w:customStyle="1" w:styleId="BDOISpacer">
    <w:name w:val="BDOI Spacer"/>
    <w:basedOn w:val="Normal"/>
    <w:pPr>
      <w:spacing w:before="0" w:after="100" w:line="240" w:lineRule="auto"/>
    </w:pPr>
    <w:rPr>
      <w:rFonts w:ascii="Arial" w:hAnsi="Arial" w:cs="Arial" w:eastAsia="Arial"/>
      <w:b w:val="0"/>
      <w:i w:val="0"/>
      <w:color w:val="4B4B4B"/>
      <w:sz w:val="6"/>
    </w:rPr>
  </w:style>
  <w:style w:type="paragraph" w:customStyle="1" w:styleId="toc1">
    <w:name w:val="toc 1"/>
    <w:basedOn w:val="Normal"/>
    <w:pPr>
      <w:tabs>
        <w:tab w:pos="9972" w:val="right" w:leader="dot"/>
      </w:tabs>
      <w:spacing w:before="120" w:after="40" w:line="240" w:lineRule="auto"/>
      <w:ind w:left="0"/>
    </w:pPr>
    <w:rPr>
      <w:rFonts w:ascii="Arial" w:hAnsi="Arial" w:cs="Arial" w:eastAsia="Arial"/>
      <w:b/>
      <w:i w:val="0"/>
      <w:color w:val="2E2E2E"/>
      <w:sz w:val="21"/>
    </w:rPr>
  </w:style>
  <w:style w:type="paragraph" w:customStyle="1" w:styleId="toc2">
    <w:name w:val="toc 2"/>
    <w:basedOn w:val="Normal"/>
    <w:pPr>
      <w:tabs>
        <w:tab w:pos="9972" w:val="right" w:leader="dot"/>
      </w:tabs>
      <w:spacing w:before="0" w:after="40" w:line="240" w:lineRule="auto"/>
      <w:ind w:left="340"/>
    </w:pPr>
    <w:rPr>
      <w:rFonts w:ascii="Arial" w:hAnsi="Arial" w:cs="Arial" w:eastAsia="Arial"/>
      <w:b w:val="0"/>
      <w:i w:val="0"/>
      <w:color w:val="4B4B4B"/>
      <w:sz w:val="20"/>
    </w:rPr>
  </w:style>
  <w:style w:type="paragraph" w:customStyle="1" w:styleId="toc3">
    <w:name w:val="toc 3"/>
    <w:basedOn w:val="Normal"/>
    <w:pPr>
      <w:tabs>
        <w:tab w:pos="9972" w:val="right" w:leader="dot"/>
      </w:tabs>
      <w:spacing w:before="0" w:after="40" w:line="240" w:lineRule="auto"/>
      <w:ind w:left="680"/>
    </w:pPr>
    <w:rPr>
      <w:rFonts w:ascii="Arial" w:hAnsi="Arial" w:cs="Arial" w:eastAsia="Arial"/>
      <w:b w:val="0"/>
      <w:i w:val="0"/>
      <w:color w:val="4B4B4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Quick-Reference Guide Quick-Reference Guide: Renewal Officer</dc:title>
  <dc:subject>BIBS – BDOI Broker System</dc:subject>
  <dc:creator>iorta TechNXT</dc:creator>
  <cp:keywords>QRG, BRD-00, BIBS, BDOI</cp:keywords>
  <dc:description>Version 1.0. Confidential.</dc:description>
  <cp:lastModifiedBy>iorta TechNXT</cp:lastModifiedBy>
  <cp:revision>1</cp:revision>
  <dcterms:created xsi:type="dcterms:W3CDTF">2013-12-23T23:15:00Z</dcterms:created>
  <dcterms:modified xsi:type="dcterms:W3CDTF">2013-12-23T23:15:00Z</dcterms:modified>
  <cp:category/>
</cp:coreProperties>
</file>