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SOLUTION ARCHITECTURE</w:t>
      </w:r>
    </w:p>
    <w:p>
      <w:pPr>
        <w:spacing w:after="80" w:line="240" w:lineRule="auto"/>
      </w:pPr>
      <w:r>
        <w:rPr>
          <w:b/>
          <w:color w:val="004EA8"/>
          <w:sz w:val="56"/>
        </w:rPr>
        <w:t>Solution Architecture</w:t>
      </w:r>
    </w:p>
    <w:p>
      <w:pPr>
        <w:spacing w:after="40"/>
      </w:pPr>
      <w:r>
        <w:rPr>
          <w:color w:val="2E2E2E"/>
          <w:sz w:val="28"/>
        </w:rPr>
        <w:t>Business and application architecture of BIBS, the BDOI Broker System on iNXT BrokerVerse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Tech Lead; iorta TechNXT Project Manager</w:t>
            </w:r>
          </w:p>
        </w:tc>
        <w:tc>
          <w:tcPr>
            <w:tcW w:type="dxa" w:w="1700"/>
            <w:tcMar>
              <w:top w:w="50" w:type="dxa"/>
              <w:bottom w:w="50" w:type="dxa"/>
              <w:left w:w="90" w:type="dxa"/>
              <w:right w:w="90" w:type="dxa"/>
            </w:tcMar>
          </w:tcPr>
          <w:p>
            <w:pPr>
              <w:pStyle w:val="BDOITable"/>
            </w:pPr>
            <w:r>
              <w:rPr>
                <w:sz w:val="18"/>
              </w:rPr>
              <w:t>BDOI Enterprise Architecture (pending)</w:t>
            </w:r>
          </w:p>
        </w:tc>
        <w:tc>
          <w:tcPr>
            <w:tcW w:type="dxa" w:w="2606"/>
            <w:tcMar>
              <w:top w:w="50" w:type="dxa"/>
              <w:bottom w:w="50" w:type="dxa"/>
              <w:left w:w="90" w:type="dxa"/>
              <w:right w:w="90" w:type="dxa"/>
            </w:tcMar>
          </w:tcPr>
          <w:p>
            <w:pPr>
              <w:pStyle w:val="BDOITable"/>
            </w:pPr>
            <w:r>
              <w:rPr>
                <w:sz w:val="18"/>
              </w:rPr>
              <w:t>First issue, on the component baseline and the client decisions of 8 October 2026 (Valkey, Gateway API, broker-only scope)</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Enterprise Architecture</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Architecture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Security Office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Security architecture, data scope, identity</w:t>
            </w:r>
          </w:p>
        </w:tc>
      </w:tr>
      <w:tr>
        <w:trPr>
          <w:cantSplit w:val="true"/>
        </w:trPr>
        <w:tc>
          <w:tcPr>
            <w:tcW w:type="dxa" w:w="2606"/>
            <w:tcMar>
              <w:top w:w="50" w:type="dxa"/>
              <w:bottom w:w="50" w:type="dxa"/>
              <w:left w:w="90" w:type="dxa"/>
              <w:right w:w="90" w:type="dxa"/>
            </w:tcMar>
          </w:tcPr>
          <w:p>
            <w:pPr>
              <w:pStyle w:val="BDOITable"/>
            </w:pPr>
            <w:r>
              <w:rPr>
                <w:sz w:val="18"/>
              </w:rPr>
              <w:t>Application Development and Integration</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Interfaces, configuration ownership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Cloud and Digital Operations Engineering</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Hosting, IER alignment</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Informed</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Business capability map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Architecture baseline for delivery and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1.4 Conventions</w:t>
        </w:r>
        <w:r>
          <w:t xml:space="preserve">	</w:t>
        </w:r>
        <w:r>
          <w:t xml:space="preserve">5</w:t>
        </w:r>
      </w:hyperlink>
    </w:p>
    <w:p>
      <w:pPr>
        <w:pStyle w:val="toc1"/>
      </w:pPr>
      <w:hyperlink w:anchor="_Toc000106" w:history="1">
        <w:r>
          <w:t xml:space="preserve">2 Business architecture</w:t>
        </w:r>
        <w:r>
          <w:t xml:space="preserve">	</w:t>
        </w:r>
        <w:r>
          <w:t xml:space="preserve">5</w:t>
        </w:r>
      </w:hyperlink>
    </w:p>
    <w:p>
      <w:pPr>
        <w:pStyle w:val="toc2"/>
      </w:pPr>
      <w:hyperlink w:anchor="_Toc000107" w:history="1">
        <w:r>
          <w:t xml:space="preserve">2.1 BDOI's business in one view</w:t>
        </w:r>
        <w:r>
          <w:t xml:space="preserve">	</w:t>
        </w:r>
        <w:r>
          <w:t xml:space="preserve">5</w:t>
        </w:r>
      </w:hyperlink>
    </w:p>
    <w:p>
      <w:pPr>
        <w:pStyle w:val="toc2"/>
      </w:pPr>
      <w:hyperlink w:anchor="_Toc000108" w:history="1">
        <w:r>
          <w:t xml:space="preserve">2.2 Business capabilities and where they live</w:t>
        </w:r>
        <w:r>
          <w:t xml:space="preserve">	</w:t>
        </w:r>
        <w:r>
          <w:t xml:space="preserve">6</w:t>
        </w:r>
      </w:hyperlink>
    </w:p>
    <w:p>
      <w:pPr>
        <w:pStyle w:val="toc2"/>
      </w:pPr>
      <w:hyperlink w:anchor="_Toc000109" w:history="1">
        <w:r>
          <w:t xml:space="preserve">2.3 Users and usage</w:t>
        </w:r>
        <w:r>
          <w:t xml:space="preserve">	</w:t>
        </w:r>
        <w:r>
          <w:t xml:space="preserve">6</w:t>
        </w:r>
      </w:hyperlink>
    </w:p>
    <w:p>
      <w:pPr>
        <w:pStyle w:val="toc1"/>
      </w:pPr>
      <w:hyperlink w:anchor="_Toc000110" w:history="1">
        <w:r>
          <w:t xml:space="preserve">3 Application architecture</w:t>
        </w:r>
        <w:r>
          <w:t xml:space="preserve">	</w:t>
        </w:r>
        <w:r>
          <w:t xml:space="preserve">7</w:t>
        </w:r>
      </w:hyperlink>
    </w:p>
    <w:p>
      <w:pPr>
        <w:pStyle w:val="toc2"/>
      </w:pPr>
      <w:hyperlink w:anchor="_Toc000111" w:history="1">
        <w:r>
          <w:t xml:space="preserve">3.1 Architecture at a glance</w:t>
        </w:r>
        <w:r>
          <w:t xml:space="preserve">	</w:t>
        </w:r>
        <w:r>
          <w:t xml:space="preserve">7</w:t>
        </w:r>
      </w:hyperlink>
    </w:p>
    <w:p>
      <w:pPr>
        <w:pStyle w:val="toc2"/>
      </w:pPr>
      <w:hyperlink w:anchor="_Toc000112" w:history="1">
        <w:r>
          <w:t xml:space="preserve">3.2 Architecture principles</w:t>
        </w:r>
        <w:r>
          <w:t xml:space="preserve">	</w:t>
        </w:r>
        <w:r>
          <w:t xml:space="preserve">8</w:t>
        </w:r>
      </w:hyperlink>
    </w:p>
    <w:p>
      <w:pPr>
        <w:pStyle w:val="toc2"/>
      </w:pPr>
      <w:hyperlink w:anchor="_Toc000113" w:history="1">
        <w:r>
          <w:t xml:space="preserve">3.3 Logical components</w:t>
        </w:r>
        <w:r>
          <w:t xml:space="preserve">	</w:t>
        </w:r>
        <w:r>
          <w:t xml:space="preserve">8</w:t>
        </w:r>
      </w:hyperlink>
    </w:p>
    <w:p>
      <w:pPr>
        <w:pStyle w:val="toc1"/>
      </w:pPr>
      <w:hyperlink w:anchor="_Toc000114" w:history="1">
        <w:r>
          <w:t xml:space="preserve">4 Domain model and bounded contexts</w:t>
        </w:r>
        <w:r>
          <w:t xml:space="preserve">	</w:t>
        </w:r>
        <w:r>
          <w:t xml:space="preserve">9</w:t>
        </w:r>
      </w:hyperlink>
    </w:p>
    <w:p>
      <w:pPr>
        <w:pStyle w:val="toc2"/>
      </w:pPr>
      <w:hyperlink w:anchor="_Toc000115" w:history="1">
        <w:r>
          <w:t xml:space="preserve">4.1 Bounded contexts</w:t>
        </w:r>
        <w:r>
          <w:t xml:space="preserve">	</w:t>
        </w:r>
        <w:r>
          <w:t xml:space="preserve">9</w:t>
        </w:r>
      </w:hyperlink>
    </w:p>
    <w:p>
      <w:pPr>
        <w:pStyle w:val="toc2"/>
      </w:pPr>
      <w:hyperlink w:anchor="_Toc000116" w:history="1">
        <w:r>
          <w:t xml:space="preserve">4.2 Context map</w:t>
        </w:r>
        <w:r>
          <w:t xml:space="preserve">	</w:t>
        </w:r>
        <w:r>
          <w:t xml:space="preserve">11</w:t>
        </w:r>
      </w:hyperlink>
    </w:p>
    <w:p>
      <w:pPr>
        <w:pStyle w:val="toc2"/>
      </w:pPr>
      <w:hyperlink w:anchor="_Toc000117" w:history="1">
        <w:r>
          <w:t xml:space="preserve">4.3 Shared language</w:t>
        </w:r>
        <w:r>
          <w:t xml:space="preserve">	</w:t>
        </w:r>
        <w:r>
          <w:t xml:space="preserve">11</w:t>
        </w:r>
      </w:hyperlink>
    </w:p>
    <w:p>
      <w:pPr>
        <w:pStyle w:val="toc2"/>
      </w:pPr>
      <w:hyperlink w:anchor="_Toc000118" w:history="1">
        <w:r>
          <w:t xml:space="preserve">4.4 Operations per bounded context</w:t>
        </w:r>
        <w:r>
          <w:t xml:space="preserve">	</w:t>
        </w:r>
        <w:r>
          <w:t xml:space="preserve">12</w:t>
        </w:r>
      </w:hyperlink>
    </w:p>
    <w:p>
      <w:pPr>
        <w:pStyle w:val="toc1"/>
      </w:pPr>
      <w:hyperlink w:anchor="_Toc000119" w:history="1">
        <w:r>
          <w:t xml:space="preserve">5 Clean and hexagonal architecture as applied</w:t>
        </w:r>
        <w:r>
          <w:t xml:space="preserve">	</w:t>
        </w:r>
        <w:r>
          <w:t xml:space="preserve">12</w:t>
        </w:r>
      </w:hyperlink>
    </w:p>
    <w:p>
      <w:pPr>
        <w:pStyle w:val="toc2"/>
      </w:pPr>
      <w:hyperlink w:anchor="_Toc000120" w:history="1">
        <w:r>
          <w:t xml:space="preserve">5.1 Layers inside a module</w:t>
        </w:r>
        <w:r>
          <w:t xml:space="preserve">	</w:t>
        </w:r>
        <w:r>
          <w:t xml:space="preserve">12</w:t>
        </w:r>
      </w:hyperlink>
    </w:p>
    <w:p>
      <w:pPr>
        <w:pStyle w:val="toc2"/>
      </w:pPr>
      <w:hyperlink w:anchor="_Toc000121" w:history="1">
        <w:r>
          <w:t xml:space="preserve">5.2 Rules checked at every compile</w:t>
        </w:r>
        <w:r>
          <w:t xml:space="preserve">	</w:t>
        </w:r>
        <w:r>
          <w:t xml:space="preserve">13</w:t>
        </w:r>
      </w:hyperlink>
    </w:p>
    <w:p>
      <w:pPr>
        <w:pStyle w:val="toc2"/>
      </w:pPr>
      <w:hyperlink w:anchor="_Toc000122" w:history="1">
        <w:r>
          <w:t xml:space="preserve">5.3 Ports and connectors</w:t>
        </w:r>
        <w:r>
          <w:t xml:space="preserve">	</w:t>
        </w:r>
        <w:r>
          <w:t xml:space="preserve">14</w:t>
        </w:r>
      </w:hyperlink>
    </w:p>
    <w:p>
      <w:pPr>
        <w:pStyle w:val="toc2"/>
      </w:pPr>
      <w:hyperlink w:anchor="_Toc000123" w:history="1">
        <w:r>
          <w:t xml:space="preserve">5.4 Workloads by runtime role</w:t>
        </w:r>
        <w:r>
          <w:t xml:space="preserve">	</w:t>
        </w:r>
        <w:r>
          <w:t xml:space="preserve">15</w:t>
        </w:r>
      </w:hyperlink>
    </w:p>
    <w:p>
      <w:pPr>
        <w:pStyle w:val="toc1"/>
      </w:pPr>
      <w:hyperlink w:anchor="_Toc000124" w:history="1">
        <w:r>
          <w:t xml:space="preserve">6 Event-driven architecture</w:t>
        </w:r>
        <w:r>
          <w:t xml:space="preserve">	</w:t>
        </w:r>
        <w:r>
          <w:t xml:space="preserve">15</w:t>
        </w:r>
      </w:hyperlink>
    </w:p>
    <w:p>
      <w:pPr>
        <w:pStyle w:val="toc2"/>
      </w:pPr>
      <w:hyperlink w:anchor="_Toc000125" w:history="1">
        <w:r>
          <w:t xml:space="preserve">6.1 Two kinds of events</w:t>
        </w:r>
        <w:r>
          <w:t xml:space="preserve">	</w:t>
        </w:r>
        <w:r>
          <w:t xml:space="preserve">15</w:t>
        </w:r>
      </w:hyperlink>
    </w:p>
    <w:p>
      <w:pPr>
        <w:pStyle w:val="toc2"/>
      </w:pPr>
      <w:hyperlink w:anchor="_Toc000126" w:history="1">
        <w:r>
          <w:t xml:space="preserve">6.2 Transactional outbox to Kafka</w:t>
        </w:r>
        <w:r>
          <w:t xml:space="preserve">	</w:t>
        </w:r>
        <w:r>
          <w:t xml:space="preserve">15</w:t>
        </w:r>
      </w:hyperlink>
    </w:p>
    <w:p>
      <w:pPr>
        <w:pStyle w:val="toc2"/>
      </w:pPr>
      <w:hyperlink w:anchor="_Toc000127" w:history="1">
        <w:r>
          <w:t xml:space="preserve">6.3 Consumers, idempotency and dead letters</w:t>
        </w:r>
        <w:r>
          <w:t xml:space="preserve">	</w:t>
        </w:r>
        <w:r>
          <w:t xml:space="preserve">16</w:t>
        </w:r>
      </w:hyperlink>
    </w:p>
    <w:p>
      <w:pPr>
        <w:pStyle w:val="toc2"/>
      </w:pPr>
      <w:hyperlink w:anchor="_Toc000128" w:history="1">
        <w:r>
          <w:t xml:space="preserve">6.4 Behaviour under failure</w:t>
        </w:r>
        <w:r>
          <w:t xml:space="preserve">	</w:t>
        </w:r>
        <w:r>
          <w:t xml:space="preserve">17</w:t>
        </w:r>
      </w:hyperlink>
    </w:p>
    <w:p>
      <w:pPr>
        <w:pStyle w:val="toc1"/>
      </w:pPr>
      <w:hyperlink w:anchor="_Toc000129" w:history="1">
        <w:r>
          <w:t xml:space="preserve">7 API-first</w:t>
        </w:r>
        <w:r>
          <w:t xml:space="preserve">	</w:t>
        </w:r>
        <w:r>
          <w:t xml:space="preserve">17</w:t>
        </w:r>
      </w:hyperlink>
    </w:p>
    <w:p>
      <w:pPr>
        <w:pStyle w:val="toc1"/>
      </w:pPr>
      <w:hyperlink w:anchor="_Toc000130" w:history="1">
        <w:r>
          <w:t xml:space="preserve">8 Cloud-native design</w:t>
        </w:r>
        <w:r>
          <w:t xml:space="preserve">	</w:t>
        </w:r>
        <w:r>
          <w:t xml:space="preserve">17</w:t>
        </w:r>
      </w:hyperlink>
    </w:p>
    <w:p>
      <w:pPr>
        <w:pStyle w:val="toc1"/>
      </w:pPr>
      <w:hyperlink w:anchor="_Toc000131" w:history="1">
        <w:r>
          <w:t xml:space="preserve">9 Configurable business rules</w:t>
        </w:r>
        <w:r>
          <w:t xml:space="preserve">	</w:t>
        </w:r>
        <w:r>
          <w:t xml:space="preserve">18</w:t>
        </w:r>
      </w:hyperlink>
    </w:p>
    <w:p>
      <w:pPr>
        <w:pStyle w:val="toc2"/>
      </w:pPr>
      <w:hyperlink w:anchor="_Toc000132" w:history="1">
        <w:r>
          <w:t xml:space="preserve">9.1 Where business rules are configured</w:t>
        </w:r>
        <w:r>
          <w:t xml:space="preserve">	</w:t>
        </w:r>
        <w:r>
          <w:t xml:space="preserve">18</w:t>
        </w:r>
      </w:hyperlink>
    </w:p>
    <w:p>
      <w:pPr>
        <w:pStyle w:val="toc2"/>
      </w:pPr>
      <w:hyperlink w:anchor="_Toc000133" w:history="1">
        <w:r>
          <w:t xml:space="preserve">9.2 What stays in the program logic</w:t>
        </w:r>
        <w:r>
          <w:t xml:space="preserve">	</w:t>
        </w:r>
        <w:r>
          <w:t xml:space="preserve">19</w:t>
        </w:r>
      </w:hyperlink>
    </w:p>
    <w:p>
      <w:pPr>
        <w:pStyle w:val="toc2"/>
      </w:pPr>
      <w:hyperlink w:anchor="_Toc000134" w:history="1">
        <w:r>
          <w:t xml:space="preserve">9.3 How configuration reaches production</w:t>
        </w:r>
        <w:r>
          <w:t xml:space="preserve">	</w:t>
        </w:r>
        <w:r>
          <w:t xml:space="preserve">19</w:t>
        </w:r>
      </w:hyperlink>
    </w:p>
    <w:p>
      <w:pPr>
        <w:pStyle w:val="toc1"/>
      </w:pPr>
      <w:hyperlink w:anchor="_Toc000135" w:history="1">
        <w:r>
          <w:t xml:space="preserve">10 Multi-company, multi-product, multi-channel and multi-country readiness</w:t>
        </w:r>
        <w:r>
          <w:t xml:space="preserve">	</w:t>
        </w:r>
        <w:r>
          <w:t xml:space="preserve">19</w:t>
        </w:r>
      </w:hyperlink>
    </w:p>
    <w:p>
      <w:pPr>
        <w:pStyle w:val="toc1"/>
      </w:pPr>
      <w:hyperlink w:anchor="_Toc000136" w:history="1">
        <w:r>
          <w:t xml:space="preserve">11 Quality attributes</w:t>
        </w:r>
        <w:r>
          <w:t xml:space="preserve">	</w:t>
        </w:r>
        <w:r>
          <w:t xml:space="preserve">20</w:t>
        </w:r>
      </w:hyperlink>
    </w:p>
    <w:p>
      <w:pPr>
        <w:pStyle w:val="toc1"/>
      </w:pPr>
      <w:hyperlink w:anchor="_Toc000137" w:history="1">
        <w:r>
          <w:t xml:space="preserve">12 Security architecture summary</w:t>
        </w:r>
        <w:r>
          <w:t xml:space="preserve">	</w:t>
        </w:r>
        <w:r>
          <w:t xml:space="preserve">21</w:t>
        </w:r>
      </w:hyperlink>
    </w:p>
    <w:p>
      <w:pPr>
        <w:pStyle w:val="toc1"/>
      </w:pPr>
      <w:hyperlink w:anchor="_Toc000138" w:history="1">
        <w:r>
          <w:t xml:space="preserve">13 Roles and responsibilities</w:t>
        </w:r>
        <w:r>
          <w:t xml:space="preserve">	</w:t>
        </w:r>
        <w:r>
          <w:t xml:space="preserve">21</w:t>
        </w:r>
      </w:hyperlink>
    </w:p>
    <w:p>
      <w:pPr>
        <w:pStyle w:val="toc1"/>
      </w:pPr>
      <w:hyperlink w:anchor="_Toc000139" w:history="1">
        <w:r>
          <w:t xml:space="preserve">14 Decisions and open points for BDOI</w:t>
        </w:r>
        <w:r>
          <w:t xml:space="preserve">	</w:t>
        </w:r>
        <w:r>
          <w:t xml:space="preserve">21</w:t>
        </w:r>
      </w:hyperlink>
    </w:p>
    <w:p>
      <w:pPr>
        <w:pStyle w:val="toc1"/>
      </w:pPr>
      <w:hyperlink w:anchor="_Toc000140" w:history="1">
        <w:r>
          <w:t xml:space="preserve">Glossary</w:t>
        </w:r>
        <w:r>
          <w:t xml:space="preserve">	</w:t>
        </w:r>
        <w:r>
          <w:t xml:space="preserve">22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the solution architecture of BIBS, the BDOI Broker System on iNXT BrokerVerse, for BDOI IT Enterprise Architecture, the Information Security Office and the application and integration teams. It explains how the business of BDO Insurance and Reinsurance Brokers, Inc. (BDOI) maps to the application, how the application is structured, how business rules are kept out of the program logic, and how the quality targets are met. It is the parent of the five other documents of the architecture set:</w:t>
      </w:r>
    </w:p>
    <w:p>
      <w:pPr>
        <w:pStyle w:val="Caption"/>
        <w:keepNext/>
        <w:spacing w:after="60"/>
      </w:pPr>
      <w:r>
        <w:rPr>
          <w:b/>
          <w:i w:val="0"/>
        </w:rPr>
        <w:t xml:space="preserve">Table 1: </w:t>
      </w:r>
      <w:r>
        <w:rPr/>
        <w:t>The architecture document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2833"/>
        <w:gridCol w:w="657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What it covers</w:t>
            </w:r>
          </w:p>
        </w:tc>
      </w:tr>
      <w:tr>
        <w:trPr>
          <w:cantSplit w:val="true"/>
        </w:trPr>
        <w:tc>
          <w:tcPr>
            <w:tcW w:type="dxa" w:w="567"/>
            <w:tcMar>
              <w:top w:w="50" w:type="dxa"/>
              <w:bottom w:w="50" w:type="dxa"/>
              <w:left w:w="90" w:type="dxa"/>
              <w:right w:w="90" w:type="dxa"/>
            </w:tcMar>
          </w:tcPr>
          <w:p>
            <w:pPr>
              <w:pStyle w:val="BDOITable"/>
            </w:pPr>
            <w:r>
              <w:rPr>
                <w:b/>
                <w:sz w:val="18"/>
              </w:rPr>
              <w:t>1</w:t>
            </w:r>
          </w:p>
        </w:tc>
        <w:tc>
          <w:tcPr>
            <w:tcW w:type="dxa" w:w="2833"/>
            <w:tcMar>
              <w:top w:w="50" w:type="dxa"/>
              <w:bottom w:w="50" w:type="dxa"/>
              <w:left w:w="90" w:type="dxa"/>
              <w:right w:w="90" w:type="dxa"/>
            </w:tcMar>
          </w:tcPr>
          <w:p>
            <w:pPr>
              <w:pStyle w:val="BDOITable"/>
            </w:pPr>
            <w:r>
              <w:rPr>
                <w:sz w:val="18"/>
              </w:rPr>
              <w:t>Solution Architecture (this document)</w:t>
            </w:r>
          </w:p>
        </w:tc>
        <w:tc>
          <w:tcPr>
            <w:tcW w:type="dxa" w:w="6572"/>
            <w:tcMar>
              <w:top w:w="50" w:type="dxa"/>
              <w:bottom w:w="50" w:type="dxa"/>
              <w:left w:w="90" w:type="dxa"/>
              <w:right w:w="90" w:type="dxa"/>
            </w:tcMar>
          </w:tcPr>
          <w:p>
            <w:pPr>
              <w:pStyle w:val="BDOITable"/>
            </w:pPr>
            <w:r>
              <w:rPr>
                <w:sz w:val="18"/>
              </w:rPr>
              <w:t>Business and application architecture, bounded contexts, ports and connectors, events, API-first, cloud native, configurable rules, multi-entity readiness, quality attributes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2</w:t>
            </w:r>
          </w:p>
        </w:tc>
        <w:tc>
          <w:tcPr>
            <w:tcW w:type="dxa" w:w="2833"/>
            <w:tcMar>
              <w:top w:w="50" w:type="dxa"/>
              <w:bottom w:w="50" w:type="dxa"/>
              <w:left w:w="90" w:type="dxa"/>
              <w:right w:w="90" w:type="dxa"/>
            </w:tcMar>
            <w:shd w:val="clear" w:color="auto" w:fill="E5F5FF"/>
          </w:tcPr>
          <w:p>
            <w:pPr>
              <w:pStyle w:val="BDOITable"/>
            </w:pPr>
            <w:r>
              <w:rPr>
                <w:sz w:val="18"/>
              </w:rPr>
              <w:t>Deployment Architecture</w:t>
            </w:r>
          </w:p>
        </w:tc>
        <w:tc>
          <w:tcPr>
            <w:tcW w:type="dxa" w:w="6572"/>
            <w:tcMar>
              <w:top w:w="50" w:type="dxa"/>
              <w:bottom w:w="50" w:type="dxa"/>
              <w:left w:w="90" w:type="dxa"/>
              <w:right w:w="90" w:type="dxa"/>
            </w:tcMar>
            <w:shd w:val="clear" w:color="auto" w:fill="E5F5FF"/>
          </w:tcPr>
          <w:p>
            <w:pPr>
              <w:pStyle w:val="BDOITable"/>
            </w:pPr>
            <w:r>
              <w:rPr>
                <w:sz w:val="18"/>
              </w:rPr>
              <w:t>Runtime components, containers, Kubernetes topology per environment, Gateway API routing, scaling, configuration and secrets, release pipeline and promotion</w:t>
            </w:r>
          </w:p>
        </w:tc>
      </w:tr>
      <w:tr>
        <w:trPr>
          <w:cantSplit w:val="true"/>
        </w:trPr>
        <w:tc>
          <w:tcPr>
            <w:tcW w:type="dxa" w:w="567"/>
            <w:tcMar>
              <w:top w:w="50" w:type="dxa"/>
              <w:bottom w:w="50" w:type="dxa"/>
              <w:left w:w="90" w:type="dxa"/>
              <w:right w:w="90" w:type="dxa"/>
            </w:tcMar>
          </w:tcPr>
          <w:p>
            <w:pPr>
              <w:pStyle w:val="BDOITable"/>
            </w:pPr>
            <w:r>
              <w:rPr>
                <w:b/>
                <w:sz w:val="18"/>
              </w:rPr>
              <w:t>3</w:t>
            </w:r>
          </w:p>
        </w:tc>
        <w:tc>
          <w:tcPr>
            <w:tcW w:type="dxa" w:w="2833"/>
            <w:tcMar>
              <w:top w:w="50" w:type="dxa"/>
              <w:bottom w:w="50" w:type="dxa"/>
              <w:left w:w="90" w:type="dxa"/>
              <w:right w:w="90" w:type="dxa"/>
            </w:tcMar>
          </w:tcPr>
          <w:p>
            <w:pPr>
              <w:pStyle w:val="BDOITable"/>
            </w:pPr>
            <w:r>
              <w:rPr>
                <w:sz w:val="18"/>
              </w:rPr>
              <w:t>Infrastructure Architecture</w:t>
            </w:r>
          </w:p>
        </w:tc>
        <w:tc>
          <w:tcPr>
            <w:tcW w:type="dxa" w:w="6572"/>
            <w:tcMar>
              <w:top w:w="50" w:type="dxa"/>
              <w:bottom w:w="50" w:type="dxa"/>
              <w:left w:w="90" w:type="dxa"/>
              <w:right w:w="90" w:type="dxa"/>
            </w:tcMar>
          </w:tcPr>
          <w:p>
            <w:pPr>
              <w:pStyle w:val="BDOITable"/>
            </w:pPr>
            <w:r>
              <w:rPr>
                <w:sz w:val="18"/>
              </w:rPr>
              <w:t>Hosting, network zones and trust boundaries, sizing, PostgreSQL high availability and backups, Valkey, Kafka, object storage, monitoring, environments, component baseline</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4</w:t>
            </w:r>
          </w:p>
        </w:tc>
        <w:tc>
          <w:tcPr>
            <w:tcW w:type="dxa" w:w="2833"/>
            <w:tcMar>
              <w:top w:w="50" w:type="dxa"/>
              <w:bottom w:w="50" w:type="dxa"/>
              <w:left w:w="90" w:type="dxa"/>
              <w:right w:w="90" w:type="dxa"/>
            </w:tcMar>
            <w:shd w:val="clear" w:color="auto" w:fill="E5F5FF"/>
          </w:tcPr>
          <w:p>
            <w:pPr>
              <w:pStyle w:val="BDOITable"/>
            </w:pPr>
            <w:r>
              <w:rPr>
                <w:sz w:val="18"/>
              </w:rPr>
              <w:t>Integration Architecture</w:t>
            </w:r>
          </w:p>
        </w:tc>
        <w:tc>
          <w:tcPr>
            <w:tcW w:type="dxa" w:w="6572"/>
            <w:tcMar>
              <w:top w:w="50" w:type="dxa"/>
              <w:bottom w:w="50" w:type="dxa"/>
              <w:left w:w="90" w:type="dxa"/>
              <w:right w:w="90" w:type="dxa"/>
            </w:tcMar>
            <w:shd w:val="clear" w:color="auto" w:fill="E5F5FF"/>
          </w:tcPr>
          <w:p>
            <w:pPr>
              <w:pStyle w:val="BDOITable"/>
            </w:pPr>
            <w:r>
              <w:rPr>
                <w:sz w:val="18"/>
              </w:rPr>
              <w:t>Catalogue of every interface, patterns, security, error handling, reconciliation and ownership</w:t>
            </w:r>
          </w:p>
        </w:tc>
      </w:tr>
      <w:tr>
        <w:trPr>
          <w:cantSplit w:val="true"/>
        </w:trPr>
        <w:tc>
          <w:tcPr>
            <w:tcW w:type="dxa" w:w="567"/>
            <w:tcMar>
              <w:top w:w="50" w:type="dxa"/>
              <w:bottom w:w="50" w:type="dxa"/>
              <w:left w:w="90" w:type="dxa"/>
              <w:right w:w="90" w:type="dxa"/>
            </w:tcMar>
          </w:tcPr>
          <w:p>
            <w:pPr>
              <w:pStyle w:val="BDOITable"/>
            </w:pPr>
            <w:r>
              <w:rPr>
                <w:b/>
                <w:sz w:val="18"/>
              </w:rPr>
              <w:t>5</w:t>
            </w:r>
          </w:p>
        </w:tc>
        <w:tc>
          <w:tcPr>
            <w:tcW w:type="dxa" w:w="2833"/>
            <w:tcMar>
              <w:top w:w="50" w:type="dxa"/>
              <w:bottom w:w="50" w:type="dxa"/>
              <w:left w:w="90" w:type="dxa"/>
              <w:right w:w="90" w:type="dxa"/>
            </w:tcMar>
          </w:tcPr>
          <w:p>
            <w:pPr>
              <w:pStyle w:val="BDOITable"/>
            </w:pPr>
            <w:r>
              <w:rPr>
                <w:sz w:val="18"/>
              </w:rPr>
              <w:t>API Specification and API Catalogue (Excel)</w:t>
            </w:r>
          </w:p>
        </w:tc>
        <w:tc>
          <w:tcPr>
            <w:tcW w:type="dxa" w:w="6572"/>
            <w:tcMar>
              <w:top w:w="50" w:type="dxa"/>
              <w:bottom w:w="50" w:type="dxa"/>
              <w:left w:w="90" w:type="dxa"/>
              <w:right w:w="90" w:type="dxa"/>
            </w:tcMar>
          </w:tcPr>
          <w:p>
            <w:pPr>
              <w:pStyle w:val="BDOITable"/>
            </w:pPr>
            <w:r>
              <w:rPr>
                <w:sz w:val="18"/>
              </w:rPr>
              <w:t>API standards, the OpenAPI description and the catalogue of all 1,832 operations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6</w:t>
            </w:r>
          </w:p>
        </w:tc>
        <w:tc>
          <w:tcPr>
            <w:tcW w:type="dxa" w:w="2833"/>
            <w:tcMar>
              <w:top w:w="50" w:type="dxa"/>
              <w:bottom w:w="50" w:type="dxa"/>
              <w:left w:w="90" w:type="dxa"/>
              <w:right w:w="90" w:type="dxa"/>
            </w:tcMar>
            <w:shd w:val="clear" w:color="auto" w:fill="E5F5FF"/>
          </w:tcPr>
          <w:p>
            <w:pPr>
              <w:pStyle w:val="BDOITable"/>
            </w:pPr>
            <w:r>
              <w:rPr>
                <w:sz w:val="18"/>
              </w:rPr>
              <w:t>Architecture Decision Records and ADR Log (Excel)</w:t>
            </w:r>
          </w:p>
        </w:tc>
        <w:tc>
          <w:tcPr>
            <w:tcW w:type="dxa" w:w="6572"/>
            <w:tcMar>
              <w:top w:w="50" w:type="dxa"/>
              <w:bottom w:w="50" w:type="dxa"/>
              <w:left w:w="90" w:type="dxa"/>
              <w:right w:w="90" w:type="dxa"/>
            </w:tcMar>
            <w:shd w:val="clear" w:color="auto" w:fill="E5F5FF"/>
          </w:tcPr>
          <w:p>
            <w:pPr>
              <w:pStyle w:val="BDOITable"/>
            </w:pPr>
            <w:r>
              <w:rPr>
                <w:sz w:val="18"/>
              </w:rPr>
              <w:t>20 decisions with context, alternatives and consequences</w:t>
            </w:r>
          </w:p>
        </w:tc>
      </w:tr>
    </w:tbl>
    <w:p>
      <w:pPr>
        <w:pStyle w:val="BDOISpacer"/>
      </w:pPr>
    </w:p>
    <w:p>
      <w:pPr>
        <w:pStyle w:val="Heading2"/>
      </w:pPr>
      <w:bookmarkStart w:id="103" w:name="_Toc000103"/>
      <w:r>
        <w:rPr/>
        <w:t>1.2 Scope</w:t>
      </w:r>
      <w:bookmarkEnd w:id="103"/>
    </w:p>
    <w:p>
      <w:r>
        <w:rPr/>
        <w:t>In scope: the BIBS application for BDOI as an insurance broker - the thirteen BRDs grouped in BDOI's drops (Drop 0: BRD-03, 11, 13; Drop 1: BRD-01, 02, 04, 05, 06, 09, 10, 12; Drop 2: BRD-07, 08), the platform services they share, and the interfaces with BDO systems. All modules go live together in January 2028.</w:t>
      </w:r>
    </w:p>
    <w:p>
      <w:r>
        <w:rPr/>
        <w:t>Out of scope: the ReInsurance BRD (phase 2) and every insurer-company function. BIBS is broker-only: insurer underwriting, insurer claims, reinsurance treaty and cession accounting, actuarial reserves, group consolidation and insurer taxes are not part of BIBS (client decision of 8 October 2026, ADR-11).</w:t>
      </w:r>
    </w:p>
    <w:p>
      <w:pPr>
        <w:pStyle w:val="Heading2"/>
      </w:pPr>
      <w:bookmarkStart w:id="104" w:name="_Toc000104"/>
      <w:r>
        <w:rPr/>
        <w:t>1.3 Sources</w:t>
      </w:r>
      <w:bookmarkEnd w:id="104"/>
    </w:p>
    <w:p>
      <w:pPr>
        <w:pStyle w:val="Caption"/>
        <w:keepNext/>
        <w:spacing w:after="60"/>
      </w:pPr>
      <w:r>
        <w:rPr>
          <w:b/>
          <w:i w:val="0"/>
        </w:rPr>
        <w:t xml:space="preserve">Table 2: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BDOI BRDs 00 to 13 (latest versions of 8 October 2026) and the umbrella Core Replacement BRD (p.42-46)</w:t>
            </w:r>
          </w:p>
        </w:tc>
        <w:tc>
          <w:tcPr>
            <w:tcW w:type="dxa" w:w="5439"/>
            <w:tcMar>
              <w:top w:w="50" w:type="dxa"/>
              <w:bottom w:w="50" w:type="dxa"/>
              <w:left w:w="90" w:type="dxa"/>
              <w:right w:w="90" w:type="dxa"/>
            </w:tcMar>
          </w:tcPr>
          <w:p>
            <w:pPr>
              <w:pStyle w:val="BDOITable"/>
            </w:pPr>
            <w:r>
              <w:rPr>
                <w:sz w:val="18"/>
              </w:rPr>
              <w:t>Business capabilities, users, volumes, response times, retention</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BDOI drop plan, programme timeline and the Programme Alignment pack v1.0 (26 September 2026)</w:t>
            </w:r>
          </w:p>
        </w:tc>
        <w:tc>
          <w:tcPr>
            <w:tcW w:type="dxa" w:w="5439"/>
            <w:tcMar>
              <w:top w:w="50" w:type="dxa"/>
              <w:bottom w:w="50" w:type="dxa"/>
              <w:left w:w="90" w:type="dxa"/>
              <w:right w:w="90" w:type="dxa"/>
            </w:tcMar>
            <w:shd w:val="clear" w:color="auto" w:fill="E5F5FF"/>
          </w:tcPr>
          <w:p>
            <w:pPr>
              <w:pStyle w:val="BDOITable"/>
            </w:pPr>
            <w:r>
              <w:rPr>
                <w:sz w:val="18"/>
              </w:rPr>
              <w:t>Drops, integration inventory INT-01 to INT-20, questions IQ01 to IQ35</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BDOI IER workbook v20</w:t>
            </w:r>
          </w:p>
        </w:tc>
        <w:tc>
          <w:tcPr>
            <w:tcW w:type="dxa" w:w="5439"/>
            <w:tcMar>
              <w:top w:w="50" w:type="dxa"/>
              <w:bottom w:w="50" w:type="dxa"/>
              <w:left w:w="90" w:type="dxa"/>
              <w:right w:w="90" w:type="dxa"/>
            </w:tcMar>
          </w:tcPr>
          <w:p>
            <w:pPr>
              <w:pStyle w:val="BDOITable"/>
            </w:pPr>
            <w:r>
              <w:rPr>
                <w:sz w:val="18"/>
              </w:rPr>
              <w:t>Recovery objectives, environments, sizing, growth</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Application architecture option decision (confirmed by BDOI on 26 September 2026)</w:t>
            </w:r>
          </w:p>
        </w:tc>
        <w:tc>
          <w:tcPr>
            <w:tcW w:type="dxa" w:w="5439"/>
            <w:tcMar>
              <w:top w:w="50" w:type="dxa"/>
              <w:bottom w:w="50" w:type="dxa"/>
              <w:left w:w="90" w:type="dxa"/>
              <w:right w:w="90" w:type="dxa"/>
            </w:tcMar>
            <w:shd w:val="clear" w:color="auto" w:fill="E5F5FF"/>
          </w:tcPr>
          <w:p>
            <w:pPr>
              <w:pStyle w:val="BDOITable"/>
            </w:pPr>
            <w:r>
              <w:rPr>
                <w:sz w:val="18"/>
              </w:rPr>
              <w:t>Modular monolith, workloads, edge and encryption</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Document storage decision record (approved 26 September 2026)</w:t>
            </w:r>
          </w:p>
        </w:tc>
        <w:tc>
          <w:tcPr>
            <w:tcW w:type="dxa" w:w="5439"/>
            <w:tcMar>
              <w:top w:w="50" w:type="dxa"/>
              <w:bottom w:w="50" w:type="dxa"/>
              <w:left w:w="90" w:type="dxa"/>
              <w:right w:w="90" w:type="dxa"/>
            </w:tcMar>
          </w:tcPr>
          <w:p>
            <w:pPr>
              <w:pStyle w:val="BDOITable"/>
            </w:pPr>
            <w:r>
              <w:rPr>
                <w:sz w:val="18"/>
              </w:rPr>
              <w:t>S3 file store, ECM archive</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S6</w:t>
            </w:r>
          </w:p>
        </w:tc>
        <w:tc>
          <w:tcPr>
            <w:tcW w:type="dxa" w:w="3966"/>
            <w:tcMar>
              <w:top w:w="50" w:type="dxa"/>
              <w:bottom w:w="50" w:type="dxa"/>
              <w:left w:w="90" w:type="dxa"/>
              <w:right w:w="90" w:type="dxa"/>
            </w:tcMar>
            <w:shd w:val="clear" w:color="auto" w:fill="E5F5FF"/>
          </w:tcPr>
          <w:p>
            <w:pPr>
              <w:pStyle w:val="BDOITable"/>
            </w:pPr>
            <w:r>
              <w:rPr>
                <w:sz w:val="18"/>
              </w:rPr>
              <w:t>Client decisions of 8 October 2026</w:t>
            </w:r>
          </w:p>
        </w:tc>
        <w:tc>
          <w:tcPr>
            <w:tcW w:type="dxa" w:w="5439"/>
            <w:tcMar>
              <w:top w:w="50" w:type="dxa"/>
              <w:bottom w:w="50" w:type="dxa"/>
              <w:left w:w="90" w:type="dxa"/>
              <w:right w:w="90" w:type="dxa"/>
            </w:tcMar>
            <w:shd w:val="clear" w:color="auto" w:fill="E5F5FF"/>
          </w:tcPr>
          <w:p>
            <w:pPr>
              <w:pStyle w:val="BDOITable"/>
            </w:pPr>
            <w:r>
              <w:rPr>
                <w:sz w:val="18"/>
              </w:rPr>
              <w:t>Component baseline, Valkey, Gateway API, broker-only scope</w:t>
            </w:r>
          </w:p>
        </w:tc>
      </w:tr>
      <w:tr>
        <w:trPr>
          <w:cantSplit w:val="true"/>
        </w:trPr>
        <w:tc>
          <w:tcPr>
            <w:tcW w:type="dxa" w:w="567"/>
            <w:tcMar>
              <w:top w:w="50" w:type="dxa"/>
              <w:bottom w:w="50" w:type="dxa"/>
              <w:left w:w="90" w:type="dxa"/>
              <w:right w:w="90" w:type="dxa"/>
            </w:tcMar>
          </w:tcPr>
          <w:p>
            <w:pPr>
              <w:pStyle w:val="BDOITable"/>
            </w:pPr>
            <w:r>
              <w:rPr>
                <w:b/>
                <w:sz w:val="18"/>
              </w:rPr>
              <w:t>S7</w:t>
            </w:r>
          </w:p>
        </w:tc>
        <w:tc>
          <w:tcPr>
            <w:tcW w:type="dxa" w:w="3966"/>
            <w:tcMar>
              <w:top w:w="50" w:type="dxa"/>
              <w:bottom w:w="50" w:type="dxa"/>
              <w:left w:w="90" w:type="dxa"/>
              <w:right w:w="90" w:type="dxa"/>
            </w:tcMar>
          </w:tcPr>
          <w:p>
            <w:pPr>
              <w:pStyle w:val="BDOITable"/>
            </w:pPr>
            <w:r>
              <w:rPr>
                <w:sz w:val="18"/>
              </w:rPr>
              <w:t>BIBS platform documentation: platform cache and events, company and branch data scope, user access, configuration reference, deployment guide, runbook, security controls, quality gates, developer guide</w:t>
            </w:r>
          </w:p>
        </w:tc>
        <w:tc>
          <w:tcPr>
            <w:tcW w:type="dxa" w:w="5439"/>
            <w:tcMar>
              <w:top w:w="50" w:type="dxa"/>
              <w:bottom w:w="50" w:type="dxa"/>
              <w:left w:w="90" w:type="dxa"/>
              <w:right w:w="90" w:type="dxa"/>
            </w:tcMar>
          </w:tcPr>
          <w:p>
            <w:pPr>
              <w:pStyle w:val="BDOITable"/>
            </w:pPr>
            <w:r>
              <w:rPr>
                <w:sz w:val="18"/>
              </w:rPr>
              <w:t>How the platform works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S8</w:t>
            </w:r>
          </w:p>
        </w:tc>
        <w:tc>
          <w:tcPr>
            <w:tcW w:type="dxa" w:w="3966"/>
            <w:tcMar>
              <w:top w:w="50" w:type="dxa"/>
              <w:bottom w:w="50" w:type="dxa"/>
              <w:left w:w="90" w:type="dxa"/>
              <w:right w:w="90" w:type="dxa"/>
            </w:tcMar>
            <w:shd w:val="clear" w:color="auto" w:fill="E5F5FF"/>
          </w:tcPr>
          <w:p>
            <w:pPr>
              <w:pStyle w:val="BDOITable"/>
            </w:pPr>
            <w:r>
              <w:rPr>
                <w:sz w:val="18"/>
              </w:rPr>
              <w:t>FRS of each BRD and the BIBS feature list (716 features against OOTB and best practice)</w:t>
            </w:r>
          </w:p>
        </w:tc>
        <w:tc>
          <w:tcPr>
            <w:tcW w:type="dxa" w:w="5439"/>
            <w:tcMar>
              <w:top w:w="50" w:type="dxa"/>
              <w:bottom w:w="50" w:type="dxa"/>
              <w:left w:w="90" w:type="dxa"/>
              <w:right w:w="90" w:type="dxa"/>
            </w:tcMar>
            <w:shd w:val="clear" w:color="auto" w:fill="E5F5FF"/>
          </w:tcPr>
          <w:p>
            <w:pPr>
              <w:pStyle w:val="BDOITable"/>
            </w:pPr>
            <w:r>
              <w:rPr>
                <w:sz w:val="18"/>
              </w:rPr>
              <w:t>Functional baseline</w:t>
            </w:r>
          </w:p>
        </w:tc>
      </w:tr>
    </w:tbl>
    <w:p>
      <w:pPr>
        <w:pStyle w:val="BDOISpacer"/>
      </w:pPr>
    </w:p>
    <w:p>
      <w:pPr>
        <w:pStyle w:val="Heading2"/>
      </w:pPr>
      <w:bookmarkStart w:id="105" w:name="_Toc000105"/>
      <w:r>
        <w:rPr/>
        <w:t>1.4 Conventions</w:t>
      </w:r>
      <w:bookmarkEnd w:id="105"/>
    </w:p>
    <w:p>
      <w:r>
        <w:rPr/>
        <w:t>Open points of this document are numbered SA-01 to SA-11 (chapter 14). IQ numbers refer to the questions of the Programme Alignment pack; DCR and CRQ numbers to the discrepancy register and the umbrella BRD questions; ADR numbers to the Architecture Decision Records. Dates are written dd-MMM-yyyy in tables.</w:t>
      </w:r>
    </w:p>
    <w:p>
      <w:pPr>
        <w:pStyle w:val="Heading1"/>
        <w:pBdr>
          <w:bottom w:val="single" w:sz="4" w:space="4" w:color="99C1E7"/>
        </w:pBdr>
      </w:pPr>
      <w:bookmarkStart w:id="106" w:name="_Toc000106"/>
      <w:r>
        <w:rPr/>
        <w:t>2 Business architecture</w:t>
      </w:r>
      <w:bookmarkEnd w:id="106"/>
    </w:p>
    <w:p>
      <w:pPr>
        <w:pStyle w:val="Heading2"/>
      </w:pPr>
      <w:bookmarkStart w:id="107" w:name="_Toc000107"/>
      <w:r>
        <w:rPr/>
        <w:t>2.1 BDOI's business in one view</w:t>
      </w:r>
      <w:bookmarkEnd w:id="107"/>
    </w:p>
    <w:p>
      <w:r>
        <w:rPr/>
        <w:t>BDOI is an insurance broker. Insurers issue the policies; BDOI finds the cover for its clients - bank borrowers, retail and corporate clients of BDO - places it with insurers, collects the premium and remits it, earns commission and service fees, and services the client through renewal and claims. The core business flow is:</w:t>
      </w:r>
    </w:p>
    <w:p>
      <w:pPr>
        <w:tabs>
          <w:tab w:pos="312" w:val="left"/>
        </w:tabs>
        <w:spacing w:after="40"/>
        <w:ind w:left="312" w:hanging="283"/>
      </w:pPr>
      <w:r>
        <w:rPr>
          <w:color w:val="004EA8"/>
        </w:rPr>
        <w:t>1.</w:t>
        <w:tab/>
      </w:r>
      <w:r>
        <w:rPr/>
        <w:t>Marketing receives a quotation request (by e-mail, from the home loan system or by bulk upload) and quotes a package product, or raises a Proposal Request (PRF) that TSU prices with insurers for a non-package risk.</w:t>
      </w:r>
    </w:p>
    <w:p>
      <w:pPr>
        <w:tabs>
          <w:tab w:pos="312" w:val="left"/>
        </w:tabs>
        <w:spacing w:after="40"/>
        <w:ind w:left="312" w:hanging="283"/>
      </w:pPr>
      <w:r>
        <w:rPr>
          <w:color w:val="004EA8"/>
        </w:rPr>
        <w:t>2.</w:t>
        <w:tab/>
      </w:r>
      <w:r>
        <w:rPr/>
        <w:t>Marketing onboards the client (prospect, then KYC-verified client, screened against sanction and PEP lists) and creates one or more accounts. The account is the risk record, identified by one Account Reference Number (ARN) from quotation to invoice.</w:t>
      </w:r>
    </w:p>
    <w:p>
      <w:pPr>
        <w:tabs>
          <w:tab w:pos="312" w:val="left"/>
        </w:tabs>
        <w:spacing w:after="40"/>
        <w:ind w:left="312" w:hanging="283"/>
      </w:pPr>
      <w:r>
        <w:rPr>
          <w:color w:val="004EA8"/>
        </w:rPr>
        <w:t>3.</w:t>
        <w:tab/>
      </w:r>
      <w:r>
        <w:rPr/>
        <w:t>Processing checks the payment or the client's confirmation, places the account with the insurer (placement slip, hold cover) and handles insurer returns.</w:t>
      </w:r>
    </w:p>
    <w:p>
      <w:pPr>
        <w:tabs>
          <w:tab w:pos="312" w:val="left"/>
        </w:tabs>
        <w:spacing w:after="40"/>
        <w:ind w:left="312" w:hanging="283"/>
      </w:pPr>
      <w:r>
        <w:rPr>
          <w:color w:val="004EA8"/>
        </w:rPr>
        <w:t>4.</w:t>
        <w:tab/>
      </w:r>
      <w:r>
        <w:rPr/>
        <w:t>Processing receives the e-policy, records the policy number, issues the Insurance Advice for mortgaged accounts and sends the e-policy to the client, encrypted.</w:t>
      </w:r>
    </w:p>
    <w:p>
      <w:pPr>
        <w:tabs>
          <w:tab w:pos="312" w:val="left"/>
        </w:tabs>
        <w:spacing w:after="40"/>
        <w:ind w:left="312" w:hanging="283"/>
      </w:pPr>
      <w:r>
        <w:rPr>
          <w:color w:val="004EA8"/>
        </w:rPr>
        <w:t>5.</w:t>
        <w:tab/>
      </w:r>
      <w:r>
        <w:rPr/>
        <w:t>Processing books the account: the broker accounting entry, the service invoice, cost centre and incentive flag. Endorsements and cancellations follow.</w:t>
      </w:r>
    </w:p>
    <w:p>
      <w:pPr>
        <w:tabs>
          <w:tab w:pos="312" w:val="left"/>
        </w:tabs>
        <w:spacing w:after="40"/>
        <w:ind w:left="312" w:hanging="283"/>
      </w:pPr>
      <w:r>
        <w:rPr>
          <w:color w:val="004EA8"/>
        </w:rPr>
        <w:t>6.</w:t>
        <w:tab/>
      </w:r>
      <w:r>
        <w:rPr/>
        <w:t>Operations receives the premium (cashiering), applies it to invoices, remits it to the insurers net of commission, adjusts and reconciles production with the insurers; Collections follows up what is unpaid.</w:t>
      </w:r>
    </w:p>
    <w:p>
      <w:pPr>
        <w:tabs>
          <w:tab w:pos="312" w:val="left"/>
        </w:tabs>
        <w:spacing w:after="40"/>
        <w:ind w:left="312" w:hanging="283"/>
      </w:pPr>
      <w:r>
        <w:rPr>
          <w:color w:val="004EA8"/>
        </w:rPr>
        <w:t>7.</w:t>
        <w:tab/>
      </w:r>
      <w:r>
        <w:rPr/>
        <w:t>Accounting runs disbursements, the accounting control and sub-ledger (ACSL), the general ledger, BIR returns and the management reports.</w:t>
      </w:r>
    </w:p>
    <w:p>
      <w:pPr>
        <w:tabs>
          <w:tab w:pos="312" w:val="left"/>
        </w:tabs>
        <w:spacing w:after="120"/>
        <w:ind w:left="312" w:hanging="283"/>
      </w:pPr>
      <w:r>
        <w:rPr>
          <w:color w:val="004EA8"/>
        </w:rPr>
        <w:t>8.</w:t>
        <w:tab/>
      </w:r>
      <w:r>
        <w:rPr/>
        <w:t>Renewal extracts expiring policies 140 days ahead and runs them through sanitation, disposition and insurer approval; Claims handling, Employee Benefits and the Customer Servicing Facility serve clients after placement.</w:t>
      </w:r>
    </w:p>
    <w:p>
      <w:pPr>
        <w:pStyle w:val="Heading2"/>
      </w:pPr>
      <w:bookmarkStart w:id="108" w:name="_Toc000108"/>
      <w:r>
        <w:rPr/>
        <w:t>2.2 Business capabilities and where they live</w:t>
      </w:r>
      <w:bookmarkEnd w:id="108"/>
    </w:p>
    <w:p>
      <w:pPr>
        <w:pStyle w:val="Caption"/>
        <w:keepNext/>
        <w:spacing w:after="60"/>
      </w:pPr>
      <w:r>
        <w:rPr>
          <w:b/>
          <w:i w:val="0"/>
        </w:rPr>
        <w:t xml:space="preserve">Table 3: </w:t>
      </w:r>
      <w:r>
        <w:rPr/>
        <w:t>Business capability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1133"/>
        <w:gridCol w:w="906"/>
        <w:gridCol w:w="2606"/>
        <w:gridCol w:w="2833"/>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Drop</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6"/>
              </w:rPr>
              <w:t>Bounded context</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Main outcomes</w:t>
            </w:r>
          </w:p>
        </w:tc>
      </w:tr>
      <w:tr>
        <w:trPr>
          <w:cantSplit w:val="true"/>
        </w:trPr>
        <w:tc>
          <w:tcPr>
            <w:tcW w:type="dxa" w:w="2493"/>
            <w:tcMar>
              <w:top w:w="50" w:type="dxa"/>
              <w:bottom w:w="50" w:type="dxa"/>
              <w:left w:w="90" w:type="dxa"/>
              <w:right w:w="90" w:type="dxa"/>
            </w:tcMar>
          </w:tcPr>
          <w:p>
            <w:pPr>
              <w:pStyle w:val="BDOITable"/>
            </w:pPr>
            <w:r>
              <w:rPr>
                <w:b/>
                <w:sz w:val="16"/>
              </w:rPr>
              <w:t>Product and package maintenance</w:t>
            </w:r>
          </w:p>
        </w:tc>
        <w:tc>
          <w:tcPr>
            <w:tcW w:type="dxa" w:w="1133"/>
            <w:tcMar>
              <w:top w:w="50" w:type="dxa"/>
              <w:bottom w:w="50" w:type="dxa"/>
              <w:left w:w="90" w:type="dxa"/>
              <w:right w:w="90" w:type="dxa"/>
            </w:tcMar>
          </w:tcPr>
          <w:p>
            <w:pPr>
              <w:pStyle w:val="BDOITable"/>
            </w:pPr>
            <w:r>
              <w:rPr>
                <w:sz w:val="16"/>
              </w:rPr>
              <w:t>BRD-03</w:t>
            </w:r>
          </w:p>
        </w:tc>
        <w:tc>
          <w:tcPr>
            <w:tcW w:type="dxa" w:w="907"/>
            <w:tcMar>
              <w:top w:w="50" w:type="dxa"/>
              <w:bottom w:w="50" w:type="dxa"/>
              <w:left w:w="90" w:type="dxa"/>
              <w:right w:w="90" w:type="dxa"/>
            </w:tcMar>
          </w:tcPr>
          <w:p>
            <w:pPr>
              <w:pStyle w:val="BDOITable"/>
            </w:pPr>
            <w:r>
              <w:rPr>
                <w:sz w:val="16"/>
              </w:rPr>
              <w:t>Drop 0</w:t>
            </w:r>
          </w:p>
        </w:tc>
        <w:tc>
          <w:tcPr>
            <w:tcW w:type="dxa" w:w="2606"/>
            <w:tcMar>
              <w:top w:w="50" w:type="dxa"/>
              <w:bottom w:w="50" w:type="dxa"/>
              <w:left w:w="90" w:type="dxa"/>
              <w:right w:w="90" w:type="dxa"/>
            </w:tcMar>
          </w:tcPr>
          <w:p>
            <w:pPr>
              <w:pStyle w:val="BDOITable"/>
            </w:pPr>
            <w:r>
              <w:rPr>
                <w:sz w:val="16"/>
              </w:rPr>
              <w:t>BC02 Product catalogue and maintenance</w:t>
            </w:r>
          </w:p>
        </w:tc>
        <w:tc>
          <w:tcPr>
            <w:tcW w:type="dxa" w:w="2833"/>
            <w:tcMar>
              <w:top w:w="50" w:type="dxa"/>
              <w:bottom w:w="50" w:type="dxa"/>
              <w:left w:w="90" w:type="dxa"/>
              <w:right w:w="90" w:type="dxa"/>
            </w:tcMar>
          </w:tcPr>
          <w:p>
            <w:pPr>
              <w:pStyle w:val="BDOITable"/>
            </w:pPr>
            <w:r>
              <w:rPr>
                <w:sz w:val="16"/>
              </w:rPr>
              <w:t>Versioned packages, rate and commission tables, approvals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User access maintenance</w:t>
            </w:r>
          </w:p>
        </w:tc>
        <w:tc>
          <w:tcPr>
            <w:tcW w:type="dxa" w:w="1133"/>
            <w:tcMar>
              <w:top w:w="50" w:type="dxa"/>
              <w:bottom w:w="50" w:type="dxa"/>
              <w:left w:w="90" w:type="dxa"/>
              <w:right w:w="90" w:type="dxa"/>
            </w:tcMar>
            <w:shd w:val="clear" w:color="auto" w:fill="E5F5FF"/>
          </w:tcPr>
          <w:p>
            <w:pPr>
              <w:pStyle w:val="BDOITable"/>
            </w:pPr>
            <w:r>
              <w:rPr>
                <w:sz w:val="16"/>
              </w:rPr>
              <w:t>BRD-11</w:t>
            </w:r>
          </w:p>
        </w:tc>
        <w:tc>
          <w:tcPr>
            <w:tcW w:type="dxa" w:w="907"/>
            <w:tcMar>
              <w:top w:w="50" w:type="dxa"/>
              <w:bottom w:w="50" w:type="dxa"/>
              <w:left w:w="90" w:type="dxa"/>
              <w:right w:w="90" w:type="dxa"/>
            </w:tcMar>
            <w:shd w:val="clear" w:color="auto" w:fill="E5F5FF"/>
          </w:tcPr>
          <w:p>
            <w:pPr>
              <w:pStyle w:val="BDOITable"/>
            </w:pPr>
            <w:r>
              <w:rPr>
                <w:sz w:val="16"/>
              </w:rPr>
              <w:t>Drop 0</w:t>
            </w:r>
          </w:p>
        </w:tc>
        <w:tc>
          <w:tcPr>
            <w:tcW w:type="dxa" w:w="2606"/>
            <w:tcMar>
              <w:top w:w="50" w:type="dxa"/>
              <w:bottom w:w="50" w:type="dxa"/>
              <w:left w:w="90" w:type="dxa"/>
              <w:right w:w="90" w:type="dxa"/>
            </w:tcMar>
            <w:shd w:val="clear" w:color="auto" w:fill="E5F5FF"/>
          </w:tcPr>
          <w:p>
            <w:pPr>
              <w:pStyle w:val="BDOITable"/>
            </w:pPr>
            <w:r>
              <w:rPr>
                <w:sz w:val="16"/>
              </w:rPr>
              <w:t>BC14 User access and identity</w:t>
            </w:r>
          </w:p>
        </w:tc>
        <w:tc>
          <w:tcPr>
            <w:tcW w:type="dxa" w:w="2833"/>
            <w:tcMar>
              <w:top w:w="50" w:type="dxa"/>
              <w:bottom w:w="50" w:type="dxa"/>
              <w:left w:w="90" w:type="dxa"/>
              <w:right w:w="90" w:type="dxa"/>
            </w:tcMar>
            <w:shd w:val="clear" w:color="auto" w:fill="E5F5FF"/>
          </w:tcPr>
          <w:p>
            <w:pPr>
              <w:pStyle w:val="BDOITable"/>
            </w:pPr>
            <w:r>
              <w:rPr>
                <w:sz w:val="16"/>
              </w:rPr>
              <w:t>Access requests under four eyes, roles, data scope, sign-in</w:t>
            </w:r>
          </w:p>
        </w:tc>
      </w:tr>
      <w:tr>
        <w:trPr>
          <w:cantSplit w:val="true"/>
        </w:trPr>
        <w:tc>
          <w:tcPr>
            <w:tcW w:type="dxa" w:w="2493"/>
            <w:tcMar>
              <w:top w:w="50" w:type="dxa"/>
              <w:bottom w:w="50" w:type="dxa"/>
              <w:left w:w="90" w:type="dxa"/>
              <w:right w:w="90" w:type="dxa"/>
            </w:tcMar>
          </w:tcPr>
          <w:p>
            <w:pPr>
              <w:pStyle w:val="BDOITable"/>
            </w:pPr>
            <w:r>
              <w:rPr>
                <w:b/>
                <w:sz w:val="16"/>
              </w:rPr>
              <w:t>Data migration</w:t>
            </w:r>
          </w:p>
        </w:tc>
        <w:tc>
          <w:tcPr>
            <w:tcW w:type="dxa" w:w="1133"/>
            <w:tcMar>
              <w:top w:w="50" w:type="dxa"/>
              <w:bottom w:w="50" w:type="dxa"/>
              <w:left w:w="90" w:type="dxa"/>
              <w:right w:w="90" w:type="dxa"/>
            </w:tcMar>
          </w:tcPr>
          <w:p>
            <w:pPr>
              <w:pStyle w:val="BDOITable"/>
            </w:pPr>
            <w:r>
              <w:rPr>
                <w:sz w:val="16"/>
              </w:rPr>
              <w:t>BRD-13</w:t>
            </w:r>
          </w:p>
        </w:tc>
        <w:tc>
          <w:tcPr>
            <w:tcW w:type="dxa" w:w="907"/>
            <w:tcMar>
              <w:top w:w="50" w:type="dxa"/>
              <w:bottom w:w="50" w:type="dxa"/>
              <w:left w:w="90" w:type="dxa"/>
              <w:right w:w="90" w:type="dxa"/>
            </w:tcMar>
          </w:tcPr>
          <w:p>
            <w:pPr>
              <w:pStyle w:val="BDOITable"/>
            </w:pPr>
            <w:r>
              <w:rPr>
                <w:sz w:val="16"/>
              </w:rPr>
              <w:t>Drop 0</w:t>
            </w:r>
          </w:p>
        </w:tc>
        <w:tc>
          <w:tcPr>
            <w:tcW w:type="dxa" w:w="2606"/>
            <w:tcMar>
              <w:top w:w="50" w:type="dxa"/>
              <w:bottom w:w="50" w:type="dxa"/>
              <w:left w:w="90" w:type="dxa"/>
              <w:right w:w="90" w:type="dxa"/>
            </w:tcMar>
          </w:tcPr>
          <w:p>
            <w:pPr>
              <w:pStyle w:val="BDOITable"/>
            </w:pPr>
            <w:r>
              <w:rPr>
                <w:sz w:val="16"/>
              </w:rPr>
              <w:t>BC15 Data migration</w:t>
            </w:r>
          </w:p>
        </w:tc>
        <w:tc>
          <w:tcPr>
            <w:tcW w:type="dxa" w:w="2833"/>
            <w:tcMar>
              <w:top w:w="50" w:type="dxa"/>
              <w:bottom w:w="50" w:type="dxa"/>
              <w:left w:w="90" w:type="dxa"/>
              <w:right w:w="90" w:type="dxa"/>
            </w:tcMar>
          </w:tcPr>
          <w:p>
            <w:pPr>
              <w:pStyle w:val="BDOITable"/>
            </w:pPr>
            <w:r>
              <w:rPr>
                <w:sz w:val="16"/>
              </w:rPr>
              <w:t>Legacy data loaded, reconciled and signed off</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New business: client, quotation, placement, issuance, booking</w:t>
            </w:r>
          </w:p>
        </w:tc>
        <w:tc>
          <w:tcPr>
            <w:tcW w:type="dxa" w:w="1133"/>
            <w:tcMar>
              <w:top w:w="50" w:type="dxa"/>
              <w:bottom w:w="50" w:type="dxa"/>
              <w:left w:w="90" w:type="dxa"/>
              <w:right w:w="90" w:type="dxa"/>
            </w:tcMar>
            <w:shd w:val="clear" w:color="auto" w:fill="E5F5FF"/>
          </w:tcPr>
          <w:p>
            <w:pPr>
              <w:pStyle w:val="BDOITable"/>
            </w:pPr>
            <w:r>
              <w:rPr>
                <w:sz w:val="16"/>
              </w:rPr>
              <w:t>BRD-01</w:t>
            </w:r>
          </w:p>
        </w:tc>
        <w:tc>
          <w:tcPr>
            <w:tcW w:type="dxa" w:w="907"/>
            <w:tcMar>
              <w:top w:w="50" w:type="dxa"/>
              <w:bottom w:w="50" w:type="dxa"/>
              <w:left w:w="90" w:type="dxa"/>
              <w:right w:w="90" w:type="dxa"/>
            </w:tcMar>
            <w:shd w:val="clear" w:color="auto" w:fill="E5F5FF"/>
          </w:tcPr>
          <w:p>
            <w:pPr>
              <w:pStyle w:val="BDOITable"/>
            </w:pPr>
            <w:r>
              <w:rPr>
                <w:sz w:val="16"/>
              </w:rPr>
              <w:t>Drop 1</w:t>
            </w:r>
          </w:p>
        </w:tc>
        <w:tc>
          <w:tcPr>
            <w:tcW w:type="dxa" w:w="2606"/>
            <w:tcMar>
              <w:top w:w="50" w:type="dxa"/>
              <w:bottom w:w="50" w:type="dxa"/>
              <w:left w:w="90" w:type="dxa"/>
              <w:right w:w="90" w:type="dxa"/>
            </w:tcMar>
            <w:shd w:val="clear" w:color="auto" w:fill="E5F5FF"/>
          </w:tcPr>
          <w:p>
            <w:pPr>
              <w:pStyle w:val="BDOITable"/>
            </w:pPr>
            <w:r>
              <w:rPr>
                <w:sz w:val="16"/>
              </w:rPr>
              <w:t>BC01 Client management, BC03 New business broking</w:t>
            </w:r>
          </w:p>
        </w:tc>
        <w:tc>
          <w:tcPr>
            <w:tcW w:type="dxa" w:w="2833"/>
            <w:tcMar>
              <w:top w:w="50" w:type="dxa"/>
              <w:bottom w:w="50" w:type="dxa"/>
              <w:left w:w="90" w:type="dxa"/>
              <w:right w:w="90" w:type="dxa"/>
            </w:tcMar>
            <w:shd w:val="clear" w:color="auto" w:fill="E5F5FF"/>
          </w:tcPr>
          <w:p>
            <w:pPr>
              <w:pStyle w:val="BDOITable"/>
            </w:pPr>
            <w:r>
              <w:rPr>
                <w:sz w:val="16"/>
              </w:rPr>
              <w:t>ARN from quotation to invoice; booked invoices</w:t>
            </w:r>
          </w:p>
        </w:tc>
      </w:tr>
      <w:tr>
        <w:trPr>
          <w:cantSplit w:val="true"/>
        </w:trPr>
        <w:tc>
          <w:tcPr>
            <w:tcW w:type="dxa" w:w="2493"/>
            <w:tcMar>
              <w:top w:w="50" w:type="dxa"/>
              <w:bottom w:w="50" w:type="dxa"/>
              <w:left w:w="90" w:type="dxa"/>
              <w:right w:w="90" w:type="dxa"/>
            </w:tcMar>
          </w:tcPr>
          <w:p>
            <w:pPr>
              <w:pStyle w:val="BDOITable"/>
            </w:pPr>
            <w:r>
              <w:rPr>
                <w:b/>
                <w:sz w:val="16"/>
              </w:rPr>
              <w:t>Operations: cashiering, remittance, adjustment, commission, production reconciliation</w:t>
            </w:r>
          </w:p>
        </w:tc>
        <w:tc>
          <w:tcPr>
            <w:tcW w:type="dxa" w:w="1133"/>
            <w:tcMar>
              <w:top w:w="50" w:type="dxa"/>
              <w:bottom w:w="50" w:type="dxa"/>
              <w:left w:w="90" w:type="dxa"/>
              <w:right w:w="90" w:type="dxa"/>
            </w:tcMar>
          </w:tcPr>
          <w:p>
            <w:pPr>
              <w:pStyle w:val="BDOITable"/>
            </w:pPr>
            <w:r>
              <w:rPr>
                <w:sz w:val="16"/>
              </w:rPr>
              <w:t>BRD-02</w:t>
            </w:r>
          </w:p>
        </w:tc>
        <w:tc>
          <w:tcPr>
            <w:tcW w:type="dxa" w:w="907"/>
            <w:tcMar>
              <w:top w:w="50" w:type="dxa"/>
              <w:bottom w:w="50" w:type="dxa"/>
              <w:left w:w="90" w:type="dxa"/>
              <w:right w:w="90" w:type="dxa"/>
            </w:tcMar>
          </w:tcPr>
          <w:p>
            <w:pPr>
              <w:pStyle w:val="BDOITable"/>
            </w:pPr>
            <w:r>
              <w:rPr>
                <w:sz w:val="16"/>
              </w:rPr>
              <w:t>Drop 1</w:t>
            </w:r>
          </w:p>
        </w:tc>
        <w:tc>
          <w:tcPr>
            <w:tcW w:type="dxa" w:w="2606"/>
            <w:tcMar>
              <w:top w:w="50" w:type="dxa"/>
              <w:bottom w:w="50" w:type="dxa"/>
              <w:left w:w="90" w:type="dxa"/>
              <w:right w:w="90" w:type="dxa"/>
            </w:tcMar>
          </w:tcPr>
          <w:p>
            <w:pPr>
              <w:pStyle w:val="BDOITable"/>
            </w:pPr>
            <w:r>
              <w:rPr>
                <w:sz w:val="16"/>
              </w:rPr>
              <w:t>BC06 Operations</w:t>
            </w:r>
          </w:p>
        </w:tc>
        <w:tc>
          <w:tcPr>
            <w:tcW w:type="dxa" w:w="2833"/>
            <w:tcMar>
              <w:top w:w="50" w:type="dxa"/>
              <w:bottom w:w="50" w:type="dxa"/>
              <w:left w:w="90" w:type="dxa"/>
              <w:right w:w="90" w:type="dxa"/>
            </w:tcMar>
          </w:tcPr>
          <w:p>
            <w:pPr>
              <w:pStyle w:val="BDOITable"/>
            </w:pPr>
            <w:r>
              <w:rPr>
                <w:sz w:val="16"/>
              </w:rPr>
              <w:t>Receipts applied, insurers paid, production reconciled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Collections</w:t>
            </w:r>
          </w:p>
        </w:tc>
        <w:tc>
          <w:tcPr>
            <w:tcW w:type="dxa" w:w="1133"/>
            <w:tcMar>
              <w:top w:w="50" w:type="dxa"/>
              <w:bottom w:w="50" w:type="dxa"/>
              <w:left w:w="90" w:type="dxa"/>
              <w:right w:w="90" w:type="dxa"/>
            </w:tcMar>
            <w:shd w:val="clear" w:color="auto" w:fill="E5F5FF"/>
          </w:tcPr>
          <w:p>
            <w:pPr>
              <w:pStyle w:val="BDOITable"/>
            </w:pPr>
            <w:r>
              <w:rPr>
                <w:sz w:val="16"/>
              </w:rPr>
              <w:t>BRD-04</w:t>
            </w:r>
          </w:p>
        </w:tc>
        <w:tc>
          <w:tcPr>
            <w:tcW w:type="dxa" w:w="907"/>
            <w:tcMar>
              <w:top w:w="50" w:type="dxa"/>
              <w:bottom w:w="50" w:type="dxa"/>
              <w:left w:w="90" w:type="dxa"/>
              <w:right w:w="90" w:type="dxa"/>
            </w:tcMar>
            <w:shd w:val="clear" w:color="auto" w:fill="E5F5FF"/>
          </w:tcPr>
          <w:p>
            <w:pPr>
              <w:pStyle w:val="BDOITable"/>
            </w:pPr>
            <w:r>
              <w:rPr>
                <w:sz w:val="16"/>
              </w:rPr>
              <w:t>Drop 1</w:t>
            </w:r>
          </w:p>
        </w:tc>
        <w:tc>
          <w:tcPr>
            <w:tcW w:type="dxa" w:w="2606"/>
            <w:tcMar>
              <w:top w:w="50" w:type="dxa"/>
              <w:bottom w:w="50" w:type="dxa"/>
              <w:left w:w="90" w:type="dxa"/>
              <w:right w:w="90" w:type="dxa"/>
            </w:tcMar>
            <w:shd w:val="clear" w:color="auto" w:fill="E5F5FF"/>
          </w:tcPr>
          <w:p>
            <w:pPr>
              <w:pStyle w:val="BDOITable"/>
            </w:pPr>
            <w:r>
              <w:rPr>
                <w:sz w:val="16"/>
              </w:rPr>
              <w:t>BC07 Collections</w:t>
            </w:r>
          </w:p>
        </w:tc>
        <w:tc>
          <w:tcPr>
            <w:tcW w:type="dxa" w:w="2833"/>
            <w:tcMar>
              <w:top w:w="50" w:type="dxa"/>
              <w:bottom w:w="50" w:type="dxa"/>
              <w:left w:w="90" w:type="dxa"/>
              <w:right w:w="90" w:type="dxa"/>
            </w:tcMar>
            <w:shd w:val="clear" w:color="auto" w:fill="E5F5FF"/>
          </w:tcPr>
          <w:p>
            <w:pPr>
              <w:pStyle w:val="BDOITable"/>
            </w:pPr>
            <w:r>
              <w:rPr>
                <w:sz w:val="16"/>
              </w:rPr>
              <w:t>Worklists, escalations, collection files</w:t>
            </w:r>
          </w:p>
        </w:tc>
      </w:tr>
      <w:tr>
        <w:trPr>
          <w:cantSplit w:val="true"/>
        </w:trPr>
        <w:tc>
          <w:tcPr>
            <w:tcW w:type="dxa" w:w="2493"/>
            <w:tcMar>
              <w:top w:w="50" w:type="dxa"/>
              <w:bottom w:w="50" w:type="dxa"/>
              <w:left w:w="90" w:type="dxa"/>
              <w:right w:w="90" w:type="dxa"/>
            </w:tcMar>
          </w:tcPr>
          <w:p>
            <w:pPr>
              <w:pStyle w:val="BDOITable"/>
            </w:pPr>
            <w:r>
              <w:rPr>
                <w:b/>
                <w:sz w:val="16"/>
              </w:rPr>
              <w:t>Accounting, disbursement, ACSL</w:t>
            </w:r>
          </w:p>
        </w:tc>
        <w:tc>
          <w:tcPr>
            <w:tcW w:type="dxa" w:w="1133"/>
            <w:tcMar>
              <w:top w:w="50" w:type="dxa"/>
              <w:bottom w:w="50" w:type="dxa"/>
              <w:left w:w="90" w:type="dxa"/>
              <w:right w:w="90" w:type="dxa"/>
            </w:tcMar>
          </w:tcPr>
          <w:p>
            <w:pPr>
              <w:pStyle w:val="BDOITable"/>
            </w:pPr>
            <w:r>
              <w:rPr>
                <w:sz w:val="16"/>
              </w:rPr>
              <w:t>BRD-05</w:t>
            </w:r>
          </w:p>
        </w:tc>
        <w:tc>
          <w:tcPr>
            <w:tcW w:type="dxa" w:w="907"/>
            <w:tcMar>
              <w:top w:w="50" w:type="dxa"/>
              <w:bottom w:w="50" w:type="dxa"/>
              <w:left w:w="90" w:type="dxa"/>
              <w:right w:w="90" w:type="dxa"/>
            </w:tcMar>
          </w:tcPr>
          <w:p>
            <w:pPr>
              <w:pStyle w:val="BDOITable"/>
            </w:pPr>
            <w:r>
              <w:rPr>
                <w:sz w:val="16"/>
              </w:rPr>
              <w:t>Drop 1</w:t>
            </w:r>
          </w:p>
        </w:tc>
        <w:tc>
          <w:tcPr>
            <w:tcW w:type="dxa" w:w="2606"/>
            <w:tcMar>
              <w:top w:w="50" w:type="dxa"/>
              <w:bottom w:w="50" w:type="dxa"/>
              <w:left w:w="90" w:type="dxa"/>
              <w:right w:w="90" w:type="dxa"/>
            </w:tcMar>
          </w:tcPr>
          <w:p>
            <w:pPr>
              <w:pStyle w:val="BDOITable"/>
            </w:pPr>
            <w:r>
              <w:rPr>
                <w:sz w:val="16"/>
              </w:rPr>
              <w:t>BC08, BC09 Finance core</w:t>
            </w:r>
          </w:p>
        </w:tc>
        <w:tc>
          <w:tcPr>
            <w:tcW w:type="dxa" w:w="2833"/>
            <w:tcMar>
              <w:top w:w="50" w:type="dxa"/>
              <w:bottom w:w="50" w:type="dxa"/>
              <w:left w:w="90" w:type="dxa"/>
              <w:right w:w="90" w:type="dxa"/>
            </w:tcMar>
          </w:tcPr>
          <w:p>
            <w:pPr>
              <w:pStyle w:val="BDOITable"/>
            </w:pPr>
            <w:r>
              <w:rPr>
                <w:sz w:val="16"/>
              </w:rPr>
              <w:t>Payments, sub-ledger control, GL, BIR returns, reports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Renewal</w:t>
            </w:r>
          </w:p>
        </w:tc>
        <w:tc>
          <w:tcPr>
            <w:tcW w:type="dxa" w:w="1133"/>
            <w:tcMar>
              <w:top w:w="50" w:type="dxa"/>
              <w:bottom w:w="50" w:type="dxa"/>
              <w:left w:w="90" w:type="dxa"/>
              <w:right w:w="90" w:type="dxa"/>
            </w:tcMar>
            <w:shd w:val="clear" w:color="auto" w:fill="E5F5FF"/>
          </w:tcPr>
          <w:p>
            <w:pPr>
              <w:pStyle w:val="BDOITable"/>
            </w:pPr>
            <w:r>
              <w:rPr>
                <w:sz w:val="16"/>
              </w:rPr>
              <w:t>BRD-06</w:t>
            </w:r>
          </w:p>
        </w:tc>
        <w:tc>
          <w:tcPr>
            <w:tcW w:type="dxa" w:w="907"/>
            <w:tcMar>
              <w:top w:w="50" w:type="dxa"/>
              <w:bottom w:w="50" w:type="dxa"/>
              <w:left w:w="90" w:type="dxa"/>
              <w:right w:w="90" w:type="dxa"/>
            </w:tcMar>
            <w:shd w:val="clear" w:color="auto" w:fill="E5F5FF"/>
          </w:tcPr>
          <w:p>
            <w:pPr>
              <w:pStyle w:val="BDOITable"/>
            </w:pPr>
            <w:r>
              <w:rPr>
                <w:sz w:val="16"/>
              </w:rPr>
              <w:t>Drop 1</w:t>
            </w:r>
          </w:p>
        </w:tc>
        <w:tc>
          <w:tcPr>
            <w:tcW w:type="dxa" w:w="2606"/>
            <w:tcMar>
              <w:top w:w="50" w:type="dxa"/>
              <w:bottom w:w="50" w:type="dxa"/>
              <w:left w:w="90" w:type="dxa"/>
              <w:right w:w="90" w:type="dxa"/>
            </w:tcMar>
            <w:shd w:val="clear" w:color="auto" w:fill="E5F5FF"/>
          </w:tcPr>
          <w:p>
            <w:pPr>
              <w:pStyle w:val="BDOITable"/>
            </w:pPr>
            <w:r>
              <w:rPr>
                <w:sz w:val="16"/>
              </w:rPr>
              <w:t>BC04 Renewal</w:t>
            </w:r>
          </w:p>
        </w:tc>
        <w:tc>
          <w:tcPr>
            <w:tcW w:type="dxa" w:w="2833"/>
            <w:tcMar>
              <w:top w:w="50" w:type="dxa"/>
              <w:bottom w:w="50" w:type="dxa"/>
              <w:left w:w="90" w:type="dxa"/>
              <w:right w:w="90" w:type="dxa"/>
            </w:tcMar>
            <w:shd w:val="clear" w:color="auto" w:fill="E5F5FF"/>
          </w:tcPr>
          <w:p>
            <w:pPr>
              <w:pStyle w:val="BDOITable"/>
            </w:pPr>
            <w:r>
              <w:rPr>
                <w:sz w:val="16"/>
              </w:rPr>
              <w:t>Expiring policies renewed or released</w:t>
            </w:r>
          </w:p>
        </w:tc>
      </w:tr>
      <w:tr>
        <w:trPr>
          <w:cantSplit w:val="true"/>
        </w:trPr>
        <w:tc>
          <w:tcPr>
            <w:tcW w:type="dxa" w:w="2493"/>
            <w:tcMar>
              <w:top w:w="50" w:type="dxa"/>
              <w:bottom w:w="50" w:type="dxa"/>
              <w:left w:w="90" w:type="dxa"/>
              <w:right w:w="90" w:type="dxa"/>
            </w:tcMar>
          </w:tcPr>
          <w:p>
            <w:pPr>
              <w:pStyle w:val="BDOITable"/>
            </w:pPr>
            <w:r>
              <w:rPr>
                <w:b/>
                <w:sz w:val="16"/>
              </w:rPr>
              <w:t>Customer servicing</w:t>
            </w:r>
          </w:p>
        </w:tc>
        <w:tc>
          <w:tcPr>
            <w:tcW w:type="dxa" w:w="1133"/>
            <w:tcMar>
              <w:top w:w="50" w:type="dxa"/>
              <w:bottom w:w="50" w:type="dxa"/>
              <w:left w:w="90" w:type="dxa"/>
              <w:right w:w="90" w:type="dxa"/>
            </w:tcMar>
          </w:tcPr>
          <w:p>
            <w:pPr>
              <w:pStyle w:val="BDOITable"/>
            </w:pPr>
            <w:r>
              <w:rPr>
                <w:sz w:val="16"/>
              </w:rPr>
              <w:t>BRD-09</w:t>
            </w:r>
          </w:p>
        </w:tc>
        <w:tc>
          <w:tcPr>
            <w:tcW w:type="dxa" w:w="907"/>
            <w:tcMar>
              <w:top w:w="50" w:type="dxa"/>
              <w:bottom w:w="50" w:type="dxa"/>
              <w:left w:w="90" w:type="dxa"/>
              <w:right w:w="90" w:type="dxa"/>
            </w:tcMar>
          </w:tcPr>
          <w:p>
            <w:pPr>
              <w:pStyle w:val="BDOITable"/>
            </w:pPr>
            <w:r>
              <w:rPr>
                <w:sz w:val="16"/>
              </w:rPr>
              <w:t>Drop 1</w:t>
            </w:r>
          </w:p>
        </w:tc>
        <w:tc>
          <w:tcPr>
            <w:tcW w:type="dxa" w:w="2606"/>
            <w:tcMar>
              <w:top w:w="50" w:type="dxa"/>
              <w:bottom w:w="50" w:type="dxa"/>
              <w:left w:w="90" w:type="dxa"/>
              <w:right w:w="90" w:type="dxa"/>
            </w:tcMar>
          </w:tcPr>
          <w:p>
            <w:pPr>
              <w:pStyle w:val="BDOITable"/>
            </w:pPr>
            <w:r>
              <w:rPr>
                <w:sz w:val="16"/>
              </w:rPr>
              <w:t>BC12 Customer servicing</w:t>
            </w:r>
          </w:p>
        </w:tc>
        <w:tc>
          <w:tcPr>
            <w:tcW w:type="dxa" w:w="2833"/>
            <w:tcMar>
              <w:top w:w="50" w:type="dxa"/>
              <w:bottom w:w="50" w:type="dxa"/>
              <w:left w:w="90" w:type="dxa"/>
              <w:right w:w="90" w:type="dxa"/>
            </w:tcMar>
          </w:tcPr>
          <w:p>
            <w:pPr>
              <w:pStyle w:val="BDOITable"/>
            </w:pPr>
            <w:r>
              <w:rPr>
                <w:sz w:val="16"/>
              </w:rPr>
              <w:t>Contact Center cases and service requests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Sanction screening and risk profiling</w:t>
            </w:r>
          </w:p>
        </w:tc>
        <w:tc>
          <w:tcPr>
            <w:tcW w:type="dxa" w:w="1133"/>
            <w:tcMar>
              <w:top w:w="50" w:type="dxa"/>
              <w:bottom w:w="50" w:type="dxa"/>
              <w:left w:w="90" w:type="dxa"/>
              <w:right w:w="90" w:type="dxa"/>
            </w:tcMar>
            <w:shd w:val="clear" w:color="auto" w:fill="E5F5FF"/>
          </w:tcPr>
          <w:p>
            <w:pPr>
              <w:pStyle w:val="BDOITable"/>
            </w:pPr>
            <w:r>
              <w:rPr>
                <w:sz w:val="16"/>
              </w:rPr>
              <w:t>BRD-10</w:t>
            </w:r>
          </w:p>
        </w:tc>
        <w:tc>
          <w:tcPr>
            <w:tcW w:type="dxa" w:w="907"/>
            <w:tcMar>
              <w:top w:w="50" w:type="dxa"/>
              <w:bottom w:w="50" w:type="dxa"/>
              <w:left w:w="90" w:type="dxa"/>
              <w:right w:w="90" w:type="dxa"/>
            </w:tcMar>
            <w:shd w:val="clear" w:color="auto" w:fill="E5F5FF"/>
          </w:tcPr>
          <w:p>
            <w:pPr>
              <w:pStyle w:val="BDOITable"/>
            </w:pPr>
            <w:r>
              <w:rPr>
                <w:sz w:val="16"/>
              </w:rPr>
              <w:t>Drop 1</w:t>
            </w:r>
          </w:p>
        </w:tc>
        <w:tc>
          <w:tcPr>
            <w:tcW w:type="dxa" w:w="2606"/>
            <w:tcMar>
              <w:top w:w="50" w:type="dxa"/>
              <w:bottom w:w="50" w:type="dxa"/>
              <w:left w:w="90" w:type="dxa"/>
              <w:right w:w="90" w:type="dxa"/>
            </w:tcMar>
            <w:shd w:val="clear" w:color="auto" w:fill="E5F5FF"/>
          </w:tcPr>
          <w:p>
            <w:pPr>
              <w:pStyle w:val="BDOITable"/>
            </w:pPr>
            <w:r>
              <w:rPr>
                <w:sz w:val="16"/>
              </w:rPr>
              <w:t>BC13 Sanction screening</w:t>
            </w:r>
          </w:p>
        </w:tc>
        <w:tc>
          <w:tcPr>
            <w:tcW w:type="dxa" w:w="2833"/>
            <w:tcMar>
              <w:top w:w="50" w:type="dxa"/>
              <w:bottom w:w="50" w:type="dxa"/>
              <w:left w:w="90" w:type="dxa"/>
              <w:right w:w="90" w:type="dxa"/>
            </w:tcMar>
            <w:shd w:val="clear" w:color="auto" w:fill="E5F5FF"/>
          </w:tcPr>
          <w:p>
            <w:pPr>
              <w:pStyle w:val="BDOITable"/>
            </w:pPr>
            <w:r>
              <w:rPr>
                <w:sz w:val="16"/>
              </w:rPr>
              <w:t>Screened clients, cases, STRs</w:t>
            </w:r>
          </w:p>
        </w:tc>
      </w:tr>
      <w:tr>
        <w:trPr>
          <w:cantSplit w:val="true"/>
        </w:trPr>
        <w:tc>
          <w:tcPr>
            <w:tcW w:type="dxa" w:w="2493"/>
            <w:tcMar>
              <w:top w:w="50" w:type="dxa"/>
              <w:bottom w:w="50" w:type="dxa"/>
              <w:left w:w="90" w:type="dxa"/>
              <w:right w:w="90" w:type="dxa"/>
            </w:tcMar>
          </w:tcPr>
          <w:p>
            <w:pPr>
              <w:pStyle w:val="BDOITable"/>
            </w:pPr>
            <w:r>
              <w:rPr>
                <w:b/>
                <w:sz w:val="16"/>
              </w:rPr>
              <w:t>Submitted policies</w:t>
            </w:r>
          </w:p>
        </w:tc>
        <w:tc>
          <w:tcPr>
            <w:tcW w:type="dxa" w:w="1133"/>
            <w:tcMar>
              <w:top w:w="50" w:type="dxa"/>
              <w:bottom w:w="50" w:type="dxa"/>
              <w:left w:w="90" w:type="dxa"/>
              <w:right w:w="90" w:type="dxa"/>
            </w:tcMar>
          </w:tcPr>
          <w:p>
            <w:pPr>
              <w:pStyle w:val="BDOITable"/>
            </w:pPr>
            <w:r>
              <w:rPr>
                <w:sz w:val="16"/>
              </w:rPr>
              <w:t>BRD-12</w:t>
            </w:r>
          </w:p>
        </w:tc>
        <w:tc>
          <w:tcPr>
            <w:tcW w:type="dxa" w:w="907"/>
            <w:tcMar>
              <w:top w:w="50" w:type="dxa"/>
              <w:bottom w:w="50" w:type="dxa"/>
              <w:left w:w="90" w:type="dxa"/>
              <w:right w:w="90" w:type="dxa"/>
            </w:tcMar>
          </w:tcPr>
          <w:p>
            <w:pPr>
              <w:pStyle w:val="BDOITable"/>
            </w:pPr>
            <w:r>
              <w:rPr>
                <w:sz w:val="16"/>
              </w:rPr>
              <w:t>Drop 1</w:t>
            </w:r>
          </w:p>
        </w:tc>
        <w:tc>
          <w:tcPr>
            <w:tcW w:type="dxa" w:w="2606"/>
            <w:tcMar>
              <w:top w:w="50" w:type="dxa"/>
              <w:bottom w:w="50" w:type="dxa"/>
              <w:left w:w="90" w:type="dxa"/>
              <w:right w:w="90" w:type="dxa"/>
            </w:tcMar>
          </w:tcPr>
          <w:p>
            <w:pPr>
              <w:pStyle w:val="BDOITable"/>
            </w:pPr>
            <w:r>
              <w:rPr>
                <w:sz w:val="16"/>
              </w:rPr>
              <w:t>BC05 Submitted policies</w:t>
            </w:r>
          </w:p>
        </w:tc>
        <w:tc>
          <w:tcPr>
            <w:tcW w:type="dxa" w:w="2833"/>
            <w:tcMar>
              <w:top w:w="50" w:type="dxa"/>
              <w:bottom w:w="50" w:type="dxa"/>
              <w:left w:w="90" w:type="dxa"/>
              <w:right w:w="90" w:type="dxa"/>
            </w:tcMar>
          </w:tcPr>
          <w:p>
            <w:pPr>
              <w:pStyle w:val="BDOITable"/>
            </w:pPr>
            <w:r>
              <w:rPr>
                <w:sz w:val="16"/>
              </w:rPr>
              <w:t>Collateral policies approved and tracked</w:t>
            </w:r>
          </w:p>
        </w:tc>
      </w:tr>
      <w:tr>
        <w:trPr>
          <w:cantSplit w:val="true"/>
        </w:trPr>
        <w:tc>
          <w:tcPr>
            <w:tcW w:type="dxa" w:w="2493"/>
            <w:tcMar>
              <w:top w:w="50" w:type="dxa"/>
              <w:bottom w:w="50" w:type="dxa"/>
              <w:left w:w="90" w:type="dxa"/>
              <w:right w:w="90" w:type="dxa"/>
            </w:tcMar>
            <w:shd w:val="clear" w:color="auto" w:fill="E5F5FF"/>
          </w:tcPr>
          <w:p>
            <w:pPr>
              <w:pStyle w:val="BDOITable"/>
            </w:pPr>
            <w:r>
              <w:rPr>
                <w:b/>
                <w:sz w:val="16"/>
              </w:rPr>
              <w:t>Claims handling</w:t>
            </w:r>
          </w:p>
        </w:tc>
        <w:tc>
          <w:tcPr>
            <w:tcW w:type="dxa" w:w="1133"/>
            <w:tcMar>
              <w:top w:w="50" w:type="dxa"/>
              <w:bottom w:w="50" w:type="dxa"/>
              <w:left w:w="90" w:type="dxa"/>
              <w:right w:w="90" w:type="dxa"/>
            </w:tcMar>
            <w:shd w:val="clear" w:color="auto" w:fill="E5F5FF"/>
          </w:tcPr>
          <w:p>
            <w:pPr>
              <w:pStyle w:val="BDOITable"/>
            </w:pPr>
            <w:r>
              <w:rPr>
                <w:sz w:val="16"/>
              </w:rPr>
              <w:t>BRD-07</w:t>
            </w:r>
          </w:p>
        </w:tc>
        <w:tc>
          <w:tcPr>
            <w:tcW w:type="dxa" w:w="907"/>
            <w:tcMar>
              <w:top w:w="50" w:type="dxa"/>
              <w:bottom w:w="50" w:type="dxa"/>
              <w:left w:w="90" w:type="dxa"/>
              <w:right w:w="90" w:type="dxa"/>
            </w:tcMar>
            <w:shd w:val="clear" w:color="auto" w:fill="E5F5FF"/>
          </w:tcPr>
          <w:p>
            <w:pPr>
              <w:pStyle w:val="BDOITable"/>
            </w:pPr>
            <w:r>
              <w:rPr>
                <w:sz w:val="16"/>
              </w:rPr>
              <w:t>Drop 2</w:t>
            </w:r>
          </w:p>
        </w:tc>
        <w:tc>
          <w:tcPr>
            <w:tcW w:type="dxa" w:w="2606"/>
            <w:tcMar>
              <w:top w:w="50" w:type="dxa"/>
              <w:bottom w:w="50" w:type="dxa"/>
              <w:left w:w="90" w:type="dxa"/>
              <w:right w:w="90" w:type="dxa"/>
            </w:tcMar>
            <w:shd w:val="clear" w:color="auto" w:fill="E5F5FF"/>
          </w:tcPr>
          <w:p>
            <w:pPr>
              <w:pStyle w:val="BDOITable"/>
            </w:pPr>
            <w:r>
              <w:rPr>
                <w:sz w:val="16"/>
              </w:rPr>
              <w:t>BC10 Claims handling</w:t>
            </w:r>
          </w:p>
        </w:tc>
        <w:tc>
          <w:tcPr>
            <w:tcW w:type="dxa" w:w="2833"/>
            <w:tcMar>
              <w:top w:w="50" w:type="dxa"/>
              <w:bottom w:w="50" w:type="dxa"/>
              <w:left w:w="90" w:type="dxa"/>
              <w:right w:w="90" w:type="dxa"/>
            </w:tcMar>
            <w:shd w:val="clear" w:color="auto" w:fill="E5F5FF"/>
          </w:tcPr>
          <w:p>
            <w:pPr>
              <w:pStyle w:val="BDOITable"/>
            </w:pPr>
            <w:r>
              <w:rPr>
                <w:sz w:val="16"/>
              </w:rPr>
              <w:t>Claim files followed to settlement</w:t>
            </w:r>
          </w:p>
        </w:tc>
      </w:tr>
      <w:tr>
        <w:trPr>
          <w:cantSplit w:val="true"/>
        </w:trPr>
        <w:tc>
          <w:tcPr>
            <w:tcW w:type="dxa" w:w="2493"/>
            <w:tcMar>
              <w:top w:w="50" w:type="dxa"/>
              <w:bottom w:w="50" w:type="dxa"/>
              <w:left w:w="90" w:type="dxa"/>
              <w:right w:w="90" w:type="dxa"/>
            </w:tcMar>
          </w:tcPr>
          <w:p>
            <w:pPr>
              <w:pStyle w:val="BDOITable"/>
            </w:pPr>
            <w:r>
              <w:rPr>
                <w:b/>
                <w:sz w:val="16"/>
              </w:rPr>
              <w:t>Employee benefits</w:t>
            </w:r>
          </w:p>
        </w:tc>
        <w:tc>
          <w:tcPr>
            <w:tcW w:type="dxa" w:w="1133"/>
            <w:tcMar>
              <w:top w:w="50" w:type="dxa"/>
              <w:bottom w:w="50" w:type="dxa"/>
              <w:left w:w="90" w:type="dxa"/>
              <w:right w:w="90" w:type="dxa"/>
            </w:tcMar>
          </w:tcPr>
          <w:p>
            <w:pPr>
              <w:pStyle w:val="BDOITable"/>
            </w:pPr>
            <w:r>
              <w:rPr>
                <w:sz w:val="16"/>
              </w:rPr>
              <w:t>BRD-08</w:t>
            </w:r>
          </w:p>
        </w:tc>
        <w:tc>
          <w:tcPr>
            <w:tcW w:type="dxa" w:w="907"/>
            <w:tcMar>
              <w:top w:w="50" w:type="dxa"/>
              <w:bottom w:w="50" w:type="dxa"/>
              <w:left w:w="90" w:type="dxa"/>
              <w:right w:w="90" w:type="dxa"/>
            </w:tcMar>
          </w:tcPr>
          <w:p>
            <w:pPr>
              <w:pStyle w:val="BDOITable"/>
            </w:pPr>
            <w:r>
              <w:rPr>
                <w:sz w:val="16"/>
              </w:rPr>
              <w:t>Drop 2</w:t>
            </w:r>
          </w:p>
        </w:tc>
        <w:tc>
          <w:tcPr>
            <w:tcW w:type="dxa" w:w="2606"/>
            <w:tcMar>
              <w:top w:w="50" w:type="dxa"/>
              <w:bottom w:w="50" w:type="dxa"/>
              <w:left w:w="90" w:type="dxa"/>
              <w:right w:w="90" w:type="dxa"/>
            </w:tcMar>
          </w:tcPr>
          <w:p>
            <w:pPr>
              <w:pStyle w:val="BDOITable"/>
            </w:pPr>
            <w:r>
              <w:rPr>
                <w:sz w:val="16"/>
              </w:rPr>
              <w:t>BC11 Employee benefits</w:t>
            </w:r>
          </w:p>
        </w:tc>
        <w:tc>
          <w:tcPr>
            <w:tcW w:type="dxa" w:w="2833"/>
            <w:tcMar>
              <w:top w:w="50" w:type="dxa"/>
              <w:bottom w:w="50" w:type="dxa"/>
              <w:left w:w="90" w:type="dxa"/>
              <w:right w:w="90" w:type="dxa"/>
            </w:tcMar>
          </w:tcPr>
          <w:p>
            <w:pPr>
              <w:pStyle w:val="BDOITable"/>
            </w:pPr>
            <w:r>
              <w:rPr>
                <w:sz w:val="16"/>
              </w:rPr>
              <w:t>EB programmes and yearly cycles</w:t>
            </w:r>
          </w:p>
        </w:tc>
      </w:tr>
    </w:tbl>
    <w:p>
      <w:pPr>
        <w:pStyle w:val="BDOISpacer"/>
      </w:pPr>
    </w:p>
    <w:p>
      <w:pPr>
        <w:pStyle w:val="Heading2"/>
      </w:pPr>
      <w:bookmarkStart w:id="109" w:name="_Toc000109"/>
      <w:r>
        <w:rPr/>
        <w:t>2.3 Users and usage</w:t>
      </w:r>
      <w:bookmarkEnd w:id="109"/>
    </w:p>
    <w:p>
      <w:pPr>
        <w:pStyle w:val="Caption"/>
        <w:keepNext/>
        <w:spacing w:after="60"/>
      </w:pPr>
      <w:r>
        <w:rPr>
          <w:b/>
          <w:i w:val="0"/>
        </w:rPr>
        <w:t xml:space="preserve">Table 4: </w:t>
      </w:r>
      <w:r>
        <w:rPr/>
        <w:t>Non-functional targets used across the architecture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5099"/>
        <w:gridCol w:w="3513"/>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6"/>
              </w:rPr>
              <w:t>Quality</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3513"/>
            <w:shd w:val="clear" w:color="auto" w:fill="004EA8"/>
            <w:tcMar>
              <w:top w:w="50" w:type="dxa"/>
              <w:bottom w:w="50" w:type="dxa"/>
              <w:left w:w="90" w:type="dxa"/>
              <w:right w:w="90" w:type="dxa"/>
            </w:tcMar>
            <w:vAlign w:val="center"/>
          </w:tcPr>
          <w:p>
            <w:pPr>
              <w:pStyle w:val="BDOITableHeader"/>
            </w:pPr>
            <w:r>
              <w:rPr>
                <w:b/>
                <w:color w:val="FFFFFF"/>
                <w:sz w:val="16"/>
              </w:rPr>
              <w:t>Source</w:t>
            </w:r>
          </w:p>
        </w:tc>
      </w:tr>
      <w:tr>
        <w:trPr>
          <w:cantSplit w:val="true"/>
        </w:trPr>
        <w:tc>
          <w:tcPr>
            <w:tcW w:type="dxa" w:w="1360"/>
            <w:tcMar>
              <w:top w:w="50" w:type="dxa"/>
              <w:bottom w:w="50" w:type="dxa"/>
              <w:left w:w="90" w:type="dxa"/>
              <w:right w:w="90" w:type="dxa"/>
            </w:tcMar>
          </w:tcPr>
          <w:p>
            <w:pPr>
              <w:pStyle w:val="BDOITable"/>
            </w:pPr>
            <w:r>
              <w:rPr>
                <w:b/>
                <w:sz w:val="16"/>
              </w:rPr>
              <w:t>Users</w:t>
            </w:r>
          </w:p>
        </w:tc>
        <w:tc>
          <w:tcPr>
            <w:tcW w:type="dxa" w:w="5099"/>
            <w:tcMar>
              <w:top w:w="50" w:type="dxa"/>
              <w:bottom w:w="50" w:type="dxa"/>
              <w:left w:w="90" w:type="dxa"/>
              <w:right w:w="90" w:type="dxa"/>
            </w:tcMar>
          </w:tcPr>
          <w:p>
            <w:pPr>
              <w:pStyle w:val="BDOITable"/>
            </w:pPr>
            <w:r>
              <w:rPr>
                <w:sz w:val="16"/>
              </w:rPr>
              <w:t>1,344 named users; 429 concurrent sessions as the peak case of the performance test</w:t>
            </w:r>
          </w:p>
        </w:tc>
        <w:tc>
          <w:tcPr>
            <w:tcW w:type="dxa" w:w="3513"/>
            <w:tcMar>
              <w:top w:w="50" w:type="dxa"/>
              <w:bottom w:w="50" w:type="dxa"/>
              <w:left w:w="90" w:type="dxa"/>
              <w:right w:w="90" w:type="dxa"/>
            </w:tcMar>
          </w:tcPr>
          <w:p>
            <w:pPr>
              <w:pStyle w:val="BDOITable"/>
            </w:pPr>
            <w:r>
              <w:rPr>
                <w:sz w:val="16"/>
              </w:rPr>
              <w:t>Umbrella BRD p.42 (CF-04); CRQ21, IQ32 decide which figure governs</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Response time</w:t>
            </w:r>
          </w:p>
        </w:tc>
        <w:tc>
          <w:tcPr>
            <w:tcW w:type="dxa" w:w="5099"/>
            <w:tcMar>
              <w:top w:w="50" w:type="dxa"/>
              <w:bottom w:w="50" w:type="dxa"/>
              <w:left w:w="90" w:type="dxa"/>
              <w:right w:w="90" w:type="dxa"/>
            </w:tcMar>
            <w:shd w:val="clear" w:color="auto" w:fill="E5F5FF"/>
          </w:tcPr>
          <w:p>
            <w:pPr>
              <w:pStyle w:val="BDOITable"/>
            </w:pPr>
            <w:r>
              <w:rPr>
                <w:sz w:val="16"/>
              </w:rPr>
              <w:t>Screens p95 under 2 seconds; every role under 5 seconds; reports and batch runs to the BRD value of each module</w:t>
            </w:r>
          </w:p>
        </w:tc>
        <w:tc>
          <w:tcPr>
            <w:tcW w:type="dxa" w:w="3513"/>
            <w:tcMar>
              <w:top w:w="50" w:type="dxa"/>
              <w:bottom w:w="50" w:type="dxa"/>
              <w:left w:w="90" w:type="dxa"/>
              <w:right w:w="90" w:type="dxa"/>
            </w:tcMar>
            <w:shd w:val="clear" w:color="auto" w:fill="E5F5FF"/>
          </w:tcPr>
          <w:p>
            <w:pPr>
              <w:pStyle w:val="BDOITable"/>
            </w:pPr>
            <w:r>
              <w:rPr>
                <w:sz w:val="16"/>
              </w:rPr>
              <w:t>Umbrella BRD p.42; register proposal; BRD-4, BRD-6, BRD-7 report values</w:t>
            </w:r>
          </w:p>
        </w:tc>
      </w:tr>
      <w:tr>
        <w:trPr>
          <w:cantSplit w:val="true"/>
        </w:trPr>
        <w:tc>
          <w:tcPr>
            <w:tcW w:type="dxa" w:w="1360"/>
            <w:tcMar>
              <w:top w:w="50" w:type="dxa"/>
              <w:bottom w:w="50" w:type="dxa"/>
              <w:left w:w="90" w:type="dxa"/>
              <w:right w:w="90" w:type="dxa"/>
            </w:tcMar>
          </w:tcPr>
          <w:p>
            <w:pPr>
              <w:pStyle w:val="BDOITable"/>
            </w:pPr>
            <w:r>
              <w:rPr>
                <w:b/>
                <w:sz w:val="16"/>
              </w:rPr>
              <w:t>Volumes</w:t>
            </w:r>
          </w:p>
        </w:tc>
        <w:tc>
          <w:tcPr>
            <w:tcW w:type="dxa" w:w="5099"/>
            <w:tcMar>
              <w:top w:w="50" w:type="dxa"/>
              <w:bottom w:w="50" w:type="dxa"/>
              <w:left w:w="90" w:type="dxa"/>
              <w:right w:w="90" w:type="dxa"/>
            </w:tcMar>
          </w:tcPr>
          <w:p>
            <w:pPr>
              <w:pStyle w:val="BDOITable"/>
            </w:pPr>
            <w:r>
              <w:rPr>
                <w:sz w:val="16"/>
              </w:rPr>
              <w:t>New Business 21,200 transactions a month; Renewal 25,800 a month; CSF 144,400 a year; 15 % growth a year over 60 months</w:t>
            </w:r>
          </w:p>
        </w:tc>
        <w:tc>
          <w:tcPr>
            <w:tcW w:type="dxa" w:w="3513"/>
            <w:tcMar>
              <w:top w:w="50" w:type="dxa"/>
              <w:bottom w:w="50" w:type="dxa"/>
              <w:left w:w="90" w:type="dxa"/>
              <w:right w:w="90" w:type="dxa"/>
            </w:tcMar>
          </w:tcPr>
          <w:p>
            <w:pPr>
              <w:pStyle w:val="BDOITable"/>
            </w:pPr>
            <w:r>
              <w:rPr>
                <w:sz w:val="16"/>
              </w:rPr>
              <w:t>Umbrella BRD p.42-45; IER HW and SW sheet</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Availability</w:t>
            </w:r>
          </w:p>
        </w:tc>
        <w:tc>
          <w:tcPr>
            <w:tcW w:type="dxa" w:w="5099"/>
            <w:tcMar>
              <w:top w:w="50" w:type="dxa"/>
              <w:bottom w:w="50" w:type="dxa"/>
              <w:left w:w="90" w:type="dxa"/>
              <w:right w:w="90" w:type="dxa"/>
            </w:tcMar>
            <w:shd w:val="clear" w:color="auto" w:fill="E5F5FF"/>
          </w:tcPr>
          <w:p>
            <w:pPr>
              <w:pStyle w:val="BDOITable"/>
            </w:pPr>
            <w:r>
              <w:rPr>
                <w:sz w:val="16"/>
              </w:rPr>
              <w:t>99.9 % in service hours 06:00-22:00 Monday to Saturday; maintenance window 00:00-04:00</w:t>
            </w:r>
          </w:p>
        </w:tc>
        <w:tc>
          <w:tcPr>
            <w:tcW w:type="dxa" w:w="3513"/>
            <w:tcMar>
              <w:top w:w="50" w:type="dxa"/>
              <w:bottom w:w="50" w:type="dxa"/>
              <w:left w:w="90" w:type="dxa"/>
              <w:right w:w="90" w:type="dxa"/>
            </w:tcMar>
            <w:shd w:val="clear" w:color="auto" w:fill="E5F5FF"/>
          </w:tcPr>
          <w:p>
            <w:pPr>
              <w:pStyle w:val="BDOITable"/>
            </w:pPr>
            <w:r>
              <w:rPr>
                <w:sz w:val="16"/>
              </w:rPr>
              <w:t>Register proposal (umbrella "Refer to BRD")</w:t>
            </w:r>
          </w:p>
        </w:tc>
      </w:tr>
      <w:tr>
        <w:trPr>
          <w:cantSplit w:val="true"/>
        </w:trPr>
        <w:tc>
          <w:tcPr>
            <w:tcW w:type="dxa" w:w="1360"/>
            <w:tcMar>
              <w:top w:w="50" w:type="dxa"/>
              <w:bottom w:w="50" w:type="dxa"/>
              <w:left w:w="90" w:type="dxa"/>
              <w:right w:w="90" w:type="dxa"/>
            </w:tcMar>
          </w:tcPr>
          <w:p>
            <w:pPr>
              <w:pStyle w:val="BDOITable"/>
            </w:pPr>
            <w:r>
              <w:rPr>
                <w:b/>
                <w:sz w:val="16"/>
              </w:rPr>
              <w:t>Recovery</w:t>
            </w:r>
          </w:p>
        </w:tc>
        <w:tc>
          <w:tcPr>
            <w:tcW w:type="dxa" w:w="5099"/>
            <w:tcMar>
              <w:top w:w="50" w:type="dxa"/>
              <w:bottom w:w="50" w:type="dxa"/>
              <w:left w:w="90" w:type="dxa"/>
              <w:right w:w="90" w:type="dxa"/>
            </w:tcMar>
          </w:tcPr>
          <w:p>
            <w:pPr>
              <w:pStyle w:val="BDOITable"/>
            </w:pPr>
            <w:r>
              <w:rPr>
                <w:sz w:val="16"/>
              </w:rPr>
              <w:t>RPO 15 minutes; RTO 4 hours</w:t>
            </w:r>
          </w:p>
        </w:tc>
        <w:tc>
          <w:tcPr>
            <w:tcW w:type="dxa" w:w="3513"/>
            <w:tcMar>
              <w:top w:w="50" w:type="dxa"/>
              <w:bottom w:w="50" w:type="dxa"/>
              <w:left w:w="90" w:type="dxa"/>
              <w:right w:w="90" w:type="dxa"/>
            </w:tcMar>
          </w:tcPr>
          <w:p>
            <w:pPr>
              <w:pStyle w:val="BDOITable"/>
            </w:pPr>
            <w:r>
              <w:rPr>
                <w:sz w:val="16"/>
              </w:rPr>
              <w:t>IER architecture sheets; register DCR-135</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Backup</w:t>
            </w:r>
          </w:p>
        </w:tc>
        <w:tc>
          <w:tcPr>
            <w:tcW w:type="dxa" w:w="5099"/>
            <w:tcMar>
              <w:top w:w="50" w:type="dxa"/>
              <w:bottom w:w="50" w:type="dxa"/>
              <w:left w:w="90" w:type="dxa"/>
              <w:right w:w="90" w:type="dxa"/>
            </w:tcMar>
            <w:shd w:val="clear" w:color="auto" w:fill="E5F5FF"/>
          </w:tcPr>
          <w:p>
            <w:pPr>
              <w:pStyle w:val="BDOITable"/>
            </w:pPr>
            <w:r>
              <w:rPr>
                <w:sz w:val="16"/>
              </w:rPr>
              <w:t>Continuous log archiving with point-in-time recovery; snapshot every 4 hours; monthly copies kept 7 years</w:t>
            </w:r>
          </w:p>
        </w:tc>
        <w:tc>
          <w:tcPr>
            <w:tcW w:type="dxa" w:w="3513"/>
            <w:tcMar>
              <w:top w:w="50" w:type="dxa"/>
              <w:bottom w:w="50" w:type="dxa"/>
              <w:left w:w="90" w:type="dxa"/>
              <w:right w:w="90" w:type="dxa"/>
            </w:tcMar>
            <w:shd w:val="clear" w:color="auto" w:fill="E5F5FF"/>
          </w:tcPr>
          <w:p>
            <w:pPr>
              <w:pStyle w:val="BDOITable"/>
            </w:pPr>
            <w:r>
              <w:rPr>
                <w:sz w:val="16"/>
              </w:rPr>
              <w:t>Umbrella p.45 (every 4 hours, 5 years); register proposal 7 years</w:t>
            </w:r>
          </w:p>
        </w:tc>
      </w:tr>
      <w:tr>
        <w:trPr>
          <w:cantSplit w:val="true"/>
        </w:trPr>
        <w:tc>
          <w:tcPr>
            <w:tcW w:type="dxa" w:w="1360"/>
            <w:tcMar>
              <w:top w:w="50" w:type="dxa"/>
              <w:bottom w:w="50" w:type="dxa"/>
              <w:left w:w="90" w:type="dxa"/>
              <w:right w:w="90" w:type="dxa"/>
            </w:tcMar>
          </w:tcPr>
          <w:p>
            <w:pPr>
              <w:pStyle w:val="BDOITable"/>
            </w:pPr>
            <w:r>
              <w:rPr>
                <w:b/>
                <w:sz w:val="16"/>
              </w:rPr>
              <w:t>Retention</w:t>
            </w:r>
          </w:p>
        </w:tc>
        <w:tc>
          <w:tcPr>
            <w:tcW w:type="dxa" w:w="5099"/>
            <w:tcMar>
              <w:top w:w="50" w:type="dxa"/>
              <w:bottom w:w="50" w:type="dxa"/>
              <w:left w:w="90" w:type="dxa"/>
              <w:right w:w="90" w:type="dxa"/>
            </w:tcMar>
          </w:tcPr>
          <w:p>
            <w:pPr>
              <w:pStyle w:val="BDOITable"/>
            </w:pPr>
            <w:r>
              <w:rPr>
                <w:sz w:val="16"/>
              </w:rPr>
              <w:t>5 years online, 15 years offline as the platform rule; BRD-7 10 / 15; BRD-5, BRD-10, BRD-12 5 / 5</w:t>
            </w:r>
          </w:p>
        </w:tc>
        <w:tc>
          <w:tcPr>
            <w:tcW w:type="dxa" w:w="3513"/>
            <w:tcMar>
              <w:top w:w="50" w:type="dxa"/>
              <w:bottom w:w="50" w:type="dxa"/>
              <w:left w:w="90" w:type="dxa"/>
              <w:right w:w="90" w:type="dxa"/>
            </w:tcMar>
          </w:tcPr>
          <w:p>
            <w:pPr>
              <w:pStyle w:val="BDOITable"/>
            </w:pPr>
            <w:r>
              <w:rPr>
                <w:sz w:val="16"/>
              </w:rPr>
              <w:t>Umbrella p.45; CRQ22</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Security</w:t>
            </w:r>
          </w:p>
        </w:tc>
        <w:tc>
          <w:tcPr>
            <w:tcW w:type="dxa" w:w="5099"/>
            <w:tcMar>
              <w:top w:w="50" w:type="dxa"/>
              <w:bottom w:w="50" w:type="dxa"/>
              <w:left w:w="90" w:type="dxa"/>
              <w:right w:w="90" w:type="dxa"/>
            </w:tcMar>
            <w:shd w:val="clear" w:color="auto" w:fill="E5F5FF"/>
          </w:tcPr>
          <w:p>
            <w:pPr>
              <w:pStyle w:val="BDOITable"/>
            </w:pPr>
            <w:r>
              <w:rPr>
                <w:sz w:val="16"/>
              </w:rPr>
              <w:t>TLS 1.2 or higher on every hop; data encrypted at rest with BDOI-owned KMS keys; MFA for privileged users; audit of every change</w:t>
            </w:r>
          </w:p>
        </w:tc>
        <w:tc>
          <w:tcPr>
            <w:tcW w:type="dxa" w:w="3513"/>
            <w:tcMar>
              <w:top w:w="50" w:type="dxa"/>
              <w:bottom w:w="50" w:type="dxa"/>
              <w:left w:w="90" w:type="dxa"/>
              <w:right w:w="90" w:type="dxa"/>
            </w:tcMar>
            <w:shd w:val="clear" w:color="auto" w:fill="E5F5FF"/>
          </w:tcPr>
          <w:p>
            <w:pPr>
              <w:pStyle w:val="BDOITable"/>
            </w:pPr>
            <w:r>
              <w:rPr>
                <w:sz w:val="16"/>
              </w:rPr>
              <w:t>BDOI decisions of 26-Sep-2026; BRD-11</w:t>
            </w:r>
          </w:p>
        </w:tc>
      </w:tr>
      <w:tr>
        <w:trPr>
          <w:cantSplit w:val="true"/>
        </w:trPr>
        <w:tc>
          <w:tcPr>
            <w:tcW w:type="dxa" w:w="1360"/>
            <w:tcMar>
              <w:top w:w="50" w:type="dxa"/>
              <w:bottom w:w="50" w:type="dxa"/>
              <w:left w:w="90" w:type="dxa"/>
              <w:right w:w="90" w:type="dxa"/>
            </w:tcMar>
          </w:tcPr>
          <w:p>
            <w:pPr>
              <w:pStyle w:val="BDOITable"/>
            </w:pPr>
            <w:r>
              <w:rPr>
                <w:b/>
                <w:sz w:val="16"/>
              </w:rPr>
              <w:t>Data residency</w:t>
            </w:r>
          </w:p>
        </w:tc>
        <w:tc>
          <w:tcPr>
            <w:tcW w:type="dxa" w:w="5099"/>
            <w:tcMar>
              <w:top w:w="50" w:type="dxa"/>
              <w:bottom w:w="50" w:type="dxa"/>
              <w:left w:w="90" w:type="dxa"/>
              <w:right w:w="90" w:type="dxa"/>
            </w:tcMar>
          </w:tcPr>
          <w:p>
            <w:pPr>
              <w:pStyle w:val="BDOITable"/>
            </w:pPr>
            <w:r>
              <w:rPr>
                <w:sz w:val="16"/>
              </w:rPr>
              <w:t>Production data in AWS ap-southeast-1; access restricted to personnel in the Philippines; DR region to be approved</w:t>
            </w:r>
          </w:p>
        </w:tc>
        <w:tc>
          <w:tcPr>
            <w:tcW w:type="dxa" w:w="3513"/>
            <w:tcMar>
              <w:top w:w="50" w:type="dxa"/>
              <w:bottom w:w="50" w:type="dxa"/>
              <w:left w:w="90" w:type="dxa"/>
              <w:right w:w="90" w:type="dxa"/>
            </w:tcMar>
          </w:tcPr>
          <w:p>
            <w:pPr>
              <w:pStyle w:val="BDOITable"/>
            </w:pPr>
            <w:r>
              <w:rPr>
                <w:sz w:val="16"/>
              </w:rPr>
              <w:t>Hosting appendix; IQ26, DSQ01</w:t>
            </w:r>
          </w:p>
        </w:tc>
      </w:tr>
    </w:tbl>
    <w:p>
      <w:pPr>
        <w:pStyle w:val="BDOISpacer"/>
      </w:pPr>
    </w:p>
    <w:p>
      <w:r>
        <w:rPr/>
        <w:t>The umbrella BRD counts 1,344 named users and 429 concurrent sessions by adding the rows of every BRD; Marketing users appear in several rows, so 429 is an upper bound. The architecture and the performance test use 429 concurrent sessions as the peak case until BDOI decides which figure governs (SA-02, IQ32).</w:t>
      </w:r>
    </w:p>
    <w:p>
      <w:pPr>
        <w:pStyle w:val="Heading1"/>
        <w:pBdr>
          <w:bottom w:val="single" w:sz="4" w:space="4" w:color="99C1E7"/>
        </w:pBdr>
      </w:pPr>
      <w:bookmarkStart w:id="110" w:name="_Toc000110"/>
      <w:r>
        <w:rPr/>
        <w:t>3 Application architecture</w:t>
      </w:r>
      <w:bookmarkEnd w:id="110"/>
    </w:p>
    <w:p>
      <w:pPr>
        <w:pStyle w:val="Heading2"/>
      </w:pPr>
      <w:bookmarkStart w:id="111" w:name="_Toc000111"/>
      <w:r>
        <w:rPr/>
        <w:t>3.1 Architecture at a glance</w:t>
      </w:r>
      <w:bookmarkEnd w:id="111"/>
    </w:p>
    <w:p>
      <w:r>
        <w:rPr/>
        <w:t>BIBS is one web application with one backend. The backend is a modular monolith (ADR-01): one Spring Boot 3.5 application on Java 21 with one package per bounded context, one PostgreSQL 16 database in which a business record, its journal, ledger and sub-ledger rows and its audit entry commit together, Valkey 8 for the reference-data cache and cluster-wide job locks, Apache Kafka 3.9 for integration events and Amazon S3 for every file. The web client is a React and TypeScript single-page application served by nginx. Users reach BIBS through the BDO network; BDO systems reach it through Apigee X.</w:t>
      </w:r>
    </w:p>
    <w:p>
      <w:pPr>
        <w:keepNext/>
        <w:spacing w:before="80" w:after="0"/>
        <w:jc w:val="center"/>
      </w:pPr>
      <w:r>
        <w:drawing>
          <wp:inline xmlns:a="http://schemas.openxmlformats.org/drawingml/2006/main" xmlns:pic="http://schemas.openxmlformats.org/drawingml/2006/picture">
            <wp:extent cx="5760000" cy="3202991"/>
            <wp:docPr id="3" name="Picture 3"/>
            <wp:cNvGraphicFramePr>
              <a:graphicFrameLocks noChangeAspect="1"/>
            </wp:cNvGraphicFramePr>
            <a:graphic>
              <a:graphicData uri="http://schemas.openxmlformats.org/drawingml/2006/picture">
                <pic:pic>
                  <pic:nvPicPr>
                    <pic:cNvPr id="0" name="sa_context_1070.jpg"/>
                    <pic:cNvPicPr/>
                  </pic:nvPicPr>
                  <pic:blipFill>
                    <a:blip r:embed="rId15"/>
                    <a:stretch>
                      <a:fillRect/>
                    </a:stretch>
                  </pic:blipFill>
                  <pic:spPr>
                    <a:xfrm>
                      <a:off x="0" y="0"/>
                      <a:ext cx="5760000" cy="3202991"/>
                    </a:xfrm>
                    <a:prstGeom prst="rect"/>
                  </pic:spPr>
                </pic:pic>
              </a:graphicData>
            </a:graphic>
          </wp:inline>
        </w:drawing>
      </w:r>
    </w:p>
    <w:p>
      <w:pPr>
        <w:pStyle w:val="Caption"/>
        <w:jc w:val="center"/>
      </w:pPr>
      <w:r>
        <w:rPr>
          <w:b/>
          <w:i w:val="0"/>
        </w:rPr>
        <w:t xml:space="preserve">Figure 1: </w:t>
      </w:r>
      <w:r>
        <w:rPr/>
        <w:t>BIBS system context</w:t>
      </w:r>
    </w:p>
    <w:p>
      <w:pPr>
        <w:pStyle w:val="Heading2"/>
      </w:pPr>
      <w:bookmarkStart w:id="112" w:name="_Toc000112"/>
      <w:r>
        <w:rPr/>
        <w:t>3.2 Architecture principles</w:t>
      </w:r>
      <w:bookmarkEnd w:id="112"/>
    </w:p>
    <w:p>
      <w:pPr>
        <w:pStyle w:val="Caption"/>
        <w:keepNext/>
        <w:spacing w:after="60"/>
      </w:pPr>
      <w:r>
        <w:rPr>
          <w:b/>
          <w:i w:val="0"/>
        </w:rPr>
        <w:t xml:space="preserve">Table 5: </w:t>
      </w:r>
      <w:r>
        <w:rPr/>
        <w:t>Architecture principles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2606"/>
        <w:gridCol w:w="679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Principle</w:t>
            </w:r>
          </w:p>
        </w:tc>
        <w:tc>
          <w:tcPr>
            <w:tcW w:type="dxa" w:w="6799"/>
            <w:shd w:val="clear" w:color="auto" w:fill="004EA8"/>
            <w:tcMar>
              <w:top w:w="50" w:type="dxa"/>
              <w:bottom w:w="50" w:type="dxa"/>
              <w:left w:w="90" w:type="dxa"/>
              <w:right w:w="90" w:type="dxa"/>
            </w:tcMar>
            <w:vAlign w:val="center"/>
          </w:tcPr>
          <w:p>
            <w:pPr>
              <w:pStyle w:val="BDOITableHeader"/>
            </w:pPr>
            <w:r>
              <w:rPr>
                <w:b/>
                <w:color w:val="FFFFFF"/>
                <w:sz w:val="17"/>
              </w:rPr>
              <w:t>What it means in BIBS</w:t>
            </w:r>
          </w:p>
        </w:tc>
      </w:tr>
      <w:tr>
        <w:trPr>
          <w:cantSplit w:val="true"/>
        </w:trPr>
        <w:tc>
          <w:tcPr>
            <w:tcW w:type="dxa" w:w="567"/>
            <w:tcMar>
              <w:top w:w="50" w:type="dxa"/>
              <w:bottom w:w="50" w:type="dxa"/>
              <w:left w:w="90" w:type="dxa"/>
              <w:right w:w="90" w:type="dxa"/>
            </w:tcMar>
          </w:tcPr>
          <w:p>
            <w:pPr>
              <w:pStyle w:val="BDOITable"/>
            </w:pPr>
            <w:r>
              <w:rPr>
                <w:b/>
                <w:sz w:val="17"/>
              </w:rPr>
              <w:t>P1</w:t>
            </w:r>
          </w:p>
        </w:tc>
        <w:tc>
          <w:tcPr>
            <w:tcW w:type="dxa" w:w="2606"/>
            <w:tcMar>
              <w:top w:w="50" w:type="dxa"/>
              <w:bottom w:w="50" w:type="dxa"/>
              <w:left w:w="90" w:type="dxa"/>
              <w:right w:w="90" w:type="dxa"/>
            </w:tcMar>
          </w:tcPr>
          <w:p>
            <w:pPr>
              <w:pStyle w:val="BDOITable"/>
            </w:pPr>
            <w:r>
              <w:rPr>
                <w:sz w:val="17"/>
              </w:rPr>
              <w:t>One transaction per business fact</w:t>
            </w:r>
          </w:p>
        </w:tc>
        <w:tc>
          <w:tcPr>
            <w:tcW w:type="dxa" w:w="6799"/>
            <w:tcMar>
              <w:top w:w="50" w:type="dxa"/>
              <w:bottom w:w="50" w:type="dxa"/>
              <w:left w:w="90" w:type="dxa"/>
              <w:right w:w="90" w:type="dxa"/>
            </w:tcMar>
          </w:tcPr>
          <w:p>
            <w:pPr>
              <w:pStyle w:val="BDOITable"/>
            </w:pPr>
            <w:r>
              <w:rPr>
                <w:sz w:val="17"/>
              </w:rPr>
              <w:t>The business record, its accounting, open items, audit entry and outgoing event commit or roll back together (ADR-01, ADR-05, ADR-20)</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P2</w:t>
            </w:r>
          </w:p>
        </w:tc>
        <w:tc>
          <w:tcPr>
            <w:tcW w:type="dxa" w:w="2606"/>
            <w:tcMar>
              <w:top w:w="50" w:type="dxa"/>
              <w:bottom w:w="50" w:type="dxa"/>
              <w:left w:w="90" w:type="dxa"/>
              <w:right w:w="90" w:type="dxa"/>
            </w:tcMar>
            <w:shd w:val="clear" w:color="auto" w:fill="E5F5FF"/>
          </w:tcPr>
          <w:p>
            <w:pPr>
              <w:pStyle w:val="BDOITable"/>
            </w:pPr>
            <w:r>
              <w:rPr>
                <w:sz w:val="17"/>
              </w:rPr>
              <w:t>Bounded contexts with enforced boundaries</w:t>
            </w:r>
          </w:p>
        </w:tc>
        <w:tc>
          <w:tcPr>
            <w:tcW w:type="dxa" w:w="6799"/>
            <w:tcMar>
              <w:top w:w="50" w:type="dxa"/>
              <w:bottom w:w="50" w:type="dxa"/>
              <w:left w:w="90" w:type="dxa"/>
              <w:right w:w="90" w:type="dxa"/>
            </w:tcMar>
            <w:shd w:val="clear" w:color="auto" w:fill="E5F5FF"/>
          </w:tcPr>
          <w:p>
            <w:pPr>
              <w:pStyle w:val="BDOITable"/>
            </w:pPr>
            <w:r>
              <w:rPr>
                <w:sz w:val="17"/>
              </w:rPr>
              <w:t>One package per context; no cycles between modules; call-backs through ports owned by the caller; rules checked at every compile</w:t>
            </w:r>
          </w:p>
        </w:tc>
      </w:tr>
      <w:tr>
        <w:trPr>
          <w:cantSplit w:val="true"/>
        </w:trPr>
        <w:tc>
          <w:tcPr>
            <w:tcW w:type="dxa" w:w="567"/>
            <w:tcMar>
              <w:top w:w="50" w:type="dxa"/>
              <w:bottom w:w="50" w:type="dxa"/>
              <w:left w:w="90" w:type="dxa"/>
              <w:right w:w="90" w:type="dxa"/>
            </w:tcMar>
          </w:tcPr>
          <w:p>
            <w:pPr>
              <w:pStyle w:val="BDOITable"/>
            </w:pPr>
            <w:r>
              <w:rPr>
                <w:b/>
                <w:sz w:val="17"/>
              </w:rPr>
              <w:t>P3</w:t>
            </w:r>
          </w:p>
        </w:tc>
        <w:tc>
          <w:tcPr>
            <w:tcW w:type="dxa" w:w="2606"/>
            <w:tcMar>
              <w:top w:w="50" w:type="dxa"/>
              <w:bottom w:w="50" w:type="dxa"/>
              <w:left w:w="90" w:type="dxa"/>
              <w:right w:w="90" w:type="dxa"/>
            </w:tcMar>
          </w:tcPr>
          <w:p>
            <w:pPr>
              <w:pStyle w:val="BDOITable"/>
            </w:pPr>
            <w:r>
              <w:rPr>
                <w:sz w:val="17"/>
              </w:rPr>
              <w:t>Rules are data</w:t>
            </w:r>
          </w:p>
        </w:tc>
        <w:tc>
          <w:tcPr>
            <w:tcW w:type="dxa" w:w="6799"/>
            <w:tcMar>
              <w:top w:w="50" w:type="dxa"/>
              <w:bottom w:w="50" w:type="dxa"/>
              <w:left w:w="90" w:type="dxa"/>
              <w:right w:w="90" w:type="dxa"/>
            </w:tcMar>
          </w:tcPr>
          <w:p>
            <w:pPr>
              <w:pStyle w:val="BDOITable"/>
            </w:pPr>
            <w:r>
              <w:rPr>
                <w:sz w:val="17"/>
              </w:rPr>
              <w:t>Parameters, lists of values, rule tables, workflow definitions, templates and accounting rules are maintained on screens under maker-checker (ADR-19)</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P4</w:t>
            </w:r>
          </w:p>
        </w:tc>
        <w:tc>
          <w:tcPr>
            <w:tcW w:type="dxa" w:w="2606"/>
            <w:tcMar>
              <w:top w:w="50" w:type="dxa"/>
              <w:bottom w:w="50" w:type="dxa"/>
              <w:left w:w="90" w:type="dxa"/>
              <w:right w:w="90" w:type="dxa"/>
            </w:tcMar>
            <w:shd w:val="clear" w:color="auto" w:fill="E5F5FF"/>
          </w:tcPr>
          <w:p>
            <w:pPr>
              <w:pStyle w:val="BDOITable"/>
            </w:pPr>
            <w:r>
              <w:rPr>
                <w:sz w:val="17"/>
              </w:rPr>
              <w:t>Secure by default</w:t>
            </w:r>
          </w:p>
        </w:tc>
        <w:tc>
          <w:tcPr>
            <w:tcW w:type="dxa" w:w="6799"/>
            <w:tcMar>
              <w:top w:w="50" w:type="dxa"/>
              <w:bottom w:w="50" w:type="dxa"/>
              <w:left w:w="90" w:type="dxa"/>
              <w:right w:w="90" w:type="dxa"/>
            </w:tcMar>
            <w:shd w:val="clear" w:color="auto" w:fill="E5F5FF"/>
          </w:tcPr>
          <w:p>
            <w:pPr>
              <w:pStyle w:val="BDOITable"/>
            </w:pPr>
            <w:r>
              <w:rPr>
                <w:sz w:val="17"/>
              </w:rPr>
              <w:t>Every operation names its permission; the company and branch are checked against the user's data scope; the start is refused with weak or missing secrets or a plaintext connection</w:t>
            </w:r>
          </w:p>
        </w:tc>
      </w:tr>
      <w:tr>
        <w:trPr>
          <w:cantSplit w:val="true"/>
        </w:trPr>
        <w:tc>
          <w:tcPr>
            <w:tcW w:type="dxa" w:w="567"/>
            <w:tcMar>
              <w:top w:w="50" w:type="dxa"/>
              <w:bottom w:w="50" w:type="dxa"/>
              <w:left w:w="90" w:type="dxa"/>
              <w:right w:w="90" w:type="dxa"/>
            </w:tcMar>
          </w:tcPr>
          <w:p>
            <w:pPr>
              <w:pStyle w:val="BDOITable"/>
            </w:pPr>
            <w:r>
              <w:rPr>
                <w:b/>
                <w:sz w:val="17"/>
              </w:rPr>
              <w:t>P5</w:t>
            </w:r>
          </w:p>
        </w:tc>
        <w:tc>
          <w:tcPr>
            <w:tcW w:type="dxa" w:w="2606"/>
            <w:tcMar>
              <w:top w:w="50" w:type="dxa"/>
              <w:bottom w:w="50" w:type="dxa"/>
              <w:left w:w="90" w:type="dxa"/>
              <w:right w:w="90" w:type="dxa"/>
            </w:tcMar>
          </w:tcPr>
          <w:p>
            <w:pPr>
              <w:pStyle w:val="BDOITable"/>
            </w:pPr>
            <w:r>
              <w:rPr>
                <w:sz w:val="17"/>
              </w:rPr>
              <w:t>API-first</w:t>
            </w:r>
          </w:p>
        </w:tc>
        <w:tc>
          <w:tcPr>
            <w:tcW w:type="dxa" w:w="6799"/>
            <w:tcMar>
              <w:top w:w="50" w:type="dxa"/>
              <w:bottom w:w="50" w:type="dxa"/>
              <w:left w:w="90" w:type="dxa"/>
              <w:right w:w="90" w:type="dxa"/>
            </w:tcMar>
          </w:tcPr>
          <w:p>
            <w:pPr>
              <w:pStyle w:val="BDOITable"/>
            </w:pPr>
            <w:r>
              <w:rPr>
                <w:sz w:val="17"/>
              </w:rPr>
              <w:t>Every screen action is an operation of the backend with a typed contract; systems use versioned operations through Apigee X</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P6</w:t>
            </w:r>
          </w:p>
        </w:tc>
        <w:tc>
          <w:tcPr>
            <w:tcW w:type="dxa" w:w="2606"/>
            <w:tcMar>
              <w:top w:w="50" w:type="dxa"/>
              <w:bottom w:w="50" w:type="dxa"/>
              <w:left w:w="90" w:type="dxa"/>
              <w:right w:w="90" w:type="dxa"/>
            </w:tcMar>
            <w:shd w:val="clear" w:color="auto" w:fill="E5F5FF"/>
          </w:tcPr>
          <w:p>
            <w:pPr>
              <w:pStyle w:val="BDOITable"/>
            </w:pPr>
            <w:r>
              <w:rPr>
                <w:sz w:val="17"/>
              </w:rPr>
              <w:t>Stateless, horizontally scaled</w:t>
            </w:r>
          </w:p>
        </w:tc>
        <w:tc>
          <w:tcPr>
            <w:tcW w:type="dxa" w:w="6799"/>
            <w:tcMar>
              <w:top w:w="50" w:type="dxa"/>
              <w:bottom w:w="50" w:type="dxa"/>
              <w:left w:w="90" w:type="dxa"/>
              <w:right w:w="90" w:type="dxa"/>
            </w:tcMar>
            <w:shd w:val="clear" w:color="auto" w:fill="E5F5FF"/>
          </w:tcPr>
          <w:p>
            <w:pPr>
              <w:pStyle w:val="BDOITable"/>
            </w:pPr>
            <w:r>
              <w:rPr>
                <w:sz w:val="17"/>
              </w:rPr>
              <w:t>No session state in the pods; one image runs as three workloads (ADR-15); scheduled work runs once in the cluster under a lock</w:t>
            </w:r>
          </w:p>
        </w:tc>
      </w:tr>
      <w:tr>
        <w:trPr>
          <w:cantSplit w:val="true"/>
        </w:trPr>
        <w:tc>
          <w:tcPr>
            <w:tcW w:type="dxa" w:w="567"/>
            <w:tcMar>
              <w:top w:w="50" w:type="dxa"/>
              <w:bottom w:w="50" w:type="dxa"/>
              <w:left w:w="90" w:type="dxa"/>
              <w:right w:w="90" w:type="dxa"/>
            </w:tcMar>
          </w:tcPr>
          <w:p>
            <w:pPr>
              <w:pStyle w:val="BDOITable"/>
            </w:pPr>
            <w:r>
              <w:rPr>
                <w:b/>
                <w:sz w:val="17"/>
              </w:rPr>
              <w:t>P7</w:t>
            </w:r>
          </w:p>
        </w:tc>
        <w:tc>
          <w:tcPr>
            <w:tcW w:type="dxa" w:w="2606"/>
            <w:tcMar>
              <w:top w:w="50" w:type="dxa"/>
              <w:bottom w:w="50" w:type="dxa"/>
              <w:left w:w="90" w:type="dxa"/>
              <w:right w:w="90" w:type="dxa"/>
            </w:tcMar>
          </w:tcPr>
          <w:p>
            <w:pPr>
              <w:pStyle w:val="BDOITable"/>
            </w:pPr>
            <w:r>
              <w:rPr>
                <w:sz w:val="17"/>
              </w:rPr>
              <w:t>Managed platform services</w:t>
            </w:r>
          </w:p>
        </w:tc>
        <w:tc>
          <w:tcPr>
            <w:tcW w:type="dxa" w:w="6799"/>
            <w:tcMar>
              <w:top w:w="50" w:type="dxa"/>
              <w:bottom w:w="50" w:type="dxa"/>
              <w:left w:w="90" w:type="dxa"/>
              <w:right w:w="90" w:type="dxa"/>
            </w:tcMar>
          </w:tcPr>
          <w:p>
            <w:pPr>
              <w:pStyle w:val="BDOITable"/>
            </w:pPr>
            <w:r>
              <w:rPr>
                <w:sz w:val="17"/>
              </w:rPr>
              <w:t>PostgreSQL, Valkey, Kafka, object storage and keys are managed AWS services (ADR-18)</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P8</w:t>
            </w:r>
          </w:p>
        </w:tc>
        <w:tc>
          <w:tcPr>
            <w:tcW w:type="dxa" w:w="2606"/>
            <w:tcMar>
              <w:top w:w="50" w:type="dxa"/>
              <w:bottom w:w="50" w:type="dxa"/>
              <w:left w:w="90" w:type="dxa"/>
              <w:right w:w="90" w:type="dxa"/>
            </w:tcMar>
            <w:shd w:val="clear" w:color="auto" w:fill="E5F5FF"/>
          </w:tcPr>
          <w:p>
            <w:pPr>
              <w:pStyle w:val="BDOITable"/>
            </w:pPr>
            <w:r>
              <w:rPr>
                <w:sz w:val="17"/>
              </w:rPr>
              <w:t>Traceable</w:t>
            </w:r>
          </w:p>
        </w:tc>
        <w:tc>
          <w:tcPr>
            <w:tcW w:type="dxa" w:w="6799"/>
            <w:tcMar>
              <w:top w:w="50" w:type="dxa"/>
              <w:bottom w:w="50" w:type="dxa"/>
              <w:left w:w="90" w:type="dxa"/>
              <w:right w:w="90" w:type="dxa"/>
            </w:tcMar>
            <w:shd w:val="clear" w:color="auto" w:fill="E5F5FF"/>
          </w:tcPr>
          <w:p>
            <w:pPr>
              <w:pStyle w:val="BDOITable"/>
            </w:pPr>
            <w:r>
              <w:rPr>
                <w:sz w:val="17"/>
              </w:rPr>
              <w:t>Every request carries a correlation identifier into the logs, the audit trail and the events it publishes</w:t>
            </w:r>
          </w:p>
        </w:tc>
      </w:tr>
      <w:tr>
        <w:trPr>
          <w:cantSplit w:val="true"/>
        </w:trPr>
        <w:tc>
          <w:tcPr>
            <w:tcW w:type="dxa" w:w="567"/>
            <w:tcMar>
              <w:top w:w="50" w:type="dxa"/>
              <w:bottom w:w="50" w:type="dxa"/>
              <w:left w:w="90" w:type="dxa"/>
              <w:right w:w="90" w:type="dxa"/>
            </w:tcMar>
          </w:tcPr>
          <w:p>
            <w:pPr>
              <w:pStyle w:val="BDOITable"/>
            </w:pPr>
            <w:r>
              <w:rPr>
                <w:b/>
                <w:sz w:val="17"/>
              </w:rPr>
              <w:t>P9</w:t>
            </w:r>
          </w:p>
        </w:tc>
        <w:tc>
          <w:tcPr>
            <w:tcW w:type="dxa" w:w="2606"/>
            <w:tcMar>
              <w:top w:w="50" w:type="dxa"/>
              <w:bottom w:w="50" w:type="dxa"/>
              <w:left w:w="90" w:type="dxa"/>
              <w:right w:w="90" w:type="dxa"/>
            </w:tcMar>
          </w:tcPr>
          <w:p>
            <w:pPr>
              <w:pStyle w:val="BDOITable"/>
            </w:pPr>
            <w:r>
              <w:rPr>
                <w:sz w:val="17"/>
              </w:rPr>
              <w:t>Client-neutral platform</w:t>
            </w:r>
          </w:p>
        </w:tc>
        <w:tc>
          <w:tcPr>
            <w:tcW w:type="dxa" w:w="6799"/>
            <w:tcMar>
              <w:top w:w="50" w:type="dxa"/>
              <w:bottom w:w="50" w:type="dxa"/>
              <w:left w:w="90" w:type="dxa"/>
              <w:right w:w="90" w:type="dxa"/>
            </w:tcMar>
          </w:tcPr>
          <w:p>
            <w:pPr>
              <w:pStyle w:val="BDOITable"/>
            </w:pPr>
            <w:r>
              <w:rPr>
                <w:sz w:val="17"/>
              </w:rPr>
              <w:t>No client name, currency or logo in the program logic; the BDOI identity comes from data and the theme pack</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P10</w:t>
            </w:r>
          </w:p>
        </w:tc>
        <w:tc>
          <w:tcPr>
            <w:tcW w:type="dxa" w:w="2606"/>
            <w:tcMar>
              <w:top w:w="50" w:type="dxa"/>
              <w:bottom w:w="50" w:type="dxa"/>
              <w:left w:w="90" w:type="dxa"/>
              <w:right w:w="90" w:type="dxa"/>
            </w:tcMar>
            <w:shd w:val="clear" w:color="auto" w:fill="E5F5FF"/>
          </w:tcPr>
          <w:p>
            <w:pPr>
              <w:pStyle w:val="BDOITable"/>
            </w:pPr>
            <w:r>
              <w:rPr>
                <w:sz w:val="17"/>
              </w:rPr>
              <w:t>Open-source baseline</w:t>
            </w:r>
          </w:p>
        </w:tc>
        <w:tc>
          <w:tcPr>
            <w:tcW w:type="dxa" w:w="6799"/>
            <w:tcMar>
              <w:top w:w="50" w:type="dxa"/>
              <w:bottom w:w="50" w:type="dxa"/>
              <w:left w:w="90" w:type="dxa"/>
              <w:right w:w="90" w:type="dxa"/>
            </w:tcMar>
            <w:shd w:val="clear" w:color="auto" w:fill="E5F5FF"/>
          </w:tcPr>
          <w:p>
            <w:pPr>
              <w:pStyle w:val="BDOITable"/>
            </w:pPr>
            <w:r>
              <w:rPr>
                <w:sz w:val="17"/>
              </w:rPr>
              <w:t>Every component under a licence that allows commercial use without a fee (ADR-04)</w:t>
            </w:r>
          </w:p>
        </w:tc>
      </w:tr>
    </w:tbl>
    <w:p>
      <w:pPr>
        <w:pStyle w:val="BDOISpacer"/>
      </w:pPr>
    </w:p>
    <w:p>
      <w:pPr>
        <w:pStyle w:val="Heading2"/>
      </w:pPr>
      <w:bookmarkStart w:id="113" w:name="_Toc000113"/>
      <w:r>
        <w:rPr/>
        <w:t>3.3 Logical components</w:t>
      </w:r>
      <w:bookmarkEnd w:id="113"/>
    </w:p>
    <w:p>
      <w:pPr>
        <w:pStyle w:val="Caption"/>
        <w:keepNext/>
        <w:spacing w:after="60"/>
      </w:pPr>
      <w:r>
        <w:rPr>
          <w:b/>
          <w:i w:val="0"/>
        </w:rPr>
        <w:t xml:space="preserve">Table 6: </w:t>
      </w:r>
      <w:r>
        <w:rPr/>
        <w:t>Logical components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3966"/>
        <w:gridCol w:w="396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Responsibility</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Technology</w:t>
            </w:r>
          </w:p>
        </w:tc>
      </w:tr>
      <w:tr>
        <w:trPr>
          <w:cantSplit w:val="true"/>
        </w:trPr>
        <w:tc>
          <w:tcPr>
            <w:tcW w:type="dxa" w:w="2040"/>
            <w:tcMar>
              <w:top w:w="50" w:type="dxa"/>
              <w:bottom w:w="50" w:type="dxa"/>
              <w:left w:w="90" w:type="dxa"/>
              <w:right w:w="90" w:type="dxa"/>
            </w:tcMar>
          </w:tcPr>
          <w:p>
            <w:pPr>
              <w:pStyle w:val="BDOITable"/>
            </w:pPr>
            <w:r>
              <w:rPr>
                <w:b/>
                <w:sz w:val="17"/>
              </w:rPr>
              <w:t>Web client</w:t>
            </w:r>
          </w:p>
        </w:tc>
        <w:tc>
          <w:tcPr>
            <w:tcW w:type="dxa" w:w="3966"/>
            <w:tcMar>
              <w:top w:w="50" w:type="dxa"/>
              <w:bottom w:w="50" w:type="dxa"/>
              <w:left w:w="90" w:type="dxa"/>
              <w:right w:w="90" w:type="dxa"/>
            </w:tcMar>
          </w:tcPr>
          <w:p>
            <w:pPr>
              <w:pStyle w:val="BDOITable"/>
            </w:pPr>
            <w:r>
              <w:rPr>
                <w:sz w:val="17"/>
              </w:rPr>
              <w:t>Screens for every persona: work queues, tree tables with row action menus, uploads, reports, approvals; theme pack with the BDOI identity</w:t>
            </w:r>
          </w:p>
        </w:tc>
        <w:tc>
          <w:tcPr>
            <w:tcW w:type="dxa" w:w="3966"/>
            <w:tcMar>
              <w:top w:w="50" w:type="dxa"/>
              <w:bottom w:w="50" w:type="dxa"/>
              <w:left w:w="90" w:type="dxa"/>
              <w:right w:w="90" w:type="dxa"/>
            </w:tcMar>
          </w:tcPr>
          <w:p>
            <w:pPr>
              <w:pStyle w:val="BDOITable"/>
            </w:pPr>
            <w:r>
              <w:rPr>
                <w:sz w:val="17"/>
              </w:rPr>
              <w:t>React 19, TypeScript (strict), Vite 8, served by nginx 1.30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Backend - business contexts</w:t>
            </w:r>
          </w:p>
        </w:tc>
        <w:tc>
          <w:tcPr>
            <w:tcW w:type="dxa" w:w="3966"/>
            <w:tcMar>
              <w:top w:w="50" w:type="dxa"/>
              <w:bottom w:w="50" w:type="dxa"/>
              <w:left w:w="90" w:type="dxa"/>
              <w:right w:w="90" w:type="dxa"/>
            </w:tcMar>
            <w:shd w:val="clear" w:color="auto" w:fill="E5F5FF"/>
          </w:tcPr>
          <w:p>
            <w:pPr>
              <w:pStyle w:val="BDOITable"/>
            </w:pPr>
            <w:r>
              <w:rPr>
                <w:sz w:val="17"/>
              </w:rPr>
              <w:t>The fifteen business bounded contexts of chapter 4</w:t>
            </w:r>
          </w:p>
        </w:tc>
        <w:tc>
          <w:tcPr>
            <w:tcW w:type="dxa" w:w="3966"/>
            <w:tcMar>
              <w:top w:w="50" w:type="dxa"/>
              <w:bottom w:w="50" w:type="dxa"/>
              <w:left w:w="90" w:type="dxa"/>
              <w:right w:w="90" w:type="dxa"/>
            </w:tcMar>
            <w:shd w:val="clear" w:color="auto" w:fill="E5F5FF"/>
          </w:tcPr>
          <w:p>
            <w:pPr>
              <w:pStyle w:val="BDOITable"/>
            </w:pPr>
            <w:r>
              <w:rPr>
                <w:sz w:val="17"/>
              </w:rPr>
              <w:t>Spring Boot 3.5 on Java 21</w:t>
            </w:r>
          </w:p>
        </w:tc>
      </w:tr>
      <w:tr>
        <w:trPr>
          <w:cantSplit w:val="true"/>
        </w:trPr>
        <w:tc>
          <w:tcPr>
            <w:tcW w:type="dxa" w:w="2040"/>
            <w:tcMar>
              <w:top w:w="50" w:type="dxa"/>
              <w:bottom w:w="50" w:type="dxa"/>
              <w:left w:w="90" w:type="dxa"/>
              <w:right w:w="90" w:type="dxa"/>
            </w:tcMar>
          </w:tcPr>
          <w:p>
            <w:pPr>
              <w:pStyle w:val="BDOITable"/>
            </w:pPr>
            <w:r>
              <w:rPr>
                <w:b/>
                <w:sz w:val="17"/>
              </w:rPr>
              <w:t>Backend - platform services</w:t>
            </w:r>
          </w:p>
        </w:tc>
        <w:tc>
          <w:tcPr>
            <w:tcW w:type="dxa" w:w="3966"/>
            <w:tcMar>
              <w:top w:w="50" w:type="dxa"/>
              <w:bottom w:w="50" w:type="dxa"/>
              <w:left w:w="90" w:type="dxa"/>
              <w:right w:w="90" w:type="dxa"/>
            </w:tcMar>
          </w:tcPr>
          <w:p>
            <w:pPr>
              <w:pStyle w:val="BDOITable"/>
            </w:pPr>
            <w:r>
              <w:rPr>
                <w:sz w:val="17"/>
              </w:rPr>
              <w:t>Companies and branches, parameters, lists of values, workflow, bulk upload, messaging, document templates, attachments and files, audit, alerts, approvals, jobs, reports</w:t>
            </w:r>
          </w:p>
        </w:tc>
        <w:tc>
          <w:tcPr>
            <w:tcW w:type="dxa" w:w="3966"/>
            <w:tcMar>
              <w:top w:w="50" w:type="dxa"/>
              <w:bottom w:w="50" w:type="dxa"/>
              <w:left w:w="90" w:type="dxa"/>
              <w:right w:w="90" w:type="dxa"/>
            </w:tcMar>
          </w:tcPr>
          <w:p>
            <w:pPr>
              <w:pStyle w:val="BDOITable"/>
            </w:pPr>
            <w:r>
              <w:rPr>
                <w:sz w:val="17"/>
              </w:rPr>
              <w:t>Same application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Backend - integration and shared state</w:t>
            </w:r>
          </w:p>
        </w:tc>
        <w:tc>
          <w:tcPr>
            <w:tcW w:type="dxa" w:w="3966"/>
            <w:tcMar>
              <w:top w:w="50" w:type="dxa"/>
              <w:bottom w:w="50" w:type="dxa"/>
              <w:left w:w="90" w:type="dxa"/>
              <w:right w:w="90" w:type="dxa"/>
            </w:tcMar>
            <w:shd w:val="clear" w:color="auto" w:fill="E5F5FF"/>
          </w:tcPr>
          <w:p>
            <w:pPr>
              <w:pStyle w:val="BDOITable"/>
            </w:pPr>
            <w:r>
              <w:rPr>
                <w:sz w:val="17"/>
              </w:rPr>
              <w:t>Outbox and Kafka topics, consumers, system integration operations for Apigee X, cache and job locks</w:t>
            </w:r>
          </w:p>
        </w:tc>
        <w:tc>
          <w:tcPr>
            <w:tcW w:type="dxa" w:w="3966"/>
            <w:tcMar>
              <w:top w:w="50" w:type="dxa"/>
              <w:bottom w:w="50" w:type="dxa"/>
              <w:left w:w="90" w:type="dxa"/>
              <w:right w:w="90" w:type="dxa"/>
            </w:tcMar>
            <w:shd w:val="clear" w:color="auto" w:fill="E5F5FF"/>
          </w:tcPr>
          <w:p>
            <w:pPr>
              <w:pStyle w:val="BDOITable"/>
            </w:pPr>
            <w:r>
              <w:rPr>
                <w:sz w:val="17"/>
              </w:rPr>
              <w:t>Spring for Apache Kafka, Spring Data Redis client for Valkey</w:t>
            </w:r>
          </w:p>
        </w:tc>
      </w:tr>
      <w:tr>
        <w:trPr>
          <w:cantSplit w:val="true"/>
        </w:trPr>
        <w:tc>
          <w:tcPr>
            <w:tcW w:type="dxa" w:w="2040"/>
            <w:tcMar>
              <w:top w:w="50" w:type="dxa"/>
              <w:bottom w:w="50" w:type="dxa"/>
              <w:left w:w="90" w:type="dxa"/>
              <w:right w:w="90" w:type="dxa"/>
            </w:tcMar>
          </w:tcPr>
          <w:p>
            <w:pPr>
              <w:pStyle w:val="BDOITable"/>
            </w:pPr>
            <w:r>
              <w:rPr>
                <w:b/>
                <w:sz w:val="17"/>
              </w:rPr>
              <w:t>Relational store</w:t>
            </w:r>
          </w:p>
        </w:tc>
        <w:tc>
          <w:tcPr>
            <w:tcW w:type="dxa" w:w="3966"/>
            <w:tcMar>
              <w:top w:w="50" w:type="dxa"/>
              <w:bottom w:w="50" w:type="dxa"/>
              <w:left w:w="90" w:type="dxa"/>
              <w:right w:w="90" w:type="dxa"/>
            </w:tcMar>
          </w:tcPr>
          <w:p>
            <w:pPr>
              <w:pStyle w:val="BDOITable"/>
            </w:pPr>
            <w:r>
              <w:rPr>
                <w:sz w:val="17"/>
              </w:rPr>
              <w:t>All business data, metadata of files, outbox, audit trail</w:t>
            </w:r>
          </w:p>
        </w:tc>
        <w:tc>
          <w:tcPr>
            <w:tcW w:type="dxa" w:w="3966"/>
            <w:tcMar>
              <w:top w:w="50" w:type="dxa"/>
              <w:bottom w:w="50" w:type="dxa"/>
              <w:left w:w="90" w:type="dxa"/>
              <w:right w:w="90" w:type="dxa"/>
            </w:tcMar>
          </w:tcPr>
          <w:p>
            <w:pPr>
              <w:pStyle w:val="BDOITable"/>
            </w:pPr>
            <w:r>
              <w:rPr>
                <w:sz w:val="17"/>
              </w:rPr>
              <w:t>PostgreSQL 16 (Amazon RDS)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Cache and shared state</w:t>
            </w:r>
          </w:p>
        </w:tc>
        <w:tc>
          <w:tcPr>
            <w:tcW w:type="dxa" w:w="3966"/>
            <w:tcMar>
              <w:top w:w="50" w:type="dxa"/>
              <w:bottom w:w="50" w:type="dxa"/>
              <w:left w:w="90" w:type="dxa"/>
              <w:right w:w="90" w:type="dxa"/>
            </w:tcMar>
            <w:shd w:val="clear" w:color="auto" w:fill="E5F5FF"/>
          </w:tcPr>
          <w:p>
            <w:pPr>
              <w:pStyle w:val="BDOITable"/>
            </w:pPr>
            <w:r>
              <w:rPr>
                <w:sz w:val="17"/>
              </w:rPr>
              <w:t>Reference-data cache, job locks, token deny-list, counters</w:t>
            </w:r>
          </w:p>
        </w:tc>
        <w:tc>
          <w:tcPr>
            <w:tcW w:type="dxa" w:w="3966"/>
            <w:tcMar>
              <w:top w:w="50" w:type="dxa"/>
              <w:bottom w:w="50" w:type="dxa"/>
              <w:left w:w="90" w:type="dxa"/>
              <w:right w:w="90" w:type="dxa"/>
            </w:tcMar>
            <w:shd w:val="clear" w:color="auto" w:fill="E5F5FF"/>
          </w:tcPr>
          <w:p>
            <w:pPr>
              <w:pStyle w:val="BDOITable"/>
            </w:pPr>
            <w:r>
              <w:rPr>
                <w:sz w:val="17"/>
              </w:rPr>
              <w:t>Valkey 8 (Amazon ElastiCache)</w:t>
            </w:r>
          </w:p>
        </w:tc>
      </w:tr>
      <w:tr>
        <w:trPr>
          <w:cantSplit w:val="true"/>
        </w:trPr>
        <w:tc>
          <w:tcPr>
            <w:tcW w:type="dxa" w:w="2040"/>
            <w:tcMar>
              <w:top w:w="50" w:type="dxa"/>
              <w:bottom w:w="50" w:type="dxa"/>
              <w:left w:w="90" w:type="dxa"/>
              <w:right w:w="90" w:type="dxa"/>
            </w:tcMar>
          </w:tcPr>
          <w:p>
            <w:pPr>
              <w:pStyle w:val="BDOITable"/>
            </w:pPr>
            <w:r>
              <w:rPr>
                <w:b/>
                <w:sz w:val="17"/>
              </w:rPr>
              <w:t>Event streaming</w:t>
            </w:r>
          </w:p>
        </w:tc>
        <w:tc>
          <w:tcPr>
            <w:tcW w:type="dxa" w:w="3966"/>
            <w:tcMar>
              <w:top w:w="50" w:type="dxa"/>
              <w:bottom w:w="50" w:type="dxa"/>
              <w:left w:w="90" w:type="dxa"/>
              <w:right w:w="90" w:type="dxa"/>
            </w:tcMar>
          </w:tcPr>
          <w:p>
            <w:pPr>
              <w:pStyle w:val="BDOITable"/>
            </w:pPr>
            <w:r>
              <w:rPr>
                <w:sz w:val="17"/>
              </w:rPr>
              <w:t>Integration events with dead-letter topics</w:t>
            </w:r>
          </w:p>
        </w:tc>
        <w:tc>
          <w:tcPr>
            <w:tcW w:type="dxa" w:w="3966"/>
            <w:tcMar>
              <w:top w:w="50" w:type="dxa"/>
              <w:bottom w:w="50" w:type="dxa"/>
              <w:left w:w="90" w:type="dxa"/>
              <w:right w:w="90" w:type="dxa"/>
            </w:tcMar>
          </w:tcPr>
          <w:p>
            <w:pPr>
              <w:pStyle w:val="BDOITable"/>
            </w:pPr>
            <w:r>
              <w:rPr>
                <w:sz w:val="17"/>
              </w:rPr>
              <w:t>Apache Kafka 3.9 KRaft (Amazon MSK)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File store</w:t>
            </w:r>
          </w:p>
        </w:tc>
        <w:tc>
          <w:tcPr>
            <w:tcW w:type="dxa" w:w="3966"/>
            <w:tcMar>
              <w:top w:w="50" w:type="dxa"/>
              <w:bottom w:w="50" w:type="dxa"/>
              <w:left w:w="90" w:type="dxa"/>
              <w:right w:w="90" w:type="dxa"/>
            </w:tcMar>
            <w:shd w:val="clear" w:color="auto" w:fill="E5F5FF"/>
          </w:tcPr>
          <w:p>
            <w:pPr>
              <w:pStyle w:val="BDOITable"/>
            </w:pPr>
            <w:r>
              <w:rPr>
                <w:sz w:val="17"/>
              </w:rPr>
              <w:t>Documents, attachments, reports, inbound files, migration extracts</w:t>
            </w:r>
          </w:p>
        </w:tc>
        <w:tc>
          <w:tcPr>
            <w:tcW w:type="dxa" w:w="3966"/>
            <w:tcMar>
              <w:top w:w="50" w:type="dxa"/>
              <w:bottom w:w="50" w:type="dxa"/>
              <w:left w:w="90" w:type="dxa"/>
              <w:right w:w="90" w:type="dxa"/>
            </w:tcMar>
            <w:shd w:val="clear" w:color="auto" w:fill="E5F5FF"/>
          </w:tcPr>
          <w:p>
            <w:pPr>
              <w:pStyle w:val="BDOITable"/>
            </w:pPr>
            <w:r>
              <w:rPr>
                <w:sz w:val="17"/>
              </w:rPr>
              <w:t>Amazon S3 with SSE-KMS</w:t>
            </w:r>
          </w:p>
        </w:tc>
      </w:tr>
    </w:tbl>
    <w:p>
      <w:pPr>
        <w:pStyle w:val="BDOISpacer"/>
      </w:pPr>
    </w:p>
    <w:p>
      <w:pPr>
        <w:pStyle w:val="Caption"/>
        <w:keepNext/>
        <w:spacing w:after="60"/>
      </w:pPr>
      <w:r>
        <w:rPr>
          <w:b/>
          <w:i w:val="0"/>
        </w:rPr>
        <w:t xml:space="preserve">Table 7: </w:t>
      </w:r>
      <w:r>
        <w:rPr/>
        <w:t>Component baseline (8 October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1586"/>
        <w:gridCol w:w="1359"/>
        <w:gridCol w:w="2606"/>
        <w:gridCol w:w="2719"/>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6"/>
              </w:rPr>
              <w:t>Component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Version baseline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Licence</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6"/>
              </w:rPr>
              <w:t>Function</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6"/>
              </w:rPr>
              <w:t>Support horizon</w:t>
            </w:r>
          </w:p>
        </w:tc>
      </w:tr>
      <w:tr>
        <w:trPr>
          <w:cantSplit w:val="true"/>
        </w:trPr>
        <w:tc>
          <w:tcPr>
            <w:tcW w:type="dxa" w:w="1700"/>
            <w:tcMar>
              <w:top w:w="50" w:type="dxa"/>
              <w:bottom w:w="50" w:type="dxa"/>
              <w:left w:w="90" w:type="dxa"/>
              <w:right w:w="90" w:type="dxa"/>
            </w:tcMar>
          </w:tcPr>
          <w:p>
            <w:pPr>
              <w:pStyle w:val="BDOITable"/>
            </w:pPr>
            <w:r>
              <w:rPr>
                <w:b/>
                <w:sz w:val="16"/>
              </w:rPr>
              <w:t>PostgreSQL</w:t>
            </w:r>
          </w:p>
        </w:tc>
        <w:tc>
          <w:tcPr>
            <w:tcW w:type="dxa" w:w="1586"/>
            <w:tcMar>
              <w:top w:w="50" w:type="dxa"/>
              <w:bottom w:w="50" w:type="dxa"/>
              <w:left w:w="90" w:type="dxa"/>
              <w:right w:w="90" w:type="dxa"/>
            </w:tcMar>
          </w:tcPr>
          <w:p>
            <w:pPr>
              <w:pStyle w:val="BDOITable"/>
            </w:pPr>
            <w:r>
              <w:rPr>
                <w:sz w:val="16"/>
              </w:rPr>
              <w:t>16.x</w:t>
            </w:r>
          </w:p>
        </w:tc>
        <w:tc>
          <w:tcPr>
            <w:tcW w:type="dxa" w:w="1360"/>
            <w:tcMar>
              <w:top w:w="50" w:type="dxa"/>
              <w:bottom w:w="50" w:type="dxa"/>
              <w:left w:w="90" w:type="dxa"/>
              <w:right w:w="90" w:type="dxa"/>
            </w:tcMar>
          </w:tcPr>
          <w:p>
            <w:pPr>
              <w:pStyle w:val="BDOITable"/>
            </w:pPr>
            <w:r>
              <w:rPr>
                <w:sz w:val="16"/>
              </w:rPr>
              <w:t>PostgreSQL Licence</w:t>
            </w:r>
          </w:p>
        </w:tc>
        <w:tc>
          <w:tcPr>
            <w:tcW w:type="dxa" w:w="2606"/>
            <w:tcMar>
              <w:top w:w="50" w:type="dxa"/>
              <w:bottom w:w="50" w:type="dxa"/>
              <w:left w:w="90" w:type="dxa"/>
              <w:right w:w="90" w:type="dxa"/>
            </w:tcMar>
          </w:tcPr>
          <w:p>
            <w:pPr>
              <w:pStyle w:val="BDOITable"/>
            </w:pPr>
            <w:r>
              <w:rPr>
                <w:sz w:val="16"/>
              </w:rPr>
              <w:t>Relational data store (Amazon RDS for PostgreSQL 16)</w:t>
            </w:r>
          </w:p>
        </w:tc>
        <w:tc>
          <w:tcPr>
            <w:tcW w:type="dxa" w:w="2720"/>
            <w:tcMar>
              <w:top w:w="50" w:type="dxa"/>
              <w:bottom w:w="50" w:type="dxa"/>
              <w:left w:w="90" w:type="dxa"/>
              <w:right w:w="90" w:type="dxa"/>
            </w:tcMar>
          </w:tcPr>
          <w:p>
            <w:pPr>
              <w:pStyle w:val="BDOITable"/>
            </w:pPr>
            <w:r>
              <w:rPr>
                <w:sz w:val="16"/>
              </w:rPr>
              <w:t>Community support of the major version until 09-Nov-2028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Valkey</w:t>
            </w:r>
          </w:p>
        </w:tc>
        <w:tc>
          <w:tcPr>
            <w:tcW w:type="dxa" w:w="1586"/>
            <w:tcMar>
              <w:top w:w="50" w:type="dxa"/>
              <w:bottom w:w="50" w:type="dxa"/>
              <w:left w:w="90" w:type="dxa"/>
              <w:right w:w="90" w:type="dxa"/>
            </w:tcMar>
            <w:shd w:val="clear" w:color="auto" w:fill="E5F5FF"/>
          </w:tcPr>
          <w:p>
            <w:pPr>
              <w:pStyle w:val="BDOITable"/>
            </w:pPr>
            <w:r>
              <w:rPr>
                <w:sz w:val="16"/>
              </w:rPr>
              <w:t>8.x</w:t>
            </w:r>
          </w:p>
        </w:tc>
        <w:tc>
          <w:tcPr>
            <w:tcW w:type="dxa" w:w="1360"/>
            <w:tcMar>
              <w:top w:w="50" w:type="dxa"/>
              <w:bottom w:w="50" w:type="dxa"/>
              <w:left w:w="90" w:type="dxa"/>
              <w:right w:w="90" w:type="dxa"/>
            </w:tcMar>
            <w:shd w:val="clear" w:color="auto" w:fill="E5F5FF"/>
          </w:tcPr>
          <w:p>
            <w:pPr>
              <w:pStyle w:val="BDOITable"/>
            </w:pPr>
            <w:r>
              <w:rPr>
                <w:sz w:val="16"/>
              </w:rPr>
              <w:t>BSD-3-Clause</w:t>
            </w:r>
          </w:p>
        </w:tc>
        <w:tc>
          <w:tcPr>
            <w:tcW w:type="dxa" w:w="2606"/>
            <w:tcMar>
              <w:top w:w="50" w:type="dxa"/>
              <w:bottom w:w="50" w:type="dxa"/>
              <w:left w:w="90" w:type="dxa"/>
              <w:right w:w="90" w:type="dxa"/>
            </w:tcMar>
            <w:shd w:val="clear" w:color="auto" w:fill="E5F5FF"/>
          </w:tcPr>
          <w:p>
            <w:pPr>
              <w:pStyle w:val="BDOITable"/>
            </w:pPr>
            <w:r>
              <w:rPr>
                <w:sz w:val="16"/>
              </w:rPr>
              <w:t>Reference-data cache, job locks, token deny-list, shared counters (Amazon ElastiCache for Valkey)</w:t>
            </w:r>
          </w:p>
        </w:tc>
        <w:tc>
          <w:tcPr>
            <w:tcW w:type="dxa" w:w="2720"/>
            <w:tcMar>
              <w:top w:w="50" w:type="dxa"/>
              <w:bottom w:w="50" w:type="dxa"/>
              <w:left w:w="90" w:type="dxa"/>
              <w:right w:w="90" w:type="dxa"/>
            </w:tcMar>
            <w:shd w:val="clear" w:color="auto" w:fill="E5F5FF"/>
          </w:tcPr>
          <w:p>
            <w:pPr>
              <w:pStyle w:val="BDOITable"/>
            </w:pPr>
            <w:r>
              <w:rPr>
                <w:sz w:val="16"/>
              </w:rPr>
              <w:t>Follows the Valkey release policy and the ElastiCache engine calendar; checked at each annual technology review</w:t>
            </w:r>
          </w:p>
        </w:tc>
      </w:tr>
      <w:tr>
        <w:trPr>
          <w:cantSplit w:val="true"/>
        </w:trPr>
        <w:tc>
          <w:tcPr>
            <w:tcW w:type="dxa" w:w="1700"/>
            <w:tcMar>
              <w:top w:w="50" w:type="dxa"/>
              <w:bottom w:w="50" w:type="dxa"/>
              <w:left w:w="90" w:type="dxa"/>
              <w:right w:w="90" w:type="dxa"/>
            </w:tcMar>
          </w:tcPr>
          <w:p>
            <w:pPr>
              <w:pStyle w:val="BDOITable"/>
            </w:pPr>
            <w:r>
              <w:rPr>
                <w:b/>
                <w:sz w:val="16"/>
              </w:rPr>
              <w:t>Apache Kafka</w:t>
            </w:r>
          </w:p>
        </w:tc>
        <w:tc>
          <w:tcPr>
            <w:tcW w:type="dxa" w:w="1586"/>
            <w:tcMar>
              <w:top w:w="50" w:type="dxa"/>
              <w:bottom w:w="50" w:type="dxa"/>
              <w:left w:w="90" w:type="dxa"/>
              <w:right w:w="90" w:type="dxa"/>
            </w:tcMar>
          </w:tcPr>
          <w:p>
            <w:pPr>
              <w:pStyle w:val="BDOITable"/>
            </w:pPr>
            <w:r>
              <w:rPr>
                <w:sz w:val="16"/>
              </w:rPr>
              <w:t>3.9 (KRaft)</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Event streaming with the transactional outbox (Amazon MSK)</w:t>
            </w:r>
          </w:p>
        </w:tc>
        <w:tc>
          <w:tcPr>
            <w:tcW w:type="dxa" w:w="2720"/>
            <w:tcMar>
              <w:top w:w="50" w:type="dxa"/>
              <w:bottom w:w="50" w:type="dxa"/>
              <w:left w:w="90" w:type="dxa"/>
              <w:right w:w="90" w:type="dxa"/>
            </w:tcMar>
          </w:tcPr>
          <w:p>
            <w:pPr>
              <w:pStyle w:val="BDOITable"/>
            </w:pPr>
            <w:r>
              <w:rPr>
                <w:sz w:val="16"/>
              </w:rPr>
              <w:t>Last 3.x line; the move to Kafka 4.x (KRaft only) is planned at the first annual technology review after go-live</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OpenJDK (Eclipse Temurin)</w:t>
            </w:r>
          </w:p>
        </w:tc>
        <w:tc>
          <w:tcPr>
            <w:tcW w:type="dxa" w:w="1586"/>
            <w:tcMar>
              <w:top w:w="50" w:type="dxa"/>
              <w:bottom w:w="50" w:type="dxa"/>
              <w:left w:w="90" w:type="dxa"/>
              <w:right w:w="90" w:type="dxa"/>
            </w:tcMar>
            <w:shd w:val="clear" w:color="auto" w:fill="E5F5FF"/>
          </w:tcPr>
          <w:p>
            <w:pPr>
              <w:pStyle w:val="BDOITable"/>
            </w:pPr>
            <w:r>
              <w:rPr>
                <w:sz w:val="16"/>
              </w:rPr>
              <w:t>21 LTS</w:t>
            </w:r>
          </w:p>
        </w:tc>
        <w:tc>
          <w:tcPr>
            <w:tcW w:type="dxa" w:w="1360"/>
            <w:tcMar>
              <w:top w:w="50" w:type="dxa"/>
              <w:bottom w:w="50" w:type="dxa"/>
              <w:left w:w="90" w:type="dxa"/>
              <w:right w:w="90" w:type="dxa"/>
            </w:tcMar>
            <w:shd w:val="clear" w:color="auto" w:fill="E5F5FF"/>
          </w:tcPr>
          <w:p>
            <w:pPr>
              <w:pStyle w:val="BDOITable"/>
            </w:pPr>
            <w:r>
              <w:rPr>
                <w:sz w:val="16"/>
              </w:rPr>
              <w:t>GPLv2 with Classpath Exception</w:t>
            </w:r>
          </w:p>
        </w:tc>
        <w:tc>
          <w:tcPr>
            <w:tcW w:type="dxa" w:w="2606"/>
            <w:tcMar>
              <w:top w:w="50" w:type="dxa"/>
              <w:bottom w:w="50" w:type="dxa"/>
              <w:left w:w="90" w:type="dxa"/>
              <w:right w:w="90" w:type="dxa"/>
            </w:tcMar>
            <w:shd w:val="clear" w:color="auto" w:fill="E5F5FF"/>
          </w:tcPr>
          <w:p>
            <w:pPr>
              <w:pStyle w:val="BDOITable"/>
            </w:pPr>
            <w:r>
              <w:rPr>
                <w:sz w:val="16"/>
              </w:rPr>
              <w:t>Application runtime of the backend</w:t>
            </w:r>
          </w:p>
        </w:tc>
        <w:tc>
          <w:tcPr>
            <w:tcW w:type="dxa" w:w="2720"/>
            <w:tcMar>
              <w:top w:w="50" w:type="dxa"/>
              <w:bottom w:w="50" w:type="dxa"/>
              <w:left w:w="90" w:type="dxa"/>
              <w:right w:w="90" w:type="dxa"/>
            </w:tcMar>
            <w:shd w:val="clear" w:color="auto" w:fill="E5F5FF"/>
          </w:tcPr>
          <w:p>
            <w:pPr>
              <w:pStyle w:val="BDOITable"/>
            </w:pPr>
            <w:r>
              <w:rPr>
                <w:sz w:val="16"/>
              </w:rPr>
              <w:t>Adoptium LTS support at least until Dec-2029</w:t>
            </w:r>
          </w:p>
        </w:tc>
      </w:tr>
      <w:tr>
        <w:trPr>
          <w:cantSplit w:val="true"/>
        </w:trPr>
        <w:tc>
          <w:tcPr>
            <w:tcW w:type="dxa" w:w="1700"/>
            <w:tcMar>
              <w:top w:w="50" w:type="dxa"/>
              <w:bottom w:w="50" w:type="dxa"/>
              <w:left w:w="90" w:type="dxa"/>
              <w:right w:w="90" w:type="dxa"/>
            </w:tcMar>
          </w:tcPr>
          <w:p>
            <w:pPr>
              <w:pStyle w:val="BDOITable"/>
            </w:pPr>
            <w:r>
              <w:rPr>
                <w:b/>
                <w:sz w:val="16"/>
              </w:rPr>
              <w:t>Spring Boot</w:t>
            </w:r>
          </w:p>
        </w:tc>
        <w:tc>
          <w:tcPr>
            <w:tcW w:type="dxa" w:w="1586"/>
            <w:tcMar>
              <w:top w:w="50" w:type="dxa"/>
              <w:bottom w:w="50" w:type="dxa"/>
              <w:left w:w="90" w:type="dxa"/>
              <w:right w:w="90" w:type="dxa"/>
            </w:tcMar>
          </w:tcPr>
          <w:p>
            <w:pPr>
              <w:pStyle w:val="BDOITable"/>
            </w:pPr>
            <w:r>
              <w:rPr>
                <w:sz w:val="16"/>
              </w:rPr>
              <w:t>3.5.x</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Application framework of the backend</w:t>
            </w:r>
          </w:p>
        </w:tc>
        <w:tc>
          <w:tcPr>
            <w:tcW w:type="dxa" w:w="2720"/>
            <w:tcMar>
              <w:top w:w="50" w:type="dxa"/>
              <w:bottom w:w="50" w:type="dxa"/>
              <w:left w:w="90" w:type="dxa"/>
              <w:right w:w="90" w:type="dxa"/>
            </w:tcMar>
          </w:tcPr>
          <w:p>
            <w:pPr>
              <w:pStyle w:val="BDOITable"/>
            </w:pPr>
            <w:r>
              <w:rPr>
                <w:sz w:val="16"/>
              </w:rPr>
              <w:t>Open-source and commercial support windows differ; the support route is an open point (SA-07)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React with TypeScript and Vite</w:t>
            </w:r>
          </w:p>
        </w:tc>
        <w:tc>
          <w:tcPr>
            <w:tcW w:type="dxa" w:w="1586"/>
            <w:tcMar>
              <w:top w:w="50" w:type="dxa"/>
              <w:bottom w:w="50" w:type="dxa"/>
              <w:left w:w="90" w:type="dxa"/>
              <w:right w:w="90" w:type="dxa"/>
            </w:tcMar>
            <w:shd w:val="clear" w:color="auto" w:fill="E5F5FF"/>
          </w:tcPr>
          <w:p>
            <w:pPr>
              <w:pStyle w:val="BDOITable"/>
            </w:pPr>
            <w:r>
              <w:rPr>
                <w:sz w:val="16"/>
              </w:rPr>
              <w:t>React 19.x, TypeScript 6, Vite 8</w:t>
            </w:r>
          </w:p>
        </w:tc>
        <w:tc>
          <w:tcPr>
            <w:tcW w:type="dxa" w:w="1360"/>
            <w:tcMar>
              <w:top w:w="50" w:type="dxa"/>
              <w:bottom w:w="50" w:type="dxa"/>
              <w:left w:w="90" w:type="dxa"/>
              <w:right w:w="90" w:type="dxa"/>
            </w:tcMar>
            <w:shd w:val="clear" w:color="auto" w:fill="E5F5FF"/>
          </w:tcPr>
          <w:p>
            <w:pPr>
              <w:pStyle w:val="BDOITable"/>
            </w:pPr>
            <w:r>
              <w:rPr>
                <w:sz w:val="16"/>
              </w:rPr>
              <w:t>MIT</w:t>
            </w:r>
          </w:p>
        </w:tc>
        <w:tc>
          <w:tcPr>
            <w:tcW w:type="dxa" w:w="2606"/>
            <w:tcMar>
              <w:top w:w="50" w:type="dxa"/>
              <w:bottom w:w="50" w:type="dxa"/>
              <w:left w:w="90" w:type="dxa"/>
              <w:right w:w="90" w:type="dxa"/>
            </w:tcMar>
            <w:shd w:val="clear" w:color="auto" w:fill="E5F5FF"/>
          </w:tcPr>
          <w:p>
            <w:pPr>
              <w:pStyle w:val="BDOITable"/>
            </w:pPr>
            <w:r>
              <w:rPr>
                <w:sz w:val="16"/>
              </w:rPr>
              <w:t>Web user interface (single-page application)</w:t>
            </w:r>
          </w:p>
        </w:tc>
        <w:tc>
          <w:tcPr>
            <w:tcW w:type="dxa" w:w="2720"/>
            <w:tcMar>
              <w:top w:w="50" w:type="dxa"/>
              <w:bottom w:w="50" w:type="dxa"/>
              <w:left w:w="90" w:type="dxa"/>
              <w:right w:w="90" w:type="dxa"/>
            </w:tcMar>
            <w:shd w:val="clear" w:color="auto" w:fill="E5F5FF"/>
          </w:tcPr>
          <w:p>
            <w:pPr>
              <w:pStyle w:val="BDOITable"/>
            </w:pPr>
            <w:r>
              <w:rPr>
                <w:sz w:val="16"/>
              </w:rPr>
              <w:t>Follows the current major version</w:t>
            </w:r>
          </w:p>
        </w:tc>
      </w:tr>
      <w:tr>
        <w:trPr>
          <w:cantSplit w:val="true"/>
        </w:trPr>
        <w:tc>
          <w:tcPr>
            <w:tcW w:type="dxa" w:w="1700"/>
            <w:tcMar>
              <w:top w:w="50" w:type="dxa"/>
              <w:bottom w:w="50" w:type="dxa"/>
              <w:left w:w="90" w:type="dxa"/>
              <w:right w:w="90" w:type="dxa"/>
            </w:tcMar>
          </w:tcPr>
          <w:p>
            <w:pPr>
              <w:pStyle w:val="BDOITable"/>
            </w:pPr>
            <w:r>
              <w:rPr>
                <w:b/>
                <w:sz w:val="16"/>
              </w:rPr>
              <w:t>Node (JavaScript runtime)</w:t>
            </w:r>
          </w:p>
        </w:tc>
        <w:tc>
          <w:tcPr>
            <w:tcW w:type="dxa" w:w="1586"/>
            <w:tcMar>
              <w:top w:w="50" w:type="dxa"/>
              <w:bottom w:w="50" w:type="dxa"/>
              <w:left w:w="90" w:type="dxa"/>
              <w:right w:w="90" w:type="dxa"/>
            </w:tcMar>
          </w:tcPr>
          <w:p>
            <w:pPr>
              <w:pStyle w:val="BDOITable"/>
            </w:pPr>
            <w:r>
              <w:rPr>
                <w:sz w:val="16"/>
              </w:rPr>
              <w:t>22 LTS</w:t>
            </w:r>
          </w:p>
        </w:tc>
        <w:tc>
          <w:tcPr>
            <w:tcW w:type="dxa" w:w="1360"/>
            <w:tcMar>
              <w:top w:w="50" w:type="dxa"/>
              <w:bottom w:w="50" w:type="dxa"/>
              <w:left w:w="90" w:type="dxa"/>
              <w:right w:w="90" w:type="dxa"/>
            </w:tcMar>
          </w:tcPr>
          <w:p>
            <w:pPr>
              <w:pStyle w:val="BDOITable"/>
            </w:pPr>
            <w:r>
              <w:rPr>
                <w:sz w:val="16"/>
              </w:rPr>
              <w:t>MIT</w:t>
            </w:r>
          </w:p>
        </w:tc>
        <w:tc>
          <w:tcPr>
            <w:tcW w:type="dxa" w:w="2606"/>
            <w:tcMar>
              <w:top w:w="50" w:type="dxa"/>
              <w:bottom w:w="50" w:type="dxa"/>
              <w:left w:w="90" w:type="dxa"/>
              <w:right w:w="90" w:type="dxa"/>
            </w:tcMar>
          </w:tcPr>
          <w:p>
            <w:pPr>
              <w:pStyle w:val="BDOITable"/>
            </w:pPr>
            <w:r>
              <w:rPr>
                <w:sz w:val="16"/>
              </w:rPr>
              <w:t>Compiles and packages the web user interface in the pipeline; not a production runtime</w:t>
            </w:r>
          </w:p>
        </w:tc>
        <w:tc>
          <w:tcPr>
            <w:tcW w:type="dxa" w:w="2720"/>
            <w:tcMar>
              <w:top w:w="50" w:type="dxa"/>
              <w:bottom w:w="50" w:type="dxa"/>
              <w:left w:w="90" w:type="dxa"/>
              <w:right w:w="90" w:type="dxa"/>
            </w:tcMar>
          </w:tcPr>
          <w:p>
            <w:pPr>
              <w:pStyle w:val="BDOITable"/>
            </w:pPr>
            <w:r>
              <w:rPr>
                <w:sz w:val="16"/>
              </w:rPr>
              <w:t>End of life 30-Apr-2027: move to Node 24 LTS before UAT (SA-08)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nginx (unprivileged image)</w:t>
            </w:r>
          </w:p>
        </w:tc>
        <w:tc>
          <w:tcPr>
            <w:tcW w:type="dxa" w:w="1586"/>
            <w:tcMar>
              <w:top w:w="50" w:type="dxa"/>
              <w:bottom w:w="50" w:type="dxa"/>
              <w:left w:w="90" w:type="dxa"/>
              <w:right w:w="90" w:type="dxa"/>
            </w:tcMar>
            <w:shd w:val="clear" w:color="auto" w:fill="E5F5FF"/>
          </w:tcPr>
          <w:p>
            <w:pPr>
              <w:pStyle w:val="BDOITable"/>
            </w:pPr>
            <w:r>
              <w:rPr>
                <w:sz w:val="16"/>
              </w:rPr>
              <w:t>1.30</w:t>
            </w:r>
          </w:p>
        </w:tc>
        <w:tc>
          <w:tcPr>
            <w:tcW w:type="dxa" w:w="1360"/>
            <w:tcMar>
              <w:top w:w="50" w:type="dxa"/>
              <w:bottom w:w="50" w:type="dxa"/>
              <w:left w:w="90" w:type="dxa"/>
              <w:right w:w="90" w:type="dxa"/>
            </w:tcMar>
            <w:shd w:val="clear" w:color="auto" w:fill="E5F5FF"/>
          </w:tcPr>
          <w:p>
            <w:pPr>
              <w:pStyle w:val="BDOITable"/>
            </w:pPr>
            <w:r>
              <w:rPr>
                <w:sz w:val="16"/>
              </w:rPr>
              <w:t>BSD-2-Clause</w:t>
            </w:r>
          </w:p>
        </w:tc>
        <w:tc>
          <w:tcPr>
            <w:tcW w:type="dxa" w:w="2606"/>
            <w:tcMar>
              <w:top w:w="50" w:type="dxa"/>
              <w:bottom w:w="50" w:type="dxa"/>
              <w:left w:w="90" w:type="dxa"/>
              <w:right w:w="90" w:type="dxa"/>
            </w:tcMar>
            <w:shd w:val="clear" w:color="auto" w:fill="E5F5FF"/>
          </w:tcPr>
          <w:p>
            <w:pPr>
              <w:pStyle w:val="BDOITable"/>
            </w:pPr>
            <w:r>
              <w:rPr>
                <w:sz w:val="16"/>
              </w:rPr>
              <w:t>Serves the web user interface over TLS</w:t>
            </w:r>
          </w:p>
        </w:tc>
        <w:tc>
          <w:tcPr>
            <w:tcW w:type="dxa" w:w="2720"/>
            <w:tcMar>
              <w:top w:w="50" w:type="dxa"/>
              <w:bottom w:w="50" w:type="dxa"/>
              <w:left w:w="90" w:type="dxa"/>
              <w:right w:w="90" w:type="dxa"/>
            </w:tcMar>
            <w:shd w:val="clear" w:color="auto" w:fill="E5F5FF"/>
          </w:tcPr>
          <w:p>
            <w:pPr>
              <w:pStyle w:val="BDOITable"/>
            </w:pPr>
            <w:r>
              <w:rPr>
                <w:sz w:val="16"/>
              </w:rPr>
              <w:t>Until the next stable line; image refreshed with each release</w:t>
            </w:r>
          </w:p>
        </w:tc>
      </w:tr>
      <w:tr>
        <w:trPr>
          <w:cantSplit w:val="true"/>
        </w:trPr>
        <w:tc>
          <w:tcPr>
            <w:tcW w:type="dxa" w:w="1700"/>
            <w:tcMar>
              <w:top w:w="50" w:type="dxa"/>
              <w:bottom w:w="50" w:type="dxa"/>
              <w:left w:w="90" w:type="dxa"/>
              <w:right w:w="90" w:type="dxa"/>
            </w:tcMar>
          </w:tcPr>
          <w:p>
            <w:pPr>
              <w:pStyle w:val="BDOITable"/>
            </w:pPr>
            <w:r>
              <w:rPr>
                <w:b/>
                <w:sz w:val="16"/>
              </w:rPr>
              <w:t>Kubernetes (Amazon EKS)</w:t>
            </w:r>
          </w:p>
        </w:tc>
        <w:tc>
          <w:tcPr>
            <w:tcW w:type="dxa" w:w="1586"/>
            <w:tcMar>
              <w:top w:w="50" w:type="dxa"/>
              <w:bottom w:w="50" w:type="dxa"/>
              <w:left w:w="90" w:type="dxa"/>
              <w:right w:w="90" w:type="dxa"/>
            </w:tcMar>
          </w:tcPr>
          <w:p>
            <w:pPr>
              <w:pStyle w:val="BDOITable"/>
            </w:pPr>
            <w:r>
              <w:rPr>
                <w:sz w:val="16"/>
              </w:rPr>
              <w:t>Version supported by EKS</w:t>
            </w:r>
          </w:p>
        </w:tc>
        <w:tc>
          <w:tcPr>
            <w:tcW w:type="dxa" w:w="1360"/>
            <w:tcMar>
              <w:top w:w="50" w:type="dxa"/>
              <w:bottom w:w="50" w:type="dxa"/>
              <w:left w:w="90" w:type="dxa"/>
              <w:right w:w="90" w:type="dxa"/>
            </w:tcMar>
          </w:tcPr>
          <w:p>
            <w:pPr>
              <w:pStyle w:val="BDOITable"/>
            </w:pPr>
            <w:r>
              <w:rPr>
                <w:sz w:val="16"/>
              </w:rPr>
              <w:t>Apache 2.0</w:t>
            </w:r>
          </w:p>
        </w:tc>
        <w:tc>
          <w:tcPr>
            <w:tcW w:type="dxa" w:w="2606"/>
            <w:tcMar>
              <w:top w:w="50" w:type="dxa"/>
              <w:bottom w:w="50" w:type="dxa"/>
              <w:left w:w="90" w:type="dxa"/>
              <w:right w:w="90" w:type="dxa"/>
            </w:tcMar>
          </w:tcPr>
          <w:p>
            <w:pPr>
              <w:pStyle w:val="BDOITable"/>
            </w:pPr>
            <w:r>
              <w:rPr>
                <w:sz w:val="16"/>
              </w:rPr>
              <w:t>Container orchestration</w:t>
            </w:r>
          </w:p>
        </w:tc>
        <w:tc>
          <w:tcPr>
            <w:tcW w:type="dxa" w:w="2720"/>
            <w:tcMar>
              <w:top w:w="50" w:type="dxa"/>
              <w:bottom w:w="50" w:type="dxa"/>
              <w:left w:w="90" w:type="dxa"/>
              <w:right w:w="90" w:type="dxa"/>
            </w:tcMar>
          </w:tcPr>
          <w:p>
            <w:pPr>
              <w:pStyle w:val="BDOITable"/>
            </w:pPr>
            <w:r>
              <w:rPr>
                <w:sz w:val="16"/>
              </w:rPr>
              <w:t>Standard support of each version for 14 months after its EKS release</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Kubernetes Gateway API controller</w:t>
            </w:r>
          </w:p>
        </w:tc>
        <w:tc>
          <w:tcPr>
            <w:tcW w:type="dxa" w:w="1586"/>
            <w:tcMar>
              <w:top w:w="50" w:type="dxa"/>
              <w:bottom w:w="50" w:type="dxa"/>
              <w:left w:w="90" w:type="dxa"/>
              <w:right w:w="90" w:type="dxa"/>
            </w:tcMar>
            <w:shd w:val="clear" w:color="auto" w:fill="E5F5FF"/>
          </w:tcPr>
          <w:p>
            <w:pPr>
              <w:pStyle w:val="BDOITable"/>
            </w:pPr>
            <w:r>
              <w:rPr>
                <w:sz w:val="16"/>
              </w:rPr>
              <w:t>Gateway API v1 (standard channel); AWS Load Balancer Controller 2.14 or later</w:t>
            </w:r>
          </w:p>
        </w:tc>
        <w:tc>
          <w:tcPr>
            <w:tcW w:type="dxa" w:w="1360"/>
            <w:tcMar>
              <w:top w:w="50" w:type="dxa"/>
              <w:bottom w:w="50" w:type="dxa"/>
              <w:left w:w="90" w:type="dxa"/>
              <w:right w:w="90" w:type="dxa"/>
            </w:tcMar>
            <w:shd w:val="clear" w:color="auto" w:fill="E5F5FF"/>
          </w:tcPr>
          <w:p>
            <w:pPr>
              <w:pStyle w:val="BDOITable"/>
            </w:pPr>
            <w:r>
              <w:rPr>
                <w:sz w:val="16"/>
              </w:rPr>
              <w:t>Apache 2.0</w:t>
            </w:r>
          </w:p>
        </w:tc>
        <w:tc>
          <w:tcPr>
            <w:tcW w:type="dxa" w:w="2606"/>
            <w:tcMar>
              <w:top w:w="50" w:type="dxa"/>
              <w:bottom w:w="50" w:type="dxa"/>
              <w:left w:w="90" w:type="dxa"/>
              <w:right w:w="90" w:type="dxa"/>
            </w:tcMar>
            <w:shd w:val="clear" w:color="auto" w:fill="E5F5FF"/>
          </w:tcPr>
          <w:p>
            <w:pPr>
              <w:pStyle w:val="BDOITable"/>
            </w:pPr>
            <w:r>
              <w:rPr>
                <w:sz w:val="16"/>
              </w:rPr>
              <w:t>Edge routing (Gateway, HTTPRoute) to the internal load balancer</w:t>
            </w:r>
          </w:p>
        </w:tc>
        <w:tc>
          <w:tcPr>
            <w:tcW w:type="dxa" w:w="2720"/>
            <w:tcMar>
              <w:top w:w="50" w:type="dxa"/>
              <w:bottom w:w="50" w:type="dxa"/>
              <w:left w:w="90" w:type="dxa"/>
              <w:right w:w="90" w:type="dxa"/>
            </w:tcMar>
            <w:shd w:val="clear" w:color="auto" w:fill="E5F5FF"/>
          </w:tcPr>
          <w:p>
            <w:pPr>
              <w:pStyle w:val="BDOITable"/>
            </w:pPr>
            <w:r>
              <w:rPr>
                <w:sz w:val="16"/>
              </w:rPr>
              <w:t>Per release of the controller; checked at each annual technology review</w:t>
            </w:r>
          </w:p>
        </w:tc>
      </w:tr>
    </w:tbl>
    <w:p>
      <w:pPr>
        <w:pStyle w:val="BDOISpacer"/>
      </w:pPr>
    </w:p>
    <w:p>
      <w:pPr>
        <w:pStyle w:val="Heading1"/>
        <w:pBdr>
          <w:bottom w:val="single" w:sz="4" w:space="4" w:color="99C1E7"/>
        </w:pBdr>
      </w:pPr>
      <w:bookmarkStart w:id="114" w:name="_Toc000114"/>
      <w:r>
        <w:rPr/>
        <w:t>4 Domain model and bounded contexts</w:t>
      </w:r>
      <w:bookmarkEnd w:id="114"/>
    </w:p>
    <w:p>
      <w:pPr>
        <w:pStyle w:val="Heading2"/>
      </w:pPr>
      <w:bookmarkStart w:id="115" w:name="_Toc000115"/>
      <w:r>
        <w:rPr/>
        <w:t>4.1 Bounded contexts</w:t>
      </w:r>
      <w:bookmarkEnd w:id="115"/>
    </w:p>
    <w:p>
      <w:r>
        <w:rPr/>
        <w:t>The domain is cut into seventeen bounded contexts (domain-driven design): fifteen business contexts, each owned by one BRD, and two platform contexts. Each context is one or more backend modules (top-level packages); a module belongs to exactly one context. The table lists them; the API Catalogue lists every operation by context.</w:t>
      </w:r>
    </w:p>
    <w:p>
      <w:pPr>
        <w:pStyle w:val="Caption"/>
        <w:keepNext/>
        <w:spacing w:after="60"/>
      </w:pPr>
      <w:r>
        <w:rPr>
          <w:b/>
          <w:i w:val="0"/>
        </w:rPr>
        <w:t xml:space="preserve">Table 8: </w:t>
      </w:r>
      <w:r>
        <w:rPr/>
        <w:t>Bounded contexts and modules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1473"/>
        <w:gridCol w:w="2606"/>
        <w:gridCol w:w="736"/>
        <w:gridCol w:w="849"/>
        <w:gridCol w:w="37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Bounded context</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Modules</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BRD</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5"/>
              </w:rPr>
              <w:t>Responsibility</w:t>
            </w:r>
          </w:p>
        </w:tc>
      </w:tr>
      <w:tr>
        <w:trPr>
          <w:cantSplit w:val="true"/>
        </w:trPr>
        <w:tc>
          <w:tcPr>
            <w:tcW w:type="dxa" w:w="567"/>
            <w:tcMar>
              <w:top w:w="50" w:type="dxa"/>
              <w:bottom w:w="50" w:type="dxa"/>
              <w:left w:w="90" w:type="dxa"/>
              <w:right w:w="90" w:type="dxa"/>
            </w:tcMar>
          </w:tcPr>
          <w:p>
            <w:pPr>
              <w:pStyle w:val="BDOITable"/>
            </w:pPr>
            <w:r>
              <w:rPr>
                <w:b/>
                <w:sz w:val="15"/>
              </w:rPr>
              <w:t>BC01</w:t>
            </w:r>
          </w:p>
        </w:tc>
        <w:tc>
          <w:tcPr>
            <w:tcW w:type="dxa" w:w="1473"/>
            <w:tcMar>
              <w:top w:w="50" w:type="dxa"/>
              <w:bottom w:w="50" w:type="dxa"/>
              <w:left w:w="90" w:type="dxa"/>
              <w:right w:w="90" w:type="dxa"/>
            </w:tcMar>
          </w:tcPr>
          <w:p>
            <w:pPr>
              <w:pStyle w:val="BDOITable"/>
            </w:pPr>
            <w:r>
              <w:rPr>
                <w:sz w:val="15"/>
              </w:rPr>
              <w:t>Client management</w:t>
            </w:r>
          </w:p>
        </w:tc>
        <w:tc>
          <w:tcPr>
            <w:tcW w:type="dxa" w:w="2606"/>
            <w:tcMar>
              <w:top w:w="50" w:type="dxa"/>
              <w:bottom w:w="50" w:type="dxa"/>
              <w:left w:w="90" w:type="dxa"/>
              <w:right w:w="90" w:type="dxa"/>
            </w:tcMar>
          </w:tcPr>
          <w:p>
            <w:pPr>
              <w:pStyle w:val="BDOITable"/>
            </w:pPr>
            <w:r>
              <w:rPr>
                <w:sz w:val="15"/>
              </w:rPr>
              <w:t>Clients (CRM)</w:t>
            </w:r>
          </w:p>
        </w:tc>
        <w:tc>
          <w:tcPr>
            <w:tcW w:type="dxa" w:w="737"/>
            <w:tcMar>
              <w:top w:w="50" w:type="dxa"/>
              <w:bottom w:w="50" w:type="dxa"/>
              <w:left w:w="90" w:type="dxa"/>
              <w:right w:w="90" w:type="dxa"/>
            </w:tcMar>
          </w:tcPr>
          <w:p>
            <w:pPr>
              <w:pStyle w:val="BDOITable"/>
            </w:pPr>
            <w:r>
              <w:rPr>
                <w:sz w:val="15"/>
              </w:rPr>
              <w:t>BRD-01</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Prospects and KYC-verified clients, contacts, tags, special instructions, duplicate detection, client 360 view</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BC02</w:t>
            </w:r>
          </w:p>
        </w:tc>
        <w:tc>
          <w:tcPr>
            <w:tcW w:type="dxa" w:w="1473"/>
            <w:tcMar>
              <w:top w:w="50" w:type="dxa"/>
              <w:bottom w:w="50" w:type="dxa"/>
              <w:left w:w="90" w:type="dxa"/>
              <w:right w:w="90" w:type="dxa"/>
            </w:tcMar>
            <w:shd w:val="clear" w:color="auto" w:fill="E5F5FF"/>
          </w:tcPr>
          <w:p>
            <w:pPr>
              <w:pStyle w:val="BDOITable"/>
            </w:pPr>
            <w:r>
              <w:rPr>
                <w:sz w:val="15"/>
              </w:rPr>
              <w:t>Product catalogue and maintenance</w:t>
            </w:r>
          </w:p>
        </w:tc>
        <w:tc>
          <w:tcPr>
            <w:tcW w:type="dxa" w:w="2606"/>
            <w:tcMar>
              <w:top w:w="50" w:type="dxa"/>
              <w:bottom w:w="50" w:type="dxa"/>
              <w:left w:w="90" w:type="dxa"/>
              <w:right w:w="90" w:type="dxa"/>
            </w:tcMar>
            <w:shd w:val="clear" w:color="auto" w:fill="E5F5FF"/>
          </w:tcPr>
          <w:p>
            <w:pPr>
              <w:pStyle w:val="BDOITable"/>
            </w:pPr>
            <w:r>
              <w:rPr>
                <w:sz w:val="15"/>
              </w:rPr>
              <w:t>Product catalogue, Package requests</w:t>
            </w:r>
          </w:p>
        </w:tc>
        <w:tc>
          <w:tcPr>
            <w:tcW w:type="dxa" w:w="737"/>
            <w:tcMar>
              <w:top w:w="50" w:type="dxa"/>
              <w:bottom w:w="50" w:type="dxa"/>
              <w:left w:w="90" w:type="dxa"/>
              <w:right w:w="90" w:type="dxa"/>
            </w:tcMar>
            <w:shd w:val="clear" w:color="auto" w:fill="E5F5FF"/>
          </w:tcPr>
          <w:p>
            <w:pPr>
              <w:pStyle w:val="BDOITable"/>
            </w:pPr>
            <w:r>
              <w:rPr>
                <w:sz w:val="15"/>
              </w:rPr>
              <w:t>BRD-03</w:t>
            </w:r>
          </w:p>
        </w:tc>
        <w:tc>
          <w:tcPr>
            <w:tcW w:type="dxa" w:w="850"/>
            <w:tcMar>
              <w:top w:w="50" w:type="dxa"/>
              <w:bottom w:w="50" w:type="dxa"/>
              <w:left w:w="90" w:type="dxa"/>
              <w:right w:w="90" w:type="dxa"/>
            </w:tcMar>
            <w:shd w:val="clear" w:color="auto" w:fill="E5F5FF"/>
          </w:tcPr>
          <w:p>
            <w:pPr>
              <w:pStyle w:val="BDOITable"/>
            </w:pPr>
            <w:r>
              <w:rPr>
                <w:sz w:val="15"/>
              </w:rPr>
              <w:t>Drop 0</w:t>
            </w:r>
          </w:p>
        </w:tc>
        <w:tc>
          <w:tcPr>
            <w:tcW w:type="dxa" w:w="3739"/>
            <w:tcMar>
              <w:top w:w="50" w:type="dxa"/>
              <w:bottom w:w="50" w:type="dxa"/>
              <w:left w:w="90" w:type="dxa"/>
              <w:right w:w="90" w:type="dxa"/>
            </w:tcMar>
            <w:shd w:val="clear" w:color="auto" w:fill="E5F5FF"/>
          </w:tcPr>
          <w:p>
            <w:pPr>
              <w:pStyle w:val="BDOITable"/>
            </w:pPr>
            <w:r>
              <w:rPr>
                <w:sz w:val="15"/>
              </w:rPr>
              <w:t>Product lines, cover types, BDOI risk products and package versions, insurer panel, rate, commission and tax tables, minimum-field matrix, TSU routing rules, package request approvals</w:t>
            </w:r>
          </w:p>
        </w:tc>
      </w:tr>
      <w:tr>
        <w:trPr>
          <w:cantSplit w:val="true"/>
        </w:trPr>
        <w:tc>
          <w:tcPr>
            <w:tcW w:type="dxa" w:w="567"/>
            <w:tcMar>
              <w:top w:w="50" w:type="dxa"/>
              <w:bottom w:w="50" w:type="dxa"/>
              <w:left w:w="90" w:type="dxa"/>
              <w:right w:w="90" w:type="dxa"/>
            </w:tcMar>
          </w:tcPr>
          <w:p>
            <w:pPr>
              <w:pStyle w:val="BDOITable"/>
            </w:pPr>
            <w:r>
              <w:rPr>
                <w:b/>
                <w:sz w:val="15"/>
              </w:rPr>
              <w:t>BC03</w:t>
            </w:r>
          </w:p>
        </w:tc>
        <w:tc>
          <w:tcPr>
            <w:tcW w:type="dxa" w:w="1473"/>
            <w:tcMar>
              <w:top w:w="50" w:type="dxa"/>
              <w:bottom w:w="50" w:type="dxa"/>
              <w:left w:w="90" w:type="dxa"/>
              <w:right w:w="90" w:type="dxa"/>
            </w:tcMar>
          </w:tcPr>
          <w:p>
            <w:pPr>
              <w:pStyle w:val="BDOITable"/>
            </w:pPr>
            <w:r>
              <w:rPr>
                <w:sz w:val="15"/>
              </w:rPr>
              <w:t>New business broking</w:t>
            </w:r>
          </w:p>
        </w:tc>
        <w:tc>
          <w:tcPr>
            <w:tcW w:type="dxa" w:w="2606"/>
            <w:tcMar>
              <w:top w:w="50" w:type="dxa"/>
              <w:bottom w:w="50" w:type="dxa"/>
              <w:left w:w="90" w:type="dxa"/>
              <w:right w:w="90" w:type="dxa"/>
            </w:tcMar>
          </w:tcPr>
          <w:p>
            <w:pPr>
              <w:pStyle w:val="BDOITable"/>
            </w:pPr>
            <w:r>
              <w:rPr>
                <w:sz w:val="15"/>
              </w:rPr>
              <w:t>Accounts (ARN), Package quotations, Non-package proposals, Placement, Issuance, Booking, New Business reports</w:t>
            </w:r>
          </w:p>
        </w:tc>
        <w:tc>
          <w:tcPr>
            <w:tcW w:type="dxa" w:w="737"/>
            <w:tcMar>
              <w:top w:w="50" w:type="dxa"/>
              <w:bottom w:w="50" w:type="dxa"/>
              <w:left w:w="90" w:type="dxa"/>
              <w:right w:w="90" w:type="dxa"/>
            </w:tcMar>
          </w:tcPr>
          <w:p>
            <w:pPr>
              <w:pStyle w:val="BDOITable"/>
            </w:pPr>
            <w:r>
              <w:rPr>
                <w:sz w:val="15"/>
              </w:rPr>
              <w:t>BRD-01</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Account (ARN) from quotation to invoice, quotation and PRF, placement slips and hold covers, e-policy receipt and Insurance Advice, booking with the broker accounting entry and service invoice</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BC04</w:t>
            </w:r>
          </w:p>
        </w:tc>
        <w:tc>
          <w:tcPr>
            <w:tcW w:type="dxa" w:w="1473"/>
            <w:tcMar>
              <w:top w:w="50" w:type="dxa"/>
              <w:bottom w:w="50" w:type="dxa"/>
              <w:left w:w="90" w:type="dxa"/>
              <w:right w:w="90" w:type="dxa"/>
            </w:tcMar>
            <w:shd w:val="clear" w:color="auto" w:fill="E5F5FF"/>
          </w:tcPr>
          <w:p>
            <w:pPr>
              <w:pStyle w:val="BDOITable"/>
            </w:pPr>
            <w:r>
              <w:rPr>
                <w:sz w:val="15"/>
              </w:rPr>
              <w:t>Renewal</w:t>
            </w:r>
          </w:p>
        </w:tc>
        <w:tc>
          <w:tcPr>
            <w:tcW w:type="dxa" w:w="2606"/>
            <w:tcMar>
              <w:top w:w="50" w:type="dxa"/>
              <w:bottom w:w="50" w:type="dxa"/>
              <w:left w:w="90" w:type="dxa"/>
              <w:right w:w="90" w:type="dxa"/>
            </w:tcMar>
            <w:shd w:val="clear" w:color="auto" w:fill="E5F5FF"/>
          </w:tcPr>
          <w:p>
            <w:pPr>
              <w:pStyle w:val="BDOITable"/>
            </w:pPr>
            <w:r>
              <w:rPr>
                <w:sz w:val="15"/>
              </w:rPr>
              <w:t>Renewal</w:t>
            </w:r>
          </w:p>
        </w:tc>
        <w:tc>
          <w:tcPr>
            <w:tcW w:type="dxa" w:w="737"/>
            <w:tcMar>
              <w:top w:w="50" w:type="dxa"/>
              <w:bottom w:w="50" w:type="dxa"/>
              <w:left w:w="90" w:type="dxa"/>
              <w:right w:w="90" w:type="dxa"/>
            </w:tcMar>
            <w:shd w:val="clear" w:color="auto" w:fill="E5F5FF"/>
          </w:tcPr>
          <w:p>
            <w:pPr>
              <w:pStyle w:val="BDOITable"/>
            </w:pPr>
            <w:r>
              <w:rPr>
                <w:sz w:val="15"/>
              </w:rPr>
              <w:t>BRD-06</w:t>
            </w:r>
          </w:p>
        </w:tc>
        <w:tc>
          <w:tcPr>
            <w:tcW w:type="dxa" w:w="850"/>
            <w:tcMar>
              <w:top w:w="50" w:type="dxa"/>
              <w:bottom w:w="50" w:type="dxa"/>
              <w:left w:w="90" w:type="dxa"/>
              <w:right w:w="90" w:type="dxa"/>
            </w:tcMar>
            <w:shd w:val="clear" w:color="auto" w:fill="E5F5FF"/>
          </w:tcPr>
          <w:p>
            <w:pPr>
              <w:pStyle w:val="BDOITable"/>
            </w:pPr>
            <w:r>
              <w:rPr>
                <w:sz w:val="15"/>
              </w:rPr>
              <w:t>Drop 1</w:t>
            </w:r>
          </w:p>
        </w:tc>
        <w:tc>
          <w:tcPr>
            <w:tcW w:type="dxa" w:w="3739"/>
            <w:tcMar>
              <w:top w:w="50" w:type="dxa"/>
              <w:bottom w:w="50" w:type="dxa"/>
              <w:left w:w="90" w:type="dxa"/>
              <w:right w:w="90" w:type="dxa"/>
            </w:tcMar>
            <w:shd w:val="clear" w:color="auto" w:fill="E5F5FF"/>
          </w:tcPr>
          <w:p>
            <w:pPr>
              <w:pStyle w:val="BDOITable"/>
            </w:pPr>
            <w:r>
              <w:rPr>
                <w:sz w:val="15"/>
              </w:rPr>
              <w:t>Expiry list extraction, sanitation buckets, disposition, insurer batches, renewal advice, NAL and NRL letters</w:t>
            </w:r>
          </w:p>
        </w:tc>
      </w:tr>
      <w:tr>
        <w:trPr>
          <w:cantSplit w:val="true"/>
        </w:trPr>
        <w:tc>
          <w:tcPr>
            <w:tcW w:type="dxa" w:w="567"/>
            <w:tcMar>
              <w:top w:w="50" w:type="dxa"/>
              <w:bottom w:w="50" w:type="dxa"/>
              <w:left w:w="90" w:type="dxa"/>
              <w:right w:w="90" w:type="dxa"/>
            </w:tcMar>
          </w:tcPr>
          <w:p>
            <w:pPr>
              <w:pStyle w:val="BDOITable"/>
            </w:pPr>
            <w:r>
              <w:rPr>
                <w:b/>
                <w:sz w:val="15"/>
              </w:rPr>
              <w:t>BC05</w:t>
            </w:r>
          </w:p>
        </w:tc>
        <w:tc>
          <w:tcPr>
            <w:tcW w:type="dxa" w:w="1473"/>
            <w:tcMar>
              <w:top w:w="50" w:type="dxa"/>
              <w:bottom w:w="50" w:type="dxa"/>
              <w:left w:w="90" w:type="dxa"/>
              <w:right w:w="90" w:type="dxa"/>
            </w:tcMar>
          </w:tcPr>
          <w:p>
            <w:pPr>
              <w:pStyle w:val="BDOITable"/>
            </w:pPr>
            <w:r>
              <w:rPr>
                <w:sz w:val="15"/>
              </w:rPr>
              <w:t>Submitted policies</w:t>
            </w:r>
          </w:p>
        </w:tc>
        <w:tc>
          <w:tcPr>
            <w:tcW w:type="dxa" w:w="2606"/>
            <w:tcMar>
              <w:top w:w="50" w:type="dxa"/>
              <w:bottom w:w="50" w:type="dxa"/>
              <w:left w:w="90" w:type="dxa"/>
              <w:right w:w="90" w:type="dxa"/>
            </w:tcMar>
          </w:tcPr>
          <w:p>
            <w:pPr>
              <w:pStyle w:val="BDOITable"/>
            </w:pPr>
            <w:r>
              <w:rPr>
                <w:sz w:val="15"/>
              </w:rPr>
              <w:t>Submitted policies</w:t>
            </w:r>
          </w:p>
        </w:tc>
        <w:tc>
          <w:tcPr>
            <w:tcW w:type="dxa" w:w="737"/>
            <w:tcMar>
              <w:top w:w="50" w:type="dxa"/>
              <w:bottom w:w="50" w:type="dxa"/>
              <w:left w:w="90" w:type="dxa"/>
              <w:right w:w="90" w:type="dxa"/>
            </w:tcMar>
          </w:tcPr>
          <w:p>
            <w:pPr>
              <w:pStyle w:val="BDOITable"/>
            </w:pPr>
            <w:r>
              <w:rPr>
                <w:sz w:val="15"/>
              </w:rPr>
              <w:t>BRD-12</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Policies bought elsewhere and submitted for loan collateral, IAAF and TOR approvals, letters, hand-off to Renewal</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BC06</w:t>
            </w:r>
          </w:p>
        </w:tc>
        <w:tc>
          <w:tcPr>
            <w:tcW w:type="dxa" w:w="1473"/>
            <w:tcMar>
              <w:top w:w="50" w:type="dxa"/>
              <w:bottom w:w="50" w:type="dxa"/>
              <w:left w:w="90" w:type="dxa"/>
              <w:right w:w="90" w:type="dxa"/>
            </w:tcMar>
            <w:shd w:val="clear" w:color="auto" w:fill="E5F5FF"/>
          </w:tcPr>
          <w:p>
            <w:pPr>
              <w:pStyle w:val="BDOITable"/>
            </w:pPr>
            <w:r>
              <w:rPr>
                <w:sz w:val="15"/>
              </w:rPr>
              <w:t>Operations</w:t>
            </w:r>
          </w:p>
        </w:tc>
        <w:tc>
          <w:tcPr>
            <w:tcW w:type="dxa" w:w="2606"/>
            <w:tcMar>
              <w:top w:w="50" w:type="dxa"/>
              <w:bottom w:w="50" w:type="dxa"/>
              <w:left w:w="90" w:type="dxa"/>
              <w:right w:w="90" w:type="dxa"/>
            </w:tcMar>
            <w:shd w:val="clear" w:color="auto" w:fill="E5F5FF"/>
          </w:tcPr>
          <w:p>
            <w:pPr>
              <w:pStyle w:val="BDOITable"/>
            </w:pPr>
            <w:r>
              <w:rPr>
                <w:sz w:val="15"/>
              </w:rPr>
              <w:t>Operations invoice ledger, Cashiering, Remittance, Adjustment, Commission receivables, Production reconciliation</w:t>
            </w:r>
          </w:p>
        </w:tc>
        <w:tc>
          <w:tcPr>
            <w:tcW w:type="dxa" w:w="737"/>
            <w:tcMar>
              <w:top w:w="50" w:type="dxa"/>
              <w:bottom w:w="50" w:type="dxa"/>
              <w:left w:w="90" w:type="dxa"/>
              <w:right w:w="90" w:type="dxa"/>
            </w:tcMar>
            <w:shd w:val="clear" w:color="auto" w:fill="E5F5FF"/>
          </w:tcPr>
          <w:p>
            <w:pPr>
              <w:pStyle w:val="BDOITable"/>
            </w:pPr>
            <w:r>
              <w:rPr>
                <w:sz w:val="15"/>
              </w:rPr>
              <w:t>BRD-02</w:t>
            </w:r>
          </w:p>
        </w:tc>
        <w:tc>
          <w:tcPr>
            <w:tcW w:type="dxa" w:w="850"/>
            <w:tcMar>
              <w:top w:w="50" w:type="dxa"/>
              <w:bottom w:w="50" w:type="dxa"/>
              <w:left w:w="90" w:type="dxa"/>
              <w:right w:w="90" w:type="dxa"/>
            </w:tcMar>
            <w:shd w:val="clear" w:color="auto" w:fill="E5F5FF"/>
          </w:tcPr>
          <w:p>
            <w:pPr>
              <w:pStyle w:val="BDOITable"/>
            </w:pPr>
            <w:r>
              <w:rPr>
                <w:sz w:val="15"/>
              </w:rPr>
              <w:t>Drop 1</w:t>
            </w:r>
          </w:p>
        </w:tc>
        <w:tc>
          <w:tcPr>
            <w:tcW w:type="dxa" w:w="3739"/>
            <w:tcMar>
              <w:top w:w="50" w:type="dxa"/>
              <w:bottom w:w="50" w:type="dxa"/>
              <w:left w:w="90" w:type="dxa"/>
              <w:right w:w="90" w:type="dxa"/>
            </w:tcMar>
            <w:shd w:val="clear" w:color="auto" w:fill="E5F5FF"/>
          </w:tcPr>
          <w:p>
            <w:pPr>
              <w:pStyle w:val="BDOITable"/>
            </w:pPr>
            <w:r>
              <w:rPr>
                <w:sz w:val="15"/>
              </w:rPr>
              <w:t>Invoice ledger, receipts (AR and OR), payment matching, remittance to insurers, adjustments, commission receivables, production reconciliation</w:t>
            </w:r>
          </w:p>
        </w:tc>
      </w:tr>
      <w:tr>
        <w:trPr>
          <w:cantSplit w:val="true"/>
        </w:trPr>
        <w:tc>
          <w:tcPr>
            <w:tcW w:type="dxa" w:w="567"/>
            <w:tcMar>
              <w:top w:w="50" w:type="dxa"/>
              <w:bottom w:w="50" w:type="dxa"/>
              <w:left w:w="90" w:type="dxa"/>
              <w:right w:w="90" w:type="dxa"/>
            </w:tcMar>
          </w:tcPr>
          <w:p>
            <w:pPr>
              <w:pStyle w:val="BDOITable"/>
            </w:pPr>
            <w:r>
              <w:rPr>
                <w:b/>
                <w:sz w:val="15"/>
              </w:rPr>
              <w:t>BC07</w:t>
            </w:r>
          </w:p>
        </w:tc>
        <w:tc>
          <w:tcPr>
            <w:tcW w:type="dxa" w:w="1473"/>
            <w:tcMar>
              <w:top w:w="50" w:type="dxa"/>
              <w:bottom w:w="50" w:type="dxa"/>
              <w:left w:w="90" w:type="dxa"/>
              <w:right w:w="90" w:type="dxa"/>
            </w:tcMar>
          </w:tcPr>
          <w:p>
            <w:pPr>
              <w:pStyle w:val="BDOITable"/>
            </w:pPr>
            <w:r>
              <w:rPr>
                <w:sz w:val="15"/>
              </w:rPr>
              <w:t>Collections</w:t>
            </w:r>
          </w:p>
        </w:tc>
        <w:tc>
          <w:tcPr>
            <w:tcW w:type="dxa" w:w="2606"/>
            <w:tcMar>
              <w:top w:w="50" w:type="dxa"/>
              <w:bottom w:w="50" w:type="dxa"/>
              <w:left w:w="90" w:type="dxa"/>
              <w:right w:w="90" w:type="dxa"/>
            </w:tcMar>
          </w:tcPr>
          <w:p>
            <w:pPr>
              <w:pStyle w:val="BDOITable"/>
            </w:pPr>
            <w:r>
              <w:rPr>
                <w:sz w:val="15"/>
              </w:rPr>
              <w:t>Collections</w:t>
            </w:r>
          </w:p>
        </w:tc>
        <w:tc>
          <w:tcPr>
            <w:tcW w:type="dxa" w:w="737"/>
            <w:tcMar>
              <w:top w:w="50" w:type="dxa"/>
              <w:bottom w:w="50" w:type="dxa"/>
              <w:left w:w="90" w:type="dxa"/>
              <w:right w:w="90" w:type="dxa"/>
            </w:tcMar>
          </w:tcPr>
          <w:p>
            <w:pPr>
              <w:pStyle w:val="BDOITable"/>
            </w:pPr>
            <w:r>
              <w:rPr>
                <w:sz w:val="15"/>
              </w:rPr>
              <w:t>BRD-04</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Collection worklist from the invoice ledger, assignment and escalation rules, promises to pay, daily, weekly and monthly files</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BC08</w:t>
            </w:r>
          </w:p>
        </w:tc>
        <w:tc>
          <w:tcPr>
            <w:tcW w:type="dxa" w:w="1473"/>
            <w:tcMar>
              <w:top w:w="50" w:type="dxa"/>
              <w:bottom w:w="50" w:type="dxa"/>
              <w:left w:w="90" w:type="dxa"/>
              <w:right w:w="90" w:type="dxa"/>
            </w:tcMar>
            <w:shd w:val="clear" w:color="auto" w:fill="E5F5FF"/>
          </w:tcPr>
          <w:p>
            <w:pPr>
              <w:pStyle w:val="BDOITable"/>
            </w:pPr>
            <w:r>
              <w:rPr>
                <w:sz w:val="15"/>
              </w:rPr>
              <w:t>Accounting, disbursement and ACSL</w:t>
            </w:r>
          </w:p>
        </w:tc>
        <w:tc>
          <w:tcPr>
            <w:tcW w:type="dxa" w:w="2606"/>
            <w:tcMar>
              <w:top w:w="50" w:type="dxa"/>
              <w:bottom w:w="50" w:type="dxa"/>
              <w:left w:w="90" w:type="dxa"/>
              <w:right w:w="90" w:type="dxa"/>
            </w:tcMar>
            <w:shd w:val="clear" w:color="auto" w:fill="E5F5FF"/>
          </w:tcPr>
          <w:p>
            <w:pPr>
              <w:pStyle w:val="BDOITable"/>
            </w:pPr>
            <w:r>
              <w:rPr>
                <w:sz w:val="15"/>
              </w:rPr>
              <w:t>ACSL, Disbursement, Refund and cash-advance requests, FRBS reports and service fee</w:t>
            </w:r>
          </w:p>
        </w:tc>
        <w:tc>
          <w:tcPr>
            <w:tcW w:type="dxa" w:w="737"/>
            <w:tcMar>
              <w:top w:w="50" w:type="dxa"/>
              <w:bottom w:w="50" w:type="dxa"/>
              <w:left w:w="90" w:type="dxa"/>
              <w:right w:w="90" w:type="dxa"/>
            </w:tcMar>
            <w:shd w:val="clear" w:color="auto" w:fill="E5F5FF"/>
          </w:tcPr>
          <w:p>
            <w:pPr>
              <w:pStyle w:val="BDOITable"/>
            </w:pPr>
            <w:r>
              <w:rPr>
                <w:sz w:val="15"/>
              </w:rPr>
              <w:t>BRD-05</w:t>
            </w:r>
          </w:p>
        </w:tc>
        <w:tc>
          <w:tcPr>
            <w:tcW w:type="dxa" w:w="850"/>
            <w:tcMar>
              <w:top w:w="50" w:type="dxa"/>
              <w:bottom w:w="50" w:type="dxa"/>
              <w:left w:w="90" w:type="dxa"/>
              <w:right w:w="90" w:type="dxa"/>
            </w:tcMar>
            <w:shd w:val="clear" w:color="auto" w:fill="E5F5FF"/>
          </w:tcPr>
          <w:p>
            <w:pPr>
              <w:pStyle w:val="BDOITable"/>
            </w:pPr>
            <w:r>
              <w:rPr>
                <w:sz w:val="15"/>
              </w:rPr>
              <w:t>Drop 1</w:t>
            </w:r>
          </w:p>
        </w:tc>
        <w:tc>
          <w:tcPr>
            <w:tcW w:type="dxa" w:w="3739"/>
            <w:tcMar>
              <w:top w:w="50" w:type="dxa"/>
              <w:bottom w:w="50" w:type="dxa"/>
              <w:left w:w="90" w:type="dxa"/>
              <w:right w:w="90" w:type="dxa"/>
            </w:tcMar>
            <w:shd w:val="clear" w:color="auto" w:fill="E5F5FF"/>
          </w:tcPr>
          <w:p>
            <w:pPr>
              <w:pStyle w:val="BDOITable"/>
            </w:pPr>
            <w:r>
              <w:rPr>
                <w:sz w:val="15"/>
              </w:rPr>
              <w:t>Accounting control and sub-ledger, payee master, payment requests and vouchers, refunds and cash advances, management report pack</w:t>
            </w:r>
          </w:p>
        </w:tc>
      </w:tr>
      <w:tr>
        <w:trPr>
          <w:cantSplit w:val="true"/>
        </w:trPr>
        <w:tc>
          <w:tcPr>
            <w:tcW w:type="dxa" w:w="567"/>
            <w:tcMar>
              <w:top w:w="50" w:type="dxa"/>
              <w:bottom w:w="50" w:type="dxa"/>
              <w:left w:w="90" w:type="dxa"/>
              <w:right w:w="90" w:type="dxa"/>
            </w:tcMar>
          </w:tcPr>
          <w:p>
            <w:pPr>
              <w:pStyle w:val="BDOITable"/>
            </w:pPr>
            <w:r>
              <w:rPr>
                <w:b/>
                <w:sz w:val="15"/>
              </w:rPr>
              <w:t>BC09</w:t>
            </w:r>
          </w:p>
        </w:tc>
        <w:tc>
          <w:tcPr>
            <w:tcW w:type="dxa" w:w="1473"/>
            <w:tcMar>
              <w:top w:w="50" w:type="dxa"/>
              <w:bottom w:w="50" w:type="dxa"/>
              <w:left w:w="90" w:type="dxa"/>
              <w:right w:w="90" w:type="dxa"/>
            </w:tcMar>
          </w:tcPr>
          <w:p>
            <w:pPr>
              <w:pStyle w:val="BDOITable"/>
            </w:pPr>
            <w:r>
              <w:rPr>
                <w:sz w:val="15"/>
              </w:rPr>
              <w:t>Finance core</w:t>
            </w:r>
          </w:p>
        </w:tc>
        <w:tc>
          <w:tcPr>
            <w:tcW w:type="dxa" w:w="2606"/>
            <w:tcMar>
              <w:top w:w="50" w:type="dxa"/>
              <w:bottom w:w="50" w:type="dxa"/>
              <w:left w:w="90" w:type="dxa"/>
              <w:right w:w="90" w:type="dxa"/>
            </w:tcMar>
          </w:tcPr>
          <w:p>
            <w:pPr>
              <w:pStyle w:val="BDOITable"/>
            </w:pPr>
            <w:r>
              <w:rPr>
                <w:sz w:val="15"/>
              </w:rPr>
              <w:t>Chart of accounts, Journals, General ledger, Fiscal periods, Currencies and rates, Dimensions, Accounting engine, Open-item sub-ledger, Business partners, Financial reports, Period and year-end closing, Budgets, Fixed assets, Investments, Payables and bank accounts, Receivables and bank reconciliation, BIR tax and certificates</w:t>
            </w:r>
          </w:p>
        </w:tc>
        <w:tc>
          <w:tcPr>
            <w:tcW w:type="dxa" w:w="737"/>
            <w:tcMar>
              <w:top w:w="50" w:type="dxa"/>
              <w:bottom w:w="50" w:type="dxa"/>
              <w:left w:w="90" w:type="dxa"/>
              <w:right w:w="90" w:type="dxa"/>
            </w:tcMar>
          </w:tcPr>
          <w:p>
            <w:pPr>
              <w:pStyle w:val="BDOITable"/>
            </w:pPr>
            <w:r>
              <w:rPr>
                <w:sz w:val="15"/>
              </w:rPr>
              <w:t>BRD-05</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Event-driven accounting rules, journals with maker-checker, immutable ledger and daily balances, open items and ageing, BIR returns and certificates of the broker, financial statements</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BC10</w:t>
            </w:r>
          </w:p>
        </w:tc>
        <w:tc>
          <w:tcPr>
            <w:tcW w:type="dxa" w:w="1473"/>
            <w:tcMar>
              <w:top w:w="50" w:type="dxa"/>
              <w:bottom w:w="50" w:type="dxa"/>
              <w:left w:w="90" w:type="dxa"/>
              <w:right w:w="90" w:type="dxa"/>
            </w:tcMar>
            <w:shd w:val="clear" w:color="auto" w:fill="E5F5FF"/>
          </w:tcPr>
          <w:p>
            <w:pPr>
              <w:pStyle w:val="BDOITable"/>
            </w:pPr>
            <w:r>
              <w:rPr>
                <w:sz w:val="15"/>
              </w:rPr>
              <w:t>Claims handling</w:t>
            </w:r>
          </w:p>
        </w:tc>
        <w:tc>
          <w:tcPr>
            <w:tcW w:type="dxa" w:w="2606"/>
            <w:tcMar>
              <w:top w:w="50" w:type="dxa"/>
              <w:bottom w:w="50" w:type="dxa"/>
              <w:left w:w="90" w:type="dxa"/>
              <w:right w:w="90" w:type="dxa"/>
            </w:tcMar>
            <w:shd w:val="clear" w:color="auto" w:fill="E5F5FF"/>
          </w:tcPr>
          <w:p>
            <w:pPr>
              <w:pStyle w:val="BDOITable"/>
            </w:pPr>
            <w:r>
              <w:rPr>
                <w:sz w:val="15"/>
              </w:rPr>
              <w:t>Claims handling</w:t>
            </w:r>
          </w:p>
        </w:tc>
        <w:tc>
          <w:tcPr>
            <w:tcW w:type="dxa" w:w="737"/>
            <w:tcMar>
              <w:top w:w="50" w:type="dxa"/>
              <w:bottom w:w="50" w:type="dxa"/>
              <w:left w:w="90" w:type="dxa"/>
              <w:right w:w="90" w:type="dxa"/>
            </w:tcMar>
            <w:shd w:val="clear" w:color="auto" w:fill="E5F5FF"/>
          </w:tcPr>
          <w:p>
            <w:pPr>
              <w:pStyle w:val="BDOITable"/>
            </w:pPr>
            <w:r>
              <w:rPr>
                <w:sz w:val="15"/>
              </w:rPr>
              <w:t>BRD-07</w:t>
            </w:r>
          </w:p>
        </w:tc>
        <w:tc>
          <w:tcPr>
            <w:tcW w:type="dxa" w:w="850"/>
            <w:tcMar>
              <w:top w:w="50" w:type="dxa"/>
              <w:bottom w:w="50" w:type="dxa"/>
              <w:left w:w="90" w:type="dxa"/>
              <w:right w:w="90" w:type="dxa"/>
            </w:tcMar>
            <w:shd w:val="clear" w:color="auto" w:fill="E5F5FF"/>
          </w:tcPr>
          <w:p>
            <w:pPr>
              <w:pStyle w:val="BDOITable"/>
            </w:pPr>
            <w:r>
              <w:rPr>
                <w:sz w:val="15"/>
              </w:rPr>
              <w:t>Drop 2</w:t>
            </w:r>
          </w:p>
        </w:tc>
        <w:tc>
          <w:tcPr>
            <w:tcW w:type="dxa" w:w="3739"/>
            <w:tcMar>
              <w:top w:w="50" w:type="dxa"/>
              <w:bottom w:w="50" w:type="dxa"/>
              <w:left w:w="90" w:type="dxa"/>
              <w:right w:w="90" w:type="dxa"/>
            </w:tcMar>
            <w:shd w:val="clear" w:color="auto" w:fill="E5F5FF"/>
          </w:tcPr>
          <w:p>
            <w:pPr>
              <w:pStyle w:val="BDOITable"/>
            </w:pPr>
            <w:r>
              <w:rPr>
                <w:sz w:val="15"/>
              </w:rPr>
              <w:t>The broker's claim case file on a cover, documents, insurer follow-up, settlement tracking, claim reports</w:t>
            </w:r>
          </w:p>
        </w:tc>
      </w:tr>
      <w:tr>
        <w:trPr>
          <w:cantSplit w:val="true"/>
        </w:trPr>
        <w:tc>
          <w:tcPr>
            <w:tcW w:type="dxa" w:w="567"/>
            <w:tcMar>
              <w:top w:w="50" w:type="dxa"/>
              <w:bottom w:w="50" w:type="dxa"/>
              <w:left w:w="90" w:type="dxa"/>
              <w:right w:w="90" w:type="dxa"/>
            </w:tcMar>
          </w:tcPr>
          <w:p>
            <w:pPr>
              <w:pStyle w:val="BDOITable"/>
            </w:pPr>
            <w:r>
              <w:rPr>
                <w:b/>
                <w:sz w:val="15"/>
              </w:rPr>
              <w:t>BC11</w:t>
            </w:r>
          </w:p>
        </w:tc>
        <w:tc>
          <w:tcPr>
            <w:tcW w:type="dxa" w:w="1473"/>
            <w:tcMar>
              <w:top w:w="50" w:type="dxa"/>
              <w:bottom w:w="50" w:type="dxa"/>
              <w:left w:w="90" w:type="dxa"/>
              <w:right w:w="90" w:type="dxa"/>
            </w:tcMar>
          </w:tcPr>
          <w:p>
            <w:pPr>
              <w:pStyle w:val="BDOITable"/>
            </w:pPr>
            <w:r>
              <w:rPr>
                <w:sz w:val="15"/>
              </w:rPr>
              <w:t>Employee benefits</w:t>
            </w:r>
          </w:p>
        </w:tc>
        <w:tc>
          <w:tcPr>
            <w:tcW w:type="dxa" w:w="2606"/>
            <w:tcMar>
              <w:top w:w="50" w:type="dxa"/>
              <w:bottom w:w="50" w:type="dxa"/>
              <w:left w:w="90" w:type="dxa"/>
              <w:right w:w="90" w:type="dxa"/>
            </w:tcMar>
          </w:tcPr>
          <w:p>
            <w:pPr>
              <w:pStyle w:val="BDOITable"/>
            </w:pPr>
            <w:r>
              <w:rPr>
                <w:sz w:val="15"/>
              </w:rPr>
              <w:t>Employee benefits</w:t>
            </w:r>
          </w:p>
        </w:tc>
        <w:tc>
          <w:tcPr>
            <w:tcW w:type="dxa" w:w="737"/>
            <w:tcMar>
              <w:top w:w="50" w:type="dxa"/>
              <w:bottom w:w="50" w:type="dxa"/>
              <w:left w:w="90" w:type="dxa"/>
              <w:right w:w="90" w:type="dxa"/>
            </w:tcMar>
          </w:tcPr>
          <w:p>
            <w:pPr>
              <w:pStyle w:val="BDOITable"/>
            </w:pPr>
            <w:r>
              <w:rPr>
                <w:sz w:val="15"/>
              </w:rPr>
              <w:t>BRD-08</w:t>
            </w:r>
          </w:p>
        </w:tc>
        <w:tc>
          <w:tcPr>
            <w:tcW w:type="dxa" w:w="850"/>
            <w:tcMar>
              <w:top w:w="50" w:type="dxa"/>
              <w:bottom w:w="50" w:type="dxa"/>
              <w:left w:w="90" w:type="dxa"/>
              <w:right w:w="90" w:type="dxa"/>
            </w:tcMar>
          </w:tcPr>
          <w:p>
            <w:pPr>
              <w:pStyle w:val="BDOITable"/>
            </w:pPr>
            <w:r>
              <w:rPr>
                <w:sz w:val="15"/>
              </w:rPr>
              <w:t>Drop 2</w:t>
            </w:r>
          </w:p>
        </w:tc>
        <w:tc>
          <w:tcPr>
            <w:tcW w:type="dxa" w:w="3739"/>
            <w:tcMar>
              <w:top w:w="50" w:type="dxa"/>
              <w:bottom w:w="50" w:type="dxa"/>
              <w:left w:w="90" w:type="dxa"/>
              <w:right w:w="90" w:type="dxa"/>
            </w:tcMar>
          </w:tcPr>
          <w:p>
            <w:pPr>
              <w:pStyle w:val="BDOITable"/>
            </w:pPr>
            <w:r>
              <w:rPr>
                <w:sz w:val="15"/>
              </w:rPr>
              <w:t>EB programmes of corporate clients (HMO, group life, group personal accident), yearly cycles, member changes, statements of account</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BC12</w:t>
            </w:r>
          </w:p>
        </w:tc>
        <w:tc>
          <w:tcPr>
            <w:tcW w:type="dxa" w:w="1473"/>
            <w:tcMar>
              <w:top w:w="50" w:type="dxa"/>
              <w:bottom w:w="50" w:type="dxa"/>
              <w:left w:w="90" w:type="dxa"/>
              <w:right w:w="90" w:type="dxa"/>
            </w:tcMar>
            <w:shd w:val="clear" w:color="auto" w:fill="E5F5FF"/>
          </w:tcPr>
          <w:p>
            <w:pPr>
              <w:pStyle w:val="BDOITable"/>
            </w:pPr>
            <w:r>
              <w:rPr>
                <w:sz w:val="15"/>
              </w:rPr>
              <w:t>Customer servicing</w:t>
            </w:r>
          </w:p>
        </w:tc>
        <w:tc>
          <w:tcPr>
            <w:tcW w:type="dxa" w:w="2606"/>
            <w:tcMar>
              <w:top w:w="50" w:type="dxa"/>
              <w:bottom w:w="50" w:type="dxa"/>
              <w:left w:w="90" w:type="dxa"/>
              <w:right w:w="90" w:type="dxa"/>
            </w:tcMar>
            <w:shd w:val="clear" w:color="auto" w:fill="E5F5FF"/>
          </w:tcPr>
          <w:p>
            <w:pPr>
              <w:pStyle w:val="BDOITable"/>
            </w:pPr>
            <w:r>
              <w:rPr>
                <w:sz w:val="15"/>
              </w:rPr>
              <w:t>Customer servicing</w:t>
            </w:r>
          </w:p>
        </w:tc>
        <w:tc>
          <w:tcPr>
            <w:tcW w:type="dxa" w:w="737"/>
            <w:tcMar>
              <w:top w:w="50" w:type="dxa"/>
              <w:bottom w:w="50" w:type="dxa"/>
              <w:left w:w="90" w:type="dxa"/>
              <w:right w:w="90" w:type="dxa"/>
            </w:tcMar>
            <w:shd w:val="clear" w:color="auto" w:fill="E5F5FF"/>
          </w:tcPr>
          <w:p>
            <w:pPr>
              <w:pStyle w:val="BDOITable"/>
            </w:pPr>
            <w:r>
              <w:rPr>
                <w:sz w:val="15"/>
              </w:rPr>
              <w:t>BRD-09</w:t>
            </w:r>
          </w:p>
        </w:tc>
        <w:tc>
          <w:tcPr>
            <w:tcW w:type="dxa" w:w="850"/>
            <w:tcMar>
              <w:top w:w="50" w:type="dxa"/>
              <w:bottom w:w="50" w:type="dxa"/>
              <w:left w:w="90" w:type="dxa"/>
              <w:right w:w="90" w:type="dxa"/>
            </w:tcMar>
            <w:shd w:val="clear" w:color="auto" w:fill="E5F5FF"/>
          </w:tcPr>
          <w:p>
            <w:pPr>
              <w:pStyle w:val="BDOITable"/>
            </w:pPr>
            <w:r>
              <w:rPr>
                <w:sz w:val="15"/>
              </w:rPr>
              <w:t>Drop 1</w:t>
            </w:r>
          </w:p>
        </w:tc>
        <w:tc>
          <w:tcPr>
            <w:tcW w:type="dxa" w:w="3739"/>
            <w:tcMar>
              <w:top w:w="50" w:type="dxa"/>
              <w:bottom w:w="50" w:type="dxa"/>
              <w:left w:w="90" w:type="dxa"/>
              <w:right w:w="90" w:type="dxa"/>
            </w:tcMar>
            <w:shd w:val="clear" w:color="auto" w:fill="E5F5FF"/>
          </w:tcPr>
          <w:p>
            <w:pPr>
              <w:pStyle w:val="BDOITable"/>
            </w:pPr>
            <w:r>
              <w:rPr>
                <w:sz w:val="15"/>
              </w:rPr>
              <w:t>Contact Center workspace over clients, accounts, invoices, payments and e-policies; service requests and cases</w:t>
            </w:r>
          </w:p>
        </w:tc>
      </w:tr>
      <w:tr>
        <w:trPr>
          <w:cantSplit w:val="true"/>
        </w:trPr>
        <w:tc>
          <w:tcPr>
            <w:tcW w:type="dxa" w:w="567"/>
            <w:tcMar>
              <w:top w:w="50" w:type="dxa"/>
              <w:bottom w:w="50" w:type="dxa"/>
              <w:left w:w="90" w:type="dxa"/>
              <w:right w:w="90" w:type="dxa"/>
            </w:tcMar>
          </w:tcPr>
          <w:p>
            <w:pPr>
              <w:pStyle w:val="BDOITable"/>
            </w:pPr>
            <w:r>
              <w:rPr>
                <w:b/>
                <w:sz w:val="15"/>
              </w:rPr>
              <w:t>BC13</w:t>
            </w:r>
          </w:p>
        </w:tc>
        <w:tc>
          <w:tcPr>
            <w:tcW w:type="dxa" w:w="1473"/>
            <w:tcMar>
              <w:top w:w="50" w:type="dxa"/>
              <w:bottom w:w="50" w:type="dxa"/>
              <w:left w:w="90" w:type="dxa"/>
              <w:right w:w="90" w:type="dxa"/>
            </w:tcMar>
          </w:tcPr>
          <w:p>
            <w:pPr>
              <w:pStyle w:val="BDOITable"/>
            </w:pPr>
            <w:r>
              <w:rPr>
                <w:sz w:val="15"/>
              </w:rPr>
              <w:t>Sanction screening and risk profiling</w:t>
            </w:r>
          </w:p>
        </w:tc>
        <w:tc>
          <w:tcPr>
            <w:tcW w:type="dxa" w:w="2606"/>
            <w:tcMar>
              <w:top w:w="50" w:type="dxa"/>
              <w:bottom w:w="50" w:type="dxa"/>
              <w:left w:w="90" w:type="dxa"/>
              <w:right w:w="90" w:type="dxa"/>
            </w:tcMar>
          </w:tcPr>
          <w:p>
            <w:pPr>
              <w:pStyle w:val="BDOITable"/>
            </w:pPr>
            <w:r>
              <w:rPr>
                <w:sz w:val="15"/>
              </w:rPr>
              <w:t>Sanction screening</w:t>
            </w:r>
          </w:p>
        </w:tc>
        <w:tc>
          <w:tcPr>
            <w:tcW w:type="dxa" w:w="737"/>
            <w:tcMar>
              <w:top w:w="50" w:type="dxa"/>
              <w:bottom w:w="50" w:type="dxa"/>
              <w:left w:w="90" w:type="dxa"/>
              <w:right w:w="90" w:type="dxa"/>
            </w:tcMar>
          </w:tcPr>
          <w:p>
            <w:pPr>
              <w:pStyle w:val="BDOITable"/>
            </w:pPr>
            <w:r>
              <w:rPr>
                <w:sz w:val="15"/>
              </w:rPr>
              <w:t>BRD-10</w:t>
            </w:r>
          </w:p>
        </w:tc>
        <w:tc>
          <w:tcPr>
            <w:tcW w:type="dxa" w:w="850"/>
            <w:tcMar>
              <w:top w:w="50" w:type="dxa"/>
              <w:bottom w:w="50" w:type="dxa"/>
              <w:left w:w="90" w:type="dxa"/>
              <w:right w:w="90" w:type="dxa"/>
            </w:tcMar>
          </w:tcPr>
          <w:p>
            <w:pPr>
              <w:pStyle w:val="BDOITable"/>
            </w:pPr>
            <w:r>
              <w:rPr>
                <w:sz w:val="15"/>
              </w:rPr>
              <w:t>Drop 1</w:t>
            </w:r>
          </w:p>
        </w:tc>
        <w:tc>
          <w:tcPr>
            <w:tcW w:type="dxa" w:w="3739"/>
            <w:tcMar>
              <w:top w:w="50" w:type="dxa"/>
              <w:bottom w:w="50" w:type="dxa"/>
              <w:left w:w="90" w:type="dxa"/>
              <w:right w:w="90" w:type="dxa"/>
            </w:tcMar>
          </w:tcPr>
          <w:p>
            <w:pPr>
              <w:pStyle w:val="BDOITable"/>
            </w:pPr>
            <w:r>
              <w:rPr>
                <w:sz w:val="15"/>
              </w:rPr>
              <w:t>Watchlist sources and ingestion, name matching, screening cases, risk profiling, STR preparation and extraction</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BC14</w:t>
            </w:r>
          </w:p>
        </w:tc>
        <w:tc>
          <w:tcPr>
            <w:tcW w:type="dxa" w:w="1473"/>
            <w:tcMar>
              <w:top w:w="50" w:type="dxa"/>
              <w:bottom w:w="50" w:type="dxa"/>
              <w:left w:w="90" w:type="dxa"/>
              <w:right w:w="90" w:type="dxa"/>
            </w:tcMar>
            <w:shd w:val="clear" w:color="auto" w:fill="E5F5FF"/>
          </w:tcPr>
          <w:p>
            <w:pPr>
              <w:pStyle w:val="BDOITable"/>
            </w:pPr>
            <w:r>
              <w:rPr>
                <w:sz w:val="15"/>
              </w:rPr>
              <w:t>User access and identity</w:t>
            </w:r>
          </w:p>
        </w:tc>
        <w:tc>
          <w:tcPr>
            <w:tcW w:type="dxa" w:w="2606"/>
            <w:tcMar>
              <w:top w:w="50" w:type="dxa"/>
              <w:bottom w:w="50" w:type="dxa"/>
              <w:left w:w="90" w:type="dxa"/>
              <w:right w:w="90" w:type="dxa"/>
            </w:tcMar>
            <w:shd w:val="clear" w:color="auto" w:fill="E5F5FF"/>
          </w:tcPr>
          <w:p>
            <w:pPr>
              <w:pStyle w:val="BDOITable"/>
            </w:pPr>
            <w:r>
              <w:rPr>
                <w:sz w:val="15"/>
              </w:rPr>
              <w:t>Users, roles and sign-in, Access requests and administration</w:t>
            </w:r>
          </w:p>
        </w:tc>
        <w:tc>
          <w:tcPr>
            <w:tcW w:type="dxa" w:w="737"/>
            <w:tcMar>
              <w:top w:w="50" w:type="dxa"/>
              <w:bottom w:w="50" w:type="dxa"/>
              <w:left w:w="90" w:type="dxa"/>
              <w:right w:w="90" w:type="dxa"/>
            </w:tcMar>
            <w:shd w:val="clear" w:color="auto" w:fill="E5F5FF"/>
          </w:tcPr>
          <w:p>
            <w:pPr>
              <w:pStyle w:val="BDOITable"/>
            </w:pPr>
            <w:r>
              <w:rPr>
                <w:sz w:val="15"/>
              </w:rPr>
              <w:t>BRD-11</w:t>
            </w:r>
          </w:p>
        </w:tc>
        <w:tc>
          <w:tcPr>
            <w:tcW w:type="dxa" w:w="850"/>
            <w:tcMar>
              <w:top w:w="50" w:type="dxa"/>
              <w:bottom w:w="50" w:type="dxa"/>
              <w:left w:w="90" w:type="dxa"/>
              <w:right w:w="90" w:type="dxa"/>
            </w:tcMar>
            <w:shd w:val="clear" w:color="auto" w:fill="E5F5FF"/>
          </w:tcPr>
          <w:p>
            <w:pPr>
              <w:pStyle w:val="BDOITable"/>
            </w:pPr>
            <w:r>
              <w:rPr>
                <w:sz w:val="15"/>
              </w:rPr>
              <w:t>Drop 0</w:t>
            </w:r>
          </w:p>
        </w:tc>
        <w:tc>
          <w:tcPr>
            <w:tcW w:type="dxa" w:w="3739"/>
            <w:tcMar>
              <w:top w:w="50" w:type="dxa"/>
              <w:bottom w:w="50" w:type="dxa"/>
              <w:left w:w="90" w:type="dxa"/>
              <w:right w:w="90" w:type="dxa"/>
            </w:tcMar>
            <w:shd w:val="clear" w:color="auto" w:fill="E5F5FF"/>
          </w:tcPr>
          <w:p>
            <w:pPr>
              <w:pStyle w:val="BDOITable"/>
            </w:pPr>
            <w:r>
              <w:rPr>
                <w:sz w:val="15"/>
              </w:rPr>
              <w:t>Users, roles and permissions, sign-in (local, OIDC, SAML), second factor, sessions, access requests under four eyes, data scope, separation-of-duties rules, retention rules</w:t>
            </w:r>
          </w:p>
        </w:tc>
      </w:tr>
      <w:tr>
        <w:trPr>
          <w:cantSplit w:val="true"/>
        </w:trPr>
        <w:tc>
          <w:tcPr>
            <w:tcW w:type="dxa" w:w="567"/>
            <w:tcMar>
              <w:top w:w="50" w:type="dxa"/>
              <w:bottom w:w="50" w:type="dxa"/>
              <w:left w:w="90" w:type="dxa"/>
              <w:right w:w="90" w:type="dxa"/>
            </w:tcMar>
          </w:tcPr>
          <w:p>
            <w:pPr>
              <w:pStyle w:val="BDOITable"/>
            </w:pPr>
            <w:r>
              <w:rPr>
                <w:b/>
                <w:sz w:val="15"/>
              </w:rPr>
              <w:t>BC15</w:t>
            </w:r>
          </w:p>
        </w:tc>
        <w:tc>
          <w:tcPr>
            <w:tcW w:type="dxa" w:w="1473"/>
            <w:tcMar>
              <w:top w:w="50" w:type="dxa"/>
              <w:bottom w:w="50" w:type="dxa"/>
              <w:left w:w="90" w:type="dxa"/>
              <w:right w:w="90" w:type="dxa"/>
            </w:tcMar>
          </w:tcPr>
          <w:p>
            <w:pPr>
              <w:pStyle w:val="BDOITable"/>
            </w:pPr>
            <w:r>
              <w:rPr>
                <w:sz w:val="15"/>
              </w:rPr>
              <w:t>Data migration</w:t>
            </w:r>
          </w:p>
        </w:tc>
        <w:tc>
          <w:tcPr>
            <w:tcW w:type="dxa" w:w="2606"/>
            <w:tcMar>
              <w:top w:w="50" w:type="dxa"/>
              <w:bottom w:w="50" w:type="dxa"/>
              <w:left w:w="90" w:type="dxa"/>
              <w:right w:w="90" w:type="dxa"/>
            </w:tcMar>
          </w:tcPr>
          <w:p>
            <w:pPr>
              <w:pStyle w:val="BDOITable"/>
            </w:pPr>
            <w:r>
              <w:rPr>
                <w:sz w:val="15"/>
              </w:rPr>
              <w:t>Data migration</w:t>
            </w:r>
          </w:p>
        </w:tc>
        <w:tc>
          <w:tcPr>
            <w:tcW w:type="dxa" w:w="737"/>
            <w:tcMar>
              <w:top w:w="50" w:type="dxa"/>
              <w:bottom w:w="50" w:type="dxa"/>
              <w:left w:w="90" w:type="dxa"/>
              <w:right w:w="90" w:type="dxa"/>
            </w:tcMar>
          </w:tcPr>
          <w:p>
            <w:pPr>
              <w:pStyle w:val="BDOITable"/>
            </w:pPr>
            <w:r>
              <w:rPr>
                <w:sz w:val="15"/>
              </w:rPr>
              <w:t>BRD-13</w:t>
            </w:r>
          </w:p>
        </w:tc>
        <w:tc>
          <w:tcPr>
            <w:tcW w:type="dxa" w:w="850"/>
            <w:tcMar>
              <w:top w:w="50" w:type="dxa"/>
              <w:bottom w:w="50" w:type="dxa"/>
              <w:left w:w="90" w:type="dxa"/>
              <w:right w:w="90" w:type="dxa"/>
            </w:tcMar>
          </w:tcPr>
          <w:p>
            <w:pPr>
              <w:pStyle w:val="BDOITable"/>
            </w:pPr>
            <w:r>
              <w:rPr>
                <w:sz w:val="15"/>
              </w:rPr>
              <w:t>Drop 0</w:t>
            </w:r>
          </w:p>
        </w:tc>
        <w:tc>
          <w:tcPr>
            <w:tcW w:type="dxa" w:w="3739"/>
            <w:tcMar>
              <w:top w:w="50" w:type="dxa"/>
              <w:bottom w:w="50" w:type="dxa"/>
              <w:left w:w="90" w:type="dxa"/>
              <w:right w:w="90" w:type="dxa"/>
            </w:tcMar>
          </w:tcPr>
          <w:p>
            <w:pPr>
              <w:pStyle w:val="BDOITable"/>
            </w:pPr>
            <w:r>
              <w:rPr>
                <w:sz w:val="15"/>
              </w:rPr>
              <w:t>Migration Console - intake of legacy extracts, masking, mapping and code maps, validation, load, reconciliation and rollback per batch</w:t>
            </w:r>
          </w:p>
        </w:tc>
      </w:tr>
      <w:tr>
        <w:trPr>
          <w:cantSplit w:val="true"/>
        </w:trPr>
        <w:tc>
          <w:tcPr>
            <w:tcW w:type="dxa" w:w="567"/>
            <w:tcMar>
              <w:top w:w="50" w:type="dxa"/>
              <w:bottom w:w="50" w:type="dxa"/>
              <w:left w:w="90" w:type="dxa"/>
              <w:right w:w="90" w:type="dxa"/>
            </w:tcMar>
            <w:shd w:val="clear" w:color="auto" w:fill="E5F5FF"/>
          </w:tcPr>
          <w:p>
            <w:pPr>
              <w:pStyle w:val="BDOITable"/>
            </w:pPr>
            <w:r>
              <w:rPr>
                <w:b/>
                <w:sz w:val="15"/>
              </w:rPr>
              <w:t>BC16</w:t>
            </w:r>
          </w:p>
        </w:tc>
        <w:tc>
          <w:tcPr>
            <w:tcW w:type="dxa" w:w="1473"/>
            <w:tcMar>
              <w:top w:w="50" w:type="dxa"/>
              <w:bottom w:w="50" w:type="dxa"/>
              <w:left w:w="90" w:type="dxa"/>
              <w:right w:w="90" w:type="dxa"/>
            </w:tcMar>
            <w:shd w:val="clear" w:color="auto" w:fill="E5F5FF"/>
          </w:tcPr>
          <w:p>
            <w:pPr>
              <w:pStyle w:val="BDOITable"/>
            </w:pPr>
            <w:r>
              <w:rPr>
                <w:sz w:val="15"/>
              </w:rPr>
              <w:t>Platform services</w:t>
            </w:r>
          </w:p>
        </w:tc>
        <w:tc>
          <w:tcPr>
            <w:tcW w:type="dxa" w:w="2606"/>
            <w:tcMar>
              <w:top w:w="50" w:type="dxa"/>
              <w:bottom w:w="50" w:type="dxa"/>
              <w:left w:w="90" w:type="dxa"/>
              <w:right w:w="90" w:type="dxa"/>
            </w:tcMar>
            <w:shd w:val="clear" w:color="auto" w:fill="E5F5FF"/>
          </w:tcPr>
          <w:p>
            <w:pPr>
              <w:pStyle w:val="BDOITable"/>
            </w:pPr>
            <w:r>
              <w:rPr>
                <w:sz w:val="15"/>
              </w:rPr>
              <w:t>Common services, Configuration, Companies and branches, Lists of values, Workflow, Bulk upload, Messaging and notifications, Document templates, Attachments, File storage, Audit trail, Exception codes and alerts, Approval inbox, Jobs and parameters, Report centre, Executive dashboard</w:t>
            </w:r>
          </w:p>
        </w:tc>
        <w:tc>
          <w:tcPr>
            <w:tcW w:type="dxa" w:w="737"/>
            <w:tcMar>
              <w:top w:w="50" w:type="dxa"/>
              <w:bottom w:w="50" w:type="dxa"/>
              <w:left w:w="90" w:type="dxa"/>
              <w:right w:w="90" w:type="dxa"/>
            </w:tcMar>
            <w:shd w:val="clear" w:color="auto" w:fill="E5F5FF"/>
          </w:tcPr>
          <w:p>
            <w:pPr>
              <w:pStyle w:val="BDOITable"/>
            </w:pPr>
            <w:r>
              <w:rPr>
                <w:sz w:val="15"/>
              </w:rPr>
              <w:t>BRD-00</w:t>
            </w:r>
          </w:p>
        </w:tc>
        <w:tc>
          <w:tcPr>
            <w:tcW w:type="dxa" w:w="850"/>
            <w:tcMar>
              <w:top w:w="50" w:type="dxa"/>
              <w:bottom w:w="50" w:type="dxa"/>
              <w:left w:w="90" w:type="dxa"/>
              <w:right w:w="90" w:type="dxa"/>
            </w:tcMar>
            <w:shd w:val="clear" w:color="auto" w:fill="E5F5FF"/>
          </w:tcPr>
          <w:p>
            <w:pPr>
              <w:pStyle w:val="BDOITable"/>
            </w:pPr>
            <w:r>
              <w:rPr>
                <w:sz w:val="15"/>
              </w:rPr>
              <w:t>Programme</w:t>
            </w:r>
          </w:p>
        </w:tc>
        <w:tc>
          <w:tcPr>
            <w:tcW w:type="dxa" w:w="3739"/>
            <w:tcMar>
              <w:top w:w="50" w:type="dxa"/>
              <w:bottom w:w="50" w:type="dxa"/>
              <w:left w:w="90" w:type="dxa"/>
              <w:right w:w="90" w:type="dxa"/>
            </w:tcMar>
            <w:shd w:val="clear" w:color="auto" w:fill="E5F5FF"/>
          </w:tcPr>
          <w:p>
            <w:pPr>
              <w:pStyle w:val="BDOITable"/>
            </w:pPr>
            <w:r>
              <w:rPr>
                <w:sz w:val="15"/>
              </w:rPr>
              <w:t>Generic subdomains used by every business context - companies and branches, parameters, lists of values, workflow engine, bulk upload, e-mail and notifications, document templates, file storage, audit trail, alerts, approval inbox, jobs, reports</w:t>
            </w:r>
          </w:p>
        </w:tc>
      </w:tr>
      <w:tr>
        <w:trPr>
          <w:cantSplit w:val="true"/>
        </w:trPr>
        <w:tc>
          <w:tcPr>
            <w:tcW w:type="dxa" w:w="567"/>
            <w:tcMar>
              <w:top w:w="50" w:type="dxa"/>
              <w:bottom w:w="50" w:type="dxa"/>
              <w:left w:w="90" w:type="dxa"/>
              <w:right w:w="90" w:type="dxa"/>
            </w:tcMar>
          </w:tcPr>
          <w:p>
            <w:pPr>
              <w:pStyle w:val="BDOITable"/>
            </w:pPr>
            <w:r>
              <w:rPr>
                <w:b/>
                <w:sz w:val="15"/>
              </w:rPr>
              <w:t>BC17</w:t>
            </w:r>
          </w:p>
        </w:tc>
        <w:tc>
          <w:tcPr>
            <w:tcW w:type="dxa" w:w="1473"/>
            <w:tcMar>
              <w:top w:w="50" w:type="dxa"/>
              <w:bottom w:w="50" w:type="dxa"/>
              <w:left w:w="90" w:type="dxa"/>
              <w:right w:w="90" w:type="dxa"/>
            </w:tcMar>
          </w:tcPr>
          <w:p>
            <w:pPr>
              <w:pStyle w:val="BDOITable"/>
            </w:pPr>
            <w:r>
              <w:rPr>
                <w:sz w:val="15"/>
              </w:rPr>
              <w:t>Integration and shared state</w:t>
            </w:r>
          </w:p>
        </w:tc>
        <w:tc>
          <w:tcPr>
            <w:tcW w:type="dxa" w:w="2606"/>
            <w:tcMar>
              <w:top w:w="50" w:type="dxa"/>
              <w:bottom w:w="50" w:type="dxa"/>
              <w:left w:w="90" w:type="dxa"/>
              <w:right w:w="90" w:type="dxa"/>
            </w:tcMar>
          </w:tcPr>
          <w:p>
            <w:pPr>
              <w:pStyle w:val="BDOITable"/>
            </w:pPr>
            <w:r>
              <w:rPr>
                <w:sz w:val="15"/>
              </w:rPr>
              <w:t>Integration events, Integration APIs, Cache administration, Shared state</w:t>
            </w:r>
          </w:p>
        </w:tc>
        <w:tc>
          <w:tcPr>
            <w:tcW w:type="dxa" w:w="737"/>
            <w:tcMar>
              <w:top w:w="50" w:type="dxa"/>
              <w:bottom w:w="50" w:type="dxa"/>
              <w:left w:w="90" w:type="dxa"/>
              <w:right w:w="90" w:type="dxa"/>
            </w:tcMar>
          </w:tcPr>
          <w:p>
            <w:pPr>
              <w:pStyle w:val="BDOITable"/>
            </w:pPr>
            <w:r>
              <w:rPr>
                <w:sz w:val="15"/>
              </w:rPr>
              <w:t>BRD-00</w:t>
            </w:r>
          </w:p>
        </w:tc>
        <w:tc>
          <w:tcPr>
            <w:tcW w:type="dxa" w:w="850"/>
            <w:tcMar>
              <w:top w:w="50" w:type="dxa"/>
              <w:bottom w:w="50" w:type="dxa"/>
              <w:left w:w="90" w:type="dxa"/>
              <w:right w:w="90" w:type="dxa"/>
            </w:tcMar>
          </w:tcPr>
          <w:p>
            <w:pPr>
              <w:pStyle w:val="BDOITable"/>
            </w:pPr>
            <w:r>
              <w:rPr>
                <w:sz w:val="15"/>
              </w:rPr>
              <w:t>Programme</w:t>
            </w:r>
          </w:p>
        </w:tc>
        <w:tc>
          <w:tcPr>
            <w:tcW w:type="dxa" w:w="3739"/>
            <w:tcMar>
              <w:top w:w="50" w:type="dxa"/>
              <w:bottom w:w="50" w:type="dxa"/>
              <w:left w:w="90" w:type="dxa"/>
              <w:right w:w="90" w:type="dxa"/>
            </w:tcMar>
          </w:tcPr>
          <w:p>
            <w:pPr>
              <w:pStyle w:val="BDOITable"/>
            </w:pPr>
            <w:r>
              <w:rPr>
                <w:sz w:val="15"/>
              </w:rPr>
              <w:t>Transactional outbox and Kafka topics, consumers and dead letters, system integration interface for Apigee X, reference-data cache and cluster-wide job locks on Valkey</w:t>
            </w:r>
          </w:p>
        </w:tc>
      </w:tr>
    </w:tbl>
    <w:p>
      <w:pPr>
        <w:pStyle w:val="BDOISpacer"/>
      </w:pPr>
    </w:p>
    <w:p>
      <w:pPr>
        <w:pStyle w:val="Heading2"/>
      </w:pPr>
      <w:bookmarkStart w:id="116" w:name="_Toc000116"/>
      <w:r>
        <w:rPr/>
        <w:t>4.2 Context map</w:t>
      </w:r>
      <w:bookmarkEnd w:id="116"/>
    </w:p>
    <w:p>
      <w:pPr>
        <w:keepNext/>
        <w:spacing w:before="80" w:after="0"/>
        <w:jc w:val="center"/>
      </w:pPr>
      <w:r>
        <w:drawing>
          <wp:inline xmlns:a="http://schemas.openxmlformats.org/drawingml/2006/main" xmlns:pic="http://schemas.openxmlformats.org/drawingml/2006/picture">
            <wp:extent cx="5940000" cy="3577989"/>
            <wp:docPr id="4" name="Picture 4"/>
            <wp:cNvGraphicFramePr>
              <a:graphicFrameLocks noChangeAspect="1"/>
            </wp:cNvGraphicFramePr>
            <a:graphic>
              <a:graphicData uri="http://schemas.openxmlformats.org/drawingml/2006/picture">
                <pic:pic>
                  <pic:nvPicPr>
                    <pic:cNvPr id="0" name="sa_context_map_1104.jpg"/>
                    <pic:cNvPicPr/>
                  </pic:nvPicPr>
                  <pic:blipFill>
                    <a:blip r:embed="rId16"/>
                    <a:stretch>
                      <a:fillRect/>
                    </a:stretch>
                  </pic:blipFill>
                  <pic:spPr>
                    <a:xfrm>
                      <a:off x="0" y="0"/>
                      <a:ext cx="5940000" cy="3577989"/>
                    </a:xfrm>
                    <a:prstGeom prst="rect"/>
                  </pic:spPr>
                </pic:pic>
              </a:graphicData>
            </a:graphic>
          </wp:inline>
        </w:drawing>
      </w:r>
    </w:p>
    <w:p>
      <w:pPr>
        <w:pStyle w:val="Caption"/>
        <w:jc w:val="center"/>
      </w:pPr>
      <w:r>
        <w:rPr>
          <w:b/>
          <w:i w:val="0"/>
        </w:rPr>
        <w:t xml:space="preserve">Figure 2: </w:t>
      </w:r>
      <w:r>
        <w:rPr/>
        <w:t>Bounded contexts and their dependencies</w:t>
      </w:r>
    </w:p>
    <w:p>
      <w:r>
        <w:rPr/>
        <w:t>Relationships between contexts follow three rules:</w:t>
      </w:r>
    </w:p>
    <w:p>
      <w:pPr>
        <w:tabs>
          <w:tab w:pos="312" w:val="left"/>
        </w:tabs>
        <w:spacing w:after="40"/>
        <w:ind w:left="312" w:hanging="283"/>
      </w:pPr>
      <w:r>
        <w:rPr>
          <w:color w:val="004EA8"/>
        </w:rPr>
        <w:t>•</w:t>
        <w:tab/>
      </w:r>
      <w:r>
        <w:rPr>
          <w:b/>
        </w:rPr>
        <w:t>Upstream and downstream.</w:t>
      </w:r>
      <w:r>
        <w:rPr/>
        <w:t xml:space="preserve"> A downstream context calls the services of an upstream context (New business broking uses Client management and the Product catalogue; Operations reads the invoice ledger fed by Booking). An upstream context never calls a downstream one.</w:t>
      </w:r>
    </w:p>
    <w:p>
      <w:pPr>
        <w:tabs>
          <w:tab w:pos="312" w:val="left"/>
        </w:tabs>
        <w:spacing w:after="40"/>
        <w:ind w:left="312" w:hanging="283"/>
      </w:pPr>
      <w:r>
        <w:rPr>
          <w:color w:val="004EA8"/>
        </w:rPr>
        <w:t>•</w:t>
        <w:tab/>
      </w:r>
      <w:r>
        <w:rPr>
          <w:b/>
        </w:rPr>
        <w:t>Ports for call-backs.</w:t>
      </w:r>
      <w:r>
        <w:rPr/>
        <w:t xml:space="preserve"> When an upstream context needs something from a downstream one, it declares an interface (a port) that the downstream context implements - for example the period-close guard of the finance core implemented by Journals, or the renewal hand-off of Submitted policies implemented by Renewal.</w:t>
      </w:r>
    </w:p>
    <w:p>
      <w:pPr>
        <w:tabs>
          <w:tab w:pos="312" w:val="left"/>
        </w:tabs>
        <w:spacing w:after="120"/>
        <w:ind w:left="312" w:hanging="283"/>
      </w:pPr>
      <w:r>
        <w:rPr>
          <w:color w:val="004EA8"/>
        </w:rPr>
        <w:t>•</w:t>
        <w:tab/>
      </w:r>
      <w:r>
        <w:rPr>
          <w:b/>
        </w:rPr>
        <w:t>Events for facts.</w:t>
      </w:r>
      <w:r>
        <w:rPr/>
        <w:t xml:space="preserve"> Facts that other contexts react to inside the same transaction are in-process events (the Operations ledger feed from Booking); facts that leave the transaction are integration events on Kafka (chapter 6).</w:t>
      </w:r>
    </w:p>
    <w:p>
      <w:pPr>
        <w:pStyle w:val="Heading2"/>
      </w:pPr>
      <w:bookmarkStart w:id="117" w:name="_Toc000117"/>
      <w:r>
        <w:rPr/>
        <w:t>4.3 Shared language</w:t>
      </w:r>
      <w:bookmarkEnd w:id="117"/>
    </w:p>
    <w:p>
      <w:pPr>
        <w:pStyle w:val="Caption"/>
        <w:keepNext/>
        <w:spacing w:after="60"/>
      </w:pPr>
      <w:r>
        <w:rPr>
          <w:b/>
          <w:i w:val="0"/>
        </w:rPr>
        <w:t xml:space="preserve">Table 9: </w:t>
      </w:r>
      <w:r>
        <w:rPr/>
        <w:t>Key terms of the shared language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804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Term</w:t>
            </w:r>
          </w:p>
        </w:tc>
        <w:tc>
          <w:tcPr>
            <w:tcW w:type="dxa" w:w="8046"/>
            <w:shd w:val="clear" w:color="auto" w:fill="004EA8"/>
            <w:tcMar>
              <w:top w:w="50" w:type="dxa"/>
              <w:bottom w:w="50" w:type="dxa"/>
              <w:left w:w="90" w:type="dxa"/>
              <w:right w:w="90" w:type="dxa"/>
            </w:tcMar>
            <w:vAlign w:val="center"/>
          </w:tcPr>
          <w:p>
            <w:pPr>
              <w:pStyle w:val="BDOITableHeader"/>
            </w:pPr>
            <w:r>
              <w:rPr>
                <w:b/>
                <w:color w:val="FFFFFF"/>
                <w:sz w:val="17"/>
              </w:rPr>
              <w:t>Meaning in BIBS</w:t>
            </w:r>
          </w:p>
        </w:tc>
      </w:tr>
      <w:tr>
        <w:trPr>
          <w:cantSplit w:val="true"/>
        </w:trPr>
        <w:tc>
          <w:tcPr>
            <w:tcW w:type="dxa" w:w="1926"/>
            <w:tcMar>
              <w:top w:w="50" w:type="dxa"/>
              <w:bottom w:w="50" w:type="dxa"/>
              <w:left w:w="90" w:type="dxa"/>
              <w:right w:w="90" w:type="dxa"/>
            </w:tcMar>
          </w:tcPr>
          <w:p>
            <w:pPr>
              <w:pStyle w:val="BDOITable"/>
            </w:pPr>
            <w:r>
              <w:rPr>
                <w:b/>
                <w:sz w:val="17"/>
              </w:rPr>
              <w:t>Client</w:t>
            </w:r>
          </w:p>
        </w:tc>
        <w:tc>
          <w:tcPr>
            <w:tcW w:type="dxa" w:w="8046"/>
            <w:tcMar>
              <w:top w:w="50" w:type="dxa"/>
              <w:bottom w:w="50" w:type="dxa"/>
              <w:left w:w="90" w:type="dxa"/>
              <w:right w:w="90" w:type="dxa"/>
            </w:tcMar>
          </w:tcPr>
          <w:p>
            <w:pPr>
              <w:pStyle w:val="BDOITable"/>
            </w:pPr>
            <w:r>
              <w:rPr>
                <w:sz w:val="17"/>
              </w:rPr>
              <w:t>A prospect or KYC-verified client of BDOI (Client management); the accounting party is created from it</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Account (ARN)</w:t>
            </w:r>
          </w:p>
        </w:tc>
        <w:tc>
          <w:tcPr>
            <w:tcW w:type="dxa" w:w="8046"/>
            <w:tcMar>
              <w:top w:w="50" w:type="dxa"/>
              <w:bottom w:w="50" w:type="dxa"/>
              <w:left w:w="90" w:type="dxa"/>
              <w:right w:w="90" w:type="dxa"/>
            </w:tcMar>
            <w:shd w:val="clear" w:color="auto" w:fill="E5F5FF"/>
          </w:tcPr>
          <w:p>
            <w:pPr>
              <w:pStyle w:val="BDOITable"/>
            </w:pPr>
            <w:r>
              <w:rPr>
                <w:sz w:val="17"/>
              </w:rPr>
              <w:t>The risk record placed with an insurer, from quotation to invoice; one ARN per account</w:t>
            </w:r>
          </w:p>
        </w:tc>
      </w:tr>
      <w:tr>
        <w:trPr>
          <w:cantSplit w:val="true"/>
        </w:trPr>
        <w:tc>
          <w:tcPr>
            <w:tcW w:type="dxa" w:w="1926"/>
            <w:tcMar>
              <w:top w:w="50" w:type="dxa"/>
              <w:bottom w:w="50" w:type="dxa"/>
              <w:left w:w="90" w:type="dxa"/>
              <w:right w:w="90" w:type="dxa"/>
            </w:tcMar>
          </w:tcPr>
          <w:p>
            <w:pPr>
              <w:pStyle w:val="BDOITable"/>
            </w:pPr>
            <w:r>
              <w:rPr>
                <w:b/>
                <w:sz w:val="17"/>
              </w:rPr>
              <w:t>Package, package version</w:t>
            </w:r>
          </w:p>
        </w:tc>
        <w:tc>
          <w:tcPr>
            <w:tcW w:type="dxa" w:w="8046"/>
            <w:tcMar>
              <w:top w:w="50" w:type="dxa"/>
              <w:bottom w:w="50" w:type="dxa"/>
              <w:left w:w="90" w:type="dxa"/>
              <w:right w:w="90" w:type="dxa"/>
            </w:tcMar>
          </w:tcPr>
          <w:p>
            <w:pPr>
              <w:pStyle w:val="BDOITable"/>
            </w:pPr>
            <w:r>
              <w:rPr>
                <w:sz w:val="17"/>
              </w:rPr>
              <w:t>A product of the catalogue with a validity period; quotations and renewals use the version in force</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Placement</w:t>
            </w:r>
          </w:p>
        </w:tc>
        <w:tc>
          <w:tcPr>
            <w:tcW w:type="dxa" w:w="8046"/>
            <w:tcMar>
              <w:top w:w="50" w:type="dxa"/>
              <w:bottom w:w="50" w:type="dxa"/>
              <w:left w:w="90" w:type="dxa"/>
              <w:right w:w="90" w:type="dxa"/>
            </w:tcMar>
            <w:shd w:val="clear" w:color="auto" w:fill="E5F5FF"/>
          </w:tcPr>
          <w:p>
            <w:pPr>
              <w:pStyle w:val="BDOITable"/>
            </w:pPr>
            <w:r>
              <w:rPr>
                <w:sz w:val="17"/>
              </w:rPr>
              <w:t>The account placed with one or more insurers by slip; hold covers bridge the gap to the policy</w:t>
            </w:r>
          </w:p>
        </w:tc>
      </w:tr>
      <w:tr>
        <w:trPr>
          <w:cantSplit w:val="true"/>
        </w:trPr>
        <w:tc>
          <w:tcPr>
            <w:tcW w:type="dxa" w:w="1926"/>
            <w:tcMar>
              <w:top w:w="50" w:type="dxa"/>
              <w:bottom w:w="50" w:type="dxa"/>
              <w:left w:w="90" w:type="dxa"/>
              <w:right w:w="90" w:type="dxa"/>
            </w:tcMar>
          </w:tcPr>
          <w:p>
            <w:pPr>
              <w:pStyle w:val="BDOITable"/>
            </w:pPr>
            <w:r>
              <w:rPr>
                <w:b/>
                <w:sz w:val="17"/>
              </w:rPr>
              <w:t>Booking, booked invoice</w:t>
            </w:r>
          </w:p>
        </w:tc>
        <w:tc>
          <w:tcPr>
            <w:tcW w:type="dxa" w:w="8046"/>
            <w:tcMar>
              <w:top w:w="50" w:type="dxa"/>
              <w:bottom w:w="50" w:type="dxa"/>
              <w:left w:w="90" w:type="dxa"/>
              <w:right w:w="90" w:type="dxa"/>
            </w:tcMar>
          </w:tcPr>
          <w:p>
            <w:pPr>
              <w:pStyle w:val="BDOITable"/>
            </w:pPr>
            <w:r>
              <w:rPr>
                <w:sz w:val="17"/>
              </w:rPr>
              <w:t>The broker's accounting entry and invoice of a placed account or endorsement</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Operations invoice ledger</w:t>
            </w:r>
          </w:p>
        </w:tc>
        <w:tc>
          <w:tcPr>
            <w:tcW w:type="dxa" w:w="8046"/>
            <w:tcMar>
              <w:top w:w="50" w:type="dxa"/>
              <w:bottom w:w="50" w:type="dxa"/>
              <w:left w:w="90" w:type="dxa"/>
              <w:right w:w="90" w:type="dxa"/>
            </w:tcMar>
            <w:shd w:val="clear" w:color="auto" w:fill="E5F5FF"/>
          </w:tcPr>
          <w:p>
            <w:pPr>
              <w:pStyle w:val="BDOITable"/>
            </w:pPr>
            <w:r>
              <w:rPr>
                <w:sz w:val="17"/>
              </w:rPr>
              <w:t>The ledger of booked invoices that Cashiering, Remittance, Adjustment, Commission and Collections read and update</w:t>
            </w:r>
          </w:p>
        </w:tc>
      </w:tr>
      <w:tr>
        <w:trPr>
          <w:cantSplit w:val="true"/>
        </w:trPr>
        <w:tc>
          <w:tcPr>
            <w:tcW w:type="dxa" w:w="1926"/>
            <w:tcMar>
              <w:top w:w="50" w:type="dxa"/>
              <w:bottom w:w="50" w:type="dxa"/>
              <w:left w:w="90" w:type="dxa"/>
              <w:right w:w="90" w:type="dxa"/>
            </w:tcMar>
          </w:tcPr>
          <w:p>
            <w:pPr>
              <w:pStyle w:val="BDOITable"/>
            </w:pPr>
            <w:r>
              <w:rPr>
                <w:b/>
                <w:sz w:val="17"/>
              </w:rPr>
              <w:t>Business event (accounting)</w:t>
            </w:r>
          </w:p>
        </w:tc>
        <w:tc>
          <w:tcPr>
            <w:tcW w:type="dxa" w:w="8046"/>
            <w:tcMar>
              <w:top w:w="50" w:type="dxa"/>
              <w:bottom w:w="50" w:type="dxa"/>
              <w:left w:w="90" w:type="dxa"/>
              <w:right w:w="90" w:type="dxa"/>
            </w:tcMar>
          </w:tcPr>
          <w:p>
            <w:pPr>
              <w:pStyle w:val="BDOITable"/>
            </w:pPr>
            <w:r>
              <w:rPr>
                <w:sz w:val="17"/>
              </w:rPr>
              <w:t>A fact of an operational module (receipt, payment, booking) that the accounting engine turns into a journal</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Integration event</w:t>
            </w:r>
          </w:p>
        </w:tc>
        <w:tc>
          <w:tcPr>
            <w:tcW w:type="dxa" w:w="8046"/>
            <w:tcMar>
              <w:top w:w="50" w:type="dxa"/>
              <w:bottom w:w="50" w:type="dxa"/>
              <w:left w:w="90" w:type="dxa"/>
              <w:right w:w="90" w:type="dxa"/>
            </w:tcMar>
            <w:shd w:val="clear" w:color="auto" w:fill="E5F5FF"/>
          </w:tcPr>
          <w:p>
            <w:pPr>
              <w:pStyle w:val="BDOITable"/>
            </w:pPr>
            <w:r>
              <w:rPr>
                <w:sz w:val="17"/>
              </w:rPr>
              <w:t>A fact published on Kafka for asynchronous work and other systems</w:t>
            </w:r>
          </w:p>
        </w:tc>
      </w:tr>
      <w:tr>
        <w:trPr>
          <w:cantSplit w:val="true"/>
        </w:trPr>
        <w:tc>
          <w:tcPr>
            <w:tcW w:type="dxa" w:w="1926"/>
            <w:tcMar>
              <w:top w:w="50" w:type="dxa"/>
              <w:bottom w:w="50" w:type="dxa"/>
              <w:left w:w="90" w:type="dxa"/>
              <w:right w:w="90" w:type="dxa"/>
            </w:tcMar>
          </w:tcPr>
          <w:p>
            <w:pPr>
              <w:pStyle w:val="BDOITable"/>
            </w:pPr>
            <w:r>
              <w:rPr>
                <w:b/>
                <w:sz w:val="17"/>
              </w:rPr>
              <w:t>Data scope</w:t>
            </w:r>
          </w:p>
        </w:tc>
        <w:tc>
          <w:tcPr>
            <w:tcW w:type="dxa" w:w="8046"/>
            <w:tcMar>
              <w:top w:w="50" w:type="dxa"/>
              <w:bottom w:w="50" w:type="dxa"/>
              <w:left w:w="90" w:type="dxa"/>
              <w:right w:w="90" w:type="dxa"/>
            </w:tcMar>
          </w:tcPr>
          <w:p>
            <w:pPr>
              <w:pStyle w:val="BDOITable"/>
            </w:pPr>
            <w:r>
              <w:rPr>
                <w:sz w:val="17"/>
              </w:rPr>
              <w:t>The companies and branches a user may act for</w:t>
            </w:r>
          </w:p>
        </w:tc>
      </w:tr>
    </w:tbl>
    <w:p>
      <w:pPr>
        <w:pStyle w:val="BDOISpacer"/>
      </w:pPr>
    </w:p>
    <w:p>
      <w:pPr>
        <w:pStyle w:val="Heading2"/>
      </w:pPr>
      <w:bookmarkStart w:id="118" w:name="_Toc000118"/>
      <w:r>
        <w:rPr/>
        <w:t>4.4 Operations per bounded context</w:t>
      </w:r>
      <w:bookmarkEnd w:id="118"/>
    </w:p>
    <w:p>
      <w:pPr>
        <w:pStyle w:val="Caption"/>
        <w:keepNext/>
        <w:spacing w:after="60"/>
      </w:pPr>
      <w:r>
        <w:rPr>
          <w:b/>
          <w:i w:val="0"/>
        </w:rPr>
        <w:t xml:space="preserve">Table 10: </w:t>
      </w:r>
      <w:r>
        <w:rPr/>
        <w:t>Operations per bounded context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43"/>
        <w:gridCol w:w="3217"/>
        <w:gridCol w:w="965"/>
        <w:gridCol w:w="1158"/>
        <w:gridCol w:w="900"/>
        <w:gridCol w:w="900"/>
        <w:gridCol w:w="900"/>
        <w:gridCol w:w="1286"/>
      </w:tblGrid>
      <w:tr>
        <w:trPr>
          <w:tblHeader w:val="true"/>
          <w:cantSplit w:val="true"/>
        </w:trPr>
        <w:tc>
          <w:tcPr>
            <w:tcW w:type="dxa" w:w="64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3217"/>
            <w:shd w:val="clear" w:color="auto" w:fill="004EA8"/>
            <w:tcMar>
              <w:top w:w="50" w:type="dxa"/>
              <w:bottom w:w="50" w:type="dxa"/>
              <w:left w:w="90" w:type="dxa"/>
              <w:right w:w="90" w:type="dxa"/>
            </w:tcMar>
            <w:vAlign w:val="center"/>
          </w:tcPr>
          <w:p>
            <w:pPr>
              <w:pStyle w:val="BDOITableHeader"/>
            </w:pPr>
            <w:r>
              <w:rPr>
                <w:b/>
                <w:color w:val="FFFFFF"/>
                <w:sz w:val="16"/>
              </w:rPr>
              <w:t>Bounded context</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158"/>
            <w:shd w:val="clear" w:color="auto" w:fill="004EA8"/>
            <w:tcMar>
              <w:top w:w="50" w:type="dxa"/>
              <w:bottom w:w="50" w:type="dxa"/>
              <w:left w:w="90" w:type="dxa"/>
              <w:right w:w="90" w:type="dxa"/>
            </w:tcMar>
            <w:vAlign w:val="center"/>
          </w:tcPr>
          <w:p>
            <w:pPr>
              <w:pStyle w:val="BDOITableHeader"/>
            </w:pPr>
            <w:r>
              <w:rPr>
                <w:b/>
                <w:color w:val="FFFFFF"/>
                <w:sz w:val="16"/>
              </w:rPr>
              <w:t>Operations</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GET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POST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PUT</w:t>
            </w:r>
          </w:p>
        </w:tc>
        <w:tc>
          <w:tcPr>
            <w:tcW w:type="dxa" w:w="1287"/>
            <w:shd w:val="clear" w:color="auto" w:fill="004EA8"/>
            <w:tcMar>
              <w:top w:w="50" w:type="dxa"/>
              <w:bottom w:w="50" w:type="dxa"/>
              <w:left w:w="90" w:type="dxa"/>
              <w:right w:w="90" w:type="dxa"/>
            </w:tcMar>
            <w:vAlign w:val="center"/>
          </w:tcPr>
          <w:p>
            <w:pPr>
              <w:pStyle w:val="BDOITableHeader"/>
            </w:pPr>
            <w:r>
              <w:rPr>
                <w:b/>
                <w:color w:val="FFFFFF"/>
                <w:sz w:val="16"/>
              </w:rPr>
              <w:t>DELETE or PATCH</w:t>
            </w:r>
          </w:p>
        </w:tc>
      </w:tr>
      <w:tr>
        <w:trPr>
          <w:cantSplit w:val="true"/>
        </w:trPr>
        <w:tc>
          <w:tcPr>
            <w:tcW w:type="dxa" w:w="643"/>
            <w:tcMar>
              <w:top w:w="50" w:type="dxa"/>
              <w:bottom w:w="50" w:type="dxa"/>
              <w:left w:w="90" w:type="dxa"/>
              <w:right w:w="90" w:type="dxa"/>
            </w:tcMar>
          </w:tcPr>
          <w:p>
            <w:pPr>
              <w:pStyle w:val="BDOITable"/>
            </w:pPr>
            <w:r>
              <w:rPr>
                <w:b/>
                <w:sz w:val="16"/>
              </w:rPr>
              <w:t>BC01</w:t>
            </w:r>
          </w:p>
        </w:tc>
        <w:tc>
          <w:tcPr>
            <w:tcW w:type="dxa" w:w="3217"/>
            <w:tcMar>
              <w:top w:w="50" w:type="dxa"/>
              <w:bottom w:w="50" w:type="dxa"/>
              <w:left w:w="90" w:type="dxa"/>
              <w:right w:w="90" w:type="dxa"/>
            </w:tcMar>
          </w:tcPr>
          <w:p>
            <w:pPr>
              <w:pStyle w:val="BDOITable"/>
            </w:pPr>
            <w:r>
              <w:rPr>
                <w:sz w:val="16"/>
              </w:rPr>
              <w:t>Client management</w:t>
            </w:r>
          </w:p>
        </w:tc>
        <w:tc>
          <w:tcPr>
            <w:tcW w:type="dxa" w:w="965"/>
            <w:tcMar>
              <w:top w:w="50" w:type="dxa"/>
              <w:bottom w:w="50" w:type="dxa"/>
              <w:left w:w="90" w:type="dxa"/>
              <w:right w:w="90" w:type="dxa"/>
            </w:tcMar>
          </w:tcPr>
          <w:p>
            <w:pPr>
              <w:pStyle w:val="BDOITable"/>
            </w:pPr>
            <w:r>
              <w:rPr>
                <w:sz w:val="16"/>
              </w:rPr>
              <w:t>BRD-01</w:t>
            </w:r>
          </w:p>
        </w:tc>
        <w:tc>
          <w:tcPr>
            <w:tcW w:type="dxa" w:w="1158"/>
            <w:tcMar>
              <w:top w:w="50" w:type="dxa"/>
              <w:bottom w:w="50" w:type="dxa"/>
              <w:left w:w="90" w:type="dxa"/>
              <w:right w:w="90" w:type="dxa"/>
            </w:tcMar>
          </w:tcPr>
          <w:p>
            <w:pPr>
              <w:pStyle w:val="BDOITable"/>
            </w:pPr>
            <w:r>
              <w:rPr>
                <w:sz w:val="16"/>
              </w:rPr>
              <w:t>25</w:t>
            </w:r>
          </w:p>
        </w:tc>
        <w:tc>
          <w:tcPr>
            <w:tcW w:type="dxa" w:w="901"/>
            <w:tcMar>
              <w:top w:w="50" w:type="dxa"/>
              <w:bottom w:w="50" w:type="dxa"/>
              <w:left w:w="90" w:type="dxa"/>
              <w:right w:w="90" w:type="dxa"/>
            </w:tcMar>
          </w:tcPr>
          <w:p>
            <w:pPr>
              <w:pStyle w:val="BDOITable"/>
            </w:pPr>
            <w:r>
              <w:rPr>
                <w:sz w:val="16"/>
              </w:rPr>
              <w:t>12</w:t>
            </w:r>
          </w:p>
        </w:tc>
        <w:tc>
          <w:tcPr>
            <w:tcW w:type="dxa" w:w="901"/>
            <w:tcMar>
              <w:top w:w="50" w:type="dxa"/>
              <w:bottom w:w="50" w:type="dxa"/>
              <w:left w:w="90" w:type="dxa"/>
              <w:right w:w="90" w:type="dxa"/>
            </w:tcMar>
          </w:tcPr>
          <w:p>
            <w:pPr>
              <w:pStyle w:val="BDOITable"/>
            </w:pPr>
            <w:r>
              <w:rPr>
                <w:sz w:val="16"/>
              </w:rPr>
              <w:t>11</w:t>
            </w:r>
          </w:p>
        </w:tc>
        <w:tc>
          <w:tcPr>
            <w:tcW w:type="dxa" w:w="901"/>
            <w:tcMar>
              <w:top w:w="50" w:type="dxa"/>
              <w:bottom w:w="50" w:type="dxa"/>
              <w:left w:w="90" w:type="dxa"/>
              <w:right w:w="90" w:type="dxa"/>
            </w:tcMar>
          </w:tcPr>
          <w:p>
            <w:pPr>
              <w:pStyle w:val="BDOITable"/>
            </w:pPr>
            <w:r>
              <w:rPr>
                <w:sz w:val="16"/>
              </w:rPr>
              <w:t>2</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BC02</w:t>
            </w:r>
          </w:p>
        </w:tc>
        <w:tc>
          <w:tcPr>
            <w:tcW w:type="dxa" w:w="3217"/>
            <w:tcMar>
              <w:top w:w="50" w:type="dxa"/>
              <w:bottom w:w="50" w:type="dxa"/>
              <w:left w:w="90" w:type="dxa"/>
              <w:right w:w="90" w:type="dxa"/>
            </w:tcMar>
            <w:shd w:val="clear" w:color="auto" w:fill="E5F5FF"/>
          </w:tcPr>
          <w:p>
            <w:pPr>
              <w:pStyle w:val="BDOITable"/>
            </w:pPr>
            <w:r>
              <w:rPr>
                <w:sz w:val="16"/>
              </w:rPr>
              <w:t>Product catalogue and maintenance</w:t>
            </w:r>
          </w:p>
        </w:tc>
        <w:tc>
          <w:tcPr>
            <w:tcW w:type="dxa" w:w="965"/>
            <w:tcMar>
              <w:top w:w="50" w:type="dxa"/>
              <w:bottom w:w="50" w:type="dxa"/>
              <w:left w:w="90" w:type="dxa"/>
              <w:right w:w="90" w:type="dxa"/>
            </w:tcMar>
            <w:shd w:val="clear" w:color="auto" w:fill="E5F5FF"/>
          </w:tcPr>
          <w:p>
            <w:pPr>
              <w:pStyle w:val="BDOITable"/>
            </w:pPr>
            <w:r>
              <w:rPr>
                <w:sz w:val="16"/>
              </w:rPr>
              <w:t>BRD-03</w:t>
            </w:r>
          </w:p>
        </w:tc>
        <w:tc>
          <w:tcPr>
            <w:tcW w:type="dxa" w:w="1158"/>
            <w:tcMar>
              <w:top w:w="50" w:type="dxa"/>
              <w:bottom w:w="50" w:type="dxa"/>
              <w:left w:w="90" w:type="dxa"/>
              <w:right w:w="90" w:type="dxa"/>
            </w:tcMar>
            <w:shd w:val="clear" w:color="auto" w:fill="E5F5FF"/>
          </w:tcPr>
          <w:p>
            <w:pPr>
              <w:pStyle w:val="BDOITable"/>
            </w:pPr>
            <w:r>
              <w:rPr>
                <w:sz w:val="16"/>
              </w:rPr>
              <w:t>118</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54</w:t>
            </w:r>
          </w:p>
        </w:tc>
        <w:tc>
          <w:tcPr>
            <w:tcW w:type="dxa" w:w="901"/>
            <w:tcMar>
              <w:top w:w="50" w:type="dxa"/>
              <w:bottom w:w="50" w:type="dxa"/>
              <w:left w:w="90" w:type="dxa"/>
              <w:right w:w="90" w:type="dxa"/>
            </w:tcMar>
            <w:shd w:val="clear" w:color="auto" w:fill="E5F5FF"/>
          </w:tcPr>
          <w:p>
            <w:pPr>
              <w:pStyle w:val="BDOITable"/>
            </w:pPr>
            <w:r>
              <w:rPr>
                <w:sz w:val="16"/>
              </w:rPr>
              <w:t>22</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BC03</w:t>
            </w:r>
          </w:p>
        </w:tc>
        <w:tc>
          <w:tcPr>
            <w:tcW w:type="dxa" w:w="3217"/>
            <w:tcMar>
              <w:top w:w="50" w:type="dxa"/>
              <w:bottom w:w="50" w:type="dxa"/>
              <w:left w:w="90" w:type="dxa"/>
              <w:right w:w="90" w:type="dxa"/>
            </w:tcMar>
          </w:tcPr>
          <w:p>
            <w:pPr>
              <w:pStyle w:val="BDOITable"/>
            </w:pPr>
            <w:r>
              <w:rPr>
                <w:sz w:val="16"/>
              </w:rPr>
              <w:t>New business broking</w:t>
            </w:r>
          </w:p>
        </w:tc>
        <w:tc>
          <w:tcPr>
            <w:tcW w:type="dxa" w:w="965"/>
            <w:tcMar>
              <w:top w:w="50" w:type="dxa"/>
              <w:bottom w:w="50" w:type="dxa"/>
              <w:left w:w="90" w:type="dxa"/>
              <w:right w:w="90" w:type="dxa"/>
            </w:tcMar>
          </w:tcPr>
          <w:p>
            <w:pPr>
              <w:pStyle w:val="BDOITable"/>
            </w:pPr>
            <w:r>
              <w:rPr>
                <w:sz w:val="16"/>
              </w:rPr>
              <w:t>BRD-01</w:t>
            </w:r>
          </w:p>
        </w:tc>
        <w:tc>
          <w:tcPr>
            <w:tcW w:type="dxa" w:w="1158"/>
            <w:tcMar>
              <w:top w:w="50" w:type="dxa"/>
              <w:bottom w:w="50" w:type="dxa"/>
              <w:left w:w="90" w:type="dxa"/>
              <w:right w:w="90" w:type="dxa"/>
            </w:tcMar>
          </w:tcPr>
          <w:p>
            <w:pPr>
              <w:pStyle w:val="BDOITable"/>
            </w:pPr>
            <w:r>
              <w:rPr>
                <w:sz w:val="16"/>
              </w:rPr>
              <w:t>167</w:t>
            </w:r>
          </w:p>
        </w:tc>
        <w:tc>
          <w:tcPr>
            <w:tcW w:type="dxa" w:w="901"/>
            <w:tcMar>
              <w:top w:w="50" w:type="dxa"/>
              <w:bottom w:w="50" w:type="dxa"/>
              <w:left w:w="90" w:type="dxa"/>
              <w:right w:w="90" w:type="dxa"/>
            </w:tcMar>
          </w:tcPr>
          <w:p>
            <w:pPr>
              <w:pStyle w:val="BDOITable"/>
            </w:pPr>
            <w:r>
              <w:rPr>
                <w:sz w:val="16"/>
              </w:rPr>
              <w:t>74</w:t>
            </w:r>
          </w:p>
        </w:tc>
        <w:tc>
          <w:tcPr>
            <w:tcW w:type="dxa" w:w="901"/>
            <w:tcMar>
              <w:top w:w="50" w:type="dxa"/>
              <w:bottom w:w="50" w:type="dxa"/>
              <w:left w:w="90" w:type="dxa"/>
              <w:right w:w="90" w:type="dxa"/>
            </w:tcMar>
          </w:tcPr>
          <w:p>
            <w:pPr>
              <w:pStyle w:val="BDOITable"/>
            </w:pPr>
            <w:r>
              <w:rPr>
                <w:sz w:val="16"/>
              </w:rPr>
              <w:t>80</w:t>
            </w:r>
          </w:p>
        </w:tc>
        <w:tc>
          <w:tcPr>
            <w:tcW w:type="dxa" w:w="901"/>
            <w:tcMar>
              <w:top w:w="50" w:type="dxa"/>
              <w:bottom w:w="50" w:type="dxa"/>
              <w:left w:w="90" w:type="dxa"/>
              <w:right w:w="90" w:type="dxa"/>
            </w:tcMar>
          </w:tcPr>
          <w:p>
            <w:pPr>
              <w:pStyle w:val="BDOITable"/>
            </w:pPr>
            <w:r>
              <w:rPr>
                <w:sz w:val="16"/>
              </w:rPr>
              <w:t>12</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BC04</w:t>
            </w:r>
          </w:p>
        </w:tc>
        <w:tc>
          <w:tcPr>
            <w:tcW w:type="dxa" w:w="3217"/>
            <w:tcMar>
              <w:top w:w="50" w:type="dxa"/>
              <w:bottom w:w="50" w:type="dxa"/>
              <w:left w:w="90" w:type="dxa"/>
              <w:right w:w="90" w:type="dxa"/>
            </w:tcMar>
            <w:shd w:val="clear" w:color="auto" w:fill="E5F5FF"/>
          </w:tcPr>
          <w:p>
            <w:pPr>
              <w:pStyle w:val="BDOITable"/>
            </w:pPr>
            <w:r>
              <w:rPr>
                <w:sz w:val="16"/>
              </w:rPr>
              <w:t>Renewal</w:t>
            </w:r>
          </w:p>
        </w:tc>
        <w:tc>
          <w:tcPr>
            <w:tcW w:type="dxa" w:w="965"/>
            <w:tcMar>
              <w:top w:w="50" w:type="dxa"/>
              <w:bottom w:w="50" w:type="dxa"/>
              <w:left w:w="90" w:type="dxa"/>
              <w:right w:w="90" w:type="dxa"/>
            </w:tcMar>
            <w:shd w:val="clear" w:color="auto" w:fill="E5F5FF"/>
          </w:tcPr>
          <w:p>
            <w:pPr>
              <w:pStyle w:val="BDOITable"/>
            </w:pPr>
            <w:r>
              <w:rPr>
                <w:sz w:val="16"/>
              </w:rPr>
              <w:t>BRD-06</w:t>
            </w:r>
          </w:p>
        </w:tc>
        <w:tc>
          <w:tcPr>
            <w:tcW w:type="dxa" w:w="1158"/>
            <w:tcMar>
              <w:top w:w="50" w:type="dxa"/>
              <w:bottom w:w="50" w:type="dxa"/>
              <w:left w:w="90" w:type="dxa"/>
              <w:right w:w="90" w:type="dxa"/>
            </w:tcMar>
            <w:shd w:val="clear" w:color="auto" w:fill="E5F5FF"/>
          </w:tcPr>
          <w:p>
            <w:pPr>
              <w:pStyle w:val="BDOITable"/>
            </w:pPr>
            <w:r>
              <w:rPr>
                <w:sz w:val="16"/>
              </w:rPr>
              <w:t>79</w:t>
            </w:r>
          </w:p>
        </w:tc>
        <w:tc>
          <w:tcPr>
            <w:tcW w:type="dxa" w:w="901"/>
            <w:tcMar>
              <w:top w:w="50" w:type="dxa"/>
              <w:bottom w:w="50" w:type="dxa"/>
              <w:left w:w="90" w:type="dxa"/>
              <w:right w:w="90" w:type="dxa"/>
            </w:tcMar>
            <w:shd w:val="clear" w:color="auto" w:fill="E5F5FF"/>
          </w:tcPr>
          <w:p>
            <w:pPr>
              <w:pStyle w:val="BDOITable"/>
            </w:pPr>
            <w:r>
              <w:rPr>
                <w:sz w:val="16"/>
              </w:rPr>
              <w:t>34</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BC05</w:t>
            </w:r>
          </w:p>
        </w:tc>
        <w:tc>
          <w:tcPr>
            <w:tcW w:type="dxa" w:w="3217"/>
            <w:tcMar>
              <w:top w:w="50" w:type="dxa"/>
              <w:bottom w:w="50" w:type="dxa"/>
              <w:left w:w="90" w:type="dxa"/>
              <w:right w:w="90" w:type="dxa"/>
            </w:tcMar>
          </w:tcPr>
          <w:p>
            <w:pPr>
              <w:pStyle w:val="BDOITable"/>
            </w:pPr>
            <w:r>
              <w:rPr>
                <w:sz w:val="16"/>
              </w:rPr>
              <w:t>Submitted policies</w:t>
            </w:r>
          </w:p>
        </w:tc>
        <w:tc>
          <w:tcPr>
            <w:tcW w:type="dxa" w:w="965"/>
            <w:tcMar>
              <w:top w:w="50" w:type="dxa"/>
              <w:bottom w:w="50" w:type="dxa"/>
              <w:left w:w="90" w:type="dxa"/>
              <w:right w:w="90" w:type="dxa"/>
            </w:tcMar>
          </w:tcPr>
          <w:p>
            <w:pPr>
              <w:pStyle w:val="BDOITable"/>
            </w:pPr>
            <w:r>
              <w:rPr>
                <w:sz w:val="16"/>
              </w:rPr>
              <w:t>BRD-12</w:t>
            </w:r>
          </w:p>
        </w:tc>
        <w:tc>
          <w:tcPr>
            <w:tcW w:type="dxa" w:w="1158"/>
            <w:tcMar>
              <w:top w:w="50" w:type="dxa"/>
              <w:bottom w:w="50" w:type="dxa"/>
              <w:left w:w="90" w:type="dxa"/>
              <w:right w:w="90" w:type="dxa"/>
            </w:tcMar>
          </w:tcPr>
          <w:p>
            <w:pPr>
              <w:pStyle w:val="BDOITable"/>
            </w:pPr>
            <w:r>
              <w:rPr>
                <w:sz w:val="16"/>
              </w:rPr>
              <w:t>99</w:t>
            </w:r>
          </w:p>
        </w:tc>
        <w:tc>
          <w:tcPr>
            <w:tcW w:type="dxa" w:w="901"/>
            <w:tcMar>
              <w:top w:w="50" w:type="dxa"/>
              <w:bottom w:w="50" w:type="dxa"/>
              <w:left w:w="90" w:type="dxa"/>
              <w:right w:w="90" w:type="dxa"/>
            </w:tcMar>
          </w:tcPr>
          <w:p>
            <w:pPr>
              <w:pStyle w:val="BDOITable"/>
            </w:pPr>
            <w:r>
              <w:rPr>
                <w:sz w:val="16"/>
              </w:rPr>
              <w:t>47</w:t>
            </w:r>
          </w:p>
        </w:tc>
        <w:tc>
          <w:tcPr>
            <w:tcW w:type="dxa" w:w="901"/>
            <w:tcMar>
              <w:top w:w="50" w:type="dxa"/>
              <w:bottom w:w="50" w:type="dxa"/>
              <w:left w:w="90" w:type="dxa"/>
              <w:right w:w="90" w:type="dxa"/>
            </w:tcMar>
          </w:tcPr>
          <w:p>
            <w:pPr>
              <w:pStyle w:val="BDOITable"/>
            </w:pPr>
            <w:r>
              <w:rPr>
                <w:sz w:val="16"/>
              </w:rPr>
              <w:t>44</w:t>
            </w:r>
          </w:p>
        </w:tc>
        <w:tc>
          <w:tcPr>
            <w:tcW w:type="dxa" w:w="901"/>
            <w:tcMar>
              <w:top w:w="50" w:type="dxa"/>
              <w:bottom w:w="50" w:type="dxa"/>
              <w:left w:w="90" w:type="dxa"/>
              <w:right w:w="90" w:type="dxa"/>
            </w:tcMar>
          </w:tcPr>
          <w:p>
            <w:pPr>
              <w:pStyle w:val="BDOITable"/>
            </w:pPr>
            <w:r>
              <w:rPr>
                <w:sz w:val="16"/>
              </w:rPr>
              <w:t>7</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BC06</w:t>
            </w:r>
          </w:p>
        </w:tc>
        <w:tc>
          <w:tcPr>
            <w:tcW w:type="dxa" w:w="3217"/>
            <w:tcMar>
              <w:top w:w="50" w:type="dxa"/>
              <w:bottom w:w="50" w:type="dxa"/>
              <w:left w:w="90" w:type="dxa"/>
              <w:right w:w="90" w:type="dxa"/>
            </w:tcMar>
            <w:shd w:val="clear" w:color="auto" w:fill="E5F5FF"/>
          </w:tcPr>
          <w:p>
            <w:pPr>
              <w:pStyle w:val="BDOITable"/>
            </w:pPr>
            <w:r>
              <w:rPr>
                <w:sz w:val="16"/>
              </w:rPr>
              <w:t>Operations</w:t>
            </w:r>
          </w:p>
        </w:tc>
        <w:tc>
          <w:tcPr>
            <w:tcW w:type="dxa" w:w="965"/>
            <w:tcMar>
              <w:top w:w="50" w:type="dxa"/>
              <w:bottom w:w="50" w:type="dxa"/>
              <w:left w:w="90" w:type="dxa"/>
              <w:right w:w="90" w:type="dxa"/>
            </w:tcMar>
            <w:shd w:val="clear" w:color="auto" w:fill="E5F5FF"/>
          </w:tcPr>
          <w:p>
            <w:pPr>
              <w:pStyle w:val="BDOITable"/>
            </w:pPr>
            <w:r>
              <w:rPr>
                <w:sz w:val="16"/>
              </w:rPr>
              <w:t>BRD-02</w:t>
            </w:r>
          </w:p>
        </w:tc>
        <w:tc>
          <w:tcPr>
            <w:tcW w:type="dxa" w:w="1158"/>
            <w:tcMar>
              <w:top w:w="50" w:type="dxa"/>
              <w:bottom w:w="50" w:type="dxa"/>
              <w:left w:w="90" w:type="dxa"/>
              <w:right w:w="90" w:type="dxa"/>
            </w:tcMar>
            <w:shd w:val="clear" w:color="auto" w:fill="E5F5FF"/>
          </w:tcPr>
          <w:p>
            <w:pPr>
              <w:pStyle w:val="BDOITable"/>
            </w:pPr>
            <w:r>
              <w:rPr>
                <w:sz w:val="16"/>
              </w:rPr>
              <w:t>272</w:t>
            </w:r>
          </w:p>
        </w:tc>
        <w:tc>
          <w:tcPr>
            <w:tcW w:type="dxa" w:w="901"/>
            <w:tcMar>
              <w:top w:w="50" w:type="dxa"/>
              <w:bottom w:w="50" w:type="dxa"/>
              <w:left w:w="90" w:type="dxa"/>
              <w:right w:w="90" w:type="dxa"/>
            </w:tcMar>
            <w:shd w:val="clear" w:color="auto" w:fill="E5F5FF"/>
          </w:tcPr>
          <w:p>
            <w:pPr>
              <w:pStyle w:val="BDOITable"/>
            </w:pPr>
            <w:r>
              <w:rPr>
                <w:sz w:val="16"/>
              </w:rPr>
              <w:t>120</w:t>
            </w:r>
          </w:p>
        </w:tc>
        <w:tc>
          <w:tcPr>
            <w:tcW w:type="dxa" w:w="901"/>
            <w:tcMar>
              <w:top w:w="50" w:type="dxa"/>
              <w:bottom w:w="50" w:type="dxa"/>
              <w:left w:w="90" w:type="dxa"/>
              <w:right w:w="90" w:type="dxa"/>
            </w:tcMar>
            <w:shd w:val="clear" w:color="auto" w:fill="E5F5FF"/>
          </w:tcPr>
          <w:p>
            <w:pPr>
              <w:pStyle w:val="BDOITable"/>
            </w:pPr>
            <w:r>
              <w:rPr>
                <w:sz w:val="16"/>
              </w:rPr>
              <w:t>138</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28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643"/>
            <w:tcMar>
              <w:top w:w="50" w:type="dxa"/>
              <w:bottom w:w="50" w:type="dxa"/>
              <w:left w:w="90" w:type="dxa"/>
              <w:right w:w="90" w:type="dxa"/>
            </w:tcMar>
          </w:tcPr>
          <w:p>
            <w:pPr>
              <w:pStyle w:val="BDOITable"/>
            </w:pPr>
            <w:r>
              <w:rPr>
                <w:b/>
                <w:sz w:val="16"/>
              </w:rPr>
              <w:t>BC07</w:t>
            </w:r>
          </w:p>
        </w:tc>
        <w:tc>
          <w:tcPr>
            <w:tcW w:type="dxa" w:w="3217"/>
            <w:tcMar>
              <w:top w:w="50" w:type="dxa"/>
              <w:bottom w:w="50" w:type="dxa"/>
              <w:left w:w="90" w:type="dxa"/>
              <w:right w:w="90" w:type="dxa"/>
            </w:tcMar>
          </w:tcPr>
          <w:p>
            <w:pPr>
              <w:pStyle w:val="BDOITable"/>
            </w:pPr>
            <w:r>
              <w:rPr>
                <w:sz w:val="16"/>
              </w:rPr>
              <w:t>Collections</w:t>
            </w:r>
          </w:p>
        </w:tc>
        <w:tc>
          <w:tcPr>
            <w:tcW w:type="dxa" w:w="965"/>
            <w:tcMar>
              <w:top w:w="50" w:type="dxa"/>
              <w:bottom w:w="50" w:type="dxa"/>
              <w:left w:w="90" w:type="dxa"/>
              <w:right w:w="90" w:type="dxa"/>
            </w:tcMar>
          </w:tcPr>
          <w:p>
            <w:pPr>
              <w:pStyle w:val="BDOITable"/>
            </w:pPr>
            <w:r>
              <w:rPr>
                <w:sz w:val="16"/>
              </w:rPr>
              <w:t>BRD-04</w:t>
            </w:r>
          </w:p>
        </w:tc>
        <w:tc>
          <w:tcPr>
            <w:tcW w:type="dxa" w:w="1158"/>
            <w:tcMar>
              <w:top w:w="50" w:type="dxa"/>
              <w:bottom w:w="50" w:type="dxa"/>
              <w:left w:w="90" w:type="dxa"/>
              <w:right w:w="90" w:type="dxa"/>
            </w:tcMar>
          </w:tcPr>
          <w:p>
            <w:pPr>
              <w:pStyle w:val="BDOITable"/>
            </w:pPr>
            <w:r>
              <w:rPr>
                <w:sz w:val="16"/>
              </w:rPr>
              <w:t>78</w:t>
            </w:r>
          </w:p>
        </w:tc>
        <w:tc>
          <w:tcPr>
            <w:tcW w:type="dxa" w:w="901"/>
            <w:tcMar>
              <w:top w:w="50" w:type="dxa"/>
              <w:bottom w:w="50" w:type="dxa"/>
              <w:left w:w="90" w:type="dxa"/>
              <w:right w:w="90" w:type="dxa"/>
            </w:tcMar>
          </w:tcPr>
          <w:p>
            <w:pPr>
              <w:pStyle w:val="BDOITable"/>
            </w:pPr>
            <w:r>
              <w:rPr>
                <w:sz w:val="16"/>
              </w:rPr>
              <w:t>40</w:t>
            </w:r>
          </w:p>
        </w:tc>
        <w:tc>
          <w:tcPr>
            <w:tcW w:type="dxa" w:w="901"/>
            <w:tcMar>
              <w:top w:w="50" w:type="dxa"/>
              <w:bottom w:w="50" w:type="dxa"/>
              <w:left w:w="90" w:type="dxa"/>
              <w:right w:w="90" w:type="dxa"/>
            </w:tcMar>
          </w:tcPr>
          <w:p>
            <w:pPr>
              <w:pStyle w:val="BDOITable"/>
            </w:pPr>
            <w:r>
              <w:rPr>
                <w:sz w:val="16"/>
              </w:rPr>
              <w:t>31</w:t>
            </w:r>
          </w:p>
        </w:tc>
        <w:tc>
          <w:tcPr>
            <w:tcW w:type="dxa" w:w="901"/>
            <w:tcMar>
              <w:top w:w="50" w:type="dxa"/>
              <w:bottom w:w="50" w:type="dxa"/>
              <w:left w:w="90" w:type="dxa"/>
              <w:right w:w="90" w:type="dxa"/>
            </w:tcMar>
          </w:tcPr>
          <w:p>
            <w:pPr>
              <w:pStyle w:val="BDOITable"/>
            </w:pPr>
            <w:r>
              <w:rPr>
                <w:sz w:val="16"/>
              </w:rPr>
              <w:t>6</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BC08</w:t>
            </w:r>
          </w:p>
        </w:tc>
        <w:tc>
          <w:tcPr>
            <w:tcW w:type="dxa" w:w="3217"/>
            <w:tcMar>
              <w:top w:w="50" w:type="dxa"/>
              <w:bottom w:w="50" w:type="dxa"/>
              <w:left w:w="90" w:type="dxa"/>
              <w:right w:w="90" w:type="dxa"/>
            </w:tcMar>
            <w:shd w:val="clear" w:color="auto" w:fill="E5F5FF"/>
          </w:tcPr>
          <w:p>
            <w:pPr>
              <w:pStyle w:val="BDOITable"/>
            </w:pPr>
            <w:r>
              <w:rPr>
                <w:sz w:val="16"/>
              </w:rPr>
              <w:t>Accounting, disbursement and ACSL</w:t>
            </w:r>
          </w:p>
        </w:tc>
        <w:tc>
          <w:tcPr>
            <w:tcW w:type="dxa" w:w="965"/>
            <w:tcMar>
              <w:top w:w="50" w:type="dxa"/>
              <w:bottom w:w="50" w:type="dxa"/>
              <w:left w:w="90" w:type="dxa"/>
              <w:right w:w="90" w:type="dxa"/>
            </w:tcMar>
            <w:shd w:val="clear" w:color="auto" w:fill="E5F5FF"/>
          </w:tcPr>
          <w:p>
            <w:pPr>
              <w:pStyle w:val="BDOITable"/>
            </w:pPr>
            <w:r>
              <w:rPr>
                <w:sz w:val="16"/>
              </w:rPr>
              <w:t>BRD-05</w:t>
            </w:r>
          </w:p>
        </w:tc>
        <w:tc>
          <w:tcPr>
            <w:tcW w:type="dxa" w:w="1158"/>
            <w:tcMar>
              <w:top w:w="50" w:type="dxa"/>
              <w:bottom w:w="50" w:type="dxa"/>
              <w:left w:w="90" w:type="dxa"/>
              <w:right w:w="90" w:type="dxa"/>
            </w:tcMar>
            <w:shd w:val="clear" w:color="auto" w:fill="E5F5FF"/>
          </w:tcPr>
          <w:p>
            <w:pPr>
              <w:pStyle w:val="BDOITable"/>
            </w:pPr>
            <w:r>
              <w:rPr>
                <w:sz w:val="16"/>
              </w:rPr>
              <w:t>143</w:t>
            </w:r>
          </w:p>
        </w:tc>
        <w:tc>
          <w:tcPr>
            <w:tcW w:type="dxa" w:w="901"/>
            <w:tcMar>
              <w:top w:w="50" w:type="dxa"/>
              <w:bottom w:w="50" w:type="dxa"/>
              <w:left w:w="90" w:type="dxa"/>
              <w:right w:w="90" w:type="dxa"/>
            </w:tcMar>
            <w:shd w:val="clear" w:color="auto" w:fill="E5F5FF"/>
          </w:tcPr>
          <w:p>
            <w:pPr>
              <w:pStyle w:val="BDOITable"/>
            </w:pPr>
            <w:r>
              <w:rPr>
                <w:sz w:val="16"/>
              </w:rPr>
              <w:t>53</w:t>
            </w:r>
          </w:p>
        </w:tc>
        <w:tc>
          <w:tcPr>
            <w:tcW w:type="dxa" w:w="901"/>
            <w:tcMar>
              <w:top w:w="50" w:type="dxa"/>
              <w:bottom w:w="50" w:type="dxa"/>
              <w:left w:w="90" w:type="dxa"/>
              <w:right w:w="90" w:type="dxa"/>
            </w:tcMar>
            <w:shd w:val="clear" w:color="auto" w:fill="E5F5FF"/>
          </w:tcPr>
          <w:p>
            <w:pPr>
              <w:pStyle w:val="BDOITable"/>
            </w:pPr>
            <w:r>
              <w:rPr>
                <w:sz w:val="16"/>
              </w:rPr>
              <w:t>75</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287"/>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643"/>
            <w:tcMar>
              <w:top w:w="50" w:type="dxa"/>
              <w:bottom w:w="50" w:type="dxa"/>
              <w:left w:w="90" w:type="dxa"/>
              <w:right w:w="90" w:type="dxa"/>
            </w:tcMar>
          </w:tcPr>
          <w:p>
            <w:pPr>
              <w:pStyle w:val="BDOITable"/>
            </w:pPr>
            <w:r>
              <w:rPr>
                <w:b/>
                <w:sz w:val="16"/>
              </w:rPr>
              <w:t>BC09</w:t>
            </w:r>
          </w:p>
        </w:tc>
        <w:tc>
          <w:tcPr>
            <w:tcW w:type="dxa" w:w="3217"/>
            <w:tcMar>
              <w:top w:w="50" w:type="dxa"/>
              <w:bottom w:w="50" w:type="dxa"/>
              <w:left w:w="90" w:type="dxa"/>
              <w:right w:w="90" w:type="dxa"/>
            </w:tcMar>
          </w:tcPr>
          <w:p>
            <w:pPr>
              <w:pStyle w:val="BDOITable"/>
            </w:pPr>
            <w:r>
              <w:rPr>
                <w:sz w:val="16"/>
              </w:rPr>
              <w:t>Finance core</w:t>
            </w:r>
          </w:p>
        </w:tc>
        <w:tc>
          <w:tcPr>
            <w:tcW w:type="dxa" w:w="965"/>
            <w:tcMar>
              <w:top w:w="50" w:type="dxa"/>
              <w:bottom w:w="50" w:type="dxa"/>
              <w:left w:w="90" w:type="dxa"/>
              <w:right w:w="90" w:type="dxa"/>
            </w:tcMar>
          </w:tcPr>
          <w:p>
            <w:pPr>
              <w:pStyle w:val="BDOITable"/>
            </w:pPr>
            <w:r>
              <w:rPr>
                <w:sz w:val="16"/>
              </w:rPr>
              <w:t>BRD-05</w:t>
            </w:r>
          </w:p>
        </w:tc>
        <w:tc>
          <w:tcPr>
            <w:tcW w:type="dxa" w:w="1158"/>
            <w:tcMar>
              <w:top w:w="50" w:type="dxa"/>
              <w:bottom w:w="50" w:type="dxa"/>
              <w:left w:w="90" w:type="dxa"/>
              <w:right w:w="90" w:type="dxa"/>
            </w:tcMar>
          </w:tcPr>
          <w:p>
            <w:pPr>
              <w:pStyle w:val="BDOITable"/>
            </w:pPr>
            <w:r>
              <w:rPr>
                <w:sz w:val="16"/>
              </w:rPr>
              <w:t>281</w:t>
            </w:r>
          </w:p>
        </w:tc>
        <w:tc>
          <w:tcPr>
            <w:tcW w:type="dxa" w:w="901"/>
            <w:tcMar>
              <w:top w:w="50" w:type="dxa"/>
              <w:bottom w:w="50" w:type="dxa"/>
              <w:left w:w="90" w:type="dxa"/>
              <w:right w:w="90" w:type="dxa"/>
            </w:tcMar>
          </w:tcPr>
          <w:p>
            <w:pPr>
              <w:pStyle w:val="BDOITable"/>
            </w:pPr>
            <w:r>
              <w:rPr>
                <w:sz w:val="16"/>
              </w:rPr>
              <w:t>116</w:t>
            </w:r>
          </w:p>
        </w:tc>
        <w:tc>
          <w:tcPr>
            <w:tcW w:type="dxa" w:w="901"/>
            <w:tcMar>
              <w:top w:w="50" w:type="dxa"/>
              <w:bottom w:w="50" w:type="dxa"/>
              <w:left w:w="90" w:type="dxa"/>
              <w:right w:w="90" w:type="dxa"/>
            </w:tcMar>
          </w:tcPr>
          <w:p>
            <w:pPr>
              <w:pStyle w:val="BDOITable"/>
            </w:pPr>
            <w:r>
              <w:rPr>
                <w:sz w:val="16"/>
              </w:rPr>
              <w:t>143</w:t>
            </w:r>
          </w:p>
        </w:tc>
        <w:tc>
          <w:tcPr>
            <w:tcW w:type="dxa" w:w="901"/>
            <w:tcMar>
              <w:top w:w="50" w:type="dxa"/>
              <w:bottom w:w="50" w:type="dxa"/>
              <w:left w:w="90" w:type="dxa"/>
              <w:right w:w="90" w:type="dxa"/>
            </w:tcMar>
          </w:tcPr>
          <w:p>
            <w:pPr>
              <w:pStyle w:val="BDOITable"/>
            </w:pPr>
            <w:r>
              <w:rPr>
                <w:sz w:val="16"/>
              </w:rPr>
              <w:t>22</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BC10</w:t>
            </w:r>
          </w:p>
        </w:tc>
        <w:tc>
          <w:tcPr>
            <w:tcW w:type="dxa" w:w="3217"/>
            <w:tcMar>
              <w:top w:w="50" w:type="dxa"/>
              <w:bottom w:w="50" w:type="dxa"/>
              <w:left w:w="90" w:type="dxa"/>
              <w:right w:w="90" w:type="dxa"/>
            </w:tcMar>
            <w:shd w:val="clear" w:color="auto" w:fill="E5F5FF"/>
          </w:tcPr>
          <w:p>
            <w:pPr>
              <w:pStyle w:val="BDOITable"/>
            </w:pPr>
            <w:r>
              <w:rPr>
                <w:sz w:val="16"/>
              </w:rPr>
              <w:t>Claims handling</w:t>
            </w:r>
          </w:p>
        </w:tc>
        <w:tc>
          <w:tcPr>
            <w:tcW w:type="dxa" w:w="965"/>
            <w:tcMar>
              <w:top w:w="50" w:type="dxa"/>
              <w:bottom w:w="50" w:type="dxa"/>
              <w:left w:w="90" w:type="dxa"/>
              <w:right w:w="90" w:type="dxa"/>
            </w:tcMar>
            <w:shd w:val="clear" w:color="auto" w:fill="E5F5FF"/>
          </w:tcPr>
          <w:p>
            <w:pPr>
              <w:pStyle w:val="BDOITable"/>
            </w:pPr>
            <w:r>
              <w:rPr>
                <w:sz w:val="16"/>
              </w:rPr>
              <w:t>BRD-07</w:t>
            </w:r>
          </w:p>
        </w:tc>
        <w:tc>
          <w:tcPr>
            <w:tcW w:type="dxa" w:w="1158"/>
            <w:tcMar>
              <w:top w:w="50" w:type="dxa"/>
              <w:bottom w:w="50" w:type="dxa"/>
              <w:left w:w="90" w:type="dxa"/>
              <w:right w:w="90" w:type="dxa"/>
            </w:tcMar>
            <w:shd w:val="clear" w:color="auto" w:fill="E5F5FF"/>
          </w:tcPr>
          <w:p>
            <w:pPr>
              <w:pStyle w:val="BDOITable"/>
            </w:pPr>
            <w:r>
              <w:rPr>
                <w:sz w:val="16"/>
              </w:rPr>
              <w:t>63</w:t>
            </w:r>
          </w:p>
        </w:tc>
        <w:tc>
          <w:tcPr>
            <w:tcW w:type="dxa" w:w="901"/>
            <w:tcMar>
              <w:top w:w="50" w:type="dxa"/>
              <w:bottom w:w="50" w:type="dxa"/>
              <w:left w:w="90" w:type="dxa"/>
              <w:right w:w="90" w:type="dxa"/>
            </w:tcMar>
            <w:shd w:val="clear" w:color="auto" w:fill="E5F5FF"/>
          </w:tcPr>
          <w:p>
            <w:pPr>
              <w:pStyle w:val="BDOITable"/>
            </w:pPr>
            <w:r>
              <w:rPr>
                <w:sz w:val="16"/>
              </w:rPr>
              <w:t>27</w:t>
            </w:r>
          </w:p>
        </w:tc>
        <w:tc>
          <w:tcPr>
            <w:tcW w:type="dxa" w:w="901"/>
            <w:tcMar>
              <w:top w:w="50" w:type="dxa"/>
              <w:bottom w:w="50" w:type="dxa"/>
              <w:left w:w="90" w:type="dxa"/>
              <w:right w:w="90" w:type="dxa"/>
            </w:tcMar>
            <w:shd w:val="clear" w:color="auto" w:fill="E5F5FF"/>
          </w:tcPr>
          <w:p>
            <w:pPr>
              <w:pStyle w:val="BDOITable"/>
            </w:pPr>
            <w:r>
              <w:rPr>
                <w:sz w:val="16"/>
              </w:rPr>
              <w:t>27</w:t>
            </w:r>
          </w:p>
        </w:tc>
        <w:tc>
          <w:tcPr>
            <w:tcW w:type="dxa" w:w="901"/>
            <w:tcMar>
              <w:top w:w="50" w:type="dxa"/>
              <w:bottom w:w="50" w:type="dxa"/>
              <w:left w:w="90" w:type="dxa"/>
              <w:right w:w="90" w:type="dxa"/>
            </w:tcMar>
            <w:shd w:val="clear" w:color="auto" w:fill="E5F5FF"/>
          </w:tcPr>
          <w:p>
            <w:pPr>
              <w:pStyle w:val="BDOITable"/>
            </w:pPr>
            <w:r>
              <w:rPr>
                <w:sz w:val="16"/>
              </w:rPr>
              <w:t>8</w:t>
            </w:r>
          </w:p>
        </w:tc>
        <w:tc>
          <w:tcPr>
            <w:tcW w:type="dxa" w:w="1287"/>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643"/>
            <w:tcMar>
              <w:top w:w="50" w:type="dxa"/>
              <w:bottom w:w="50" w:type="dxa"/>
              <w:left w:w="90" w:type="dxa"/>
              <w:right w:w="90" w:type="dxa"/>
            </w:tcMar>
          </w:tcPr>
          <w:p>
            <w:pPr>
              <w:pStyle w:val="BDOITable"/>
            </w:pPr>
            <w:r>
              <w:rPr>
                <w:b/>
                <w:sz w:val="16"/>
              </w:rPr>
              <w:t>BC11</w:t>
            </w:r>
          </w:p>
        </w:tc>
        <w:tc>
          <w:tcPr>
            <w:tcW w:type="dxa" w:w="3217"/>
            <w:tcMar>
              <w:top w:w="50" w:type="dxa"/>
              <w:bottom w:w="50" w:type="dxa"/>
              <w:left w:w="90" w:type="dxa"/>
              <w:right w:w="90" w:type="dxa"/>
            </w:tcMar>
          </w:tcPr>
          <w:p>
            <w:pPr>
              <w:pStyle w:val="BDOITable"/>
            </w:pPr>
            <w:r>
              <w:rPr>
                <w:sz w:val="16"/>
              </w:rPr>
              <w:t>Employee benefits</w:t>
            </w:r>
          </w:p>
        </w:tc>
        <w:tc>
          <w:tcPr>
            <w:tcW w:type="dxa" w:w="965"/>
            <w:tcMar>
              <w:top w:w="50" w:type="dxa"/>
              <w:bottom w:w="50" w:type="dxa"/>
              <w:left w:w="90" w:type="dxa"/>
              <w:right w:w="90" w:type="dxa"/>
            </w:tcMar>
          </w:tcPr>
          <w:p>
            <w:pPr>
              <w:pStyle w:val="BDOITable"/>
            </w:pPr>
            <w:r>
              <w:rPr>
                <w:sz w:val="16"/>
              </w:rPr>
              <w:t>BRD-08</w:t>
            </w:r>
          </w:p>
        </w:tc>
        <w:tc>
          <w:tcPr>
            <w:tcW w:type="dxa" w:w="1158"/>
            <w:tcMar>
              <w:top w:w="50" w:type="dxa"/>
              <w:bottom w:w="50" w:type="dxa"/>
              <w:left w:w="90" w:type="dxa"/>
              <w:right w:w="90" w:type="dxa"/>
            </w:tcMar>
          </w:tcPr>
          <w:p>
            <w:pPr>
              <w:pStyle w:val="BDOITable"/>
            </w:pPr>
            <w:r>
              <w:rPr>
                <w:sz w:val="16"/>
              </w:rPr>
              <w:t>91</w:t>
            </w:r>
          </w:p>
        </w:tc>
        <w:tc>
          <w:tcPr>
            <w:tcW w:type="dxa" w:w="901"/>
            <w:tcMar>
              <w:top w:w="50" w:type="dxa"/>
              <w:bottom w:w="50" w:type="dxa"/>
              <w:left w:w="90" w:type="dxa"/>
              <w:right w:w="90" w:type="dxa"/>
            </w:tcMar>
          </w:tcPr>
          <w:p>
            <w:pPr>
              <w:pStyle w:val="BDOITable"/>
            </w:pPr>
            <w:r>
              <w:rPr>
                <w:sz w:val="16"/>
              </w:rPr>
              <w:t>31</w:t>
            </w:r>
          </w:p>
        </w:tc>
        <w:tc>
          <w:tcPr>
            <w:tcW w:type="dxa" w:w="901"/>
            <w:tcMar>
              <w:top w:w="50" w:type="dxa"/>
              <w:bottom w:w="50" w:type="dxa"/>
              <w:left w:w="90" w:type="dxa"/>
              <w:right w:w="90" w:type="dxa"/>
            </w:tcMar>
          </w:tcPr>
          <w:p>
            <w:pPr>
              <w:pStyle w:val="BDOITable"/>
            </w:pPr>
            <w:r>
              <w:rPr>
                <w:sz w:val="16"/>
              </w:rPr>
              <w:t>50</w:t>
            </w:r>
          </w:p>
        </w:tc>
        <w:tc>
          <w:tcPr>
            <w:tcW w:type="dxa" w:w="901"/>
            <w:tcMar>
              <w:top w:w="50" w:type="dxa"/>
              <w:bottom w:w="50" w:type="dxa"/>
              <w:left w:w="90" w:type="dxa"/>
              <w:right w:w="90" w:type="dxa"/>
            </w:tcMar>
          </w:tcPr>
          <w:p>
            <w:pPr>
              <w:pStyle w:val="BDOITable"/>
            </w:pPr>
            <w:r>
              <w:rPr>
                <w:sz w:val="16"/>
              </w:rPr>
              <w:t>8</w:t>
            </w:r>
          </w:p>
        </w:tc>
        <w:tc>
          <w:tcPr>
            <w:tcW w:type="dxa" w:w="1287"/>
            <w:tcMar>
              <w:top w:w="50" w:type="dxa"/>
              <w:bottom w:w="50" w:type="dxa"/>
              <w:left w:w="90" w:type="dxa"/>
              <w:right w:w="90" w:type="dxa"/>
            </w:tcMar>
          </w:tcPr>
          <w:p>
            <w:pPr>
              <w:pStyle w:val="BDOITable"/>
            </w:pPr>
            <w:r>
              <w:rPr>
                <w:sz w:val="16"/>
              </w:rPr>
              <w:t>2</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BC12</w:t>
            </w:r>
          </w:p>
        </w:tc>
        <w:tc>
          <w:tcPr>
            <w:tcW w:type="dxa" w:w="3217"/>
            <w:tcMar>
              <w:top w:w="50" w:type="dxa"/>
              <w:bottom w:w="50" w:type="dxa"/>
              <w:left w:w="90" w:type="dxa"/>
              <w:right w:w="90" w:type="dxa"/>
            </w:tcMar>
            <w:shd w:val="clear" w:color="auto" w:fill="E5F5FF"/>
          </w:tcPr>
          <w:p>
            <w:pPr>
              <w:pStyle w:val="BDOITable"/>
            </w:pPr>
            <w:r>
              <w:rPr>
                <w:sz w:val="16"/>
              </w:rPr>
              <w:t>Customer servicing</w:t>
            </w:r>
          </w:p>
        </w:tc>
        <w:tc>
          <w:tcPr>
            <w:tcW w:type="dxa" w:w="965"/>
            <w:tcMar>
              <w:top w:w="50" w:type="dxa"/>
              <w:bottom w:w="50" w:type="dxa"/>
              <w:left w:w="90" w:type="dxa"/>
              <w:right w:w="90" w:type="dxa"/>
            </w:tcMar>
            <w:shd w:val="clear" w:color="auto" w:fill="E5F5FF"/>
          </w:tcPr>
          <w:p>
            <w:pPr>
              <w:pStyle w:val="BDOITable"/>
            </w:pPr>
            <w:r>
              <w:rPr>
                <w:sz w:val="16"/>
              </w:rPr>
              <w:t>BRD-09</w:t>
            </w:r>
          </w:p>
        </w:tc>
        <w:tc>
          <w:tcPr>
            <w:tcW w:type="dxa" w:w="1158"/>
            <w:tcMar>
              <w:top w:w="50" w:type="dxa"/>
              <w:bottom w:w="50" w:type="dxa"/>
              <w:left w:w="90" w:type="dxa"/>
              <w:right w:w="90" w:type="dxa"/>
            </w:tcMar>
            <w:shd w:val="clear" w:color="auto" w:fill="E5F5FF"/>
          </w:tcPr>
          <w:p>
            <w:pPr>
              <w:pStyle w:val="BDOITable"/>
            </w:pPr>
            <w:r>
              <w:rPr>
                <w:sz w:val="16"/>
              </w:rPr>
              <w:t>18</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901"/>
            <w:tcMar>
              <w:top w:w="50" w:type="dxa"/>
              <w:bottom w:w="50" w:type="dxa"/>
              <w:left w:w="90" w:type="dxa"/>
              <w:right w:w="90" w:type="dxa"/>
            </w:tcMar>
            <w:shd w:val="clear" w:color="auto" w:fill="E5F5FF"/>
          </w:tcPr>
          <w:p>
            <w:pPr>
              <w:pStyle w:val="BDOITable"/>
            </w:pPr>
            <w:r>
              <w:rPr>
                <w:sz w:val="16"/>
              </w:rPr>
              <w:t>0</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BC13</w:t>
            </w:r>
          </w:p>
        </w:tc>
        <w:tc>
          <w:tcPr>
            <w:tcW w:type="dxa" w:w="3217"/>
            <w:tcMar>
              <w:top w:w="50" w:type="dxa"/>
              <w:bottom w:w="50" w:type="dxa"/>
              <w:left w:w="90" w:type="dxa"/>
              <w:right w:w="90" w:type="dxa"/>
            </w:tcMar>
          </w:tcPr>
          <w:p>
            <w:pPr>
              <w:pStyle w:val="BDOITable"/>
            </w:pPr>
            <w:r>
              <w:rPr>
                <w:sz w:val="16"/>
              </w:rPr>
              <w:t>Sanction screening and risk profiling</w:t>
            </w:r>
          </w:p>
        </w:tc>
        <w:tc>
          <w:tcPr>
            <w:tcW w:type="dxa" w:w="965"/>
            <w:tcMar>
              <w:top w:w="50" w:type="dxa"/>
              <w:bottom w:w="50" w:type="dxa"/>
              <w:left w:w="90" w:type="dxa"/>
              <w:right w:w="90" w:type="dxa"/>
            </w:tcMar>
          </w:tcPr>
          <w:p>
            <w:pPr>
              <w:pStyle w:val="BDOITable"/>
            </w:pPr>
            <w:r>
              <w:rPr>
                <w:sz w:val="16"/>
              </w:rPr>
              <w:t>BRD-10</w:t>
            </w:r>
          </w:p>
        </w:tc>
        <w:tc>
          <w:tcPr>
            <w:tcW w:type="dxa" w:w="1158"/>
            <w:tcMar>
              <w:top w:w="50" w:type="dxa"/>
              <w:bottom w:w="50" w:type="dxa"/>
              <w:left w:w="90" w:type="dxa"/>
              <w:right w:w="90" w:type="dxa"/>
            </w:tcMar>
          </w:tcPr>
          <w:p>
            <w:pPr>
              <w:pStyle w:val="BDOITable"/>
            </w:pPr>
            <w:r>
              <w:rPr>
                <w:sz w:val="16"/>
              </w:rPr>
              <w:t>71</w:t>
            </w:r>
          </w:p>
        </w:tc>
        <w:tc>
          <w:tcPr>
            <w:tcW w:type="dxa" w:w="901"/>
            <w:tcMar>
              <w:top w:w="50" w:type="dxa"/>
              <w:bottom w:w="50" w:type="dxa"/>
              <w:left w:w="90" w:type="dxa"/>
              <w:right w:w="90" w:type="dxa"/>
            </w:tcMar>
          </w:tcPr>
          <w:p>
            <w:pPr>
              <w:pStyle w:val="BDOITable"/>
            </w:pPr>
            <w:r>
              <w:rPr>
                <w:sz w:val="16"/>
              </w:rPr>
              <w:t>34</w:t>
            </w:r>
          </w:p>
        </w:tc>
        <w:tc>
          <w:tcPr>
            <w:tcW w:type="dxa" w:w="901"/>
            <w:tcMar>
              <w:top w:w="50" w:type="dxa"/>
              <w:bottom w:w="50" w:type="dxa"/>
              <w:left w:w="90" w:type="dxa"/>
              <w:right w:w="90" w:type="dxa"/>
            </w:tcMar>
          </w:tcPr>
          <w:p>
            <w:pPr>
              <w:pStyle w:val="BDOITable"/>
            </w:pPr>
            <w:r>
              <w:rPr>
                <w:sz w:val="16"/>
              </w:rPr>
              <w:t>32</w:t>
            </w:r>
          </w:p>
        </w:tc>
        <w:tc>
          <w:tcPr>
            <w:tcW w:type="dxa" w:w="901"/>
            <w:tcMar>
              <w:top w:w="50" w:type="dxa"/>
              <w:bottom w:w="50" w:type="dxa"/>
              <w:left w:w="90" w:type="dxa"/>
              <w:right w:w="90" w:type="dxa"/>
            </w:tcMar>
          </w:tcPr>
          <w:p>
            <w:pPr>
              <w:pStyle w:val="BDOITable"/>
            </w:pPr>
            <w:r>
              <w:rPr>
                <w:sz w:val="16"/>
              </w:rPr>
              <w:t>5</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BC14</w:t>
            </w:r>
          </w:p>
        </w:tc>
        <w:tc>
          <w:tcPr>
            <w:tcW w:type="dxa" w:w="3217"/>
            <w:tcMar>
              <w:top w:w="50" w:type="dxa"/>
              <w:bottom w:w="50" w:type="dxa"/>
              <w:left w:w="90" w:type="dxa"/>
              <w:right w:w="90" w:type="dxa"/>
            </w:tcMar>
            <w:shd w:val="clear" w:color="auto" w:fill="E5F5FF"/>
          </w:tcPr>
          <w:p>
            <w:pPr>
              <w:pStyle w:val="BDOITable"/>
            </w:pPr>
            <w:r>
              <w:rPr>
                <w:sz w:val="16"/>
              </w:rPr>
              <w:t>User access and identity</w:t>
            </w:r>
          </w:p>
        </w:tc>
        <w:tc>
          <w:tcPr>
            <w:tcW w:type="dxa" w:w="965"/>
            <w:tcMar>
              <w:top w:w="50" w:type="dxa"/>
              <w:bottom w:w="50" w:type="dxa"/>
              <w:left w:w="90" w:type="dxa"/>
              <w:right w:w="90" w:type="dxa"/>
            </w:tcMar>
            <w:shd w:val="clear" w:color="auto" w:fill="E5F5FF"/>
          </w:tcPr>
          <w:p>
            <w:pPr>
              <w:pStyle w:val="BDOITable"/>
            </w:pPr>
            <w:r>
              <w:rPr>
                <w:sz w:val="16"/>
              </w:rPr>
              <w:t>BRD-11</w:t>
            </w:r>
          </w:p>
        </w:tc>
        <w:tc>
          <w:tcPr>
            <w:tcW w:type="dxa" w:w="1158"/>
            <w:tcMar>
              <w:top w:w="50" w:type="dxa"/>
              <w:bottom w:w="50" w:type="dxa"/>
              <w:left w:w="90" w:type="dxa"/>
              <w:right w:w="90" w:type="dxa"/>
            </w:tcMar>
            <w:shd w:val="clear" w:color="auto" w:fill="E5F5FF"/>
          </w:tcPr>
          <w:p>
            <w:pPr>
              <w:pStyle w:val="BDOITable"/>
            </w:pPr>
            <w:r>
              <w:rPr>
                <w:sz w:val="16"/>
              </w:rPr>
              <w:t>82</w:t>
            </w:r>
          </w:p>
        </w:tc>
        <w:tc>
          <w:tcPr>
            <w:tcW w:type="dxa" w:w="901"/>
            <w:tcMar>
              <w:top w:w="50" w:type="dxa"/>
              <w:bottom w:w="50" w:type="dxa"/>
              <w:left w:w="90" w:type="dxa"/>
              <w:right w:w="90" w:type="dxa"/>
            </w:tcMar>
            <w:shd w:val="clear" w:color="auto" w:fill="E5F5FF"/>
          </w:tcPr>
          <w:p>
            <w:pPr>
              <w:pStyle w:val="BDOITable"/>
            </w:pPr>
            <w:r>
              <w:rPr>
                <w:sz w:val="16"/>
              </w:rPr>
              <w:t>34</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BC15</w:t>
            </w:r>
          </w:p>
        </w:tc>
        <w:tc>
          <w:tcPr>
            <w:tcW w:type="dxa" w:w="3217"/>
            <w:tcMar>
              <w:top w:w="50" w:type="dxa"/>
              <w:bottom w:w="50" w:type="dxa"/>
              <w:left w:w="90" w:type="dxa"/>
              <w:right w:w="90" w:type="dxa"/>
            </w:tcMar>
          </w:tcPr>
          <w:p>
            <w:pPr>
              <w:pStyle w:val="BDOITable"/>
            </w:pPr>
            <w:r>
              <w:rPr>
                <w:sz w:val="16"/>
              </w:rPr>
              <w:t>Data migration</w:t>
            </w:r>
          </w:p>
        </w:tc>
        <w:tc>
          <w:tcPr>
            <w:tcW w:type="dxa" w:w="965"/>
            <w:tcMar>
              <w:top w:w="50" w:type="dxa"/>
              <w:bottom w:w="50" w:type="dxa"/>
              <w:left w:w="90" w:type="dxa"/>
              <w:right w:w="90" w:type="dxa"/>
            </w:tcMar>
          </w:tcPr>
          <w:p>
            <w:pPr>
              <w:pStyle w:val="BDOITable"/>
            </w:pPr>
            <w:r>
              <w:rPr>
                <w:sz w:val="16"/>
              </w:rPr>
              <w:t>BRD-13</w:t>
            </w:r>
          </w:p>
        </w:tc>
        <w:tc>
          <w:tcPr>
            <w:tcW w:type="dxa" w:w="1158"/>
            <w:tcMar>
              <w:top w:w="50" w:type="dxa"/>
              <w:bottom w:w="50" w:type="dxa"/>
              <w:left w:w="90" w:type="dxa"/>
              <w:right w:w="90" w:type="dxa"/>
            </w:tcMar>
          </w:tcPr>
          <w:p>
            <w:pPr>
              <w:pStyle w:val="BDOITable"/>
            </w:pPr>
            <w:r>
              <w:rPr>
                <w:sz w:val="16"/>
              </w:rPr>
              <w:t>105</w:t>
            </w:r>
          </w:p>
        </w:tc>
        <w:tc>
          <w:tcPr>
            <w:tcW w:type="dxa" w:w="901"/>
            <w:tcMar>
              <w:top w:w="50" w:type="dxa"/>
              <w:bottom w:w="50" w:type="dxa"/>
              <w:left w:w="90" w:type="dxa"/>
              <w:right w:w="90" w:type="dxa"/>
            </w:tcMar>
          </w:tcPr>
          <w:p>
            <w:pPr>
              <w:pStyle w:val="BDOITable"/>
            </w:pPr>
            <w:r>
              <w:rPr>
                <w:sz w:val="16"/>
              </w:rPr>
              <w:t>51</w:t>
            </w:r>
          </w:p>
        </w:tc>
        <w:tc>
          <w:tcPr>
            <w:tcW w:type="dxa" w:w="901"/>
            <w:tcMar>
              <w:top w:w="50" w:type="dxa"/>
              <w:bottom w:w="50" w:type="dxa"/>
              <w:left w:w="90" w:type="dxa"/>
              <w:right w:w="90" w:type="dxa"/>
            </w:tcMar>
          </w:tcPr>
          <w:p>
            <w:pPr>
              <w:pStyle w:val="BDOITable"/>
            </w:pPr>
            <w:r>
              <w:rPr>
                <w:sz w:val="16"/>
              </w:rPr>
              <w:t>49</w:t>
            </w:r>
          </w:p>
        </w:tc>
        <w:tc>
          <w:tcPr>
            <w:tcW w:type="dxa" w:w="901"/>
            <w:tcMar>
              <w:top w:w="50" w:type="dxa"/>
              <w:bottom w:w="50" w:type="dxa"/>
              <w:left w:w="90" w:type="dxa"/>
              <w:right w:w="90" w:type="dxa"/>
            </w:tcMar>
          </w:tcPr>
          <w:p>
            <w:pPr>
              <w:pStyle w:val="BDOITable"/>
            </w:pPr>
            <w:r>
              <w:rPr>
                <w:sz w:val="16"/>
              </w:rPr>
              <w:t>4</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BC16</w:t>
            </w:r>
          </w:p>
        </w:tc>
        <w:tc>
          <w:tcPr>
            <w:tcW w:type="dxa" w:w="3217"/>
            <w:tcMar>
              <w:top w:w="50" w:type="dxa"/>
              <w:bottom w:w="50" w:type="dxa"/>
              <w:left w:w="90" w:type="dxa"/>
              <w:right w:w="90" w:type="dxa"/>
            </w:tcMar>
            <w:shd w:val="clear" w:color="auto" w:fill="E5F5FF"/>
          </w:tcPr>
          <w:p>
            <w:pPr>
              <w:pStyle w:val="BDOITable"/>
            </w:pPr>
            <w:r>
              <w:rPr>
                <w:sz w:val="16"/>
              </w:rPr>
              <w:t>Platform services</w:t>
            </w:r>
          </w:p>
        </w:tc>
        <w:tc>
          <w:tcPr>
            <w:tcW w:type="dxa" w:w="965"/>
            <w:tcMar>
              <w:top w:w="50" w:type="dxa"/>
              <w:bottom w:w="50" w:type="dxa"/>
              <w:left w:w="90" w:type="dxa"/>
              <w:right w:w="90" w:type="dxa"/>
            </w:tcMar>
            <w:shd w:val="clear" w:color="auto" w:fill="E5F5FF"/>
          </w:tcPr>
          <w:p>
            <w:pPr>
              <w:pStyle w:val="BDOITable"/>
            </w:pPr>
            <w:r>
              <w:rPr>
                <w:sz w:val="16"/>
              </w:rPr>
              <w:t>BRD-00</w:t>
            </w:r>
          </w:p>
        </w:tc>
        <w:tc>
          <w:tcPr>
            <w:tcW w:type="dxa" w:w="1158"/>
            <w:tcMar>
              <w:top w:w="50" w:type="dxa"/>
              <w:bottom w:w="50" w:type="dxa"/>
              <w:left w:w="90" w:type="dxa"/>
              <w:right w:w="90" w:type="dxa"/>
            </w:tcMar>
            <w:shd w:val="clear" w:color="auto" w:fill="E5F5FF"/>
          </w:tcPr>
          <w:p>
            <w:pPr>
              <w:pStyle w:val="BDOITable"/>
            </w:pPr>
            <w:r>
              <w:rPr>
                <w:sz w:val="16"/>
              </w:rPr>
              <w:t>129</w:t>
            </w:r>
          </w:p>
        </w:tc>
        <w:tc>
          <w:tcPr>
            <w:tcW w:type="dxa" w:w="901"/>
            <w:tcMar>
              <w:top w:w="50" w:type="dxa"/>
              <w:bottom w:w="50" w:type="dxa"/>
              <w:left w:w="90" w:type="dxa"/>
              <w:right w:w="90" w:type="dxa"/>
            </w:tcMar>
            <w:shd w:val="clear" w:color="auto" w:fill="E5F5FF"/>
          </w:tcPr>
          <w:p>
            <w:pPr>
              <w:pStyle w:val="BDOITable"/>
            </w:pPr>
            <w:r>
              <w:rPr>
                <w:sz w:val="16"/>
              </w:rPr>
              <w:t>72</w:t>
            </w:r>
          </w:p>
        </w:tc>
        <w:tc>
          <w:tcPr>
            <w:tcW w:type="dxa" w:w="901"/>
            <w:tcMar>
              <w:top w:w="50" w:type="dxa"/>
              <w:bottom w:w="50" w:type="dxa"/>
              <w:left w:w="90" w:type="dxa"/>
              <w:right w:w="90" w:type="dxa"/>
            </w:tcMar>
            <w:shd w:val="clear" w:color="auto" w:fill="E5F5FF"/>
          </w:tcPr>
          <w:p>
            <w:pPr>
              <w:pStyle w:val="BDOITable"/>
            </w:pPr>
            <w:r>
              <w:rPr>
                <w:sz w:val="16"/>
              </w:rPr>
              <w:t>46</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28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643"/>
            <w:tcMar>
              <w:top w:w="50" w:type="dxa"/>
              <w:bottom w:w="50" w:type="dxa"/>
              <w:left w:w="90" w:type="dxa"/>
              <w:right w:w="90" w:type="dxa"/>
            </w:tcMar>
          </w:tcPr>
          <w:p>
            <w:pPr>
              <w:pStyle w:val="BDOITable"/>
            </w:pPr>
            <w:r>
              <w:rPr>
                <w:b/>
                <w:sz w:val="16"/>
              </w:rPr>
              <w:t>BC17</w:t>
            </w:r>
          </w:p>
        </w:tc>
        <w:tc>
          <w:tcPr>
            <w:tcW w:type="dxa" w:w="3217"/>
            <w:tcMar>
              <w:top w:w="50" w:type="dxa"/>
              <w:bottom w:w="50" w:type="dxa"/>
              <w:left w:w="90" w:type="dxa"/>
              <w:right w:w="90" w:type="dxa"/>
            </w:tcMar>
          </w:tcPr>
          <w:p>
            <w:pPr>
              <w:pStyle w:val="BDOITable"/>
            </w:pPr>
            <w:r>
              <w:rPr>
                <w:sz w:val="16"/>
              </w:rPr>
              <w:t>Integration and shared state</w:t>
            </w:r>
          </w:p>
        </w:tc>
        <w:tc>
          <w:tcPr>
            <w:tcW w:type="dxa" w:w="965"/>
            <w:tcMar>
              <w:top w:w="50" w:type="dxa"/>
              <w:bottom w:w="50" w:type="dxa"/>
              <w:left w:w="90" w:type="dxa"/>
              <w:right w:w="90" w:type="dxa"/>
            </w:tcMar>
          </w:tcPr>
          <w:p>
            <w:pPr>
              <w:pStyle w:val="BDOITable"/>
            </w:pPr>
            <w:r>
              <w:rPr>
                <w:sz w:val="16"/>
              </w:rPr>
              <w:t>BRD-00</w:t>
            </w:r>
          </w:p>
        </w:tc>
        <w:tc>
          <w:tcPr>
            <w:tcW w:type="dxa" w:w="1158"/>
            <w:tcMar>
              <w:top w:w="50" w:type="dxa"/>
              <w:bottom w:w="50" w:type="dxa"/>
              <w:left w:w="90" w:type="dxa"/>
              <w:right w:w="90" w:type="dxa"/>
            </w:tcMar>
          </w:tcPr>
          <w:p>
            <w:pPr>
              <w:pStyle w:val="BDOITable"/>
            </w:pPr>
            <w:r>
              <w:rPr>
                <w:sz w:val="16"/>
              </w:rPr>
              <w:t>11</w:t>
            </w:r>
          </w:p>
        </w:tc>
        <w:tc>
          <w:tcPr>
            <w:tcW w:type="dxa" w:w="901"/>
            <w:tcMar>
              <w:top w:w="50" w:type="dxa"/>
              <w:bottom w:w="50" w:type="dxa"/>
              <w:left w:w="90" w:type="dxa"/>
              <w:right w:w="90" w:type="dxa"/>
            </w:tcMar>
          </w:tcPr>
          <w:p>
            <w:pPr>
              <w:pStyle w:val="BDOITable"/>
            </w:pPr>
            <w:r>
              <w:rPr>
                <w:sz w:val="16"/>
              </w:rPr>
              <w:t>6</w:t>
            </w:r>
          </w:p>
        </w:tc>
        <w:tc>
          <w:tcPr>
            <w:tcW w:type="dxa" w:w="901"/>
            <w:tcMar>
              <w:top w:w="50" w:type="dxa"/>
              <w:bottom w:w="50" w:type="dxa"/>
              <w:left w:w="90" w:type="dxa"/>
              <w:right w:w="90" w:type="dxa"/>
            </w:tcMar>
          </w:tcPr>
          <w:p>
            <w:pPr>
              <w:pStyle w:val="BDOITable"/>
            </w:pPr>
            <w:r>
              <w:rPr>
                <w:sz w:val="16"/>
              </w:rPr>
              <w:t>5</w:t>
            </w:r>
          </w:p>
        </w:tc>
        <w:tc>
          <w:tcPr>
            <w:tcW w:type="dxa" w:w="901"/>
            <w:tcMar>
              <w:top w:w="50" w:type="dxa"/>
              <w:bottom w:w="50" w:type="dxa"/>
              <w:left w:w="90" w:type="dxa"/>
              <w:right w:w="90" w:type="dxa"/>
            </w:tcMar>
          </w:tcPr>
          <w:p>
            <w:pPr>
              <w:pStyle w:val="BDOITable"/>
            </w:pPr>
            <w:r>
              <w:rPr>
                <w:sz w:val="16"/>
              </w:rPr>
              <w:t>0</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w:t>
            </w:r>
          </w:p>
        </w:tc>
        <w:tc>
          <w:tcPr>
            <w:tcW w:type="dxa" w:w="3217"/>
            <w:tcMar>
              <w:top w:w="50" w:type="dxa"/>
              <w:bottom w:w="50" w:type="dxa"/>
              <w:left w:w="90" w:type="dxa"/>
              <w:right w:w="90" w:type="dxa"/>
            </w:tcMar>
            <w:shd w:val="clear" w:color="auto" w:fill="E5F5FF"/>
          </w:tcPr>
          <w:p>
            <w:pPr>
              <w:pStyle w:val="BDOITable"/>
            </w:pPr>
            <w:r>
              <w:rPr>
                <w:sz w:val="16"/>
              </w:rPr>
              <w:t>Total</w:t>
            </w:r>
          </w:p>
        </w:tc>
        <w:tc>
          <w:tcPr>
            <w:tcW w:type="dxa" w:w="965"/>
            <w:tcMar>
              <w:top w:w="50" w:type="dxa"/>
              <w:bottom w:w="50" w:type="dxa"/>
              <w:left w:w="90" w:type="dxa"/>
              <w:right w:w="90" w:type="dxa"/>
            </w:tcMar>
            <w:shd w:val="clear" w:color="auto" w:fill="E5F5FF"/>
          </w:tcPr>
          <w:p>
            <w:pPr>
              <w:pStyle w:val="BDOITable"/>
            </w:pPr>
            <w:r>
              <w:rPr>
                <w:sz w:val="16"/>
              </w:rPr>
              <w:t>-</w:t>
            </w:r>
          </w:p>
        </w:tc>
        <w:tc>
          <w:tcPr>
            <w:tcW w:type="dxa" w:w="1158"/>
            <w:tcMar>
              <w:top w:w="50" w:type="dxa"/>
              <w:bottom w:w="50" w:type="dxa"/>
              <w:left w:w="90" w:type="dxa"/>
              <w:right w:w="90" w:type="dxa"/>
            </w:tcMar>
            <w:shd w:val="clear" w:color="auto" w:fill="E5F5FF"/>
          </w:tcPr>
          <w:p>
            <w:pPr>
              <w:pStyle w:val="BDOITable"/>
            </w:pPr>
            <w:r>
              <w:rPr>
                <w:sz w:val="16"/>
              </w:rPr>
              <w:t>1832</w:t>
            </w:r>
          </w:p>
        </w:tc>
        <w:tc>
          <w:tcPr>
            <w:tcW w:type="dxa" w:w="901"/>
            <w:tcMar>
              <w:top w:w="50" w:type="dxa"/>
              <w:bottom w:w="50" w:type="dxa"/>
              <w:left w:w="90" w:type="dxa"/>
              <w:right w:w="90" w:type="dxa"/>
            </w:tcMar>
            <w:shd w:val="clear" w:color="auto" w:fill="E5F5FF"/>
          </w:tcPr>
          <w:p>
            <w:pPr>
              <w:pStyle w:val="BDOITable"/>
            </w:pPr>
            <w:r>
              <w:rPr>
                <w:sz w:val="16"/>
              </w:rPr>
              <w:t>805</w:t>
            </w:r>
          </w:p>
        </w:tc>
        <w:tc>
          <w:tcPr>
            <w:tcW w:type="dxa" w:w="901"/>
            <w:tcMar>
              <w:top w:w="50" w:type="dxa"/>
              <w:bottom w:w="50" w:type="dxa"/>
              <w:left w:w="90" w:type="dxa"/>
              <w:right w:w="90" w:type="dxa"/>
            </w:tcMar>
            <w:shd w:val="clear" w:color="auto" w:fill="E5F5FF"/>
          </w:tcPr>
          <w:p>
            <w:pPr>
              <w:pStyle w:val="BDOITable"/>
            </w:pPr>
            <w:r>
              <w:rPr>
                <w:sz w:val="16"/>
              </w:rPr>
              <w:t>875</w:t>
            </w:r>
          </w:p>
        </w:tc>
        <w:tc>
          <w:tcPr>
            <w:tcW w:type="dxa" w:w="901"/>
            <w:tcMar>
              <w:top w:w="50" w:type="dxa"/>
              <w:bottom w:w="50" w:type="dxa"/>
              <w:left w:w="90" w:type="dxa"/>
              <w:right w:w="90" w:type="dxa"/>
            </w:tcMar>
            <w:shd w:val="clear" w:color="auto" w:fill="E5F5FF"/>
          </w:tcPr>
          <w:p>
            <w:pPr>
              <w:pStyle w:val="BDOITable"/>
            </w:pPr>
            <w:r>
              <w:rPr>
                <w:sz w:val="16"/>
              </w:rPr>
              <w:t>140</w:t>
            </w:r>
          </w:p>
        </w:tc>
        <w:tc>
          <w:tcPr>
            <w:tcW w:type="dxa" w:w="1287"/>
            <w:tcMar>
              <w:top w:w="50" w:type="dxa"/>
              <w:bottom w:w="50" w:type="dxa"/>
              <w:left w:w="90" w:type="dxa"/>
              <w:right w:w="90" w:type="dxa"/>
            </w:tcMar>
            <w:shd w:val="clear" w:color="auto" w:fill="E5F5FF"/>
          </w:tcPr>
          <w:p>
            <w:pPr>
              <w:pStyle w:val="BDOITable"/>
            </w:pPr>
            <w:r>
              <w:rPr>
                <w:sz w:val="16"/>
              </w:rPr>
              <w:t>12</w:t>
            </w:r>
          </w:p>
        </w:tc>
      </w:tr>
    </w:tbl>
    <w:p>
      <w:pPr>
        <w:pStyle w:val="BDOISpacer"/>
      </w:pPr>
    </w:p>
    <w:p>
      <w:pPr>
        <w:pStyle w:val="Heading1"/>
        <w:pBdr>
          <w:bottom w:val="single" w:sz="4" w:space="4" w:color="99C1E7"/>
        </w:pBdr>
      </w:pPr>
      <w:bookmarkStart w:id="119" w:name="_Toc000119"/>
      <w:r>
        <w:rPr/>
        <w:t>5 Clean and hexagonal architecture as applied</w:t>
      </w:r>
      <w:bookmarkEnd w:id="119"/>
    </w:p>
    <w:p>
      <w:pPr>
        <w:pStyle w:val="Heading2"/>
      </w:pPr>
      <w:bookmarkStart w:id="120" w:name="_Toc000120"/>
      <w:r>
        <w:rPr/>
        <w:t>5.1 Layers inside a module</w:t>
      </w:r>
      <w:bookmarkEnd w:id="120"/>
    </w:p>
    <w:p>
      <w:r>
        <w:rPr/>
        <w:t>Every module has the same inner layout. Dependencies point inward: the domain depends on nothing above it; services depend on the domain; the REST controllers depend on the services.</w:t>
      </w:r>
    </w:p>
    <w:p>
      <w:pPr>
        <w:pStyle w:val="Caption"/>
        <w:keepNext/>
        <w:spacing w:after="60"/>
      </w:pPr>
      <w:r>
        <w:rPr>
          <w:b/>
          <w:i w:val="0"/>
        </w:rPr>
        <w:t xml:space="preserve">Table 11: </w:t>
      </w:r>
      <w:r>
        <w:rPr/>
        <w:t>Layers of a module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4306"/>
        <w:gridCol w:w="4306"/>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7"/>
              </w:rPr>
              <w:t>Layer</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7"/>
              </w:rPr>
              <w:t>Contains</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7"/>
              </w:rPr>
              <w:t>Rules</w:t>
            </w:r>
          </w:p>
        </w:tc>
      </w:tr>
      <w:tr>
        <w:trPr>
          <w:cantSplit w:val="true"/>
        </w:trPr>
        <w:tc>
          <w:tcPr>
            <w:tcW w:type="dxa" w:w="1360"/>
            <w:tcMar>
              <w:top w:w="50" w:type="dxa"/>
              <w:bottom w:w="50" w:type="dxa"/>
              <w:left w:w="90" w:type="dxa"/>
              <w:right w:w="90" w:type="dxa"/>
            </w:tcMar>
          </w:tcPr>
          <w:p>
            <w:pPr>
              <w:pStyle w:val="BDOITable"/>
            </w:pPr>
            <w:r>
              <w:rPr>
                <w:b/>
                <w:sz w:val="17"/>
              </w:rPr>
              <w:t>api</w:t>
            </w:r>
          </w:p>
        </w:tc>
        <w:tc>
          <w:tcPr>
            <w:tcW w:type="dxa" w:w="4306"/>
            <w:tcMar>
              <w:top w:w="50" w:type="dxa"/>
              <w:bottom w:w="50" w:type="dxa"/>
              <w:left w:w="90" w:type="dxa"/>
              <w:right w:w="90" w:type="dxa"/>
            </w:tcMar>
          </w:tcPr>
          <w:p>
            <w:pPr>
              <w:pStyle w:val="BDOITable"/>
            </w:pPr>
            <w:r>
              <w:rPr>
                <w:sz w:val="17"/>
              </w:rPr>
              <w:t>REST controllers and the request and response records (Java records with bean validation)</w:t>
            </w:r>
          </w:p>
        </w:tc>
        <w:tc>
          <w:tcPr>
            <w:tcW w:type="dxa" w:w="4306"/>
            <w:tcMar>
              <w:top w:w="50" w:type="dxa"/>
              <w:bottom w:w="50" w:type="dxa"/>
              <w:left w:w="90" w:type="dxa"/>
              <w:right w:w="90" w:type="dxa"/>
            </w:tcMar>
          </w:tcPr>
          <w:p>
            <w:pPr>
              <w:pStyle w:val="BDOITable"/>
            </w:pPr>
            <w:r>
              <w:rPr>
                <w:sz w:val="17"/>
              </w:rPr>
              <w:t>Every operation names its permission; controllers return records, never persistent entities; no business logic</w:t>
            </w:r>
          </w:p>
        </w:tc>
      </w:tr>
      <w:tr>
        <w:trPr>
          <w:cantSplit w:val="true"/>
        </w:trPr>
        <w:tc>
          <w:tcPr>
            <w:tcW w:type="dxa" w:w="1360"/>
            <w:tcMar>
              <w:top w:w="50" w:type="dxa"/>
              <w:bottom w:w="50" w:type="dxa"/>
              <w:left w:w="90" w:type="dxa"/>
              <w:right w:w="90" w:type="dxa"/>
            </w:tcMar>
            <w:shd w:val="clear" w:color="auto" w:fill="E5F5FF"/>
          </w:tcPr>
          <w:p>
            <w:pPr>
              <w:pStyle w:val="BDOITable"/>
            </w:pPr>
            <w:r>
              <w:rPr>
                <w:b/>
                <w:sz w:val="17"/>
              </w:rPr>
              <w:t>service</w:t>
            </w:r>
          </w:p>
        </w:tc>
        <w:tc>
          <w:tcPr>
            <w:tcW w:type="dxa" w:w="4306"/>
            <w:tcMar>
              <w:top w:w="50" w:type="dxa"/>
              <w:bottom w:w="50" w:type="dxa"/>
              <w:left w:w="90" w:type="dxa"/>
              <w:right w:w="90" w:type="dxa"/>
            </w:tcMar>
            <w:shd w:val="clear" w:color="auto" w:fill="E5F5FF"/>
          </w:tcPr>
          <w:p>
            <w:pPr>
              <w:pStyle w:val="BDOITable"/>
            </w:pPr>
            <w:r>
              <w:rPr>
                <w:sz w:val="17"/>
              </w:rPr>
              <w:t>Transactional use cases, business rules, ports (interfaces) that other modules or external systems implement</w:t>
            </w:r>
          </w:p>
        </w:tc>
        <w:tc>
          <w:tcPr>
            <w:tcW w:type="dxa" w:w="4306"/>
            <w:tcMar>
              <w:top w:w="50" w:type="dxa"/>
              <w:bottom w:w="50" w:type="dxa"/>
              <w:left w:w="90" w:type="dxa"/>
              <w:right w:w="90" w:type="dxa"/>
            </w:tcMar>
            <w:shd w:val="clear" w:color="auto" w:fill="E5F5FF"/>
          </w:tcPr>
          <w:p>
            <w:pPr>
              <w:pStyle w:val="BDOITable"/>
            </w:pPr>
            <w:r>
              <w:rPr>
                <w:sz w:val="17"/>
              </w:rPr>
              <w:t>Services never depend on controllers; background work is a managed job with a run history and a failure alert</w:t>
            </w:r>
          </w:p>
        </w:tc>
      </w:tr>
      <w:tr>
        <w:trPr>
          <w:cantSplit w:val="true"/>
        </w:trPr>
        <w:tc>
          <w:tcPr>
            <w:tcW w:type="dxa" w:w="1360"/>
            <w:tcMar>
              <w:top w:w="50" w:type="dxa"/>
              <w:bottom w:w="50" w:type="dxa"/>
              <w:left w:w="90" w:type="dxa"/>
              <w:right w:w="90" w:type="dxa"/>
            </w:tcMar>
          </w:tcPr>
          <w:p>
            <w:pPr>
              <w:pStyle w:val="BDOITable"/>
            </w:pPr>
            <w:r>
              <w:rPr>
                <w:b/>
                <w:sz w:val="17"/>
              </w:rPr>
              <w:t>domain</w:t>
            </w:r>
          </w:p>
        </w:tc>
        <w:tc>
          <w:tcPr>
            <w:tcW w:type="dxa" w:w="4306"/>
            <w:tcMar>
              <w:top w:w="50" w:type="dxa"/>
              <w:bottom w:w="50" w:type="dxa"/>
              <w:left w:w="90" w:type="dxa"/>
              <w:right w:w="90" w:type="dxa"/>
            </w:tcMar>
          </w:tcPr>
          <w:p>
            <w:pPr>
              <w:pStyle w:val="BDOITable"/>
            </w:pPr>
            <w:r>
              <w:rPr>
                <w:sz w:val="17"/>
              </w:rPr>
              <w:t>Entities that enforce their invariants, value records, enumerations, repositories</w:t>
            </w:r>
          </w:p>
        </w:tc>
        <w:tc>
          <w:tcPr>
            <w:tcW w:type="dxa" w:w="4306"/>
            <w:tcMar>
              <w:top w:w="50" w:type="dxa"/>
              <w:bottom w:w="50" w:type="dxa"/>
              <w:left w:w="90" w:type="dxa"/>
              <w:right w:w="90" w:type="dxa"/>
            </w:tcMar>
          </w:tcPr>
          <w:p>
            <w:pPr>
              <w:pStyle w:val="BDOITable"/>
            </w:pPr>
            <w:r>
              <w:rPr>
                <w:sz w:val="17"/>
              </w:rPr>
              <w:t>Never depends on service or api; money as BigDecimal with scale 2; maker-checker masters authorize through the entity</w:t>
            </w:r>
          </w:p>
        </w:tc>
      </w:tr>
    </w:tbl>
    <w:p>
      <w:pPr>
        <w:pStyle w:val="BDOISpacer"/>
      </w:pPr>
    </w:p>
    <w:p>
      <w:pPr>
        <w:keepNext/>
        <w:spacing w:before="80" w:after="0"/>
        <w:jc w:val="center"/>
      </w:pPr>
      <w:r>
        <w:drawing>
          <wp:inline xmlns:a="http://schemas.openxmlformats.org/drawingml/2006/main" xmlns:pic="http://schemas.openxmlformats.org/drawingml/2006/picture">
            <wp:extent cx="5400000" cy="3267996"/>
            <wp:docPr id="5" name="Picture 5"/>
            <wp:cNvGraphicFramePr>
              <a:graphicFrameLocks noChangeAspect="1"/>
            </wp:cNvGraphicFramePr>
            <a:graphic>
              <a:graphicData uri="http://schemas.openxmlformats.org/drawingml/2006/picture">
                <pic:pic>
                  <pic:nvPicPr>
                    <pic:cNvPr id="0" name="sa_hexagonal_1003.jpg"/>
                    <pic:cNvPicPr/>
                  </pic:nvPicPr>
                  <pic:blipFill>
                    <a:blip r:embed="rId17"/>
                    <a:stretch>
                      <a:fillRect/>
                    </a:stretch>
                  </pic:blipFill>
                  <pic:spPr>
                    <a:xfrm>
                      <a:off x="0" y="0"/>
                      <a:ext cx="5400000" cy="3267996"/>
                    </a:xfrm>
                    <a:prstGeom prst="rect"/>
                  </pic:spPr>
                </pic:pic>
              </a:graphicData>
            </a:graphic>
          </wp:inline>
        </w:drawing>
      </w:r>
    </w:p>
    <w:p>
      <w:pPr>
        <w:pStyle w:val="Caption"/>
        <w:jc w:val="center"/>
      </w:pPr>
      <w:r>
        <w:rPr>
          <w:b/>
          <w:i w:val="0"/>
        </w:rPr>
        <w:t xml:space="preserve">Figure 3: </w:t>
      </w:r>
      <w:r>
        <w:rPr/>
        <w:t>Inside a module: ports and connectors</w:t>
      </w:r>
    </w:p>
    <w:p>
      <w:pPr>
        <w:pStyle w:val="Heading2"/>
      </w:pPr>
      <w:bookmarkStart w:id="121" w:name="_Toc000121"/>
      <w:r>
        <w:rPr/>
        <w:t>5.2 Rules checked at every compile</w:t>
      </w:r>
      <w:bookmarkEnd w:id="121"/>
    </w:p>
    <w:p>
      <w:r>
        <w:rPr/>
        <w:t>The architecture rules are executable: the pipeline fails when one is broken (ArchUnit, run with every compile and test cycle).</w:t>
      </w:r>
    </w:p>
    <w:p>
      <w:pPr>
        <w:pStyle w:val="Caption"/>
        <w:keepNext/>
        <w:spacing w:after="60"/>
      </w:pPr>
      <w:r>
        <w:rPr>
          <w:b/>
          <w:i w:val="0"/>
        </w:rPr>
        <w:t xml:space="preserve">Table 12: </w:t>
      </w:r>
      <w:r>
        <w:rPr/>
        <w:t>Architecture rules enforced at every compile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7"/>
              </w:rPr>
              <w:t>Why</w:t>
            </w:r>
          </w:p>
        </w:tc>
      </w:tr>
      <w:tr>
        <w:trPr>
          <w:cantSplit w:val="true"/>
        </w:trPr>
        <w:tc>
          <w:tcPr>
            <w:tcW w:type="dxa" w:w="3400"/>
            <w:tcMar>
              <w:top w:w="50" w:type="dxa"/>
              <w:bottom w:w="50" w:type="dxa"/>
              <w:left w:w="90" w:type="dxa"/>
              <w:right w:w="90" w:type="dxa"/>
            </w:tcMar>
          </w:tcPr>
          <w:p>
            <w:pPr>
              <w:pStyle w:val="BDOITable"/>
            </w:pPr>
            <w:r>
              <w:rPr>
                <w:b/>
                <w:sz w:val="17"/>
              </w:rPr>
              <w:t>No dependency cycles between modules</w:t>
            </w:r>
          </w:p>
        </w:tc>
        <w:tc>
          <w:tcPr>
            <w:tcW w:type="dxa" w:w="6572"/>
            <w:tcMar>
              <w:top w:w="50" w:type="dxa"/>
              <w:bottom w:w="50" w:type="dxa"/>
              <w:left w:w="90" w:type="dxa"/>
              <w:right w:w="90" w:type="dxa"/>
            </w:tcMar>
          </w:tcPr>
          <w:p>
            <w:pPr>
              <w:pStyle w:val="BDOITable"/>
            </w:pPr>
            <w:r>
              <w:rPr>
                <w:sz w:val="17"/>
              </w:rPr>
              <w:t>Each context can be understood, tested and, if ever needed, deployed on its own</w:t>
            </w:r>
          </w:p>
        </w:tc>
      </w:tr>
      <w:tr>
        <w:trPr>
          <w:cantSplit w:val="true"/>
        </w:trPr>
        <w:tc>
          <w:tcPr>
            <w:tcW w:type="dxa" w:w="3400"/>
            <w:tcMar>
              <w:top w:w="50" w:type="dxa"/>
              <w:bottom w:w="50" w:type="dxa"/>
              <w:left w:w="90" w:type="dxa"/>
              <w:right w:w="90" w:type="dxa"/>
            </w:tcMar>
            <w:shd w:val="clear" w:color="auto" w:fill="E5F5FF"/>
          </w:tcPr>
          <w:p>
            <w:pPr>
              <w:pStyle w:val="BDOITable"/>
            </w:pPr>
            <w:r>
              <w:rPr>
                <w:b/>
                <w:sz w:val="17"/>
              </w:rPr>
              <w:t>The domain never depends on service or api</w:t>
            </w:r>
          </w:p>
        </w:tc>
        <w:tc>
          <w:tcPr>
            <w:tcW w:type="dxa" w:w="6572"/>
            <w:tcMar>
              <w:top w:w="50" w:type="dxa"/>
              <w:bottom w:w="50" w:type="dxa"/>
              <w:left w:w="90" w:type="dxa"/>
              <w:right w:w="90" w:type="dxa"/>
            </w:tcMar>
            <w:shd w:val="clear" w:color="auto" w:fill="E5F5FF"/>
          </w:tcPr>
          <w:p>
            <w:pPr>
              <w:pStyle w:val="BDOITable"/>
            </w:pPr>
            <w:r>
              <w:rPr>
                <w:sz w:val="17"/>
              </w:rPr>
              <w:t>Business invariants stay independent of transport and framework edges</w:t>
            </w:r>
          </w:p>
        </w:tc>
      </w:tr>
      <w:tr>
        <w:trPr>
          <w:cantSplit w:val="true"/>
        </w:trPr>
        <w:tc>
          <w:tcPr>
            <w:tcW w:type="dxa" w:w="3400"/>
            <w:tcMar>
              <w:top w:w="50" w:type="dxa"/>
              <w:bottom w:w="50" w:type="dxa"/>
              <w:left w:w="90" w:type="dxa"/>
              <w:right w:w="90" w:type="dxa"/>
            </w:tcMar>
          </w:tcPr>
          <w:p>
            <w:pPr>
              <w:pStyle w:val="BDOITable"/>
            </w:pPr>
            <w:r>
              <w:rPr>
                <w:b/>
                <w:sz w:val="17"/>
              </w:rPr>
              <w:t>Services never depend on controllers; controllers live in api packages</w:t>
            </w:r>
          </w:p>
        </w:tc>
        <w:tc>
          <w:tcPr>
            <w:tcW w:type="dxa" w:w="6572"/>
            <w:tcMar>
              <w:top w:w="50" w:type="dxa"/>
              <w:bottom w:w="50" w:type="dxa"/>
              <w:left w:w="90" w:type="dxa"/>
              <w:right w:w="90" w:type="dxa"/>
            </w:tcMar>
          </w:tcPr>
          <w:p>
            <w:pPr>
              <w:pStyle w:val="BDOITable"/>
            </w:pPr>
            <w:r>
              <w:rPr>
                <w:sz w:val="17"/>
              </w:rPr>
              <w:t>Clear inbound side; one place for permissions and validation</w:t>
            </w:r>
          </w:p>
        </w:tc>
      </w:tr>
      <w:tr>
        <w:trPr>
          <w:cantSplit w:val="true"/>
        </w:trPr>
        <w:tc>
          <w:tcPr>
            <w:tcW w:type="dxa" w:w="3400"/>
            <w:tcMar>
              <w:top w:w="50" w:type="dxa"/>
              <w:bottom w:w="50" w:type="dxa"/>
              <w:left w:w="90" w:type="dxa"/>
              <w:right w:w="90" w:type="dxa"/>
            </w:tcMar>
            <w:shd w:val="clear" w:color="auto" w:fill="E5F5FF"/>
          </w:tcPr>
          <w:p>
            <w:pPr>
              <w:pStyle w:val="BDOITable"/>
            </w:pPr>
            <w:r>
              <w:rPr>
                <w:b/>
                <w:sz w:val="17"/>
              </w:rPr>
              <w:t>Services live in service packages</w:t>
            </w:r>
          </w:p>
        </w:tc>
        <w:tc>
          <w:tcPr>
            <w:tcW w:type="dxa" w:w="6572"/>
            <w:tcMar>
              <w:top w:w="50" w:type="dxa"/>
              <w:bottom w:w="50" w:type="dxa"/>
              <w:left w:w="90" w:type="dxa"/>
              <w:right w:w="90" w:type="dxa"/>
            </w:tcMar>
            <w:shd w:val="clear" w:color="auto" w:fill="E5F5FF"/>
          </w:tcPr>
          <w:p>
            <w:pPr>
              <w:pStyle w:val="BDOITable"/>
            </w:pPr>
            <w:r>
              <w:rPr>
                <w:sz w:val="17"/>
              </w:rPr>
              <w:t>Predictable layout for support teams</w:t>
            </w:r>
          </w:p>
        </w:tc>
      </w:tr>
      <w:tr>
        <w:trPr>
          <w:cantSplit w:val="true"/>
        </w:trPr>
        <w:tc>
          <w:tcPr>
            <w:tcW w:type="dxa" w:w="3400"/>
            <w:tcMar>
              <w:top w:w="50" w:type="dxa"/>
              <w:bottom w:w="50" w:type="dxa"/>
              <w:left w:w="90" w:type="dxa"/>
              <w:right w:w="90" w:type="dxa"/>
            </w:tcMar>
          </w:tcPr>
          <w:p>
            <w:pPr>
              <w:pStyle w:val="BDOITable"/>
            </w:pPr>
            <w:r>
              <w:rPr>
                <w:b/>
                <w:sz w:val="17"/>
              </w:rPr>
              <w:t>No scheduled methods; background work is a managed job</w:t>
            </w:r>
          </w:p>
        </w:tc>
        <w:tc>
          <w:tcPr>
            <w:tcW w:type="dxa" w:w="6572"/>
            <w:tcMar>
              <w:top w:w="50" w:type="dxa"/>
              <w:bottom w:w="50" w:type="dxa"/>
              <w:left w:w="90" w:type="dxa"/>
              <w:right w:w="90" w:type="dxa"/>
            </w:tcMar>
          </w:tcPr>
          <w:p>
            <w:pPr>
              <w:pStyle w:val="BDOITable"/>
            </w:pPr>
            <w:r>
              <w:rPr>
                <w:sz w:val="17"/>
              </w:rPr>
              <w:t>Every job is visible in the Scheduled Jobs monitor with history and a failure alert, and runs once in the cluster</w:t>
            </w:r>
          </w:p>
        </w:tc>
      </w:tr>
      <w:tr>
        <w:trPr>
          <w:cantSplit w:val="true"/>
        </w:trPr>
        <w:tc>
          <w:tcPr>
            <w:tcW w:type="dxa" w:w="3400"/>
            <w:tcMar>
              <w:top w:w="50" w:type="dxa"/>
              <w:bottom w:w="50" w:type="dxa"/>
              <w:left w:w="90" w:type="dxa"/>
              <w:right w:w="90" w:type="dxa"/>
            </w:tcMar>
            <w:shd w:val="clear" w:color="auto" w:fill="E5F5FF"/>
          </w:tcPr>
          <w:p>
            <w:pPr>
              <w:pStyle w:val="BDOITable"/>
            </w:pPr>
            <w:r>
              <w:rPr>
                <w:b/>
                <w:sz w:val="17"/>
              </w:rPr>
              <w:t>Business dates come from the business clock (Asia/Manila by configuration); the clock is injected; no time-zone constants</w:t>
            </w:r>
          </w:p>
        </w:tc>
        <w:tc>
          <w:tcPr>
            <w:tcW w:type="dxa" w:w="6572"/>
            <w:tcMar>
              <w:top w:w="50" w:type="dxa"/>
              <w:bottom w:w="50" w:type="dxa"/>
              <w:left w:w="90" w:type="dxa"/>
              <w:right w:w="90" w:type="dxa"/>
            </w:tcMar>
            <w:shd w:val="clear" w:color="auto" w:fill="E5F5FF"/>
          </w:tcPr>
          <w:p>
            <w:pPr>
              <w:pStyle w:val="BDOITable"/>
            </w:pPr>
            <w:r>
              <w:rPr>
                <w:sz w:val="17"/>
              </w:rPr>
              <w:t>"Today", cut-offs and periods follow the business zone; time can be fixed in tests</w:t>
            </w:r>
          </w:p>
        </w:tc>
      </w:tr>
      <w:tr>
        <w:trPr>
          <w:cantSplit w:val="true"/>
        </w:trPr>
        <w:tc>
          <w:tcPr>
            <w:tcW w:type="dxa" w:w="3400"/>
            <w:tcMar>
              <w:top w:w="50" w:type="dxa"/>
              <w:bottom w:w="50" w:type="dxa"/>
              <w:left w:w="90" w:type="dxa"/>
              <w:right w:w="90" w:type="dxa"/>
            </w:tcMar>
          </w:tcPr>
          <w:p>
            <w:pPr>
              <w:pStyle w:val="BDOITable"/>
            </w:pPr>
            <w:r>
              <w:rPr>
                <w:b/>
                <w:sz w:val="17"/>
              </w:rPr>
              <w:t>Seed data only in seed packages with the seed profile</w:t>
            </w:r>
          </w:p>
        </w:tc>
        <w:tc>
          <w:tcPr>
            <w:tcW w:type="dxa" w:w="6572"/>
            <w:tcMar>
              <w:top w:w="50" w:type="dxa"/>
              <w:bottom w:w="50" w:type="dxa"/>
              <w:left w:w="90" w:type="dxa"/>
              <w:right w:w="90" w:type="dxa"/>
            </w:tcMar>
          </w:tcPr>
          <w:p>
            <w:pPr>
              <w:pStyle w:val="BDOITable"/>
            </w:pPr>
            <w:r>
              <w:rPr>
                <w:sz w:val="17"/>
              </w:rPr>
              <w:t>SIT and UAT seed data can never load in production</w:t>
            </w:r>
          </w:p>
        </w:tc>
      </w:tr>
      <w:tr>
        <w:trPr>
          <w:cantSplit w:val="true"/>
        </w:trPr>
        <w:tc>
          <w:tcPr>
            <w:tcW w:type="dxa" w:w="3400"/>
            <w:tcMar>
              <w:top w:w="50" w:type="dxa"/>
              <w:bottom w:w="50" w:type="dxa"/>
              <w:left w:w="90" w:type="dxa"/>
              <w:right w:w="90" w:type="dxa"/>
            </w:tcMar>
            <w:shd w:val="clear" w:color="auto" w:fill="E5F5FF"/>
          </w:tcPr>
          <w:p>
            <w:pPr>
              <w:pStyle w:val="BDOITable"/>
            </w:pPr>
            <w:r>
              <w:rPr>
                <w:b/>
                <w:sz w:val="17"/>
              </w:rPr>
              <w:t>Every controller operation that takes a company is checked against the data scope</w:t>
            </w:r>
          </w:p>
        </w:tc>
        <w:tc>
          <w:tcPr>
            <w:tcW w:type="dxa" w:w="6572"/>
            <w:tcMar>
              <w:top w:w="50" w:type="dxa"/>
              <w:bottom w:w="50" w:type="dxa"/>
              <w:left w:w="90" w:type="dxa"/>
              <w:right w:w="90" w:type="dxa"/>
            </w:tcMar>
            <w:shd w:val="clear" w:color="auto" w:fill="E5F5FF"/>
          </w:tcPr>
          <w:p>
            <w:pPr>
              <w:pStyle w:val="BDOITable"/>
            </w:pPr>
            <w:r>
              <w:rPr>
                <w:sz w:val="17"/>
              </w:rPr>
              <w:t>No operation can bypass the company and branch check (ADR-08)</w:t>
            </w:r>
          </w:p>
        </w:tc>
      </w:tr>
      <w:tr>
        <w:trPr>
          <w:cantSplit w:val="true"/>
        </w:trPr>
        <w:tc>
          <w:tcPr>
            <w:tcW w:type="dxa" w:w="3400"/>
            <w:tcMar>
              <w:top w:w="50" w:type="dxa"/>
              <w:bottom w:w="50" w:type="dxa"/>
              <w:left w:w="90" w:type="dxa"/>
              <w:right w:w="90" w:type="dxa"/>
            </w:tcMar>
          </w:tcPr>
          <w:p>
            <w:pPr>
              <w:pStyle w:val="BDOITable"/>
            </w:pPr>
            <w:r>
              <w:rPr>
                <w:b/>
                <w:sz w:val="17"/>
              </w:rPr>
              <w:t>No client name or currency code in platform logic (client neutrality check of backend and web client)</w:t>
            </w:r>
          </w:p>
        </w:tc>
        <w:tc>
          <w:tcPr>
            <w:tcW w:type="dxa" w:w="6572"/>
            <w:tcMar>
              <w:top w:w="50" w:type="dxa"/>
              <w:bottom w:w="50" w:type="dxa"/>
              <w:left w:w="90" w:type="dxa"/>
              <w:right w:w="90" w:type="dxa"/>
            </w:tcMar>
          </w:tcPr>
          <w:p>
            <w:pPr>
              <w:pStyle w:val="BDOITable"/>
            </w:pPr>
            <w:r>
              <w:rPr>
                <w:sz w:val="17"/>
              </w:rPr>
              <w:t>The platform stays configurable for any company, branch or country</w:t>
            </w:r>
          </w:p>
        </w:tc>
      </w:tr>
    </w:tbl>
    <w:p>
      <w:pPr>
        <w:pStyle w:val="BDOISpacer"/>
      </w:pPr>
    </w:p>
    <w:p>
      <w:r>
        <w:rPr/>
        <w:t>Quality gates of the same pipeline add size and complexity limits (method 60 lines, file 600 lines, cognitive complexity 15, no copy-pasted blocks over 120 tokens), static analysis and coverage of at least 80 % of lines and 65 % of branches (Deployment Architecture, chapter 8).</w:t>
      </w:r>
    </w:p>
    <w:p>
      <w:pPr>
        <w:pStyle w:val="Heading2"/>
      </w:pPr>
      <w:bookmarkStart w:id="122" w:name="_Toc000122"/>
      <w:r>
        <w:rPr/>
        <w:t>5.3 Ports and connectors</w:t>
      </w:r>
      <w:bookmarkEnd w:id="122"/>
    </w:p>
    <w:p>
      <w:r>
        <w:rPr/>
        <w:t>Outbound needs of a module are ports - interfaces owned by the module. The connector that implements a port is chosen by configuration, so an interface can start as a file exchange and move to an API without a change in the module. Examples:</w:t>
      </w:r>
    </w:p>
    <w:p>
      <w:pPr>
        <w:pStyle w:val="Caption"/>
        <w:keepNext/>
        <w:spacing w:after="60"/>
      </w:pPr>
      <w:r>
        <w:rPr>
          <w:b/>
          <w:i w:val="0"/>
        </w:rPr>
        <w:t xml:space="preserve">Table 13: </w:t>
      </w:r>
      <w:r>
        <w:rPr/>
        <w:t>Ports of the business modules (examples)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1926"/>
        <w:gridCol w:w="2833"/>
        <w:gridCol w:w="28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7"/>
              </w:rPr>
              <w:t>Port (business name)</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7"/>
              </w:rPr>
              <w:t>Owned by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Connector in production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2380"/>
            <w:tcMar>
              <w:top w:w="50" w:type="dxa"/>
              <w:bottom w:w="50" w:type="dxa"/>
              <w:left w:w="90" w:type="dxa"/>
              <w:right w:w="90" w:type="dxa"/>
            </w:tcMar>
          </w:tcPr>
          <w:p>
            <w:pPr>
              <w:pStyle w:val="BDOITable"/>
            </w:pPr>
            <w:r>
              <w:rPr>
                <w:b/>
                <w:sz w:val="17"/>
              </w:rPr>
              <w:t>File store</w:t>
            </w:r>
          </w:p>
        </w:tc>
        <w:tc>
          <w:tcPr>
            <w:tcW w:type="dxa" w:w="1926"/>
            <w:tcMar>
              <w:top w:w="50" w:type="dxa"/>
              <w:bottom w:w="50" w:type="dxa"/>
              <w:left w:w="90" w:type="dxa"/>
              <w:right w:w="90" w:type="dxa"/>
            </w:tcMar>
          </w:tcPr>
          <w:p>
            <w:pPr>
              <w:pStyle w:val="BDOITable"/>
            </w:pPr>
            <w:r>
              <w:rPr>
                <w:sz w:val="17"/>
              </w:rPr>
              <w:t>Platform (file storage)</w:t>
            </w:r>
          </w:p>
        </w:tc>
        <w:tc>
          <w:tcPr>
            <w:tcW w:type="dxa" w:w="2833"/>
            <w:tcMar>
              <w:top w:w="50" w:type="dxa"/>
              <w:bottom w:w="50" w:type="dxa"/>
              <w:left w:w="90" w:type="dxa"/>
              <w:right w:w="90" w:type="dxa"/>
            </w:tcMar>
          </w:tcPr>
          <w:p>
            <w:pPr>
              <w:pStyle w:val="BDOITable"/>
            </w:pPr>
            <w:r>
              <w:rPr>
                <w:sz w:val="17"/>
              </w:rPr>
              <w:t>Amazon S3 with SSE-KMS; local store on developer machines</w:t>
            </w:r>
          </w:p>
        </w:tc>
        <w:tc>
          <w:tcPr>
            <w:tcW w:type="dxa" w:w="2833"/>
            <w:tcMar>
              <w:top w:w="50" w:type="dxa"/>
              <w:bottom w:w="50" w:type="dxa"/>
              <w:left w:w="90" w:type="dxa"/>
              <w:right w:w="90" w:type="dxa"/>
            </w:tcMar>
          </w:tcPr>
          <w:p>
            <w:pPr>
              <w:pStyle w:val="BDOITable"/>
            </w:pPr>
            <w:r>
              <w:rPr>
                <w:sz w:val="17"/>
              </w:rPr>
              <w:t>Every document, attachment, report and inbound file</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Bank channel and disbursement gateway</w:t>
            </w:r>
          </w:p>
        </w:tc>
        <w:tc>
          <w:tcPr>
            <w:tcW w:type="dxa" w:w="1926"/>
            <w:tcMar>
              <w:top w:w="50" w:type="dxa"/>
              <w:bottom w:w="50" w:type="dxa"/>
              <w:left w:w="90" w:type="dxa"/>
              <w:right w:w="90" w:type="dxa"/>
            </w:tcMar>
            <w:shd w:val="clear" w:color="auto" w:fill="E5F5FF"/>
          </w:tcPr>
          <w:p>
            <w:pPr>
              <w:pStyle w:val="BDOITable"/>
            </w:pPr>
            <w:r>
              <w:rPr>
                <w:sz w:val="17"/>
              </w:rPr>
              <w:t>Disbursement, Operations</w:t>
            </w:r>
          </w:p>
        </w:tc>
        <w:tc>
          <w:tcPr>
            <w:tcW w:type="dxa" w:w="2833"/>
            <w:tcMar>
              <w:top w:w="50" w:type="dxa"/>
              <w:bottom w:w="50" w:type="dxa"/>
              <w:left w:w="90" w:type="dxa"/>
              <w:right w:w="90" w:type="dxa"/>
            </w:tcMar>
            <w:shd w:val="clear" w:color="auto" w:fill="E5F5FF"/>
          </w:tcPr>
          <w:p>
            <w:pPr>
              <w:pStyle w:val="BDOITable"/>
            </w:pPr>
            <w:r>
              <w:rPr>
                <w:sz w:val="17"/>
              </w:rPr>
              <w:t>CMS / New BOB payment file (INT-07)</w:t>
            </w:r>
          </w:p>
        </w:tc>
        <w:tc>
          <w:tcPr>
            <w:tcW w:type="dxa" w:w="2833"/>
            <w:tcMar>
              <w:top w:w="50" w:type="dxa"/>
              <w:bottom w:w="50" w:type="dxa"/>
              <w:left w:w="90" w:type="dxa"/>
              <w:right w:w="90" w:type="dxa"/>
            </w:tcMar>
            <w:shd w:val="clear" w:color="auto" w:fill="E5F5FF"/>
          </w:tcPr>
          <w:p>
            <w:pPr>
              <w:pStyle w:val="BDOITable"/>
            </w:pPr>
            <w:r>
              <w:rPr>
                <w:sz w:val="17"/>
              </w:rPr>
              <w:t>Outward payments and their status</w:t>
            </w:r>
          </w:p>
        </w:tc>
      </w:tr>
      <w:tr>
        <w:trPr>
          <w:cantSplit w:val="true"/>
        </w:trPr>
        <w:tc>
          <w:tcPr>
            <w:tcW w:type="dxa" w:w="2380"/>
            <w:tcMar>
              <w:top w:w="50" w:type="dxa"/>
              <w:bottom w:w="50" w:type="dxa"/>
              <w:left w:w="90" w:type="dxa"/>
              <w:right w:w="90" w:type="dxa"/>
            </w:tcMar>
          </w:tcPr>
          <w:p>
            <w:pPr>
              <w:pStyle w:val="BDOITable"/>
            </w:pPr>
            <w:r>
              <w:rPr>
                <w:b/>
                <w:sz w:val="17"/>
              </w:rPr>
              <w:t>Insurer file inbox</w:t>
            </w:r>
          </w:p>
        </w:tc>
        <w:tc>
          <w:tcPr>
            <w:tcW w:type="dxa" w:w="1926"/>
            <w:tcMar>
              <w:top w:w="50" w:type="dxa"/>
              <w:bottom w:w="50" w:type="dxa"/>
              <w:left w:w="90" w:type="dxa"/>
              <w:right w:w="90" w:type="dxa"/>
            </w:tcMar>
          </w:tcPr>
          <w:p>
            <w:pPr>
              <w:pStyle w:val="BDOITable"/>
            </w:pPr>
            <w:r>
              <w:rPr>
                <w:sz w:val="17"/>
              </w:rPr>
              <w:t>Operations</w:t>
            </w:r>
          </w:p>
        </w:tc>
        <w:tc>
          <w:tcPr>
            <w:tcW w:type="dxa" w:w="2833"/>
            <w:tcMar>
              <w:top w:w="50" w:type="dxa"/>
              <w:bottom w:w="50" w:type="dxa"/>
              <w:left w:w="90" w:type="dxa"/>
              <w:right w:w="90" w:type="dxa"/>
            </w:tcMar>
          </w:tcPr>
          <w:p>
            <w:pPr>
              <w:pStyle w:val="BDOITable"/>
            </w:pPr>
            <w:r>
              <w:rPr>
                <w:sz w:val="17"/>
              </w:rPr>
              <w:t>Inbound bucket, insurer channel (INT-19)</w:t>
            </w:r>
          </w:p>
        </w:tc>
        <w:tc>
          <w:tcPr>
            <w:tcW w:type="dxa" w:w="2833"/>
            <w:tcMar>
              <w:top w:w="50" w:type="dxa"/>
              <w:bottom w:w="50" w:type="dxa"/>
              <w:left w:w="90" w:type="dxa"/>
              <w:right w:w="90" w:type="dxa"/>
            </w:tcMar>
          </w:tcPr>
          <w:p>
            <w:pPr>
              <w:pStyle w:val="BDOITable"/>
            </w:pPr>
            <w:r>
              <w:rPr>
                <w:sz w:val="17"/>
              </w:rPr>
              <w:t>Insurer production, SOA and remittance files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File drop</w:t>
            </w:r>
          </w:p>
        </w:tc>
        <w:tc>
          <w:tcPr>
            <w:tcW w:type="dxa" w:w="1926"/>
            <w:tcMar>
              <w:top w:w="50" w:type="dxa"/>
              <w:bottom w:w="50" w:type="dxa"/>
              <w:left w:w="90" w:type="dxa"/>
              <w:right w:w="90" w:type="dxa"/>
            </w:tcMar>
            <w:shd w:val="clear" w:color="auto" w:fill="E5F5FF"/>
          </w:tcPr>
          <w:p>
            <w:pPr>
              <w:pStyle w:val="BDOITable"/>
            </w:pPr>
            <w:r>
              <w:rPr>
                <w:sz w:val="17"/>
              </w:rPr>
              <w:t>Operations, Collections</w:t>
            </w:r>
          </w:p>
        </w:tc>
        <w:tc>
          <w:tcPr>
            <w:tcW w:type="dxa" w:w="2833"/>
            <w:tcMar>
              <w:top w:w="50" w:type="dxa"/>
              <w:bottom w:w="50" w:type="dxa"/>
              <w:left w:w="90" w:type="dxa"/>
              <w:right w:w="90" w:type="dxa"/>
            </w:tcMar>
            <w:shd w:val="clear" w:color="auto" w:fill="E5F5FF"/>
          </w:tcPr>
          <w:p>
            <w:pPr>
              <w:pStyle w:val="BDOITable"/>
            </w:pPr>
            <w:r>
              <w:rPr>
                <w:sz w:val="17"/>
              </w:rPr>
              <w:t>Reports bucket and the BDOI file server (INT-24)</w:t>
            </w:r>
          </w:p>
        </w:tc>
        <w:tc>
          <w:tcPr>
            <w:tcW w:type="dxa" w:w="2833"/>
            <w:tcMar>
              <w:top w:w="50" w:type="dxa"/>
              <w:bottom w:w="50" w:type="dxa"/>
              <w:left w:w="90" w:type="dxa"/>
              <w:right w:w="90" w:type="dxa"/>
            </w:tcMar>
            <w:shd w:val="clear" w:color="auto" w:fill="E5F5FF"/>
          </w:tcPr>
          <w:p>
            <w:pPr>
              <w:pStyle w:val="BDOITable"/>
            </w:pPr>
            <w:r>
              <w:rPr>
                <w:sz w:val="17"/>
              </w:rPr>
              <w:t>Scheduled files for BDOI units</w:t>
            </w:r>
          </w:p>
        </w:tc>
      </w:tr>
      <w:tr>
        <w:trPr>
          <w:cantSplit w:val="true"/>
        </w:trPr>
        <w:tc>
          <w:tcPr>
            <w:tcW w:type="dxa" w:w="2380"/>
            <w:tcMar>
              <w:top w:w="50" w:type="dxa"/>
              <w:bottom w:w="50" w:type="dxa"/>
              <w:left w:w="90" w:type="dxa"/>
              <w:right w:w="90" w:type="dxa"/>
            </w:tcMar>
          </w:tcPr>
          <w:p>
            <w:pPr>
              <w:pStyle w:val="BDOITable"/>
            </w:pPr>
            <w:r>
              <w:rPr>
                <w:b/>
                <w:sz w:val="17"/>
              </w:rPr>
              <w:t>Quotation request source</w:t>
            </w:r>
          </w:p>
        </w:tc>
        <w:tc>
          <w:tcPr>
            <w:tcW w:type="dxa" w:w="1926"/>
            <w:tcMar>
              <w:top w:w="50" w:type="dxa"/>
              <w:bottom w:w="50" w:type="dxa"/>
              <w:left w:w="90" w:type="dxa"/>
              <w:right w:w="90" w:type="dxa"/>
            </w:tcMar>
          </w:tcPr>
          <w:p>
            <w:pPr>
              <w:pStyle w:val="BDOITable"/>
            </w:pPr>
            <w:r>
              <w:rPr>
                <w:sz w:val="17"/>
              </w:rPr>
              <w:t>Package quotations</w:t>
            </w:r>
          </w:p>
        </w:tc>
        <w:tc>
          <w:tcPr>
            <w:tcW w:type="dxa" w:w="2833"/>
            <w:tcMar>
              <w:top w:w="50" w:type="dxa"/>
              <w:bottom w:w="50" w:type="dxa"/>
              <w:left w:w="90" w:type="dxa"/>
              <w:right w:w="90" w:type="dxa"/>
            </w:tcMar>
          </w:tcPr>
          <w:p>
            <w:pPr>
              <w:pStyle w:val="BDOITable"/>
            </w:pPr>
            <w:r>
              <w:rPr>
                <w:sz w:val="17"/>
              </w:rPr>
              <w:t>HL-LOAS through Apigee X (INT-04)</w:t>
            </w:r>
          </w:p>
        </w:tc>
        <w:tc>
          <w:tcPr>
            <w:tcW w:type="dxa" w:w="2833"/>
            <w:tcMar>
              <w:top w:w="50" w:type="dxa"/>
              <w:bottom w:w="50" w:type="dxa"/>
              <w:left w:w="90" w:type="dxa"/>
              <w:right w:w="90" w:type="dxa"/>
            </w:tcMar>
          </w:tcPr>
          <w:p>
            <w:pPr>
              <w:pStyle w:val="BDOITable"/>
            </w:pPr>
            <w:r>
              <w:rPr>
                <w:sz w:val="17"/>
              </w:rPr>
              <w:t>Quotation requests from source systems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Payment confirmation source</w:t>
            </w:r>
          </w:p>
        </w:tc>
        <w:tc>
          <w:tcPr>
            <w:tcW w:type="dxa" w:w="1926"/>
            <w:tcMar>
              <w:top w:w="50" w:type="dxa"/>
              <w:bottom w:w="50" w:type="dxa"/>
              <w:left w:w="90" w:type="dxa"/>
              <w:right w:w="90" w:type="dxa"/>
            </w:tcMar>
            <w:shd w:val="clear" w:color="auto" w:fill="E5F5FF"/>
          </w:tcPr>
          <w:p>
            <w:pPr>
              <w:pStyle w:val="BDOITable"/>
            </w:pPr>
            <w:r>
              <w:rPr>
                <w:sz w:val="17"/>
              </w:rPr>
              <w:t>Placement</w:t>
            </w:r>
          </w:p>
        </w:tc>
        <w:tc>
          <w:tcPr>
            <w:tcW w:type="dxa" w:w="2833"/>
            <w:tcMar>
              <w:top w:w="50" w:type="dxa"/>
              <w:bottom w:w="50" w:type="dxa"/>
              <w:left w:w="90" w:type="dxa"/>
              <w:right w:w="90" w:type="dxa"/>
            </w:tcMar>
            <w:shd w:val="clear" w:color="auto" w:fill="E5F5FF"/>
          </w:tcPr>
          <w:p>
            <w:pPr>
              <w:pStyle w:val="BDOITable"/>
            </w:pPr>
            <w:r>
              <w:rPr>
                <w:sz w:val="17"/>
              </w:rPr>
              <w:t>Confirmed payment reports</w:t>
            </w:r>
          </w:p>
        </w:tc>
        <w:tc>
          <w:tcPr>
            <w:tcW w:type="dxa" w:w="2833"/>
            <w:tcMar>
              <w:top w:w="50" w:type="dxa"/>
              <w:bottom w:w="50" w:type="dxa"/>
              <w:left w:w="90" w:type="dxa"/>
              <w:right w:w="90" w:type="dxa"/>
            </w:tcMar>
            <w:shd w:val="clear" w:color="auto" w:fill="E5F5FF"/>
          </w:tcPr>
          <w:p>
            <w:pPr>
              <w:pStyle w:val="BDOITable"/>
            </w:pPr>
            <w:r>
              <w:rPr>
                <w:sz w:val="17"/>
              </w:rPr>
              <w:t>Opens the payment gate of an account</w:t>
            </w:r>
          </w:p>
        </w:tc>
      </w:tr>
      <w:tr>
        <w:trPr>
          <w:cantSplit w:val="true"/>
        </w:trPr>
        <w:tc>
          <w:tcPr>
            <w:tcW w:type="dxa" w:w="2380"/>
            <w:tcMar>
              <w:top w:w="50" w:type="dxa"/>
              <w:bottom w:w="50" w:type="dxa"/>
              <w:left w:w="90" w:type="dxa"/>
              <w:right w:w="90" w:type="dxa"/>
            </w:tcMar>
          </w:tcPr>
          <w:p>
            <w:pPr>
              <w:pStyle w:val="BDOITable"/>
            </w:pPr>
            <w:r>
              <w:rPr>
                <w:b/>
                <w:sz w:val="17"/>
              </w:rPr>
              <w:t>Watchlist feed</w:t>
            </w:r>
          </w:p>
        </w:tc>
        <w:tc>
          <w:tcPr>
            <w:tcW w:type="dxa" w:w="1926"/>
            <w:tcMar>
              <w:top w:w="50" w:type="dxa"/>
              <w:bottom w:w="50" w:type="dxa"/>
              <w:left w:w="90" w:type="dxa"/>
              <w:right w:w="90" w:type="dxa"/>
            </w:tcMar>
          </w:tcPr>
          <w:p>
            <w:pPr>
              <w:pStyle w:val="BDOITable"/>
            </w:pPr>
            <w:r>
              <w:rPr>
                <w:sz w:val="17"/>
              </w:rPr>
              <w:t>Sanction screening</w:t>
            </w:r>
          </w:p>
        </w:tc>
        <w:tc>
          <w:tcPr>
            <w:tcW w:type="dxa" w:w="2833"/>
            <w:tcMar>
              <w:top w:w="50" w:type="dxa"/>
              <w:bottom w:w="50" w:type="dxa"/>
              <w:left w:w="90" w:type="dxa"/>
              <w:right w:w="90" w:type="dxa"/>
            </w:tcMar>
          </w:tcPr>
          <w:p>
            <w:pPr>
              <w:pStyle w:val="BDOITable"/>
            </w:pPr>
            <w:r>
              <w:rPr>
                <w:sz w:val="17"/>
              </w:rPr>
              <w:t>List files (INT-21)</w:t>
            </w:r>
          </w:p>
        </w:tc>
        <w:tc>
          <w:tcPr>
            <w:tcW w:type="dxa" w:w="2833"/>
            <w:tcMar>
              <w:top w:w="50" w:type="dxa"/>
              <w:bottom w:w="50" w:type="dxa"/>
              <w:left w:w="90" w:type="dxa"/>
              <w:right w:w="90" w:type="dxa"/>
            </w:tcMar>
          </w:tcPr>
          <w:p>
            <w:pPr>
              <w:pStyle w:val="BDOITable"/>
            </w:pPr>
            <w:r>
              <w:rPr>
                <w:sz w:val="17"/>
              </w:rPr>
              <w:t>AML advisory and PEP lists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STR file sink</w:t>
            </w:r>
          </w:p>
        </w:tc>
        <w:tc>
          <w:tcPr>
            <w:tcW w:type="dxa" w:w="1926"/>
            <w:tcMar>
              <w:top w:w="50" w:type="dxa"/>
              <w:bottom w:w="50" w:type="dxa"/>
              <w:left w:w="90" w:type="dxa"/>
              <w:right w:w="90" w:type="dxa"/>
            </w:tcMar>
            <w:shd w:val="clear" w:color="auto" w:fill="E5F5FF"/>
          </w:tcPr>
          <w:p>
            <w:pPr>
              <w:pStyle w:val="BDOITable"/>
            </w:pPr>
            <w:r>
              <w:rPr>
                <w:sz w:val="17"/>
              </w:rPr>
              <w:t>Sanction screening</w:t>
            </w:r>
          </w:p>
        </w:tc>
        <w:tc>
          <w:tcPr>
            <w:tcW w:type="dxa" w:w="2833"/>
            <w:tcMar>
              <w:top w:w="50" w:type="dxa"/>
              <w:bottom w:w="50" w:type="dxa"/>
              <w:left w:w="90" w:type="dxa"/>
              <w:right w:w="90" w:type="dxa"/>
            </w:tcMar>
            <w:shd w:val="clear" w:color="auto" w:fill="E5F5FF"/>
          </w:tcPr>
          <w:p>
            <w:pPr>
              <w:pStyle w:val="BDOITable"/>
            </w:pPr>
            <w:r>
              <w:rPr>
                <w:sz w:val="17"/>
              </w:rPr>
              <w:t>STR file for the AMLC portal (INT-22)</w:t>
            </w:r>
          </w:p>
        </w:tc>
        <w:tc>
          <w:tcPr>
            <w:tcW w:type="dxa" w:w="2833"/>
            <w:tcMar>
              <w:top w:w="50" w:type="dxa"/>
              <w:bottom w:w="50" w:type="dxa"/>
              <w:left w:w="90" w:type="dxa"/>
              <w:right w:w="90" w:type="dxa"/>
            </w:tcMar>
            <w:shd w:val="clear" w:color="auto" w:fill="E5F5FF"/>
          </w:tcPr>
          <w:p>
            <w:pPr>
              <w:pStyle w:val="BDOITable"/>
            </w:pPr>
            <w:r>
              <w:rPr>
                <w:sz w:val="17"/>
              </w:rPr>
              <w:t>Suspicious transaction reports</w:t>
            </w:r>
          </w:p>
        </w:tc>
      </w:tr>
      <w:tr>
        <w:trPr>
          <w:cantSplit w:val="true"/>
        </w:trPr>
        <w:tc>
          <w:tcPr>
            <w:tcW w:type="dxa" w:w="2380"/>
            <w:tcMar>
              <w:top w:w="50" w:type="dxa"/>
              <w:bottom w:w="50" w:type="dxa"/>
              <w:left w:w="90" w:type="dxa"/>
              <w:right w:w="90" w:type="dxa"/>
            </w:tcMar>
          </w:tcPr>
          <w:p>
            <w:pPr>
              <w:pStyle w:val="BDOITable"/>
            </w:pPr>
            <w:r>
              <w:rPr>
                <w:b/>
                <w:sz w:val="17"/>
              </w:rPr>
              <w:t>Mail transport</w:t>
            </w:r>
          </w:p>
        </w:tc>
        <w:tc>
          <w:tcPr>
            <w:tcW w:type="dxa" w:w="1926"/>
            <w:tcMar>
              <w:top w:w="50" w:type="dxa"/>
              <w:bottom w:w="50" w:type="dxa"/>
              <w:left w:w="90" w:type="dxa"/>
              <w:right w:w="90" w:type="dxa"/>
            </w:tcMar>
          </w:tcPr>
          <w:p>
            <w:pPr>
              <w:pStyle w:val="BDOITable"/>
            </w:pPr>
            <w:r>
              <w:rPr>
                <w:sz w:val="17"/>
              </w:rPr>
              <w:t>Messaging</w:t>
            </w:r>
          </w:p>
        </w:tc>
        <w:tc>
          <w:tcPr>
            <w:tcW w:type="dxa" w:w="2833"/>
            <w:tcMar>
              <w:top w:w="50" w:type="dxa"/>
              <w:bottom w:w="50" w:type="dxa"/>
              <w:left w:w="90" w:type="dxa"/>
              <w:right w:w="90" w:type="dxa"/>
            </w:tcMar>
          </w:tcPr>
          <w:p>
            <w:pPr>
              <w:pStyle w:val="BDOITable"/>
            </w:pPr>
            <w:r>
              <w:rPr>
                <w:sz w:val="17"/>
              </w:rPr>
              <w:t>SMTP relay of CCM (INT-13)</w:t>
            </w:r>
          </w:p>
        </w:tc>
        <w:tc>
          <w:tcPr>
            <w:tcW w:type="dxa" w:w="2833"/>
            <w:tcMar>
              <w:top w:w="50" w:type="dxa"/>
              <w:bottom w:w="50" w:type="dxa"/>
              <w:left w:w="90" w:type="dxa"/>
              <w:right w:w="90" w:type="dxa"/>
            </w:tcMar>
          </w:tcPr>
          <w:p>
            <w:pPr>
              <w:pStyle w:val="BDOITable"/>
            </w:pPr>
            <w:r>
              <w:rPr>
                <w:sz w:val="17"/>
              </w:rPr>
              <w:t>Outbound e-mail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Mail house gateway</w:t>
            </w:r>
          </w:p>
        </w:tc>
        <w:tc>
          <w:tcPr>
            <w:tcW w:type="dxa" w:w="1926"/>
            <w:tcMar>
              <w:top w:w="50" w:type="dxa"/>
              <w:bottom w:w="50" w:type="dxa"/>
              <w:left w:w="90" w:type="dxa"/>
              <w:right w:w="90" w:type="dxa"/>
            </w:tcMar>
            <w:shd w:val="clear" w:color="auto" w:fill="E5F5FF"/>
          </w:tcPr>
          <w:p>
            <w:pPr>
              <w:pStyle w:val="BDOITable"/>
            </w:pPr>
            <w:r>
              <w:rPr>
                <w:sz w:val="17"/>
              </w:rPr>
              <w:t>Submitted policies, Renewal</w:t>
            </w:r>
          </w:p>
        </w:tc>
        <w:tc>
          <w:tcPr>
            <w:tcW w:type="dxa" w:w="2833"/>
            <w:tcMar>
              <w:top w:w="50" w:type="dxa"/>
              <w:bottom w:w="50" w:type="dxa"/>
              <w:left w:w="90" w:type="dxa"/>
              <w:right w:w="90" w:type="dxa"/>
            </w:tcMar>
            <w:shd w:val="clear" w:color="auto" w:fill="E5F5FF"/>
          </w:tcPr>
          <w:p>
            <w:pPr>
              <w:pStyle w:val="BDOITable"/>
            </w:pPr>
            <w:r>
              <w:rPr>
                <w:sz w:val="17"/>
              </w:rPr>
              <w:t>Print batch for the mail house (INT-25)</w:t>
            </w:r>
          </w:p>
        </w:tc>
        <w:tc>
          <w:tcPr>
            <w:tcW w:type="dxa" w:w="2833"/>
            <w:tcMar>
              <w:top w:w="50" w:type="dxa"/>
              <w:bottom w:w="50" w:type="dxa"/>
              <w:left w:w="90" w:type="dxa"/>
              <w:right w:w="90" w:type="dxa"/>
            </w:tcMar>
            <w:shd w:val="clear" w:color="auto" w:fill="E5F5FF"/>
          </w:tcPr>
          <w:p>
            <w:pPr>
              <w:pStyle w:val="BDOITable"/>
            </w:pPr>
            <w:r>
              <w:rPr>
                <w:sz w:val="17"/>
              </w:rPr>
              <w:t>Printed letters</w:t>
            </w:r>
          </w:p>
        </w:tc>
      </w:tr>
      <w:tr>
        <w:trPr>
          <w:cantSplit w:val="true"/>
        </w:trPr>
        <w:tc>
          <w:tcPr>
            <w:tcW w:type="dxa" w:w="2380"/>
            <w:tcMar>
              <w:top w:w="50" w:type="dxa"/>
              <w:bottom w:w="50" w:type="dxa"/>
              <w:left w:w="90" w:type="dxa"/>
              <w:right w:w="90" w:type="dxa"/>
            </w:tcMar>
          </w:tcPr>
          <w:p>
            <w:pPr>
              <w:pStyle w:val="BDOITable"/>
            </w:pPr>
            <w:r>
              <w:rPr>
                <w:b/>
                <w:sz w:val="17"/>
              </w:rPr>
              <w:t>Masking provider</w:t>
            </w:r>
          </w:p>
        </w:tc>
        <w:tc>
          <w:tcPr>
            <w:tcW w:type="dxa" w:w="1926"/>
            <w:tcMar>
              <w:top w:w="50" w:type="dxa"/>
              <w:bottom w:w="50" w:type="dxa"/>
              <w:left w:w="90" w:type="dxa"/>
              <w:right w:w="90" w:type="dxa"/>
            </w:tcMar>
          </w:tcPr>
          <w:p>
            <w:pPr>
              <w:pStyle w:val="BDOITable"/>
            </w:pPr>
            <w:r>
              <w:rPr>
                <w:sz w:val="17"/>
              </w:rPr>
              <w:t>Data migration</w:t>
            </w:r>
          </w:p>
        </w:tc>
        <w:tc>
          <w:tcPr>
            <w:tcW w:type="dxa" w:w="2833"/>
            <w:tcMar>
              <w:top w:w="50" w:type="dxa"/>
              <w:bottom w:w="50" w:type="dxa"/>
              <w:left w:w="90" w:type="dxa"/>
              <w:right w:w="90" w:type="dxa"/>
            </w:tcMar>
          </w:tcPr>
          <w:p>
            <w:pPr>
              <w:pStyle w:val="BDOITable"/>
            </w:pPr>
            <w:r>
              <w:rPr>
                <w:sz w:val="17"/>
              </w:rPr>
              <w:t>Keyed masking</w:t>
            </w:r>
          </w:p>
        </w:tc>
        <w:tc>
          <w:tcPr>
            <w:tcW w:type="dxa" w:w="2833"/>
            <w:tcMar>
              <w:top w:w="50" w:type="dxa"/>
              <w:bottom w:w="50" w:type="dxa"/>
              <w:left w:w="90" w:type="dxa"/>
              <w:right w:w="90" w:type="dxa"/>
            </w:tcMar>
          </w:tcPr>
          <w:p>
            <w:pPr>
              <w:pStyle w:val="BDOITable"/>
            </w:pPr>
            <w:r>
              <w:rPr>
                <w:sz w:val="17"/>
              </w:rPr>
              <w:t>Personal data masked outside production</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Period-close guard, account usage checker</w:t>
            </w:r>
          </w:p>
        </w:tc>
        <w:tc>
          <w:tcPr>
            <w:tcW w:type="dxa" w:w="1926"/>
            <w:tcMar>
              <w:top w:w="50" w:type="dxa"/>
              <w:bottom w:w="50" w:type="dxa"/>
              <w:left w:w="90" w:type="dxa"/>
              <w:right w:w="90" w:type="dxa"/>
            </w:tcMar>
            <w:shd w:val="clear" w:color="auto" w:fill="E5F5FF"/>
          </w:tcPr>
          <w:p>
            <w:pPr>
              <w:pStyle w:val="BDOITable"/>
            </w:pPr>
            <w:r>
              <w:rPr>
                <w:sz w:val="17"/>
              </w:rPr>
              <w:t>Finance core</w:t>
            </w:r>
          </w:p>
        </w:tc>
        <w:tc>
          <w:tcPr>
            <w:tcW w:type="dxa" w:w="2833"/>
            <w:tcMar>
              <w:top w:w="50" w:type="dxa"/>
              <w:bottom w:w="50" w:type="dxa"/>
              <w:left w:w="90" w:type="dxa"/>
              <w:right w:w="90" w:type="dxa"/>
            </w:tcMar>
            <w:shd w:val="clear" w:color="auto" w:fill="E5F5FF"/>
          </w:tcPr>
          <w:p>
            <w:pPr>
              <w:pStyle w:val="BDOITable"/>
            </w:pPr>
            <w:r>
              <w:rPr>
                <w:sz w:val="17"/>
              </w:rPr>
              <w:t>Implemented by Journals and the Ledger</w:t>
            </w:r>
          </w:p>
        </w:tc>
        <w:tc>
          <w:tcPr>
            <w:tcW w:type="dxa" w:w="2833"/>
            <w:tcMar>
              <w:top w:w="50" w:type="dxa"/>
              <w:bottom w:w="50" w:type="dxa"/>
              <w:left w:w="90" w:type="dxa"/>
              <w:right w:w="90" w:type="dxa"/>
            </w:tcMar>
            <w:shd w:val="clear" w:color="auto" w:fill="E5F5FF"/>
          </w:tcPr>
          <w:p>
            <w:pPr>
              <w:pStyle w:val="BDOITable"/>
            </w:pPr>
            <w:r>
              <w:rPr>
                <w:sz w:val="17"/>
              </w:rPr>
              <w:t>Call-backs inside the finance core without cycles</w:t>
            </w:r>
          </w:p>
        </w:tc>
      </w:tr>
    </w:tbl>
    <w:p>
      <w:pPr>
        <w:pStyle w:val="BDOISpacer"/>
      </w:pPr>
    </w:p>
    <w:p>
      <w:pPr>
        <w:pStyle w:val="Heading2"/>
      </w:pPr>
      <w:bookmarkStart w:id="123" w:name="_Toc000123"/>
      <w:r>
        <w:rPr/>
        <w:t>5.4 Workloads by runtime role</w:t>
      </w:r>
      <w:bookmarkEnd w:id="123"/>
    </w:p>
    <w:p>
      <w:r>
        <w:rPr/>
        <w:t>The same backend image runs as three workloads chosen by one variable (ADR-15): bibs-web serves the screens and user operations, bibs-jobs runs the scheduled and batch jobs, and bibs-integration runs the outbox relay, the Kafka consumers, the inbound files and the system integration operations. The modules do not change; the runtime role only switches the scheduler, the consumers and the HTTP routes on or off. The Deployment Architecture sizes each workload.</w:t>
      </w:r>
    </w:p>
    <w:p>
      <w:pPr>
        <w:pStyle w:val="Heading1"/>
        <w:pBdr>
          <w:bottom w:val="single" w:sz="4" w:space="4" w:color="99C1E7"/>
        </w:pBdr>
      </w:pPr>
      <w:bookmarkStart w:id="124" w:name="_Toc000124"/>
      <w:r>
        <w:rPr/>
        <w:t>6 Event-driven architecture</w:t>
      </w:r>
      <w:bookmarkEnd w:id="124"/>
    </w:p>
    <w:p>
      <w:pPr>
        <w:pStyle w:val="Heading2"/>
      </w:pPr>
      <w:bookmarkStart w:id="125" w:name="_Toc000125"/>
      <w:r>
        <w:rPr/>
        <w:t>6.1 Two kinds of events</w:t>
      </w:r>
      <w:bookmarkEnd w:id="125"/>
    </w:p>
    <w:p>
      <w:pPr>
        <w:tabs>
          <w:tab w:pos="312" w:val="left"/>
        </w:tabs>
        <w:spacing w:after="40"/>
        <w:ind w:left="312" w:hanging="283"/>
      </w:pPr>
      <w:r>
        <w:rPr>
          <w:color w:val="004EA8"/>
        </w:rPr>
        <w:t>•</w:t>
        <w:tab/>
      </w:r>
      <w:r>
        <w:rPr>
          <w:b/>
        </w:rPr>
        <w:t>In-process events</w:t>
      </w:r>
      <w:r>
        <w:rPr/>
        <w:t xml:space="preserve"> carry facts inside one transaction: a booking feeds the Operations invoice ledger, a workflow stage change mirrors to the record, an operational fact becomes an accounting business event that the accounting engine posts at once (ADR-20). They are synchronous and roll back with the transaction.</w:t>
      </w:r>
    </w:p>
    <w:p>
      <w:pPr>
        <w:tabs>
          <w:tab w:pos="312" w:val="left"/>
        </w:tabs>
        <w:spacing w:after="120"/>
        <w:ind w:left="312" w:hanging="283"/>
      </w:pPr>
      <w:r>
        <w:rPr>
          <w:color w:val="004EA8"/>
        </w:rPr>
        <w:t>•</w:t>
        <w:tab/>
      </w:r>
      <w:r>
        <w:rPr>
          <w:b/>
        </w:rPr>
        <w:t>Integration events</w:t>
      </w:r>
      <w:r>
        <w:rPr/>
        <w:t xml:space="preserve"> carry facts out of the transaction, to asynchronous work (e-mail delivery, the event archive, the ECM archive) and to other systems. They go through the transactional outbox to Kafka (ADR-05).</w:t>
      </w:r>
    </w:p>
    <w:p>
      <w:pPr>
        <w:pStyle w:val="Heading2"/>
      </w:pPr>
      <w:bookmarkStart w:id="126" w:name="_Toc000126"/>
      <w:r>
        <w:rPr/>
        <w:t>6.2 Transactional outbox to Kafka</w:t>
      </w:r>
      <w:bookmarkEnd w:id="126"/>
    </w:p>
    <w:p>
      <w:pPr>
        <w:keepNext/>
        <w:spacing w:before="80" w:after="0"/>
        <w:jc w:val="center"/>
      </w:pPr>
      <w:r>
        <w:drawing>
          <wp:inline xmlns:a="http://schemas.openxmlformats.org/drawingml/2006/main" xmlns:pic="http://schemas.openxmlformats.org/drawingml/2006/picture">
            <wp:extent cx="5400000" cy="3542572"/>
            <wp:docPr id="6" name="Picture 6"/>
            <wp:cNvGraphicFramePr>
              <a:graphicFrameLocks noChangeAspect="1"/>
            </wp:cNvGraphicFramePr>
            <a:graphic>
              <a:graphicData uri="http://schemas.openxmlformats.org/drawingml/2006/picture">
                <pic:pic>
                  <pic:nvPicPr>
                    <pic:cNvPr id="0" name="sa_outbox_1003.jpg"/>
                    <pic:cNvPicPr/>
                  </pic:nvPicPr>
                  <pic:blipFill>
                    <a:blip r:embed="rId18"/>
                    <a:stretch>
                      <a:fillRect/>
                    </a:stretch>
                  </pic:blipFill>
                  <pic:spPr>
                    <a:xfrm>
                      <a:off x="0" y="0"/>
                      <a:ext cx="5400000" cy="3542572"/>
                    </a:xfrm>
                    <a:prstGeom prst="rect"/>
                  </pic:spPr>
                </pic:pic>
              </a:graphicData>
            </a:graphic>
          </wp:inline>
        </w:drawing>
      </w:r>
    </w:p>
    <w:p>
      <w:pPr>
        <w:pStyle w:val="Caption"/>
        <w:jc w:val="center"/>
      </w:pPr>
      <w:r>
        <w:rPr>
          <w:b/>
          <w:i w:val="0"/>
        </w:rPr>
        <w:t xml:space="preserve">Figure 4: </w:t>
      </w:r>
      <w:r>
        <w:rPr/>
        <w:t>Event flow: transactional outbox to Kafka</w:t>
      </w:r>
    </w:p>
    <w:p>
      <w:pPr>
        <w:tabs>
          <w:tab w:pos="312" w:val="left"/>
        </w:tabs>
        <w:spacing w:after="40"/>
        <w:ind w:left="312" w:hanging="283"/>
      </w:pPr>
      <w:r>
        <w:rPr>
          <w:color w:val="004EA8"/>
        </w:rPr>
        <w:t>•</w:t>
        <w:tab/>
      </w:r>
      <w:r>
        <w:rPr>
          <w:b/>
        </w:rPr>
        <w:t>Publishing.</w:t>
      </w:r>
      <w:r>
        <w:rPr/>
        <w:t xml:space="preserve"> The module publishes an integration event in its own transaction; the event becomes a row of the outbox table that commits or rolls back with the business change. Where a module publishes no event (client, receipt), an entity-change listener writes the outbox row just before the commit.</w:t>
      </w:r>
    </w:p>
    <w:p>
      <w:pPr>
        <w:tabs>
          <w:tab w:pos="312" w:val="left"/>
        </w:tabs>
        <w:spacing w:after="40"/>
        <w:ind w:left="312" w:hanging="283"/>
      </w:pPr>
      <w:r>
        <w:rPr>
          <w:color w:val="004EA8"/>
        </w:rPr>
        <w:t>•</w:t>
        <w:tab/>
      </w:r>
      <w:r>
        <w:rPr>
          <w:b/>
        </w:rPr>
        <w:t>Relay.</w:t>
      </w:r>
      <w:r>
        <w:rPr/>
        <w:t xml:space="preserve"> After the commit the relay of bibs-integration is woken; a job also runs every minute for anything left and for due retries. One relay runs at a time in the cluster (job lock); rows are read in identifier order, so events of one key reach their partition in publication order. The producer waits for all in-sync replicas and uses producer idempotency. A row the broker does not acknowledge waits with a doubling back-off (from 30 seconds, at most 1 hour) and is marked failed after 10 attempts; the support screen puts it back in the queue.</w:t>
      </w:r>
    </w:p>
    <w:p>
      <w:pPr>
        <w:tabs>
          <w:tab w:pos="312" w:val="left"/>
        </w:tabs>
        <w:spacing w:after="40"/>
        <w:ind w:left="312" w:hanging="283"/>
      </w:pPr>
      <w:r>
        <w:rPr>
          <w:color w:val="004EA8"/>
        </w:rPr>
        <w:t>•</w:t>
        <w:tab/>
      </w:r>
      <w:r>
        <w:rPr>
          <w:b/>
        </w:rPr>
        <w:t>Envelope.</w:t>
      </w:r>
      <w:r>
        <w:rPr/>
        <w:t xml:space="preserve"> Record key = business key; headers event identifier, event type and correlation identifier; value = event identifier, type, schema version, time, company, key, correlation identifier, source and the payload. Payloads carry identifiers, status and amounts, never personal data (TIN, contact details, birth date) or e-mail content.</w:t>
      </w:r>
    </w:p>
    <w:p>
      <w:pPr>
        <w:tabs>
          <w:tab w:pos="312" w:val="left"/>
        </w:tabs>
        <w:spacing w:after="120"/>
        <w:ind w:left="312" w:hanging="283"/>
      </w:pPr>
      <w:r>
        <w:rPr>
          <w:color w:val="004EA8"/>
        </w:rPr>
        <w:t>•</w:t>
        <w:tab/>
      </w:r>
      <w:r>
        <w:rPr>
          <w:b/>
        </w:rPr>
        <w:t>Versioning.</w:t>
      </w:r>
      <w:r>
        <w:rPr/>
        <w:t xml:space="preserve"> A breaking payload change is a new topic version (.v2) published next to .v1 until every consumer has moved; added fields keep the version.</w:t>
      </w:r>
    </w:p>
    <w:p>
      <w:pPr>
        <w:pStyle w:val="Caption"/>
        <w:keepNext/>
        <w:spacing w:after="60"/>
      </w:pPr>
      <w:r>
        <w:rPr>
          <w:b/>
          <w:i w:val="0"/>
        </w:rPr>
        <w:t xml:space="preserve">Table 14: </w:t>
      </w:r>
      <w:r>
        <w:rPr/>
        <w:t>Kafka topics (each with a dead-letter topic .dlt)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39"/>
        <w:gridCol w:w="2493"/>
        <w:gridCol w:w="1699"/>
        <w:gridCol w:w="2039"/>
      </w:tblGrid>
      <w:tr>
        <w:trPr>
          <w:tblHeader w:val="true"/>
          <w:cantSplit w:val="true"/>
        </w:trPr>
        <w:tc>
          <w:tcPr>
            <w:tcW w:type="dxa" w:w="3739"/>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Record key</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Published by</w:t>
            </w:r>
          </w:p>
        </w:tc>
      </w:tr>
      <w:tr>
        <w:trPr>
          <w:cantSplit w:val="true"/>
        </w:trPr>
        <w:tc>
          <w:tcPr>
            <w:tcW w:type="dxa" w:w="3739"/>
            <w:tcMar>
              <w:top w:w="50" w:type="dxa"/>
              <w:bottom w:w="50" w:type="dxa"/>
              <w:left w:w="90" w:type="dxa"/>
              <w:right w:w="90" w:type="dxa"/>
            </w:tcMar>
          </w:tcPr>
          <w:p>
            <w:pPr>
              <w:pStyle w:val="BDOITable"/>
            </w:pPr>
            <w:r>
              <w:rPr>
                <w:b/>
                <w:sz w:val="16"/>
              </w:rPr>
              <w:t>bibs.booking.invoice-booked.v1</w:t>
            </w:r>
          </w:p>
        </w:tc>
        <w:tc>
          <w:tcPr>
            <w:tcW w:type="dxa" w:w="2493"/>
            <w:tcMar>
              <w:top w:w="50" w:type="dxa"/>
              <w:bottom w:w="50" w:type="dxa"/>
              <w:left w:w="90" w:type="dxa"/>
              <w:right w:w="90" w:type="dxa"/>
            </w:tcMar>
          </w:tcPr>
          <w:p>
            <w:pPr>
              <w:pStyle w:val="BDOITable"/>
            </w:pPr>
            <w:r>
              <w:rPr>
                <w:sz w:val="16"/>
              </w:rPr>
              <w:t>Invoice booked</w:t>
            </w:r>
          </w:p>
        </w:tc>
        <w:tc>
          <w:tcPr>
            <w:tcW w:type="dxa" w:w="1700"/>
            <w:tcMar>
              <w:top w:w="50" w:type="dxa"/>
              <w:bottom w:w="50" w:type="dxa"/>
              <w:left w:w="90" w:type="dxa"/>
              <w:right w:w="90" w:type="dxa"/>
            </w:tcMar>
          </w:tcPr>
          <w:p>
            <w:pPr>
              <w:pStyle w:val="BDOITable"/>
            </w:pPr>
            <w:r>
              <w:rPr>
                <w:sz w:val="16"/>
              </w:rPr>
              <w:t>Invoice number</w:t>
            </w:r>
          </w:p>
        </w:tc>
        <w:tc>
          <w:tcPr>
            <w:tcW w:type="dxa" w:w="2040"/>
            <w:tcMar>
              <w:top w:w="50" w:type="dxa"/>
              <w:bottom w:w="50" w:type="dxa"/>
              <w:left w:w="90" w:type="dxa"/>
              <w:right w:w="90" w:type="dxa"/>
            </w:tcMar>
          </w:tcPr>
          <w:p>
            <w:pPr>
              <w:pStyle w:val="BDOITable"/>
            </w:pPr>
            <w:r>
              <w:rPr>
                <w:sz w:val="16"/>
              </w:rPr>
              <w:t>Booking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bibs.cashiering.payment-applied.v1</w:t>
            </w:r>
          </w:p>
        </w:tc>
        <w:tc>
          <w:tcPr>
            <w:tcW w:type="dxa" w:w="2493"/>
            <w:tcMar>
              <w:top w:w="50" w:type="dxa"/>
              <w:bottom w:w="50" w:type="dxa"/>
              <w:left w:w="90" w:type="dxa"/>
              <w:right w:w="90" w:type="dxa"/>
            </w:tcMar>
            <w:shd w:val="clear" w:color="auto" w:fill="E5F5FF"/>
          </w:tcPr>
          <w:p>
            <w:pPr>
              <w:pStyle w:val="BDOITable"/>
            </w:pPr>
            <w:r>
              <w:rPr>
                <w:sz w:val="16"/>
              </w:rPr>
              <w:t>Payment applied or unapplied</w:t>
            </w:r>
          </w:p>
        </w:tc>
        <w:tc>
          <w:tcPr>
            <w:tcW w:type="dxa" w:w="1700"/>
            <w:tcMar>
              <w:top w:w="50" w:type="dxa"/>
              <w:bottom w:w="50" w:type="dxa"/>
              <w:left w:w="90" w:type="dxa"/>
              <w:right w:w="90" w:type="dxa"/>
            </w:tcMar>
            <w:shd w:val="clear" w:color="auto" w:fill="E5F5FF"/>
          </w:tcPr>
          <w:p>
            <w:pPr>
              <w:pStyle w:val="BDOITable"/>
            </w:pPr>
            <w:r>
              <w:rPr>
                <w:sz w:val="16"/>
              </w:rPr>
              <w:t>Invoice number</w:t>
            </w:r>
          </w:p>
        </w:tc>
        <w:tc>
          <w:tcPr>
            <w:tcW w:type="dxa" w:w="2040"/>
            <w:tcMar>
              <w:top w:w="50" w:type="dxa"/>
              <w:bottom w:w="50" w:type="dxa"/>
              <w:left w:w="90" w:type="dxa"/>
              <w:right w:w="90" w:type="dxa"/>
            </w:tcMar>
            <w:shd w:val="clear" w:color="auto" w:fill="E5F5FF"/>
          </w:tcPr>
          <w:p>
            <w:pPr>
              <w:pStyle w:val="BDOITable"/>
            </w:pPr>
            <w:r>
              <w:rPr>
                <w:sz w:val="16"/>
              </w:rPr>
              <w:t>Operations invoice ledger</w:t>
            </w:r>
          </w:p>
        </w:tc>
      </w:tr>
      <w:tr>
        <w:trPr>
          <w:cantSplit w:val="true"/>
        </w:trPr>
        <w:tc>
          <w:tcPr>
            <w:tcW w:type="dxa" w:w="3739"/>
            <w:tcMar>
              <w:top w:w="50" w:type="dxa"/>
              <w:bottom w:w="50" w:type="dxa"/>
              <w:left w:w="90" w:type="dxa"/>
              <w:right w:w="90" w:type="dxa"/>
            </w:tcMar>
          </w:tcPr>
          <w:p>
            <w:pPr>
              <w:pStyle w:val="BDOITable"/>
            </w:pPr>
            <w:r>
              <w:rPr>
                <w:b/>
                <w:sz w:val="16"/>
              </w:rPr>
              <w:t>bibs.cashiering.receipt-issued.v1</w:t>
            </w:r>
          </w:p>
        </w:tc>
        <w:tc>
          <w:tcPr>
            <w:tcW w:type="dxa" w:w="2493"/>
            <w:tcMar>
              <w:top w:w="50" w:type="dxa"/>
              <w:bottom w:w="50" w:type="dxa"/>
              <w:left w:w="90" w:type="dxa"/>
              <w:right w:w="90" w:type="dxa"/>
            </w:tcMar>
          </w:tcPr>
          <w:p>
            <w:pPr>
              <w:pStyle w:val="BDOITable"/>
            </w:pPr>
            <w:r>
              <w:rPr>
                <w:sz w:val="16"/>
              </w:rPr>
              <w:t>Receipt issued</w:t>
            </w:r>
          </w:p>
        </w:tc>
        <w:tc>
          <w:tcPr>
            <w:tcW w:type="dxa" w:w="1700"/>
            <w:tcMar>
              <w:top w:w="50" w:type="dxa"/>
              <w:bottom w:w="50" w:type="dxa"/>
              <w:left w:w="90" w:type="dxa"/>
              <w:right w:w="90" w:type="dxa"/>
            </w:tcMar>
          </w:tcPr>
          <w:p>
            <w:pPr>
              <w:pStyle w:val="BDOITable"/>
            </w:pPr>
            <w:r>
              <w:rPr>
                <w:sz w:val="16"/>
              </w:rPr>
              <w:t>Receipt number</w:t>
            </w:r>
          </w:p>
        </w:tc>
        <w:tc>
          <w:tcPr>
            <w:tcW w:type="dxa" w:w="2040"/>
            <w:tcMar>
              <w:top w:w="50" w:type="dxa"/>
              <w:bottom w:w="50" w:type="dxa"/>
              <w:left w:w="90" w:type="dxa"/>
              <w:right w:w="90" w:type="dxa"/>
            </w:tcMar>
          </w:tcPr>
          <w:p>
            <w:pPr>
              <w:pStyle w:val="BDOITable"/>
            </w:pPr>
            <w:r>
              <w:rPr>
                <w:sz w:val="16"/>
              </w:rPr>
              <w:t>Cashiering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bibs.remittance.batch-status.v1</w:t>
            </w:r>
          </w:p>
        </w:tc>
        <w:tc>
          <w:tcPr>
            <w:tcW w:type="dxa" w:w="2493"/>
            <w:tcMar>
              <w:top w:w="50" w:type="dxa"/>
              <w:bottom w:w="50" w:type="dxa"/>
              <w:left w:w="90" w:type="dxa"/>
              <w:right w:w="90" w:type="dxa"/>
            </w:tcMar>
            <w:shd w:val="clear" w:color="auto" w:fill="E5F5FF"/>
          </w:tcPr>
          <w:p>
            <w:pPr>
              <w:pStyle w:val="BDOITable"/>
            </w:pPr>
            <w:r>
              <w:rPr>
                <w:sz w:val="16"/>
              </w:rPr>
              <w:t>Remittance batch stage changed</w:t>
            </w:r>
          </w:p>
        </w:tc>
        <w:tc>
          <w:tcPr>
            <w:tcW w:type="dxa" w:w="1700"/>
            <w:tcMar>
              <w:top w:w="50" w:type="dxa"/>
              <w:bottom w:w="50" w:type="dxa"/>
              <w:left w:w="90" w:type="dxa"/>
              <w:right w:w="90" w:type="dxa"/>
            </w:tcMar>
            <w:shd w:val="clear" w:color="auto" w:fill="E5F5FF"/>
          </w:tcPr>
          <w:p>
            <w:pPr>
              <w:pStyle w:val="BDOITable"/>
            </w:pPr>
            <w:r>
              <w:rPr>
                <w:sz w:val="16"/>
              </w:rPr>
              <w:t>Batch number</w:t>
            </w:r>
          </w:p>
        </w:tc>
        <w:tc>
          <w:tcPr>
            <w:tcW w:type="dxa" w:w="2040"/>
            <w:tcMar>
              <w:top w:w="50" w:type="dxa"/>
              <w:bottom w:w="50" w:type="dxa"/>
              <w:left w:w="90" w:type="dxa"/>
              <w:right w:w="90" w:type="dxa"/>
            </w:tcMar>
            <w:shd w:val="clear" w:color="auto" w:fill="E5F5FF"/>
          </w:tcPr>
          <w:p>
            <w:pPr>
              <w:pStyle w:val="BDOITable"/>
            </w:pPr>
            <w:r>
              <w:rPr>
                <w:sz w:val="16"/>
              </w:rPr>
              <w:t>Remittance</w:t>
            </w:r>
          </w:p>
        </w:tc>
      </w:tr>
      <w:tr>
        <w:trPr>
          <w:cantSplit w:val="true"/>
        </w:trPr>
        <w:tc>
          <w:tcPr>
            <w:tcW w:type="dxa" w:w="3739"/>
            <w:tcMar>
              <w:top w:w="50" w:type="dxa"/>
              <w:bottom w:w="50" w:type="dxa"/>
              <w:left w:w="90" w:type="dxa"/>
              <w:right w:w="90" w:type="dxa"/>
            </w:tcMar>
          </w:tcPr>
          <w:p>
            <w:pPr>
              <w:pStyle w:val="BDOITable"/>
            </w:pPr>
            <w:r>
              <w:rPr>
                <w:b/>
                <w:sz w:val="16"/>
              </w:rPr>
              <w:t>bibs.disbursement.status-changed.v1</w:t>
            </w:r>
          </w:p>
        </w:tc>
        <w:tc>
          <w:tcPr>
            <w:tcW w:type="dxa" w:w="2493"/>
            <w:tcMar>
              <w:top w:w="50" w:type="dxa"/>
              <w:bottom w:w="50" w:type="dxa"/>
              <w:left w:w="90" w:type="dxa"/>
              <w:right w:w="90" w:type="dxa"/>
            </w:tcMar>
          </w:tcPr>
          <w:p>
            <w:pPr>
              <w:pStyle w:val="BDOITable"/>
            </w:pPr>
            <w:r>
              <w:rPr>
                <w:sz w:val="16"/>
              </w:rPr>
              <w:t>Disbursement request status changed</w:t>
            </w:r>
          </w:p>
        </w:tc>
        <w:tc>
          <w:tcPr>
            <w:tcW w:type="dxa" w:w="1700"/>
            <w:tcMar>
              <w:top w:w="50" w:type="dxa"/>
              <w:bottom w:w="50" w:type="dxa"/>
              <w:left w:w="90" w:type="dxa"/>
              <w:right w:w="90" w:type="dxa"/>
            </w:tcMar>
          </w:tcPr>
          <w:p>
            <w:pPr>
              <w:pStyle w:val="BDOITable"/>
            </w:pPr>
            <w:r>
              <w:rPr>
                <w:sz w:val="16"/>
              </w:rPr>
              <w:t>Request number</w:t>
            </w:r>
          </w:p>
        </w:tc>
        <w:tc>
          <w:tcPr>
            <w:tcW w:type="dxa" w:w="2040"/>
            <w:tcMar>
              <w:top w:w="50" w:type="dxa"/>
              <w:bottom w:w="50" w:type="dxa"/>
              <w:left w:w="90" w:type="dxa"/>
              <w:right w:w="90" w:type="dxa"/>
            </w:tcMar>
          </w:tcPr>
          <w:p>
            <w:pPr>
              <w:pStyle w:val="BDOITable"/>
            </w:pPr>
            <w:r>
              <w:rPr>
                <w:sz w:val="16"/>
              </w:rPr>
              <w:t>Disbursement</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bibs.collections.feed-ready.v1</w:t>
            </w:r>
          </w:p>
        </w:tc>
        <w:tc>
          <w:tcPr>
            <w:tcW w:type="dxa" w:w="2493"/>
            <w:tcMar>
              <w:top w:w="50" w:type="dxa"/>
              <w:bottom w:w="50" w:type="dxa"/>
              <w:left w:w="90" w:type="dxa"/>
              <w:right w:w="90" w:type="dxa"/>
            </w:tcMar>
            <w:shd w:val="clear" w:color="auto" w:fill="E5F5FF"/>
          </w:tcPr>
          <w:p>
            <w:pPr>
              <w:pStyle w:val="BDOITable"/>
            </w:pPr>
            <w:r>
              <w:rPr>
                <w:sz w:val="16"/>
              </w:rPr>
              <w:t>Collection feed ready</w:t>
            </w:r>
          </w:p>
        </w:tc>
        <w:tc>
          <w:tcPr>
            <w:tcW w:type="dxa" w:w="1700"/>
            <w:tcMar>
              <w:top w:w="50" w:type="dxa"/>
              <w:bottom w:w="50" w:type="dxa"/>
              <w:left w:w="90" w:type="dxa"/>
              <w:right w:w="90" w:type="dxa"/>
            </w:tcMar>
            <w:shd w:val="clear" w:color="auto" w:fill="E5F5FF"/>
          </w:tcPr>
          <w:p>
            <w:pPr>
              <w:pStyle w:val="BDOITable"/>
            </w:pPr>
            <w:r>
              <w:rPr>
                <w:sz w:val="16"/>
              </w:rPr>
              <w:t>Feed code</w:t>
            </w:r>
          </w:p>
        </w:tc>
        <w:tc>
          <w:tcPr>
            <w:tcW w:type="dxa" w:w="2040"/>
            <w:tcMar>
              <w:top w:w="50" w:type="dxa"/>
              <w:bottom w:w="50" w:type="dxa"/>
              <w:left w:w="90" w:type="dxa"/>
              <w:right w:w="90" w:type="dxa"/>
            </w:tcMar>
            <w:shd w:val="clear" w:color="auto" w:fill="E5F5FF"/>
          </w:tcPr>
          <w:p>
            <w:pPr>
              <w:pStyle w:val="BDOITable"/>
            </w:pPr>
            <w:r>
              <w:rPr>
                <w:sz w:val="16"/>
              </w:rPr>
              <w:t>Operations invoice ledger</w:t>
            </w:r>
          </w:p>
        </w:tc>
      </w:tr>
      <w:tr>
        <w:trPr>
          <w:cantSplit w:val="true"/>
        </w:trPr>
        <w:tc>
          <w:tcPr>
            <w:tcW w:type="dxa" w:w="3739"/>
            <w:tcMar>
              <w:top w:w="50" w:type="dxa"/>
              <w:bottom w:w="50" w:type="dxa"/>
              <w:left w:w="90" w:type="dxa"/>
              <w:right w:w="90" w:type="dxa"/>
            </w:tcMar>
          </w:tcPr>
          <w:p>
            <w:pPr>
              <w:pStyle w:val="BDOITable"/>
            </w:pPr>
            <w:r>
              <w:rPr>
                <w:b/>
                <w:sz w:val="16"/>
              </w:rPr>
              <w:t>bibs.catalog.product-version-released.v1</w:t>
            </w:r>
          </w:p>
        </w:tc>
        <w:tc>
          <w:tcPr>
            <w:tcW w:type="dxa" w:w="2493"/>
            <w:tcMar>
              <w:top w:w="50" w:type="dxa"/>
              <w:bottom w:w="50" w:type="dxa"/>
              <w:left w:w="90" w:type="dxa"/>
              <w:right w:w="90" w:type="dxa"/>
            </w:tcMar>
          </w:tcPr>
          <w:p>
            <w:pPr>
              <w:pStyle w:val="BDOITable"/>
            </w:pPr>
            <w:r>
              <w:rPr>
                <w:sz w:val="16"/>
              </w:rPr>
              <w:t>Package version released</w:t>
            </w:r>
          </w:p>
        </w:tc>
        <w:tc>
          <w:tcPr>
            <w:tcW w:type="dxa" w:w="1700"/>
            <w:tcMar>
              <w:top w:w="50" w:type="dxa"/>
              <w:bottom w:w="50" w:type="dxa"/>
              <w:left w:w="90" w:type="dxa"/>
              <w:right w:w="90" w:type="dxa"/>
            </w:tcMar>
          </w:tcPr>
          <w:p>
            <w:pPr>
              <w:pStyle w:val="BDOITable"/>
            </w:pPr>
            <w:r>
              <w:rPr>
                <w:sz w:val="16"/>
              </w:rPr>
              <w:t>Product code</w:t>
            </w:r>
          </w:p>
        </w:tc>
        <w:tc>
          <w:tcPr>
            <w:tcW w:type="dxa" w:w="2040"/>
            <w:tcMar>
              <w:top w:w="50" w:type="dxa"/>
              <w:bottom w:w="50" w:type="dxa"/>
              <w:left w:w="90" w:type="dxa"/>
              <w:right w:w="90" w:type="dxa"/>
            </w:tcMar>
          </w:tcPr>
          <w:p>
            <w:pPr>
              <w:pStyle w:val="BDOITable"/>
            </w:pPr>
            <w:r>
              <w:rPr>
                <w:sz w:val="16"/>
              </w:rPr>
              <w:t>Product catalogue</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bibs.crm.client-changed.v1</w:t>
            </w:r>
          </w:p>
        </w:tc>
        <w:tc>
          <w:tcPr>
            <w:tcW w:type="dxa" w:w="2493"/>
            <w:tcMar>
              <w:top w:w="50" w:type="dxa"/>
              <w:bottom w:w="50" w:type="dxa"/>
              <w:left w:w="90" w:type="dxa"/>
              <w:right w:w="90" w:type="dxa"/>
            </w:tcMar>
            <w:shd w:val="clear" w:color="auto" w:fill="E5F5FF"/>
          </w:tcPr>
          <w:p>
            <w:pPr>
              <w:pStyle w:val="BDOITable"/>
            </w:pPr>
            <w:r>
              <w:rPr>
                <w:sz w:val="16"/>
              </w:rPr>
              <w:t>Client registered or changed</w:t>
            </w:r>
          </w:p>
        </w:tc>
        <w:tc>
          <w:tcPr>
            <w:tcW w:type="dxa" w:w="1700"/>
            <w:tcMar>
              <w:top w:w="50" w:type="dxa"/>
              <w:bottom w:w="50" w:type="dxa"/>
              <w:left w:w="90" w:type="dxa"/>
              <w:right w:w="90" w:type="dxa"/>
            </w:tcMar>
            <w:shd w:val="clear" w:color="auto" w:fill="E5F5FF"/>
          </w:tcPr>
          <w:p>
            <w:pPr>
              <w:pStyle w:val="BDOITable"/>
            </w:pPr>
            <w:r>
              <w:rPr>
                <w:sz w:val="16"/>
              </w:rPr>
              <w:t>Client identifier</w:t>
            </w:r>
          </w:p>
        </w:tc>
        <w:tc>
          <w:tcPr>
            <w:tcW w:type="dxa" w:w="2040"/>
            <w:tcMar>
              <w:top w:w="50" w:type="dxa"/>
              <w:bottom w:w="50" w:type="dxa"/>
              <w:left w:w="90" w:type="dxa"/>
              <w:right w:w="90" w:type="dxa"/>
            </w:tcMar>
            <w:shd w:val="clear" w:color="auto" w:fill="E5F5FF"/>
          </w:tcPr>
          <w:p>
            <w:pPr>
              <w:pStyle w:val="BDOITable"/>
            </w:pPr>
            <w:r>
              <w:rPr>
                <w:sz w:val="16"/>
              </w:rPr>
              <w:t>Clients (CRM)</w:t>
            </w:r>
          </w:p>
        </w:tc>
      </w:tr>
      <w:tr>
        <w:trPr>
          <w:cantSplit w:val="true"/>
        </w:trPr>
        <w:tc>
          <w:tcPr>
            <w:tcW w:type="dxa" w:w="3739"/>
            <w:tcMar>
              <w:top w:w="50" w:type="dxa"/>
              <w:bottom w:w="50" w:type="dxa"/>
              <w:left w:w="90" w:type="dxa"/>
              <w:right w:w="90" w:type="dxa"/>
            </w:tcMar>
          </w:tcPr>
          <w:p>
            <w:pPr>
              <w:pStyle w:val="BDOITable"/>
            </w:pPr>
            <w:r>
              <w:rPr>
                <w:b/>
                <w:sz w:val="16"/>
              </w:rPr>
              <w:t>bibs.messaging.notification-requested.v1</w:t>
            </w:r>
          </w:p>
        </w:tc>
        <w:tc>
          <w:tcPr>
            <w:tcW w:type="dxa" w:w="2493"/>
            <w:tcMar>
              <w:top w:w="50" w:type="dxa"/>
              <w:bottom w:w="50" w:type="dxa"/>
              <w:left w:w="90" w:type="dxa"/>
              <w:right w:w="90" w:type="dxa"/>
            </w:tcMar>
          </w:tcPr>
          <w:p>
            <w:pPr>
              <w:pStyle w:val="BDOITable"/>
            </w:pPr>
            <w:r>
              <w:rPr>
                <w:sz w:val="16"/>
              </w:rPr>
              <w:t>E-mail or notification queued</w:t>
            </w:r>
          </w:p>
        </w:tc>
        <w:tc>
          <w:tcPr>
            <w:tcW w:type="dxa" w:w="1700"/>
            <w:tcMar>
              <w:top w:w="50" w:type="dxa"/>
              <w:bottom w:w="50" w:type="dxa"/>
              <w:left w:w="90" w:type="dxa"/>
              <w:right w:w="90" w:type="dxa"/>
            </w:tcMar>
          </w:tcPr>
          <w:p>
            <w:pPr>
              <w:pStyle w:val="BDOITable"/>
            </w:pPr>
            <w:r>
              <w:rPr>
                <w:sz w:val="16"/>
              </w:rPr>
              <w:t>Message identifier</w:t>
            </w:r>
          </w:p>
        </w:tc>
        <w:tc>
          <w:tcPr>
            <w:tcW w:type="dxa" w:w="2040"/>
            <w:tcMar>
              <w:top w:w="50" w:type="dxa"/>
              <w:bottom w:w="50" w:type="dxa"/>
              <w:left w:w="90" w:type="dxa"/>
              <w:right w:w="90" w:type="dxa"/>
            </w:tcMar>
          </w:tcPr>
          <w:p>
            <w:pPr>
              <w:pStyle w:val="BDOITable"/>
            </w:pPr>
            <w:r>
              <w:rPr>
                <w:sz w:val="16"/>
              </w:rPr>
              <w:t>Messaging</w:t>
            </w:r>
          </w:p>
        </w:tc>
      </w:tr>
      <w:tr>
        <w:trPr>
          <w:cantSplit w:val="true"/>
        </w:trPr>
        <w:tc>
          <w:tcPr>
            <w:tcW w:type="dxa" w:w="3739"/>
            <w:tcMar>
              <w:top w:w="50" w:type="dxa"/>
              <w:bottom w:w="50" w:type="dxa"/>
              <w:left w:w="90" w:type="dxa"/>
              <w:right w:w="90" w:type="dxa"/>
            </w:tcMar>
            <w:shd w:val="clear" w:color="auto" w:fill="E5F5FF"/>
          </w:tcPr>
          <w:p>
            <w:pPr>
              <w:pStyle w:val="BDOITable"/>
            </w:pPr>
            <w:r>
              <w:rPr>
                <w:b/>
                <w:sz w:val="16"/>
              </w:rPr>
              <w:t>bibs.storage.ecm-archive-requested.v1</w:t>
            </w:r>
          </w:p>
        </w:tc>
        <w:tc>
          <w:tcPr>
            <w:tcW w:type="dxa" w:w="2493"/>
            <w:tcMar>
              <w:top w:w="50" w:type="dxa"/>
              <w:bottom w:w="50" w:type="dxa"/>
              <w:left w:w="90" w:type="dxa"/>
              <w:right w:w="90" w:type="dxa"/>
            </w:tcMar>
            <w:shd w:val="clear" w:color="auto" w:fill="E5F5FF"/>
          </w:tcPr>
          <w:p>
            <w:pPr>
              <w:pStyle w:val="BDOITable"/>
            </w:pPr>
            <w:r>
              <w:rPr>
                <w:sz w:val="16"/>
              </w:rPr>
              <w:t>Final record ready for the ECM archive</w:t>
            </w:r>
          </w:p>
        </w:tc>
        <w:tc>
          <w:tcPr>
            <w:tcW w:type="dxa" w:w="1700"/>
            <w:tcMar>
              <w:top w:w="50" w:type="dxa"/>
              <w:bottom w:w="50" w:type="dxa"/>
              <w:left w:w="90" w:type="dxa"/>
              <w:right w:w="90" w:type="dxa"/>
            </w:tcMar>
            <w:shd w:val="clear" w:color="auto" w:fill="E5F5FF"/>
          </w:tcPr>
          <w:p>
            <w:pPr>
              <w:pStyle w:val="BDOITable"/>
            </w:pPr>
            <w:r>
              <w:rPr>
                <w:sz w:val="16"/>
              </w:rPr>
              <w:t>Stored file</w:t>
            </w:r>
          </w:p>
        </w:tc>
        <w:tc>
          <w:tcPr>
            <w:tcW w:type="dxa" w:w="2040"/>
            <w:tcMar>
              <w:top w:w="50" w:type="dxa"/>
              <w:bottom w:w="50" w:type="dxa"/>
              <w:left w:w="90" w:type="dxa"/>
              <w:right w:w="90" w:type="dxa"/>
            </w:tcMar>
            <w:shd w:val="clear" w:color="auto" w:fill="E5F5FF"/>
          </w:tcPr>
          <w:p>
            <w:pPr>
              <w:pStyle w:val="BDOITable"/>
            </w:pPr>
            <w:r>
              <w:rPr>
                <w:sz w:val="16"/>
              </w:rPr>
              <w:t>File storage</w:t>
            </w:r>
          </w:p>
        </w:tc>
      </w:tr>
    </w:tbl>
    <w:p>
      <w:pPr>
        <w:pStyle w:val="BDOISpacer"/>
      </w:pPr>
    </w:p>
    <w:p>
      <w:pPr>
        <w:pStyle w:val="Heading2"/>
      </w:pPr>
      <w:bookmarkStart w:id="127" w:name="_Toc000127"/>
      <w:r>
        <w:rPr/>
        <w:t>6.3 Consumers, idempotency and dead letters</w:t>
      </w:r>
      <w:bookmarkEnd w:id="127"/>
    </w:p>
    <w:p>
      <w:pPr>
        <w:pStyle w:val="Caption"/>
        <w:keepNext/>
        <w:spacing w:after="60"/>
      </w:pPr>
      <w:r>
        <w:rPr>
          <w:b/>
          <w:i w:val="0"/>
        </w:rPr>
        <w:t xml:space="preserve">Table 15: </w:t>
      </w:r>
      <w:r>
        <w:rPr/>
        <w:t>Consumer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3399"/>
        <w:gridCol w:w="45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Consumer group</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Does</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7"/>
              </w:rPr>
              <w:t>Duplicate and failure handling</w:t>
            </w:r>
          </w:p>
        </w:tc>
      </w:tr>
      <w:tr>
        <w:trPr>
          <w:cantSplit w:val="true"/>
        </w:trPr>
        <w:tc>
          <w:tcPr>
            <w:tcW w:type="dxa" w:w="2040"/>
            <w:tcMar>
              <w:top w:w="50" w:type="dxa"/>
              <w:bottom w:w="50" w:type="dxa"/>
              <w:left w:w="90" w:type="dxa"/>
              <w:right w:w="90" w:type="dxa"/>
            </w:tcMar>
          </w:tcPr>
          <w:p>
            <w:pPr>
              <w:pStyle w:val="BDOITable"/>
            </w:pPr>
            <w:r>
              <w:rPr>
                <w:b/>
                <w:sz w:val="17"/>
              </w:rPr>
              <w:t>bibs-mail-dispatch</w:t>
            </w:r>
          </w:p>
        </w:tc>
        <w:tc>
          <w:tcPr>
            <w:tcW w:type="dxa" w:w="3400"/>
            <w:tcMar>
              <w:top w:w="50" w:type="dxa"/>
              <w:bottom w:w="50" w:type="dxa"/>
              <w:left w:w="90" w:type="dxa"/>
              <w:right w:w="90" w:type="dxa"/>
            </w:tcMar>
          </w:tcPr>
          <w:p>
            <w:pPr>
              <w:pStyle w:val="BDOITable"/>
            </w:pPr>
            <w:r>
              <w:rPr>
                <w:sz w:val="17"/>
              </w:rPr>
              <w:t>Sends the queued e-mail of a notification event through CCM</w:t>
            </w:r>
          </w:p>
        </w:tc>
        <w:tc>
          <w:tcPr>
            <w:tcW w:type="dxa" w:w="4533"/>
            <w:tcMar>
              <w:top w:w="50" w:type="dxa"/>
              <w:bottom w:w="50" w:type="dxa"/>
              <w:left w:w="90" w:type="dxa"/>
              <w:right w:w="90" w:type="dxa"/>
            </w:tcMar>
          </w:tcPr>
          <w:p>
            <w:pPr>
              <w:pStyle w:val="BDOITable"/>
            </w:pPr>
            <w:r>
              <w:rPr>
                <w:sz w:val="17"/>
              </w:rPr>
              <w:t>Only messages still queued are sent, so a redelivered event sends nothing twice; a failed SMTP attempt stays queued for the mail dispatch job</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bibs-event-archive</w:t>
            </w:r>
          </w:p>
        </w:tc>
        <w:tc>
          <w:tcPr>
            <w:tcW w:type="dxa" w:w="3400"/>
            <w:tcMar>
              <w:top w:w="50" w:type="dxa"/>
              <w:bottom w:w="50" w:type="dxa"/>
              <w:left w:w="90" w:type="dxa"/>
              <w:right w:w="90" w:type="dxa"/>
            </w:tcMar>
            <w:shd w:val="clear" w:color="auto" w:fill="E5F5FF"/>
          </w:tcPr>
          <w:p>
            <w:pPr>
              <w:pStyle w:val="BDOITable"/>
            </w:pPr>
            <w:r>
              <w:rPr>
                <w:sz w:val="17"/>
              </w:rPr>
              <w:t>Stores every event envelope for traceability</w:t>
            </w:r>
          </w:p>
        </w:tc>
        <w:tc>
          <w:tcPr>
            <w:tcW w:type="dxa" w:w="4533"/>
            <w:tcMar>
              <w:top w:w="50" w:type="dxa"/>
              <w:bottom w:w="50" w:type="dxa"/>
              <w:left w:w="90" w:type="dxa"/>
              <w:right w:w="90" w:type="dxa"/>
            </w:tcMar>
            <w:shd w:val="clear" w:color="auto" w:fill="E5F5FF"/>
          </w:tcPr>
          <w:p>
            <w:pPr>
              <w:pStyle w:val="BDOITable"/>
            </w:pPr>
            <w:r>
              <w:rPr>
                <w:sz w:val="17"/>
              </w:rPr>
              <w:t>Unique event identifier: a redelivery is ignored</w:t>
            </w:r>
          </w:p>
        </w:tc>
      </w:tr>
      <w:tr>
        <w:trPr>
          <w:cantSplit w:val="true"/>
        </w:trPr>
        <w:tc>
          <w:tcPr>
            <w:tcW w:type="dxa" w:w="2040"/>
            <w:tcMar>
              <w:top w:w="50" w:type="dxa"/>
              <w:bottom w:w="50" w:type="dxa"/>
              <w:left w:w="90" w:type="dxa"/>
              <w:right w:w="90" w:type="dxa"/>
            </w:tcMar>
          </w:tcPr>
          <w:p>
            <w:pPr>
              <w:pStyle w:val="BDOITable"/>
            </w:pPr>
            <w:r>
              <w:rPr>
                <w:b/>
                <w:sz w:val="17"/>
              </w:rPr>
              <w:t>bibs-dead-letter-recorder</w:t>
            </w:r>
          </w:p>
        </w:tc>
        <w:tc>
          <w:tcPr>
            <w:tcW w:type="dxa" w:w="3400"/>
            <w:tcMar>
              <w:top w:w="50" w:type="dxa"/>
              <w:bottom w:w="50" w:type="dxa"/>
              <w:left w:w="90" w:type="dxa"/>
              <w:right w:w="90" w:type="dxa"/>
            </w:tcMar>
          </w:tcPr>
          <w:p>
            <w:pPr>
              <w:pStyle w:val="BDOITable"/>
            </w:pPr>
            <w:r>
              <w:rPr>
                <w:sz w:val="17"/>
              </w:rPr>
              <w:t>Stores records of every dead-letter topic with the original topic, consumer group and error</w:t>
            </w:r>
          </w:p>
        </w:tc>
        <w:tc>
          <w:tcPr>
            <w:tcW w:type="dxa" w:w="4533"/>
            <w:tcMar>
              <w:top w:w="50" w:type="dxa"/>
              <w:bottom w:w="50" w:type="dxa"/>
              <w:left w:w="90" w:type="dxa"/>
              <w:right w:w="90" w:type="dxa"/>
            </w:tcMar>
          </w:tcPr>
          <w:p>
            <w:pPr>
              <w:pStyle w:val="BDOITable"/>
            </w:pPr>
            <w:r>
              <w:rPr>
                <w:sz w:val="17"/>
              </w:rPr>
              <w:t>Unique position; never dead-letters itself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ECM archive connector</w:t>
            </w:r>
          </w:p>
        </w:tc>
        <w:tc>
          <w:tcPr>
            <w:tcW w:type="dxa" w:w="3400"/>
            <w:tcMar>
              <w:top w:w="50" w:type="dxa"/>
              <w:bottom w:w="50" w:type="dxa"/>
              <w:left w:w="90" w:type="dxa"/>
              <w:right w:w="90" w:type="dxa"/>
            </w:tcMar>
            <w:shd w:val="clear" w:color="auto" w:fill="E5F5FF"/>
          </w:tcPr>
          <w:p>
            <w:pPr>
              <w:pStyle w:val="BDOITable"/>
            </w:pPr>
            <w:r>
              <w:rPr>
                <w:sz w:val="17"/>
              </w:rPr>
              <w:t>Archives final records of the "archive to ECM" classes and stores the ECM reference (INT-12)</w:t>
            </w:r>
          </w:p>
        </w:tc>
        <w:tc>
          <w:tcPr>
            <w:tcW w:type="dxa" w:w="4533"/>
            <w:tcMar>
              <w:top w:w="50" w:type="dxa"/>
              <w:bottom w:w="50" w:type="dxa"/>
              <w:left w:w="90" w:type="dxa"/>
              <w:right w:w="90" w:type="dxa"/>
            </w:tcMar>
            <w:shd w:val="clear" w:color="auto" w:fill="E5F5FF"/>
          </w:tcPr>
          <w:p>
            <w:pPr>
              <w:pStyle w:val="BDOITable"/>
            </w:pPr>
            <w:r>
              <w:rPr>
                <w:sz w:val="17"/>
              </w:rPr>
              <w:t>Checks the ECM reference before sending again</w:t>
            </w:r>
          </w:p>
        </w:tc>
      </w:tr>
    </w:tbl>
    <w:p>
      <w:pPr>
        <w:pStyle w:val="BDOISpacer"/>
      </w:pPr>
    </w:p>
    <w:p>
      <w:r>
        <w:rPr/>
        <w:t>Every consumer retries a failing record three times, two seconds apart, then sends it unchanged with the error in its headers to the dead-letter topic; a malformed envelope goes there at once. The Integration Events screen (System Administrator) lists outbox rows, archived events and dead letters, and offers retry and discard. Delivery is at least once; deduplication on the event identifier makes every consumer safe to replay.</w:t>
      </w:r>
    </w:p>
    <w:p>
      <w:pPr>
        <w:pStyle w:val="Heading2"/>
      </w:pPr>
      <w:bookmarkStart w:id="128" w:name="_Toc000128"/>
      <w:r>
        <w:rPr/>
        <w:t>6.4 Behaviour under failure</w:t>
      </w:r>
      <w:bookmarkEnd w:id="128"/>
    </w:p>
    <w:p>
      <w:pPr>
        <w:pStyle w:val="Caption"/>
        <w:keepNext/>
        <w:spacing w:after="60"/>
      </w:pPr>
      <w:r>
        <w:rPr>
          <w:b/>
          <w:i w:val="0"/>
        </w:rPr>
        <w:t xml:space="preserve">Table 16: </w:t>
      </w:r>
      <w:r>
        <w:rPr/>
        <w:t>What happens when a platform service fails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33"/>
        <w:gridCol w:w="7139"/>
      </w:tblGrid>
      <w:tr>
        <w:trPr>
          <w:tblHeader w:val="true"/>
          <w:cantSplit w:val="true"/>
        </w:trPr>
        <w:tc>
          <w:tcPr>
            <w:tcW w:type="dxa" w:w="283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7139"/>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2833"/>
            <w:tcMar>
              <w:top w:w="50" w:type="dxa"/>
              <w:bottom w:w="50" w:type="dxa"/>
              <w:left w:w="90" w:type="dxa"/>
              <w:right w:w="90" w:type="dxa"/>
            </w:tcMar>
          </w:tcPr>
          <w:p>
            <w:pPr>
              <w:pStyle w:val="BDOITable"/>
            </w:pPr>
            <w:r>
              <w:rPr>
                <w:b/>
                <w:sz w:val="17"/>
              </w:rPr>
              <w:t>Kafka unreachable</w:t>
            </w:r>
          </w:p>
        </w:tc>
        <w:tc>
          <w:tcPr>
            <w:tcW w:type="dxa" w:w="7139"/>
            <w:tcMar>
              <w:top w:w="50" w:type="dxa"/>
              <w:bottom w:w="50" w:type="dxa"/>
              <w:left w:w="90" w:type="dxa"/>
              <w:right w:w="90" w:type="dxa"/>
            </w:tcMar>
          </w:tcPr>
          <w:p>
            <w:pPr>
              <w:pStyle w:val="BDOITable"/>
            </w:pPr>
            <w:r>
              <w:rPr>
                <w:sz w:val="17"/>
              </w:rPr>
              <w:t>Business transactions are not affected (they only write the outbox). Rows wait and are sent with back-off once Kafka is back; the mail dispatch job still sends queued e-mail</w:t>
            </w:r>
          </w:p>
        </w:tc>
      </w:tr>
      <w:tr>
        <w:trPr>
          <w:cantSplit w:val="true"/>
        </w:trPr>
        <w:tc>
          <w:tcPr>
            <w:tcW w:type="dxa" w:w="2833"/>
            <w:tcMar>
              <w:top w:w="50" w:type="dxa"/>
              <w:bottom w:w="50" w:type="dxa"/>
              <w:left w:w="90" w:type="dxa"/>
              <w:right w:w="90" w:type="dxa"/>
            </w:tcMar>
            <w:shd w:val="clear" w:color="auto" w:fill="E5F5FF"/>
          </w:tcPr>
          <w:p>
            <w:pPr>
              <w:pStyle w:val="BDOITable"/>
            </w:pPr>
            <w:r>
              <w:rPr>
                <w:b/>
                <w:sz w:val="17"/>
              </w:rPr>
              <w:t>A consumer keeps failing</w:t>
            </w:r>
          </w:p>
        </w:tc>
        <w:tc>
          <w:tcPr>
            <w:tcW w:type="dxa" w:w="7139"/>
            <w:tcMar>
              <w:top w:w="50" w:type="dxa"/>
              <w:bottom w:w="50" w:type="dxa"/>
              <w:left w:w="90" w:type="dxa"/>
              <w:right w:w="90" w:type="dxa"/>
            </w:tcMar>
            <w:shd w:val="clear" w:color="auto" w:fill="E5F5FF"/>
          </w:tcPr>
          <w:p>
            <w:pPr>
              <w:pStyle w:val="BDOITable"/>
            </w:pPr>
            <w:r>
              <w:rPr>
                <w:sz w:val="17"/>
              </w:rPr>
              <w:t>After the retries the record is in the dead-letter topic and on the support screen for retry or discard</w:t>
            </w:r>
          </w:p>
        </w:tc>
      </w:tr>
      <w:tr>
        <w:trPr>
          <w:cantSplit w:val="true"/>
        </w:trPr>
        <w:tc>
          <w:tcPr>
            <w:tcW w:type="dxa" w:w="2833"/>
            <w:tcMar>
              <w:top w:w="50" w:type="dxa"/>
              <w:bottom w:w="50" w:type="dxa"/>
              <w:left w:w="90" w:type="dxa"/>
              <w:right w:w="90" w:type="dxa"/>
            </w:tcMar>
          </w:tcPr>
          <w:p>
            <w:pPr>
              <w:pStyle w:val="BDOITable"/>
            </w:pPr>
            <w:r>
              <w:rPr>
                <w:b/>
                <w:sz w:val="17"/>
              </w:rPr>
              <w:t>Valkey unreachable</w:t>
            </w:r>
          </w:p>
        </w:tc>
        <w:tc>
          <w:tcPr>
            <w:tcW w:type="dxa" w:w="7139"/>
            <w:tcMar>
              <w:top w:w="50" w:type="dxa"/>
              <w:bottom w:w="50" w:type="dxa"/>
              <w:left w:w="90" w:type="dxa"/>
              <w:right w:w="90" w:type="dxa"/>
            </w:tcMar>
          </w:tcPr>
          <w:p>
            <w:pPr>
              <w:pStyle w:val="BDOITable"/>
            </w:pPr>
            <w:r>
              <w:rPr>
                <w:sz w:val="17"/>
              </w:rPr>
              <w:t>Caches read from the database; the token deny-list falls back to the session log in PostgreSQL; a job is not run without its lock and is recorded failed with an alert</w:t>
            </w:r>
          </w:p>
        </w:tc>
      </w:tr>
      <w:tr>
        <w:trPr>
          <w:cantSplit w:val="true"/>
        </w:trPr>
        <w:tc>
          <w:tcPr>
            <w:tcW w:type="dxa" w:w="2833"/>
            <w:tcMar>
              <w:top w:w="50" w:type="dxa"/>
              <w:bottom w:w="50" w:type="dxa"/>
              <w:left w:w="90" w:type="dxa"/>
              <w:right w:w="90" w:type="dxa"/>
            </w:tcMar>
            <w:shd w:val="clear" w:color="auto" w:fill="E5F5FF"/>
          </w:tcPr>
          <w:p>
            <w:pPr>
              <w:pStyle w:val="BDOITable"/>
            </w:pPr>
            <w:r>
              <w:rPr>
                <w:b/>
                <w:sz w:val="17"/>
              </w:rPr>
              <w:t>A pod dies during a job</w:t>
            </w:r>
          </w:p>
        </w:tc>
        <w:tc>
          <w:tcPr>
            <w:tcW w:type="dxa" w:w="7139"/>
            <w:tcMar>
              <w:top w:w="50" w:type="dxa"/>
              <w:bottom w:w="50" w:type="dxa"/>
              <w:left w:w="90" w:type="dxa"/>
              <w:right w:w="90" w:type="dxa"/>
            </w:tcMar>
            <w:shd w:val="clear" w:color="auto" w:fill="E5F5FF"/>
          </w:tcPr>
          <w:p>
            <w:pPr>
              <w:pStyle w:val="BDOITable"/>
            </w:pPr>
            <w:r>
              <w:rPr>
                <w:sz w:val="17"/>
              </w:rPr>
              <w:t>The lock lease expires within 2 minutes; the next run proceeds</w:t>
            </w:r>
          </w:p>
        </w:tc>
      </w:tr>
      <w:tr>
        <w:trPr>
          <w:cantSplit w:val="true"/>
        </w:trPr>
        <w:tc>
          <w:tcPr>
            <w:tcW w:type="dxa" w:w="2833"/>
            <w:tcMar>
              <w:top w:w="50" w:type="dxa"/>
              <w:bottom w:w="50" w:type="dxa"/>
              <w:left w:w="90" w:type="dxa"/>
              <w:right w:w="90" w:type="dxa"/>
            </w:tcMar>
          </w:tcPr>
          <w:p>
            <w:pPr>
              <w:pStyle w:val="BDOITable"/>
            </w:pPr>
            <w:r>
              <w:rPr>
                <w:b/>
                <w:sz w:val="17"/>
              </w:rPr>
              <w:t>DR failover</w:t>
            </w:r>
          </w:p>
        </w:tc>
        <w:tc>
          <w:tcPr>
            <w:tcW w:type="dxa" w:w="7139"/>
            <w:tcMar>
              <w:top w:w="50" w:type="dxa"/>
              <w:bottom w:w="50" w:type="dxa"/>
              <w:left w:w="90" w:type="dxa"/>
              <w:right w:w="90" w:type="dxa"/>
            </w:tcMar>
          </w:tcPr>
          <w:p>
            <w:pPr>
              <w:pStyle w:val="BDOITable"/>
            </w:pPr>
            <w:r>
              <w:rPr>
                <w:sz w:val="17"/>
              </w:rPr>
              <w:t>Kafka and Valkey are created in the DR region; events not yet delivered are resent from the outbox</w:t>
            </w:r>
          </w:p>
        </w:tc>
      </w:tr>
    </w:tbl>
    <w:p>
      <w:pPr>
        <w:pStyle w:val="BDOISpacer"/>
      </w:pPr>
    </w:p>
    <w:p>
      <w:pPr>
        <w:pStyle w:val="Heading1"/>
        <w:pBdr>
          <w:bottom w:val="single" w:sz="4" w:space="4" w:color="99C1E7"/>
        </w:pBdr>
      </w:pPr>
      <w:bookmarkStart w:id="129" w:name="_Toc000129"/>
      <w:r>
        <w:rPr/>
        <w:t>7 API-first</w:t>
      </w:r>
      <w:bookmarkEnd w:id="129"/>
    </w:p>
    <w:p>
      <w:r>
        <w:rPr/>
        <w:t>Every screen of the web client calls typed operations of the backend; nothing is done in the browser that the backend does not check again. The same operations are open to automation and testing, and the system integration operations are a separate, versioned interface published through Apigee X.</w:t>
      </w:r>
    </w:p>
    <w:p>
      <w:pPr>
        <w:tabs>
          <w:tab w:pos="312" w:val="left"/>
        </w:tabs>
        <w:spacing w:after="40"/>
        <w:ind w:left="312" w:hanging="283"/>
      </w:pPr>
      <w:r>
        <w:rPr>
          <w:color w:val="004EA8"/>
        </w:rPr>
        <w:t>•</w:t>
        <w:tab/>
      </w:r>
      <w:r>
        <w:rPr>
          <w:b/>
        </w:rPr>
        <w:t>User interface</w:t>
      </w:r>
      <w:r>
        <w:rPr/>
        <w:t xml:space="preserve"> - 1,795 operations under the prefix api/v1, plus 36 administration operations under api/v1/admin, signed in with the BIBS access token and checked per permission and data scope.</w:t>
      </w:r>
    </w:p>
    <w:p>
      <w:pPr>
        <w:tabs>
          <w:tab w:pos="312" w:val="left"/>
        </w:tabs>
        <w:spacing w:after="40"/>
        <w:ind w:left="312" w:hanging="283"/>
      </w:pPr>
      <w:r>
        <w:rPr>
          <w:color w:val="004EA8"/>
        </w:rPr>
        <w:t>•</w:t>
        <w:tab/>
      </w:r>
      <w:r>
        <w:rPr>
          <w:b/>
        </w:rPr>
        <w:t>System integration</w:t>
      </w:r>
      <w:r>
        <w:rPr/>
        <w:t xml:space="preserve"> - operations under the prefix integration/v1, served only by bibs-integration, accepting only Apigee X tokens with the scopes configured for each API (1 operation today, the connectivity check; the interfaces of the Integration Architecture are added there).</w:t>
      </w:r>
    </w:p>
    <w:p>
      <w:pPr>
        <w:tabs>
          <w:tab w:pos="312" w:val="left"/>
        </w:tabs>
        <w:spacing w:after="40"/>
        <w:ind w:left="312" w:hanging="283"/>
      </w:pPr>
      <w:r>
        <w:rPr>
          <w:color w:val="004EA8"/>
        </w:rPr>
        <w:t>•</w:t>
        <w:tab/>
      </w:r>
      <w:r>
        <w:rPr>
          <w:b/>
        </w:rPr>
        <w:t>Contract</w:t>
      </w:r>
      <w:r>
        <w:rPr/>
        <w:t xml:space="preserve"> - an OpenAPI 3 description generated from the operations (served on developer environments only; switched off in SIT, UAT and production) and exported with each release (AP-01), and the API Catalogue of 1,832 operations in 64 modules, generated from the same request mappings.</w:t>
      </w:r>
    </w:p>
    <w:p>
      <w:pPr>
        <w:tabs>
          <w:tab w:pos="312" w:val="left"/>
        </w:tabs>
        <w:spacing w:after="120"/>
        <w:ind w:left="312" w:hanging="283"/>
      </w:pPr>
      <w:r>
        <w:rPr>
          <w:color w:val="004EA8"/>
        </w:rPr>
        <w:t>•</w:t>
        <w:tab/>
      </w:r>
      <w:r>
        <w:rPr>
          <w:b/>
        </w:rPr>
        <w:t>Standards</w:t>
      </w:r>
      <w:r>
        <w:rPr/>
        <w:t xml:space="preserve"> - versioning in the path, RFC 7807 problem details with a stable error code, page and size pagination, idempotency by business reference and record version, correlation identifier (API Specification, chapter 5).</w:t>
      </w:r>
    </w:p>
    <w:p>
      <w:pPr>
        <w:pStyle w:val="Heading1"/>
        <w:pBdr>
          <w:bottom w:val="single" w:sz="4" w:space="4" w:color="99C1E7"/>
        </w:pBdr>
      </w:pPr>
      <w:bookmarkStart w:id="130" w:name="_Toc000130"/>
      <w:r>
        <w:rPr/>
        <w:t>8 Cloud-native design</w:t>
      </w:r>
      <w:bookmarkEnd w:id="130"/>
    </w:p>
    <w:p>
      <w:pPr>
        <w:pStyle w:val="Caption"/>
        <w:keepNext/>
        <w:spacing w:after="60"/>
      </w:pPr>
      <w:r>
        <w:rPr>
          <w:b/>
          <w:i w:val="0"/>
        </w:rPr>
        <w:t xml:space="preserve">Table 17: </w:t>
      </w:r>
      <w:r>
        <w:rPr/>
        <w:t>Cloud-native properties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Property</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How BIBS meets it</w:t>
            </w:r>
          </w:p>
        </w:tc>
      </w:tr>
      <w:tr>
        <w:trPr>
          <w:cantSplit w:val="true"/>
        </w:trPr>
        <w:tc>
          <w:tcPr>
            <w:tcW w:type="dxa" w:w="2266"/>
            <w:tcMar>
              <w:top w:w="50" w:type="dxa"/>
              <w:bottom w:w="50" w:type="dxa"/>
              <w:left w:w="90" w:type="dxa"/>
              <w:right w:w="90" w:type="dxa"/>
            </w:tcMar>
          </w:tcPr>
          <w:p>
            <w:pPr>
              <w:pStyle w:val="BDOITable"/>
            </w:pPr>
            <w:r>
              <w:rPr>
                <w:b/>
                <w:sz w:val="17"/>
              </w:rPr>
              <w:t>One artefact, many environments</w:t>
            </w:r>
          </w:p>
        </w:tc>
        <w:tc>
          <w:tcPr>
            <w:tcW w:type="dxa" w:w="7706"/>
            <w:tcMar>
              <w:top w:w="50" w:type="dxa"/>
              <w:bottom w:w="50" w:type="dxa"/>
              <w:left w:w="90" w:type="dxa"/>
              <w:right w:w="90" w:type="dxa"/>
            </w:tcMar>
          </w:tcPr>
          <w:p>
            <w:pPr>
              <w:pStyle w:val="BDOITable"/>
            </w:pPr>
            <w:r>
              <w:rPr>
                <w:sz w:val="17"/>
              </w:rPr>
              <w:t>Each image is packaged once and promoted by digest; only the configuration of the environment changes (Deployment Architecture, chapter 8)</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Configuration in the environment</w:t>
            </w:r>
          </w:p>
        </w:tc>
        <w:tc>
          <w:tcPr>
            <w:tcW w:type="dxa" w:w="7706"/>
            <w:tcMar>
              <w:top w:w="50" w:type="dxa"/>
              <w:bottom w:w="50" w:type="dxa"/>
              <w:left w:w="90" w:type="dxa"/>
              <w:right w:w="90" w:type="dxa"/>
            </w:tcMar>
            <w:shd w:val="clear" w:color="auto" w:fill="E5F5FF"/>
          </w:tcPr>
          <w:p>
            <w:pPr>
              <w:pStyle w:val="BDOITable"/>
            </w:pPr>
            <w:r>
              <w:rPr>
                <w:sz w:val="17"/>
              </w:rPr>
              <w:t>All settings are environment variables; secrets come from AWS Secrets Manager; the defaults of the package are for developer machines only</w:t>
            </w:r>
          </w:p>
        </w:tc>
      </w:tr>
      <w:tr>
        <w:trPr>
          <w:cantSplit w:val="true"/>
        </w:trPr>
        <w:tc>
          <w:tcPr>
            <w:tcW w:type="dxa" w:w="2266"/>
            <w:tcMar>
              <w:top w:w="50" w:type="dxa"/>
              <w:bottom w:w="50" w:type="dxa"/>
              <w:left w:w="90" w:type="dxa"/>
              <w:right w:w="90" w:type="dxa"/>
            </w:tcMar>
          </w:tcPr>
          <w:p>
            <w:pPr>
              <w:pStyle w:val="BDOITable"/>
            </w:pPr>
            <w:r>
              <w:rPr>
                <w:b/>
                <w:sz w:val="17"/>
              </w:rPr>
              <w:t>Stateless processes</w:t>
            </w:r>
          </w:p>
        </w:tc>
        <w:tc>
          <w:tcPr>
            <w:tcW w:type="dxa" w:w="7706"/>
            <w:tcMar>
              <w:top w:w="50" w:type="dxa"/>
              <w:bottom w:w="50" w:type="dxa"/>
              <w:left w:w="90" w:type="dxa"/>
              <w:right w:w="90" w:type="dxa"/>
            </w:tcMar>
          </w:tcPr>
          <w:p>
            <w:pPr>
              <w:pStyle w:val="BDOITable"/>
            </w:pPr>
            <w:r>
              <w:rPr>
                <w:sz w:val="17"/>
              </w:rPr>
              <w:t>No session in the pods: short-lived access token, refresh cookie bound to a session in PostgreSQL, deny-list in Valkey; files in S3; any pod can serve any request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Disposability</w:t>
            </w:r>
          </w:p>
        </w:tc>
        <w:tc>
          <w:tcPr>
            <w:tcW w:type="dxa" w:w="7706"/>
            <w:tcMar>
              <w:top w:w="50" w:type="dxa"/>
              <w:bottom w:w="50" w:type="dxa"/>
              <w:left w:w="90" w:type="dxa"/>
              <w:right w:w="90" w:type="dxa"/>
            </w:tcMar>
            <w:shd w:val="clear" w:color="auto" w:fill="E5F5FF"/>
          </w:tcPr>
          <w:p>
            <w:pPr>
              <w:pStyle w:val="BDOITable"/>
            </w:pPr>
            <w:r>
              <w:rPr>
                <w:sz w:val="17"/>
              </w:rPr>
              <w:t>Startup, readiness and liveness probes; graceful shutdown with a pre-stop pause so the load balancer drains a pod first; jobs finish their unit of work within a 120-second grace period</w:t>
            </w:r>
          </w:p>
        </w:tc>
      </w:tr>
      <w:tr>
        <w:trPr>
          <w:cantSplit w:val="true"/>
        </w:trPr>
        <w:tc>
          <w:tcPr>
            <w:tcW w:type="dxa" w:w="2266"/>
            <w:tcMar>
              <w:top w:w="50" w:type="dxa"/>
              <w:bottom w:w="50" w:type="dxa"/>
              <w:left w:w="90" w:type="dxa"/>
              <w:right w:w="90" w:type="dxa"/>
            </w:tcMar>
          </w:tcPr>
          <w:p>
            <w:pPr>
              <w:pStyle w:val="BDOITable"/>
            </w:pPr>
            <w:r>
              <w:rPr>
                <w:b/>
                <w:sz w:val="17"/>
              </w:rPr>
              <w:t>Horizontal scaling</w:t>
            </w:r>
          </w:p>
        </w:tc>
        <w:tc>
          <w:tcPr>
            <w:tcW w:type="dxa" w:w="7706"/>
            <w:tcMar>
              <w:top w:w="50" w:type="dxa"/>
              <w:bottom w:w="50" w:type="dxa"/>
              <w:left w:w="90" w:type="dxa"/>
              <w:right w:w="90" w:type="dxa"/>
            </w:tcMar>
          </w:tcPr>
          <w:p>
            <w:pPr>
              <w:pStyle w:val="BDOITable"/>
            </w:pPr>
            <w:r>
              <w:rPr>
                <w:sz w:val="17"/>
              </w:rPr>
              <w:t>Horizontal Pod Autoscaler on bibs-web and bibs-frontend; fixed, separately sized bibs-jobs and bibs-integration; cluster autoscaling of nodes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Backing services as attached resources</w:t>
            </w:r>
          </w:p>
        </w:tc>
        <w:tc>
          <w:tcPr>
            <w:tcW w:type="dxa" w:w="7706"/>
            <w:tcMar>
              <w:top w:w="50" w:type="dxa"/>
              <w:bottom w:w="50" w:type="dxa"/>
              <w:left w:w="90" w:type="dxa"/>
              <w:right w:w="90" w:type="dxa"/>
            </w:tcMar>
            <w:shd w:val="clear" w:color="auto" w:fill="E5F5FF"/>
          </w:tcPr>
          <w:p>
            <w:pPr>
              <w:pStyle w:val="BDOITable"/>
            </w:pPr>
            <w:r>
              <w:rPr>
                <w:sz w:val="17"/>
              </w:rPr>
              <w:t>PostgreSQL, Valkey, Kafka, S3 and the SMTP relay are reached by address and credentials from the environment, with TLS</w:t>
            </w:r>
          </w:p>
        </w:tc>
      </w:tr>
      <w:tr>
        <w:trPr>
          <w:cantSplit w:val="true"/>
        </w:trPr>
        <w:tc>
          <w:tcPr>
            <w:tcW w:type="dxa" w:w="2266"/>
            <w:tcMar>
              <w:top w:w="50" w:type="dxa"/>
              <w:bottom w:w="50" w:type="dxa"/>
              <w:left w:w="90" w:type="dxa"/>
              <w:right w:w="90" w:type="dxa"/>
            </w:tcMar>
          </w:tcPr>
          <w:p>
            <w:pPr>
              <w:pStyle w:val="BDOITable"/>
            </w:pPr>
            <w:r>
              <w:rPr>
                <w:b/>
                <w:sz w:val="17"/>
              </w:rPr>
              <w:t>Schema with the release</w:t>
            </w:r>
          </w:p>
        </w:tc>
        <w:tc>
          <w:tcPr>
            <w:tcW w:type="dxa" w:w="7706"/>
            <w:tcMar>
              <w:top w:w="50" w:type="dxa"/>
              <w:bottom w:w="50" w:type="dxa"/>
              <w:left w:w="90" w:type="dxa"/>
              <w:right w:w="90" w:type="dxa"/>
            </w:tcMar>
          </w:tcPr>
          <w:p>
            <w:pPr>
              <w:pStyle w:val="BDOITable"/>
            </w:pPr>
            <w:r>
              <w:rPr>
                <w:sz w:val="17"/>
              </w:rPr>
              <w:t>Versioned schema migrations applied at start-up by the schema owner login; the application runs with a least-privilege login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Observability</w:t>
            </w:r>
          </w:p>
        </w:tc>
        <w:tc>
          <w:tcPr>
            <w:tcW w:type="dxa" w:w="7706"/>
            <w:tcMar>
              <w:top w:w="50" w:type="dxa"/>
              <w:bottom w:w="50" w:type="dxa"/>
              <w:left w:w="90" w:type="dxa"/>
              <w:right w:w="90" w:type="dxa"/>
            </w:tcMar>
            <w:shd w:val="clear" w:color="auto" w:fill="E5F5FF"/>
          </w:tcPr>
          <w:p>
            <w:pPr>
              <w:pStyle w:val="BDOITable"/>
            </w:pPr>
            <w:r>
              <w:rPr>
                <w:sz w:val="17"/>
              </w:rPr>
              <w:t>Prometheus metrics on a separate management port, structured console logs with correlation identifiers, health indicators of every backing service</w:t>
            </w:r>
          </w:p>
        </w:tc>
      </w:tr>
      <w:tr>
        <w:trPr>
          <w:cantSplit w:val="true"/>
        </w:trPr>
        <w:tc>
          <w:tcPr>
            <w:tcW w:type="dxa" w:w="2266"/>
            <w:tcMar>
              <w:top w:w="50" w:type="dxa"/>
              <w:bottom w:w="50" w:type="dxa"/>
              <w:left w:w="90" w:type="dxa"/>
              <w:right w:w="90" w:type="dxa"/>
            </w:tcMar>
          </w:tcPr>
          <w:p>
            <w:pPr>
              <w:pStyle w:val="BDOITable"/>
            </w:pPr>
            <w:r>
              <w:rPr>
                <w:b/>
                <w:sz w:val="17"/>
              </w:rPr>
              <w:t>Least privilege</w:t>
            </w:r>
          </w:p>
        </w:tc>
        <w:tc>
          <w:tcPr>
            <w:tcW w:type="dxa" w:w="7706"/>
            <w:tcMar>
              <w:top w:w="50" w:type="dxa"/>
              <w:bottom w:w="50" w:type="dxa"/>
              <w:left w:w="90" w:type="dxa"/>
              <w:right w:w="90" w:type="dxa"/>
            </w:tcMar>
          </w:tcPr>
          <w:p>
            <w:pPr>
              <w:pStyle w:val="BDOITable"/>
            </w:pPr>
            <w:r>
              <w:rPr>
                <w:sz w:val="17"/>
              </w:rPr>
              <w:t>Non-root containers with read-only file systems and no capabilities; one IAM role per workload (IRSA); network policies deny by default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Immutable, scanned images</w:t>
            </w:r>
          </w:p>
        </w:tc>
        <w:tc>
          <w:tcPr>
            <w:tcW w:type="dxa" w:w="7706"/>
            <w:tcMar>
              <w:top w:w="50" w:type="dxa"/>
              <w:bottom w:w="50" w:type="dxa"/>
              <w:left w:w="90" w:type="dxa"/>
              <w:right w:w="90" w:type="dxa"/>
            </w:tcMar>
            <w:shd w:val="clear" w:color="auto" w:fill="E5F5FF"/>
          </w:tcPr>
          <w:p>
            <w:pPr>
              <w:pStyle w:val="BDOITable"/>
            </w:pPr>
            <w:r>
              <w:rPr>
                <w:sz w:val="17"/>
              </w:rPr>
              <w:t>Pinned base images by digest; Trivy scan before push; SBOM per image</w:t>
            </w:r>
          </w:p>
        </w:tc>
      </w:tr>
    </w:tbl>
    <w:p>
      <w:pPr>
        <w:pStyle w:val="BDOISpacer"/>
      </w:pPr>
    </w:p>
    <w:p>
      <w:pPr>
        <w:pStyle w:val="Heading1"/>
        <w:pBdr>
          <w:bottom w:val="single" w:sz="4" w:space="4" w:color="99C1E7"/>
        </w:pBdr>
      </w:pPr>
      <w:bookmarkStart w:id="131" w:name="_Toc000131"/>
      <w:r>
        <w:rPr/>
        <w:t>9 Configurable business rules</w:t>
      </w:r>
      <w:bookmarkEnd w:id="131"/>
    </w:p>
    <w:p>
      <w:pPr>
        <w:pStyle w:val="Heading2"/>
      </w:pPr>
      <w:bookmarkStart w:id="132" w:name="_Toc000132"/>
      <w:r>
        <w:rPr/>
        <w:t>9.1 Where business rules are configured</w:t>
      </w:r>
      <w:bookmarkEnd w:id="132"/>
    </w:p>
    <w:p>
      <w:r>
        <w:rPr/>
        <w:t>BIBS keeps business rules out of the program logic (ADR-19). A rule a business owner may need to change lives in data, is maintained on a screen by the role that owns it, and is audited; masters are authorized by a second user (maker-checker). A missing value stops the action with the code PARAMETER_NOT_SET instead of falling back to a coded value.</w:t>
      </w:r>
    </w:p>
    <w:p>
      <w:pPr>
        <w:pStyle w:val="Caption"/>
        <w:keepNext/>
        <w:spacing w:after="60"/>
      </w:pPr>
      <w:r>
        <w:rPr>
          <w:b/>
          <w:i w:val="0"/>
        </w:rPr>
        <w:t xml:space="preserve">Table 18: </w:t>
      </w:r>
      <w:r>
        <w:rPr/>
        <w:t>Configuration layers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3739"/>
        <w:gridCol w:w="2266"/>
        <w:gridCol w:w="192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6"/>
              </w:rPr>
              <w:t>Layer</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6"/>
              </w:rPr>
              <w:t>What is configured</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Where and by whom</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Control</w:t>
            </w:r>
          </w:p>
        </w:tc>
      </w:tr>
      <w:tr>
        <w:trPr>
          <w:cantSplit w:val="true"/>
        </w:trPr>
        <w:tc>
          <w:tcPr>
            <w:tcW w:type="dxa" w:w="2040"/>
            <w:tcMar>
              <w:top w:w="50" w:type="dxa"/>
              <w:bottom w:w="50" w:type="dxa"/>
              <w:left w:w="90" w:type="dxa"/>
              <w:right w:w="90" w:type="dxa"/>
            </w:tcMar>
          </w:tcPr>
          <w:p>
            <w:pPr>
              <w:pStyle w:val="BDOITable"/>
            </w:pPr>
            <w:r>
              <w:rPr>
                <w:b/>
                <w:sz w:val="16"/>
              </w:rPr>
              <w:t>System parameters</w:t>
            </w:r>
          </w:p>
        </w:tc>
        <w:tc>
          <w:tcPr>
            <w:tcW w:type="dxa" w:w="3739"/>
            <w:tcMar>
              <w:top w:w="50" w:type="dxa"/>
              <w:bottom w:w="50" w:type="dxa"/>
              <w:left w:w="90" w:type="dxa"/>
              <w:right w:w="90" w:type="dxa"/>
            </w:tcMar>
          </w:tcPr>
          <w:p>
            <w:pPr>
              <w:pStyle w:val="BDOITable"/>
            </w:pPr>
            <w:r>
              <w:rPr>
                <w:sz w:val="16"/>
              </w:rPr>
              <w:t>More than 200 parameters in 25 categories (security, broking, renewal, operations, collections, EB, screening, migration and others): limits, tolerances, days, switches, sender addresses, link validity</w:t>
            </w:r>
          </w:p>
        </w:tc>
        <w:tc>
          <w:tcPr>
            <w:tcW w:type="dxa" w:w="2266"/>
            <w:tcMar>
              <w:top w:w="50" w:type="dxa"/>
              <w:bottom w:w="50" w:type="dxa"/>
              <w:left w:w="90" w:type="dxa"/>
              <w:right w:w="90" w:type="dxa"/>
            </w:tcMar>
          </w:tcPr>
          <w:p>
            <w:pPr>
              <w:pStyle w:val="BDOITable"/>
            </w:pPr>
            <w:r>
              <w:rPr>
                <w:sz w:val="16"/>
              </w:rPr>
              <w:t>Administration › System Parameters; System Administrator; business administrators per category</w:t>
            </w:r>
          </w:p>
        </w:tc>
        <w:tc>
          <w:tcPr>
            <w:tcW w:type="dxa" w:w="1926"/>
            <w:tcMar>
              <w:top w:w="50" w:type="dxa"/>
              <w:bottom w:w="50" w:type="dxa"/>
              <w:left w:w="90" w:type="dxa"/>
              <w:right w:w="90" w:type="dxa"/>
            </w:tcMar>
          </w:tcPr>
          <w:p>
            <w:pPr>
              <w:pStyle w:val="BDOITable"/>
            </w:pPr>
            <w:r>
              <w:rPr>
                <w:sz w:val="16"/>
              </w:rPr>
              <w:t>Value type and range checked; security parameters need a second approval; every change audited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6"/>
              </w:rPr>
              <w:t>Lists of values</w:t>
            </w:r>
          </w:p>
        </w:tc>
        <w:tc>
          <w:tcPr>
            <w:tcW w:type="dxa" w:w="3739"/>
            <w:tcMar>
              <w:top w:w="50" w:type="dxa"/>
              <w:bottom w:w="50" w:type="dxa"/>
              <w:left w:w="90" w:type="dxa"/>
              <w:right w:w="90" w:type="dxa"/>
            </w:tcMar>
            <w:shd w:val="clear" w:color="auto" w:fill="E5F5FF"/>
          </w:tcPr>
          <w:p>
            <w:pPr>
              <w:pStyle w:val="BDOITable"/>
            </w:pPr>
            <w:r>
              <w:rPr>
                <w:sz w:val="16"/>
              </w:rPr>
              <w:t>134 list types with 854 values: reasons, statuses, document types, segments, channels; effectivity dates and parent-child lists</w:t>
            </w:r>
          </w:p>
        </w:tc>
        <w:tc>
          <w:tcPr>
            <w:tcW w:type="dxa" w:w="2266"/>
            <w:tcMar>
              <w:top w:w="50" w:type="dxa"/>
              <w:bottom w:w="50" w:type="dxa"/>
              <w:left w:w="90" w:type="dxa"/>
              <w:right w:w="90" w:type="dxa"/>
            </w:tcMar>
            <w:shd w:val="clear" w:color="auto" w:fill="E5F5FF"/>
          </w:tcPr>
          <w:p>
            <w:pPr>
              <w:pStyle w:val="BDOITable"/>
            </w:pPr>
            <w:r>
              <w:rPr>
                <w:sz w:val="16"/>
              </w:rPr>
              <w:t>Administration › Lists of Values; the owner permission of each list</w:t>
            </w:r>
          </w:p>
        </w:tc>
        <w:tc>
          <w:tcPr>
            <w:tcW w:type="dxa" w:w="1926"/>
            <w:tcMar>
              <w:top w:w="50" w:type="dxa"/>
              <w:bottom w:w="50" w:type="dxa"/>
              <w:left w:w="90" w:type="dxa"/>
              <w:right w:w="90" w:type="dxa"/>
            </w:tcMar>
            <w:shd w:val="clear" w:color="auto" w:fill="E5F5FF"/>
          </w:tcPr>
          <w:p>
            <w:pPr>
              <w:pStyle w:val="BDOITable"/>
            </w:pPr>
            <w:r>
              <w:rPr>
                <w:sz w:val="16"/>
              </w:rPr>
              <w:t>Maker-checker; the maker never authorizes</w:t>
            </w:r>
          </w:p>
        </w:tc>
      </w:tr>
      <w:tr>
        <w:trPr>
          <w:cantSplit w:val="true"/>
        </w:trPr>
        <w:tc>
          <w:tcPr>
            <w:tcW w:type="dxa" w:w="2040"/>
            <w:tcMar>
              <w:top w:w="50" w:type="dxa"/>
              <w:bottom w:w="50" w:type="dxa"/>
              <w:left w:w="90" w:type="dxa"/>
              <w:right w:w="90" w:type="dxa"/>
            </w:tcMar>
          </w:tcPr>
          <w:p>
            <w:pPr>
              <w:pStyle w:val="BDOITable"/>
            </w:pPr>
            <w:r>
              <w:rPr>
                <w:b/>
                <w:sz w:val="16"/>
              </w:rPr>
              <w:t>Rule tables</w:t>
            </w:r>
          </w:p>
        </w:tc>
        <w:tc>
          <w:tcPr>
            <w:tcW w:type="dxa" w:w="3739"/>
            <w:tcMar>
              <w:top w:w="50" w:type="dxa"/>
              <w:bottom w:w="50" w:type="dxa"/>
              <w:left w:w="90" w:type="dxa"/>
              <w:right w:w="90" w:type="dxa"/>
            </w:tcMar>
          </w:tcPr>
          <w:p>
            <w:pPr>
              <w:pStyle w:val="BDOITable"/>
            </w:pPr>
            <w:r>
              <w:rPr>
                <w:sz w:val="16"/>
              </w:rPr>
              <w:t>Accounting rules and cost-centre rules; TSU routing, minimum-field matrix, document rules, rate tables and rate-scheme exceptions; payment gate rules; auto-book and incentive rules; disposition and minimal-balance rules; collection assignment and escalation rules; renewal bucket and decision rules; submitted-policy rules and limits; screening match, risk, assignment, SLA and validation rules; EB threshold rules; service fee rules; retention rules; separation-of-duties rules; migration mapping, survivorship and masking rules</w:t>
            </w:r>
          </w:p>
        </w:tc>
        <w:tc>
          <w:tcPr>
            <w:tcW w:type="dxa" w:w="2266"/>
            <w:tcMar>
              <w:top w:w="50" w:type="dxa"/>
              <w:bottom w:w="50" w:type="dxa"/>
              <w:left w:w="90" w:type="dxa"/>
              <w:right w:w="90" w:type="dxa"/>
            </w:tcMar>
          </w:tcPr>
          <w:p>
            <w:pPr>
              <w:pStyle w:val="BDOITable"/>
            </w:pPr>
            <w:r>
              <w:rPr>
                <w:sz w:val="16"/>
              </w:rPr>
              <w:t>The setup screens of each module; the module's administrator role</w:t>
            </w:r>
          </w:p>
        </w:tc>
        <w:tc>
          <w:tcPr>
            <w:tcW w:type="dxa" w:w="1926"/>
            <w:tcMar>
              <w:top w:w="50" w:type="dxa"/>
              <w:bottom w:w="50" w:type="dxa"/>
              <w:left w:w="90" w:type="dxa"/>
              <w:right w:w="90" w:type="dxa"/>
            </w:tcMar>
          </w:tcPr>
          <w:p>
            <w:pPr>
              <w:pStyle w:val="BDOITable"/>
            </w:pPr>
            <w:r>
              <w:rPr>
                <w:sz w:val="16"/>
              </w:rPr>
              <w:t>Maker-checker; effectivity dates; simulator for accounting rules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6"/>
              </w:rPr>
              <w:t>Workflow configuration</w:t>
            </w:r>
          </w:p>
        </w:tc>
        <w:tc>
          <w:tcPr>
            <w:tcW w:type="dxa" w:w="3739"/>
            <w:tcMar>
              <w:top w:w="50" w:type="dxa"/>
              <w:bottom w:w="50" w:type="dxa"/>
              <w:left w:w="90" w:type="dxa"/>
              <w:right w:w="90" w:type="dxa"/>
            </w:tcMar>
            <w:shd w:val="clear" w:color="auto" w:fill="E5F5FF"/>
          </w:tcPr>
          <w:p>
            <w:pPr>
              <w:pStyle w:val="BDOITable"/>
            </w:pPr>
            <w:r>
              <w:rPr>
                <w:sz w:val="16"/>
              </w:rPr>
              <w:t>42 workflows with 292 stages and 459 transitions: stage owner permission, SLA hours, allowed actions, permission per action, reason list</w:t>
            </w:r>
          </w:p>
        </w:tc>
        <w:tc>
          <w:tcPr>
            <w:tcW w:type="dxa" w:w="2266"/>
            <w:tcMar>
              <w:top w:w="50" w:type="dxa"/>
              <w:bottom w:w="50" w:type="dxa"/>
              <w:left w:w="90" w:type="dxa"/>
              <w:right w:w="90" w:type="dxa"/>
            </w:tcMar>
            <w:shd w:val="clear" w:color="auto" w:fill="E5F5FF"/>
          </w:tcPr>
          <w:p>
            <w:pPr>
              <w:pStyle w:val="BDOITable"/>
            </w:pPr>
            <w:r>
              <w:rPr>
                <w:sz w:val="16"/>
              </w:rPr>
              <w:t>Workflow definitions delivered with each module and maintained as data</w:t>
            </w:r>
          </w:p>
        </w:tc>
        <w:tc>
          <w:tcPr>
            <w:tcW w:type="dxa" w:w="1926"/>
            <w:tcMar>
              <w:top w:w="50" w:type="dxa"/>
              <w:bottom w:w="50" w:type="dxa"/>
              <w:left w:w="90" w:type="dxa"/>
              <w:right w:w="90" w:type="dxa"/>
            </w:tcMar>
            <w:shd w:val="clear" w:color="auto" w:fill="E5F5FF"/>
          </w:tcPr>
          <w:p>
            <w:pPr>
              <w:pStyle w:val="BDOITable"/>
            </w:pPr>
            <w:r>
              <w:rPr>
                <w:sz w:val="16"/>
              </w:rPr>
              <w:t>Changes are versioned with the release that carries them and audited</w:t>
            </w:r>
          </w:p>
        </w:tc>
      </w:tr>
      <w:tr>
        <w:trPr>
          <w:cantSplit w:val="true"/>
        </w:trPr>
        <w:tc>
          <w:tcPr>
            <w:tcW w:type="dxa" w:w="2040"/>
            <w:tcMar>
              <w:top w:w="50" w:type="dxa"/>
              <w:bottom w:w="50" w:type="dxa"/>
              <w:left w:w="90" w:type="dxa"/>
              <w:right w:w="90" w:type="dxa"/>
            </w:tcMar>
          </w:tcPr>
          <w:p>
            <w:pPr>
              <w:pStyle w:val="BDOITable"/>
            </w:pPr>
            <w:r>
              <w:rPr>
                <w:b/>
                <w:sz w:val="16"/>
              </w:rPr>
              <w:t>Exception codes and alerts</w:t>
            </w:r>
          </w:p>
        </w:tc>
        <w:tc>
          <w:tcPr>
            <w:tcW w:type="dxa" w:w="3739"/>
            <w:tcMar>
              <w:top w:w="50" w:type="dxa"/>
              <w:bottom w:w="50" w:type="dxa"/>
              <w:left w:w="90" w:type="dxa"/>
              <w:right w:w="90" w:type="dxa"/>
            </w:tcMar>
          </w:tcPr>
          <w:p>
            <w:pPr>
              <w:pStyle w:val="BDOITable"/>
            </w:pPr>
            <w:r>
              <w:rPr>
                <w:sz w:val="16"/>
              </w:rPr>
              <w:t>About 80 exception codes with severity, amount and day thresholds, per module</w:t>
            </w:r>
          </w:p>
        </w:tc>
        <w:tc>
          <w:tcPr>
            <w:tcW w:type="dxa" w:w="2266"/>
            <w:tcMar>
              <w:top w:w="50" w:type="dxa"/>
              <w:bottom w:w="50" w:type="dxa"/>
              <w:left w:w="90" w:type="dxa"/>
              <w:right w:w="90" w:type="dxa"/>
            </w:tcMar>
          </w:tcPr>
          <w:p>
            <w:pPr>
              <w:pStyle w:val="BDOITable"/>
            </w:pPr>
            <w:r>
              <w:rPr>
                <w:sz w:val="16"/>
              </w:rPr>
              <w:t>Administration › Exception Codes</w:t>
            </w:r>
          </w:p>
        </w:tc>
        <w:tc>
          <w:tcPr>
            <w:tcW w:type="dxa" w:w="1926"/>
            <w:tcMar>
              <w:top w:w="50" w:type="dxa"/>
              <w:bottom w:w="50" w:type="dxa"/>
              <w:left w:w="90" w:type="dxa"/>
              <w:right w:w="90" w:type="dxa"/>
            </w:tcMar>
          </w:tcPr>
          <w:p>
            <w:pPr>
              <w:pStyle w:val="BDOITable"/>
            </w:pPr>
            <w:r>
              <w:rPr>
                <w:sz w:val="16"/>
              </w:rPr>
              <w:t>Audited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6"/>
              </w:rPr>
              <w:t>Notifications</w:t>
            </w:r>
          </w:p>
        </w:tc>
        <w:tc>
          <w:tcPr>
            <w:tcW w:type="dxa" w:w="3739"/>
            <w:tcMar>
              <w:top w:w="50" w:type="dxa"/>
              <w:bottom w:w="50" w:type="dxa"/>
              <w:left w:w="90" w:type="dxa"/>
              <w:right w:w="90" w:type="dxa"/>
            </w:tcMar>
            <w:shd w:val="clear" w:color="auto" w:fill="E5F5FF"/>
          </w:tcPr>
          <w:p>
            <w:pPr>
              <w:pStyle w:val="BDOITable"/>
            </w:pPr>
            <w:r>
              <w:rPr>
                <w:sz w:val="16"/>
              </w:rPr>
              <w:t>90 notification events with default channels (in-app, e-mail) and user preferences</w:t>
            </w:r>
          </w:p>
        </w:tc>
        <w:tc>
          <w:tcPr>
            <w:tcW w:type="dxa" w:w="2266"/>
            <w:tcMar>
              <w:top w:w="50" w:type="dxa"/>
              <w:bottom w:w="50" w:type="dxa"/>
              <w:left w:w="90" w:type="dxa"/>
              <w:right w:w="90" w:type="dxa"/>
            </w:tcMar>
            <w:shd w:val="clear" w:color="auto" w:fill="E5F5FF"/>
          </w:tcPr>
          <w:p>
            <w:pPr>
              <w:pStyle w:val="BDOITable"/>
            </w:pPr>
            <w:r>
              <w:rPr>
                <w:sz w:val="16"/>
              </w:rPr>
              <w:t>Administration › Notifications; each user for preferences</w:t>
            </w:r>
          </w:p>
        </w:tc>
        <w:tc>
          <w:tcPr>
            <w:tcW w:type="dxa" w:w="1926"/>
            <w:tcMar>
              <w:top w:w="50" w:type="dxa"/>
              <w:bottom w:w="50" w:type="dxa"/>
              <w:left w:w="90" w:type="dxa"/>
              <w:right w:w="90" w:type="dxa"/>
            </w:tcMar>
            <w:shd w:val="clear" w:color="auto" w:fill="E5F5FF"/>
          </w:tcPr>
          <w:p>
            <w:pPr>
              <w:pStyle w:val="BDOITable"/>
            </w:pPr>
            <w:r>
              <w:rPr>
                <w:sz w:val="16"/>
              </w:rPr>
              <w:t>Audited</w:t>
            </w:r>
          </w:p>
        </w:tc>
      </w:tr>
      <w:tr>
        <w:trPr>
          <w:cantSplit w:val="true"/>
        </w:trPr>
        <w:tc>
          <w:tcPr>
            <w:tcW w:type="dxa" w:w="2040"/>
            <w:tcMar>
              <w:top w:w="50" w:type="dxa"/>
              <w:bottom w:w="50" w:type="dxa"/>
              <w:left w:w="90" w:type="dxa"/>
              <w:right w:w="90" w:type="dxa"/>
            </w:tcMar>
          </w:tcPr>
          <w:p>
            <w:pPr>
              <w:pStyle w:val="BDOITable"/>
            </w:pPr>
            <w:r>
              <w:rPr>
                <w:b/>
                <w:sz w:val="16"/>
              </w:rPr>
              <w:t>Document templates</w:t>
            </w:r>
          </w:p>
        </w:tc>
        <w:tc>
          <w:tcPr>
            <w:tcW w:type="dxa" w:w="3739"/>
            <w:tcMar>
              <w:top w:w="50" w:type="dxa"/>
              <w:bottom w:w="50" w:type="dxa"/>
              <w:left w:w="90" w:type="dxa"/>
              <w:right w:w="90" w:type="dxa"/>
            </w:tcMar>
          </w:tcPr>
          <w:p>
            <w:pPr>
              <w:pStyle w:val="BDOITable"/>
            </w:pPr>
            <w:r>
              <w:rPr>
                <w:sz w:val="16"/>
              </w:rPr>
              <w:t>62 versioned templates (slips, advices, letters, invoices) with placeholders and effectivity</w:t>
            </w:r>
          </w:p>
        </w:tc>
        <w:tc>
          <w:tcPr>
            <w:tcW w:type="dxa" w:w="2266"/>
            <w:tcMar>
              <w:top w:w="50" w:type="dxa"/>
              <w:bottom w:w="50" w:type="dxa"/>
              <w:left w:w="90" w:type="dxa"/>
              <w:right w:w="90" w:type="dxa"/>
            </w:tcMar>
          </w:tcPr>
          <w:p>
            <w:pPr>
              <w:pStyle w:val="BDOITable"/>
            </w:pPr>
            <w:r>
              <w:rPr>
                <w:sz w:val="16"/>
              </w:rPr>
              <w:t>Administration › Document Templates</w:t>
            </w:r>
          </w:p>
        </w:tc>
        <w:tc>
          <w:tcPr>
            <w:tcW w:type="dxa" w:w="1926"/>
            <w:tcMar>
              <w:top w:w="50" w:type="dxa"/>
              <w:bottom w:w="50" w:type="dxa"/>
              <w:left w:w="90" w:type="dxa"/>
              <w:right w:w="90" w:type="dxa"/>
            </w:tcMar>
          </w:tcPr>
          <w:p>
            <w:pPr>
              <w:pStyle w:val="BDOITable"/>
            </w:pPr>
            <w:r>
              <w:rPr>
                <w:sz w:val="16"/>
              </w:rPr>
              <w:t>Versioned; effectivity dates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6"/>
              </w:rPr>
              <w:t>Record classes and retention</w:t>
            </w:r>
          </w:p>
        </w:tc>
        <w:tc>
          <w:tcPr>
            <w:tcW w:type="dxa" w:w="3739"/>
            <w:tcMar>
              <w:top w:w="50" w:type="dxa"/>
              <w:bottom w:w="50" w:type="dxa"/>
              <w:left w:w="90" w:type="dxa"/>
              <w:right w:w="90" w:type="dxa"/>
            </w:tcMar>
            <w:shd w:val="clear" w:color="auto" w:fill="E5F5FF"/>
          </w:tcPr>
          <w:p>
            <w:pPr>
              <w:pStyle w:val="BDOITable"/>
            </w:pPr>
            <w:r>
              <w:rPr>
                <w:sz w:val="16"/>
              </w:rPr>
              <w:t>Retention per record type (years online and in archive), legal hold, archive-to-ECM classes</w:t>
            </w:r>
          </w:p>
        </w:tc>
        <w:tc>
          <w:tcPr>
            <w:tcW w:type="dxa" w:w="2266"/>
            <w:tcMar>
              <w:top w:w="50" w:type="dxa"/>
              <w:bottom w:w="50" w:type="dxa"/>
              <w:left w:w="90" w:type="dxa"/>
              <w:right w:w="90" w:type="dxa"/>
            </w:tcMar>
            <w:shd w:val="clear" w:color="auto" w:fill="E5F5FF"/>
          </w:tcPr>
          <w:p>
            <w:pPr>
              <w:pStyle w:val="BDOITable"/>
            </w:pPr>
            <w:r>
              <w:rPr>
                <w:sz w:val="16"/>
              </w:rPr>
              <w:t>Administration › Retention; the DOA roles for legal hold</w:t>
            </w:r>
          </w:p>
        </w:tc>
        <w:tc>
          <w:tcPr>
            <w:tcW w:type="dxa" w:w="1926"/>
            <w:tcMar>
              <w:top w:w="50" w:type="dxa"/>
              <w:bottom w:w="50" w:type="dxa"/>
              <w:left w:w="90" w:type="dxa"/>
              <w:right w:w="90" w:type="dxa"/>
            </w:tcMar>
            <w:shd w:val="clear" w:color="auto" w:fill="E5F5FF"/>
          </w:tcPr>
          <w:p>
            <w:pPr>
              <w:pStyle w:val="BDOITable"/>
            </w:pPr>
            <w:r>
              <w:rPr>
                <w:sz w:val="16"/>
              </w:rPr>
              <w:t>Changes by the DOA approvers only; audited</w:t>
            </w:r>
          </w:p>
        </w:tc>
      </w:tr>
      <w:tr>
        <w:trPr>
          <w:cantSplit w:val="true"/>
        </w:trPr>
        <w:tc>
          <w:tcPr>
            <w:tcW w:type="dxa" w:w="2040"/>
            <w:tcMar>
              <w:top w:w="50" w:type="dxa"/>
              <w:bottom w:w="50" w:type="dxa"/>
              <w:left w:w="90" w:type="dxa"/>
              <w:right w:w="90" w:type="dxa"/>
            </w:tcMar>
          </w:tcPr>
          <w:p>
            <w:pPr>
              <w:pStyle w:val="BDOITable"/>
            </w:pPr>
            <w:r>
              <w:rPr>
                <w:b/>
                <w:sz w:val="16"/>
              </w:rPr>
              <w:t>Job schedules</w:t>
            </w:r>
          </w:p>
        </w:tc>
        <w:tc>
          <w:tcPr>
            <w:tcW w:type="dxa" w:w="3739"/>
            <w:tcMar>
              <w:top w:w="50" w:type="dxa"/>
              <w:bottom w:w="50" w:type="dxa"/>
              <w:left w:w="90" w:type="dxa"/>
              <w:right w:w="90" w:type="dxa"/>
            </w:tcMar>
          </w:tcPr>
          <w:p>
            <w:pPr>
              <w:pStyle w:val="BDOITable"/>
            </w:pPr>
            <w:r>
              <w:rPr>
                <w:sz w:val="16"/>
              </w:rPr>
              <w:t>Time of every scheduled job (for example 20:00 booking batch and remittance extraction, 22:15 to 23:00 collection runs, 05:00 application file)</w:t>
            </w:r>
          </w:p>
        </w:tc>
        <w:tc>
          <w:tcPr>
            <w:tcW w:type="dxa" w:w="2266"/>
            <w:tcMar>
              <w:top w:w="50" w:type="dxa"/>
              <w:bottom w:w="50" w:type="dxa"/>
              <w:left w:w="90" w:type="dxa"/>
              <w:right w:w="90" w:type="dxa"/>
            </w:tcMar>
          </w:tcPr>
          <w:p>
            <w:pPr>
              <w:pStyle w:val="BDOITable"/>
            </w:pPr>
            <w:r>
              <w:rPr>
                <w:sz w:val="16"/>
              </w:rPr>
              <w:t>Deployment settings per environment (UTC cron); run now from the Scheduled Jobs monitor</w:t>
            </w:r>
          </w:p>
        </w:tc>
        <w:tc>
          <w:tcPr>
            <w:tcW w:type="dxa" w:w="1926"/>
            <w:tcMar>
              <w:top w:w="50" w:type="dxa"/>
              <w:bottom w:w="50" w:type="dxa"/>
              <w:left w:w="90" w:type="dxa"/>
              <w:right w:w="90" w:type="dxa"/>
            </w:tcMar>
          </w:tcPr>
          <w:p>
            <w:pPr>
              <w:pStyle w:val="BDOITable"/>
            </w:pPr>
            <w:r>
              <w:rPr>
                <w:sz w:val="16"/>
              </w:rPr>
              <w:t>Release record; non-production times moved into working hours by configuration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6"/>
              </w:rPr>
              <w:t>Client profile and theme</w:t>
            </w:r>
          </w:p>
        </w:tc>
        <w:tc>
          <w:tcPr>
            <w:tcW w:type="dxa" w:w="3739"/>
            <w:tcMar>
              <w:top w:w="50" w:type="dxa"/>
              <w:bottom w:w="50" w:type="dxa"/>
              <w:left w:w="90" w:type="dxa"/>
              <w:right w:w="90" w:type="dxa"/>
            </w:tcMar>
            <w:shd w:val="clear" w:color="auto" w:fill="E5F5FF"/>
          </w:tcPr>
          <w:p>
            <w:pPr>
              <w:pStyle w:val="BDOITable"/>
            </w:pPr>
            <w:r>
              <w:rPr>
                <w:sz w:val="16"/>
              </w:rPr>
              <w:t>Legal name, short name, group name, document logo, head office code, base currency, default bank account; system name, logo and colours of the theme pack</w:t>
            </w:r>
          </w:p>
        </w:tc>
        <w:tc>
          <w:tcPr>
            <w:tcW w:type="dxa" w:w="2266"/>
            <w:tcMar>
              <w:top w:w="50" w:type="dxa"/>
              <w:bottom w:w="50" w:type="dxa"/>
              <w:left w:w="90" w:type="dxa"/>
              <w:right w:w="90" w:type="dxa"/>
            </w:tcMar>
            <w:shd w:val="clear" w:color="auto" w:fill="E5F5FF"/>
          </w:tcPr>
          <w:p>
            <w:pPr>
              <w:pStyle w:val="BDOITable"/>
            </w:pPr>
            <w:r>
              <w:rPr>
                <w:sz w:val="16"/>
              </w:rPr>
              <w:t>Setup › Companies (client profile); theme pack chosen at packaging time</w:t>
            </w:r>
          </w:p>
        </w:tc>
        <w:tc>
          <w:tcPr>
            <w:tcW w:type="dxa" w:w="1926"/>
            <w:tcMar>
              <w:top w:w="50" w:type="dxa"/>
              <w:bottom w:w="50" w:type="dxa"/>
              <w:left w:w="90" w:type="dxa"/>
              <w:right w:w="90" w:type="dxa"/>
            </w:tcMar>
            <w:shd w:val="clear" w:color="auto" w:fill="E5F5FF"/>
          </w:tcPr>
          <w:p>
            <w:pPr>
              <w:pStyle w:val="BDOITable"/>
            </w:pPr>
            <w:r>
              <w:rPr>
                <w:sz w:val="16"/>
              </w:rPr>
              <w:t>Maker-checker on the company</w:t>
            </w:r>
          </w:p>
        </w:tc>
      </w:tr>
    </w:tbl>
    <w:p>
      <w:pPr>
        <w:pStyle w:val="BDOISpacer"/>
      </w:pPr>
    </w:p>
    <w:p>
      <w:pPr>
        <w:pStyle w:val="Heading2"/>
      </w:pPr>
      <w:bookmarkStart w:id="133" w:name="_Toc000133"/>
      <w:r>
        <w:rPr/>
        <w:t>9.2 What stays in the program logic</w:t>
      </w:r>
      <w:bookmarkEnd w:id="133"/>
    </w:p>
    <w:p>
      <w:r>
        <w:rPr/>
        <w:t>Technical limits, scales and algorithm constants are not business rules and stay in the program logic after review: field lengths and list sizes, rate scales and percent bounds, date-range limits of files and screens (for example a payment notification covers at most 31 days), the client-matching scores of data migration, and the default values that the platform seeds into parameters. The client neutrality check of the pipeline refuses any client name or currency code in platform logic of the backend and the web client.</w:t>
      </w:r>
    </w:p>
    <w:p>
      <w:pPr>
        <w:pStyle w:val="Heading2"/>
      </w:pPr>
      <w:bookmarkStart w:id="134" w:name="_Toc000134"/>
      <w:r>
        <w:rPr/>
        <w:t>9.3 How configuration reaches production</w:t>
      </w:r>
      <w:bookmarkEnd w:id="134"/>
    </w:p>
    <w:p>
      <w:r>
        <w:rPr/>
        <w:t>Configuration values are part of the release record. For each drop the configuration inputs workbook lists every parameter, list, rule table, event and template with its owner, its route into production (seeded with the release, loaded by template, or entered on screen in production) and the sign-off. Values entered in UAT are not copied to production by database copy; they follow the same route.</w:t>
      </w:r>
    </w:p>
    <w:p>
      <w:pPr>
        <w:pStyle w:val="Heading1"/>
        <w:pBdr>
          <w:bottom w:val="single" w:sz="4" w:space="4" w:color="99C1E7"/>
        </w:pBdr>
      </w:pPr>
      <w:bookmarkStart w:id="135" w:name="_Toc000135"/>
      <w:r>
        <w:rPr/>
        <w:t>10 Multi-company, multi-product, multi-channel and multi-country readiness</w:t>
      </w:r>
      <w:bookmarkEnd w:id="135"/>
    </w:p>
    <w:p>
      <w:pPr>
        <w:pStyle w:val="Caption"/>
        <w:keepNext/>
        <w:spacing w:after="60"/>
      </w:pPr>
      <w:r>
        <w:rPr>
          <w:b/>
          <w:i w:val="0"/>
        </w:rPr>
        <w:t xml:space="preserve">Table 19: </w:t>
      </w:r>
      <w:r>
        <w:rPr/>
        <w:t>Readiness for more companies, branches, products, channels and countries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4193"/>
        <w:gridCol w:w="4079"/>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6"/>
              </w:rPr>
              <w:t>Dimension</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6"/>
              </w:rPr>
              <w:t>How BIBS supports it</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6"/>
              </w:rPr>
              <w:t>Limits and open points</w:t>
            </w:r>
          </w:p>
        </w:tc>
      </w:tr>
      <w:tr>
        <w:trPr>
          <w:cantSplit w:val="true"/>
        </w:trPr>
        <w:tc>
          <w:tcPr>
            <w:tcW w:type="dxa" w:w="1700"/>
            <w:tcMar>
              <w:top w:w="50" w:type="dxa"/>
              <w:bottom w:w="50" w:type="dxa"/>
              <w:left w:w="90" w:type="dxa"/>
              <w:right w:w="90" w:type="dxa"/>
            </w:tcMar>
          </w:tcPr>
          <w:p>
            <w:pPr>
              <w:pStyle w:val="BDOITable"/>
            </w:pPr>
            <w:r>
              <w:rPr>
                <w:b/>
                <w:sz w:val="16"/>
              </w:rPr>
              <w:t>Multi-company</w:t>
            </w:r>
          </w:p>
        </w:tc>
        <w:tc>
          <w:tcPr>
            <w:tcW w:type="dxa" w:w="4193"/>
            <w:tcMar>
              <w:top w:w="50" w:type="dxa"/>
              <w:bottom w:w="50" w:type="dxa"/>
              <w:left w:w="90" w:type="dxa"/>
              <w:right w:w="90" w:type="dxa"/>
            </w:tcMar>
          </w:tcPr>
          <w:p>
            <w:pPr>
              <w:pStyle w:val="BDOITable"/>
            </w:pPr>
            <w:r>
              <w:rPr>
                <w:sz w:val="16"/>
              </w:rPr>
              <w:t>Every business record carries its company; masters, numbering series, chart of accounts, periods and reports are per company; consolidated reporting reads across companies in one database</w:t>
            </w:r>
          </w:p>
        </w:tc>
        <w:tc>
          <w:tcPr>
            <w:tcW w:type="dxa" w:w="4079"/>
            <w:tcMar>
              <w:top w:w="50" w:type="dxa"/>
              <w:bottom w:w="50" w:type="dxa"/>
              <w:left w:w="90" w:type="dxa"/>
              <w:right w:w="90" w:type="dxa"/>
            </w:tcMar>
          </w:tcPr>
          <w:p>
            <w:pPr>
              <w:pStyle w:val="BDOITable"/>
            </w:pPr>
            <w:r>
              <w:rPr>
                <w:sz w:val="16"/>
              </w:rPr>
              <w:t>New company: set-up order company, branches, currencies, chart of accounts, dimensions, periods, parties, accounting rules, users (runbook)</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Multi-branch</w:t>
            </w:r>
          </w:p>
        </w:tc>
        <w:tc>
          <w:tcPr>
            <w:tcW w:type="dxa" w:w="4193"/>
            <w:tcMar>
              <w:top w:w="50" w:type="dxa"/>
              <w:bottom w:w="50" w:type="dxa"/>
              <w:left w:w="90" w:type="dxa"/>
              <w:right w:w="90" w:type="dxa"/>
            </w:tcMar>
            <w:shd w:val="clear" w:color="auto" w:fill="E5F5FF"/>
          </w:tcPr>
          <w:p>
            <w:pPr>
              <w:pStyle w:val="BDOITable"/>
            </w:pPr>
            <w:r>
              <w:rPr>
                <w:sz w:val="16"/>
              </w:rPr>
              <w:t>Branches (office master) per company with holiday calendars; branch on every transaction where the BRD needs it; reports by branch and unit</w:t>
            </w:r>
          </w:p>
        </w:tc>
        <w:tc>
          <w:tcPr>
            <w:tcW w:type="dxa" w:w="4079"/>
            <w:tcMar>
              <w:top w:w="50" w:type="dxa"/>
              <w:bottom w:w="50" w:type="dxa"/>
              <w:left w:w="90" w:type="dxa"/>
              <w:right w:w="90" w:type="dxa"/>
            </w:tcMar>
            <w:shd w:val="clear" w:color="auto" w:fill="E5F5FF"/>
          </w:tcPr>
          <w:p>
            <w:pPr>
              <w:pStyle w:val="BDOITable"/>
            </w:pPr>
            <w:r>
              <w:rPr>
                <w:sz w:val="16"/>
              </w:rPr>
              <w:t>Whether branch scope filters company-wide reports (SA-04)</w:t>
            </w:r>
          </w:p>
        </w:tc>
      </w:tr>
      <w:tr>
        <w:trPr>
          <w:cantSplit w:val="true"/>
        </w:trPr>
        <w:tc>
          <w:tcPr>
            <w:tcW w:type="dxa" w:w="1700"/>
            <w:tcMar>
              <w:top w:w="50" w:type="dxa"/>
              <w:bottom w:w="50" w:type="dxa"/>
              <w:left w:w="90" w:type="dxa"/>
              <w:right w:w="90" w:type="dxa"/>
            </w:tcMar>
          </w:tcPr>
          <w:p>
            <w:pPr>
              <w:pStyle w:val="BDOITable"/>
            </w:pPr>
            <w:r>
              <w:rPr>
                <w:b/>
                <w:sz w:val="16"/>
              </w:rPr>
              <w:t>Data scope</w:t>
            </w:r>
          </w:p>
        </w:tc>
        <w:tc>
          <w:tcPr>
            <w:tcW w:type="dxa" w:w="4193"/>
            <w:tcMar>
              <w:top w:w="50" w:type="dxa"/>
              <w:bottom w:w="50" w:type="dxa"/>
              <w:left w:w="90" w:type="dxa"/>
              <w:right w:w="90" w:type="dxa"/>
            </w:tcMar>
          </w:tcPr>
          <w:p>
            <w:pPr>
              <w:pStyle w:val="BDOITable"/>
            </w:pPr>
            <w:r>
              <w:rPr>
                <w:sz w:val="16"/>
              </w:rPr>
              <w:t>Users act only for the companies and branches of their scope; checked centrally (ADR-08)</w:t>
            </w:r>
          </w:p>
        </w:tc>
        <w:tc>
          <w:tcPr>
            <w:tcW w:type="dxa" w:w="4079"/>
            <w:tcMar>
              <w:top w:w="50" w:type="dxa"/>
              <w:bottom w:w="50" w:type="dxa"/>
              <w:left w:w="90" w:type="dxa"/>
              <w:right w:w="90" w:type="dxa"/>
            </w:tcMar>
          </w:tcPr>
          <w:p>
            <w:pPr>
              <w:pStyle w:val="BDOITable"/>
            </w:pPr>
            <w:r>
              <w:rPr>
                <w:sz w:val="16"/>
              </w:rPr>
              <w:t>Default "all companies" for every user until an administrator narrows it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Multi-product</w:t>
            </w:r>
          </w:p>
        </w:tc>
        <w:tc>
          <w:tcPr>
            <w:tcW w:type="dxa" w:w="4193"/>
            <w:tcMar>
              <w:top w:w="50" w:type="dxa"/>
              <w:bottom w:w="50" w:type="dxa"/>
              <w:left w:w="90" w:type="dxa"/>
              <w:right w:w="90" w:type="dxa"/>
            </w:tcMar>
            <w:shd w:val="clear" w:color="auto" w:fill="E5F5FF"/>
          </w:tcPr>
          <w:p>
            <w:pPr>
              <w:pStyle w:val="BDOITable"/>
            </w:pPr>
            <w:r>
              <w:rPr>
                <w:sz w:val="16"/>
              </w:rPr>
              <w:t>Product lines, cover types, BDOI risk products and package versions with validity periods; rate, commission and tax tables; minimum-field matrix and TSU routing per product - all data</w:t>
            </w:r>
          </w:p>
        </w:tc>
        <w:tc>
          <w:tcPr>
            <w:tcW w:type="dxa" w:w="4079"/>
            <w:tcMar>
              <w:top w:w="50" w:type="dxa"/>
              <w:bottom w:w="50" w:type="dxa"/>
              <w:left w:w="90" w:type="dxa"/>
              <w:right w:w="90" w:type="dxa"/>
            </w:tcMar>
            <w:shd w:val="clear" w:color="auto" w:fill="E5F5FF"/>
          </w:tcPr>
          <w:p>
            <w:pPr>
              <w:pStyle w:val="BDOITable"/>
            </w:pPr>
            <w:r>
              <w:rPr>
                <w:sz w:val="16"/>
              </w:rPr>
              <w:t>A new line of business needs its accounting rules and document templates configured</w:t>
            </w:r>
          </w:p>
        </w:tc>
      </w:tr>
      <w:tr>
        <w:trPr>
          <w:cantSplit w:val="true"/>
        </w:trPr>
        <w:tc>
          <w:tcPr>
            <w:tcW w:type="dxa" w:w="1700"/>
            <w:tcMar>
              <w:top w:w="50" w:type="dxa"/>
              <w:bottom w:w="50" w:type="dxa"/>
              <w:left w:w="90" w:type="dxa"/>
              <w:right w:w="90" w:type="dxa"/>
            </w:tcMar>
          </w:tcPr>
          <w:p>
            <w:pPr>
              <w:pStyle w:val="BDOITable"/>
            </w:pPr>
            <w:r>
              <w:rPr>
                <w:b/>
                <w:sz w:val="16"/>
              </w:rPr>
              <w:t>Multi-channel</w:t>
            </w:r>
          </w:p>
        </w:tc>
        <w:tc>
          <w:tcPr>
            <w:tcW w:type="dxa" w:w="4193"/>
            <w:tcMar>
              <w:top w:w="50" w:type="dxa"/>
              <w:bottom w:w="50" w:type="dxa"/>
              <w:left w:w="90" w:type="dxa"/>
              <w:right w:w="90" w:type="dxa"/>
            </w:tcMar>
          </w:tcPr>
          <w:p>
            <w:pPr>
              <w:pStyle w:val="BDOITable"/>
            </w:pPr>
            <w:r>
              <w:rPr>
                <w:sz w:val="16"/>
              </w:rPr>
              <w:t>Web client for users; system integration interface through Apigee X; file channels for banks, loans, insurers and BDOI units; e-mail through CCM; in-app notifications</w:t>
            </w:r>
          </w:p>
        </w:tc>
        <w:tc>
          <w:tcPr>
            <w:tcW w:type="dxa" w:w="4079"/>
            <w:tcMar>
              <w:top w:w="50" w:type="dxa"/>
              <w:bottom w:w="50" w:type="dxa"/>
              <w:left w:w="90" w:type="dxa"/>
              <w:right w:w="90" w:type="dxa"/>
            </w:tcMar>
          </w:tcPr>
          <w:p>
            <w:pPr>
              <w:pStyle w:val="BDOITable"/>
            </w:pPr>
            <w:r>
              <w:rPr>
                <w:sz w:val="16"/>
              </w:rPr>
              <w:t>SMS is not required by any BRD; it would be a further messaging channel (IN-05)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Multi-currency</w:t>
            </w:r>
          </w:p>
        </w:tc>
        <w:tc>
          <w:tcPr>
            <w:tcW w:type="dxa" w:w="4193"/>
            <w:tcMar>
              <w:top w:w="50" w:type="dxa"/>
              <w:bottom w:w="50" w:type="dxa"/>
              <w:left w:w="90" w:type="dxa"/>
              <w:right w:w="90" w:type="dxa"/>
            </w:tcMar>
            <w:shd w:val="clear" w:color="auto" w:fill="E5F5FF"/>
          </w:tcPr>
          <w:p>
            <w:pPr>
              <w:pStyle w:val="BDOITable"/>
            </w:pPr>
            <w:r>
              <w:rPr>
                <w:sz w:val="16"/>
              </w:rPr>
              <w:t>Currency master, rate types and dated exchange rates; base and transaction currency on every accounting line; rounding differences corrected deterministically; base currency per company</w:t>
            </w:r>
          </w:p>
        </w:tc>
        <w:tc>
          <w:tcPr>
            <w:tcW w:type="dxa" w:w="4079"/>
            <w:tcMar>
              <w:top w:w="50" w:type="dxa"/>
              <w:bottom w:w="50" w:type="dxa"/>
              <w:left w:w="90" w:type="dxa"/>
              <w:right w:w="90" w:type="dxa"/>
            </w:tcMar>
            <w:shd w:val="clear" w:color="auto" w:fill="E5F5FF"/>
          </w:tcPr>
          <w:p>
            <w:pPr>
              <w:pStyle w:val="BDOITable"/>
            </w:pPr>
            <w:r>
              <w:rPr>
                <w:sz w:val="16"/>
              </w:rPr>
              <w:t>Revaluation rules per currency configured by Accounting</w:t>
            </w:r>
          </w:p>
        </w:tc>
      </w:tr>
      <w:tr>
        <w:trPr>
          <w:cantSplit w:val="true"/>
        </w:trPr>
        <w:tc>
          <w:tcPr>
            <w:tcW w:type="dxa" w:w="1700"/>
            <w:tcMar>
              <w:top w:w="50" w:type="dxa"/>
              <w:bottom w:w="50" w:type="dxa"/>
              <w:left w:w="90" w:type="dxa"/>
              <w:right w:w="90" w:type="dxa"/>
            </w:tcMar>
          </w:tcPr>
          <w:p>
            <w:pPr>
              <w:pStyle w:val="BDOITable"/>
            </w:pPr>
            <w:r>
              <w:rPr>
                <w:b/>
                <w:sz w:val="16"/>
              </w:rPr>
              <w:t>Taxes</w:t>
            </w:r>
          </w:p>
        </w:tc>
        <w:tc>
          <w:tcPr>
            <w:tcW w:type="dxa" w:w="4193"/>
            <w:tcMar>
              <w:top w:w="50" w:type="dxa"/>
              <w:bottom w:w="50" w:type="dxa"/>
              <w:left w:w="90" w:type="dxa"/>
              <w:right w:w="90" w:type="dxa"/>
            </w:tcMar>
          </w:tcPr>
          <w:p>
            <w:pPr>
              <w:pStyle w:val="BDOITable"/>
            </w:pPr>
            <w:r>
              <w:rPr>
                <w:sz w:val="16"/>
              </w:rPr>
              <w:t>Tax codes per company with rates and dates (VAT, EWT by ATC, DST); tax forms as master data (frequency, due rule, accounts); BIR certificates and returns of the broker</w:t>
            </w:r>
          </w:p>
        </w:tc>
        <w:tc>
          <w:tcPr>
            <w:tcW w:type="dxa" w:w="4079"/>
            <w:tcMar>
              <w:top w:w="50" w:type="dxa"/>
              <w:bottom w:w="50" w:type="dxa"/>
              <w:left w:w="90" w:type="dxa"/>
              <w:right w:w="90" w:type="dxa"/>
            </w:tcMar>
          </w:tcPr>
          <w:p>
            <w:pPr>
              <w:pStyle w:val="BDOITable"/>
            </w:pPr>
            <w:r>
              <w:rPr>
                <w:sz w:val="16"/>
              </w:rPr>
              <w:t>Other countries' forms need their own form definitions and reports</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Time zone and calendar</w:t>
            </w:r>
          </w:p>
        </w:tc>
        <w:tc>
          <w:tcPr>
            <w:tcW w:type="dxa" w:w="4193"/>
            <w:tcMar>
              <w:top w:w="50" w:type="dxa"/>
              <w:bottom w:w="50" w:type="dxa"/>
              <w:left w:w="90" w:type="dxa"/>
              <w:right w:w="90" w:type="dxa"/>
            </w:tcMar>
            <w:shd w:val="clear" w:color="auto" w:fill="E5F5FF"/>
          </w:tcPr>
          <w:p>
            <w:pPr>
              <w:pStyle w:val="BDOITable"/>
            </w:pPr>
            <w:r>
              <w:rPr>
                <w:sz w:val="16"/>
              </w:rPr>
              <w:t>Business zone setting (Asia/Manila) for "today", cut-offs, periods and job dates; timestamps in UTC; holiday calendars per branch</w:t>
            </w:r>
          </w:p>
        </w:tc>
        <w:tc>
          <w:tcPr>
            <w:tcW w:type="dxa" w:w="4079"/>
            <w:tcMar>
              <w:top w:w="50" w:type="dxa"/>
              <w:bottom w:w="50" w:type="dxa"/>
              <w:left w:w="90" w:type="dxa"/>
              <w:right w:w="90" w:type="dxa"/>
            </w:tcMar>
            <w:shd w:val="clear" w:color="auto" w:fill="E5F5FF"/>
          </w:tcPr>
          <w:p>
            <w:pPr>
              <w:pStyle w:val="BDOITable"/>
            </w:pPr>
            <w:r>
              <w:rPr>
                <w:sz w:val="16"/>
              </w:rPr>
              <w:t>One business zone per deployment</w:t>
            </w:r>
          </w:p>
        </w:tc>
      </w:tr>
      <w:tr>
        <w:trPr>
          <w:cantSplit w:val="true"/>
        </w:trPr>
        <w:tc>
          <w:tcPr>
            <w:tcW w:type="dxa" w:w="1700"/>
            <w:tcMar>
              <w:top w:w="50" w:type="dxa"/>
              <w:bottom w:w="50" w:type="dxa"/>
              <w:left w:w="90" w:type="dxa"/>
              <w:right w:w="90" w:type="dxa"/>
            </w:tcMar>
          </w:tcPr>
          <w:p>
            <w:pPr>
              <w:pStyle w:val="BDOITable"/>
            </w:pPr>
            <w:r>
              <w:rPr>
                <w:b/>
                <w:sz w:val="16"/>
              </w:rPr>
              <w:t>Languages</w:t>
            </w:r>
          </w:p>
        </w:tc>
        <w:tc>
          <w:tcPr>
            <w:tcW w:type="dxa" w:w="4193"/>
            <w:tcMar>
              <w:top w:w="50" w:type="dxa"/>
              <w:bottom w:w="50" w:type="dxa"/>
              <w:left w:w="90" w:type="dxa"/>
              <w:right w:w="90" w:type="dxa"/>
            </w:tcMar>
          </w:tcPr>
          <w:p>
            <w:pPr>
              <w:pStyle w:val="BDOITable"/>
            </w:pPr>
            <w:r>
              <w:rPr>
                <w:sz w:val="16"/>
              </w:rPr>
              <w:t>English, the language of the BRDs; dates and amounts formatted in one place for the locale (dd-MMM-yyyy, thousands separators); user-facing texts kept in one place per module</w:t>
            </w:r>
          </w:p>
        </w:tc>
        <w:tc>
          <w:tcPr>
            <w:tcW w:type="dxa" w:w="4079"/>
            <w:tcMar>
              <w:top w:w="50" w:type="dxa"/>
              <w:bottom w:w="50" w:type="dxa"/>
              <w:left w:w="90" w:type="dxa"/>
              <w:right w:w="90" w:type="dxa"/>
            </w:tcMar>
          </w:tcPr>
          <w:p>
            <w:pPr>
              <w:pStyle w:val="BDOITable"/>
            </w:pPr>
            <w:r>
              <w:rPr>
                <w:sz w:val="16"/>
              </w:rPr>
              <w:t>A second screen language is a change request (SA-06)</w:t>
            </w:r>
          </w:p>
        </w:tc>
      </w:tr>
      <w:tr>
        <w:trPr>
          <w:cantSplit w:val="true"/>
        </w:trPr>
        <w:tc>
          <w:tcPr>
            <w:tcW w:type="dxa" w:w="1700"/>
            <w:tcMar>
              <w:top w:w="50" w:type="dxa"/>
              <w:bottom w:w="50" w:type="dxa"/>
              <w:left w:w="90" w:type="dxa"/>
              <w:right w:w="90" w:type="dxa"/>
            </w:tcMar>
            <w:shd w:val="clear" w:color="auto" w:fill="E5F5FF"/>
          </w:tcPr>
          <w:p>
            <w:pPr>
              <w:pStyle w:val="BDOITable"/>
            </w:pPr>
            <w:r>
              <w:rPr>
                <w:b/>
                <w:sz w:val="16"/>
              </w:rPr>
              <w:t>Client identity</w:t>
            </w:r>
          </w:p>
        </w:tc>
        <w:tc>
          <w:tcPr>
            <w:tcW w:type="dxa" w:w="4193"/>
            <w:tcMar>
              <w:top w:w="50" w:type="dxa"/>
              <w:bottom w:w="50" w:type="dxa"/>
              <w:left w:w="90" w:type="dxa"/>
              <w:right w:w="90" w:type="dxa"/>
            </w:tcMar>
            <w:shd w:val="clear" w:color="auto" w:fill="E5F5FF"/>
          </w:tcPr>
          <w:p>
            <w:pPr>
              <w:pStyle w:val="BDOITable"/>
            </w:pPr>
            <w:r>
              <w:rPr>
                <w:sz w:val="16"/>
              </w:rPr>
              <w:t>Client profile and theme pack (system name, logos, colours); no client name in platform logic</w:t>
            </w:r>
          </w:p>
        </w:tc>
        <w:tc>
          <w:tcPr>
            <w:tcW w:type="dxa" w:w="4079"/>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1"/>
        <w:pBdr>
          <w:bottom w:val="single" w:sz="4" w:space="4" w:color="99C1E7"/>
        </w:pBdr>
      </w:pPr>
      <w:bookmarkStart w:id="136" w:name="_Toc000136"/>
      <w:r>
        <w:rPr/>
        <w:t>11 Quality attributes</w:t>
      </w:r>
      <w:bookmarkEnd w:id="136"/>
    </w:p>
    <w:p>
      <w:pPr>
        <w:pStyle w:val="Caption"/>
        <w:keepNext/>
        <w:spacing w:after="60"/>
      </w:pPr>
      <w:r>
        <w:rPr>
          <w:b/>
          <w:i w:val="0"/>
        </w:rPr>
        <w:t xml:space="preserve">Table 20: </w:t>
      </w:r>
      <w:r>
        <w:rPr/>
        <w:t>Quality attributes and how they are met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73"/>
        <w:gridCol w:w="2493"/>
        <w:gridCol w:w="6006"/>
      </w:tblGrid>
      <w:tr>
        <w:trPr>
          <w:tblHeader w:val="true"/>
          <w:cantSplit w:val="true"/>
        </w:trPr>
        <w:tc>
          <w:tcPr>
            <w:tcW w:type="dxa" w:w="1473"/>
            <w:shd w:val="clear" w:color="auto" w:fill="004EA8"/>
            <w:tcMar>
              <w:top w:w="50" w:type="dxa"/>
              <w:bottom w:w="50" w:type="dxa"/>
              <w:left w:w="90" w:type="dxa"/>
              <w:right w:w="90" w:type="dxa"/>
            </w:tcMar>
            <w:vAlign w:val="center"/>
          </w:tcPr>
          <w:p>
            <w:pPr>
              <w:pStyle w:val="BDOITableHeader"/>
            </w:pPr>
            <w:r>
              <w:rPr>
                <w:b/>
                <w:color w:val="FFFFFF"/>
                <w:sz w:val="16"/>
              </w:rPr>
              <w:t>Attribute</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6006"/>
            <w:shd w:val="clear" w:color="auto" w:fill="004EA8"/>
            <w:tcMar>
              <w:top w:w="50" w:type="dxa"/>
              <w:bottom w:w="50" w:type="dxa"/>
              <w:left w:w="90" w:type="dxa"/>
              <w:right w:w="90" w:type="dxa"/>
            </w:tcMar>
            <w:vAlign w:val="center"/>
          </w:tcPr>
          <w:p>
            <w:pPr>
              <w:pStyle w:val="BDOITableHeader"/>
            </w:pPr>
            <w:r>
              <w:rPr>
                <w:b/>
                <w:color w:val="FFFFFF"/>
                <w:sz w:val="16"/>
              </w:rPr>
              <w:t>How it is met</w:t>
            </w:r>
          </w:p>
        </w:tc>
      </w:tr>
      <w:tr>
        <w:trPr>
          <w:cantSplit w:val="true"/>
        </w:trPr>
        <w:tc>
          <w:tcPr>
            <w:tcW w:type="dxa" w:w="1473"/>
            <w:tcMar>
              <w:top w:w="50" w:type="dxa"/>
              <w:bottom w:w="50" w:type="dxa"/>
              <w:left w:w="90" w:type="dxa"/>
              <w:right w:w="90" w:type="dxa"/>
            </w:tcMar>
          </w:tcPr>
          <w:p>
            <w:pPr>
              <w:pStyle w:val="BDOITable"/>
            </w:pPr>
            <w:r>
              <w:rPr>
                <w:b/>
                <w:sz w:val="16"/>
              </w:rPr>
              <w:t>Performance</w:t>
            </w:r>
          </w:p>
        </w:tc>
        <w:tc>
          <w:tcPr>
            <w:tcW w:type="dxa" w:w="2493"/>
            <w:tcMar>
              <w:top w:w="50" w:type="dxa"/>
              <w:bottom w:w="50" w:type="dxa"/>
              <w:left w:w="90" w:type="dxa"/>
              <w:right w:w="90" w:type="dxa"/>
            </w:tcMar>
          </w:tcPr>
          <w:p>
            <w:pPr>
              <w:pStyle w:val="BDOITable"/>
            </w:pPr>
            <w:r>
              <w:rPr>
                <w:sz w:val="16"/>
              </w:rPr>
              <w:t>Screens p95 under 2 s; every role under 5 s; reports per BRD</w:t>
            </w:r>
          </w:p>
        </w:tc>
        <w:tc>
          <w:tcPr>
            <w:tcW w:type="dxa" w:w="6006"/>
            <w:tcMar>
              <w:top w:w="50" w:type="dxa"/>
              <w:bottom w:w="50" w:type="dxa"/>
              <w:left w:w="90" w:type="dxa"/>
              <w:right w:w="90" w:type="dxa"/>
            </w:tcMar>
          </w:tcPr>
          <w:p>
            <w:pPr>
              <w:pStyle w:val="BDOITable"/>
            </w:pPr>
            <w:r>
              <w:rPr>
                <w:sz w:val="16"/>
              </w:rPr>
              <w:t>Reference-data cache on Valkey; daily balances for trial balances and statements; paged lists; reports and extracts run as jobs with results in S3; downloads by presigned link, not through the pods; performance test at 429 concurrent sessions on Pre-Prod (Nov - Dec 2027)</w:t>
            </w:r>
          </w:p>
        </w:tc>
      </w:tr>
      <w:tr>
        <w:trPr>
          <w:cantSplit w:val="true"/>
        </w:trPr>
        <w:tc>
          <w:tcPr>
            <w:tcW w:type="dxa" w:w="1473"/>
            <w:tcMar>
              <w:top w:w="50" w:type="dxa"/>
              <w:bottom w:w="50" w:type="dxa"/>
              <w:left w:w="90" w:type="dxa"/>
              <w:right w:w="90" w:type="dxa"/>
            </w:tcMar>
            <w:shd w:val="clear" w:color="auto" w:fill="E5F5FF"/>
          </w:tcPr>
          <w:p>
            <w:pPr>
              <w:pStyle w:val="BDOITable"/>
            </w:pPr>
            <w:r>
              <w:rPr>
                <w:b/>
                <w:sz w:val="16"/>
              </w:rPr>
              <w:t>Scalability</w:t>
            </w:r>
          </w:p>
        </w:tc>
        <w:tc>
          <w:tcPr>
            <w:tcW w:type="dxa" w:w="2493"/>
            <w:tcMar>
              <w:top w:w="50" w:type="dxa"/>
              <w:bottom w:w="50" w:type="dxa"/>
              <w:left w:w="90" w:type="dxa"/>
              <w:right w:w="90" w:type="dxa"/>
            </w:tcMar>
            <w:shd w:val="clear" w:color="auto" w:fill="E5F5FF"/>
          </w:tcPr>
          <w:p>
            <w:pPr>
              <w:pStyle w:val="BDOITable"/>
            </w:pPr>
            <w:r>
              <w:rPr>
                <w:sz w:val="16"/>
              </w:rPr>
              <w:t>15 % growth a year over 60 months</w:t>
            </w:r>
          </w:p>
        </w:tc>
        <w:tc>
          <w:tcPr>
            <w:tcW w:type="dxa" w:w="6006"/>
            <w:tcMar>
              <w:top w:w="50" w:type="dxa"/>
              <w:bottom w:w="50" w:type="dxa"/>
              <w:left w:w="90" w:type="dxa"/>
              <w:right w:w="90" w:type="dxa"/>
            </w:tcMar>
            <w:shd w:val="clear" w:color="auto" w:fill="E5F5FF"/>
          </w:tcPr>
          <w:p>
            <w:pPr>
              <w:pStyle w:val="BDOITable"/>
            </w:pPr>
            <w:r>
              <w:rPr>
                <w:sz w:val="16"/>
              </w:rPr>
              <w:t>Horizontal scaling of bibs-web (3 to 10 pods in PROD); separate sizing of jobs and integration; cluster autoscaling; RDS vertical scaling and storage autoscaling</w:t>
            </w:r>
          </w:p>
        </w:tc>
      </w:tr>
      <w:tr>
        <w:trPr>
          <w:cantSplit w:val="true"/>
        </w:trPr>
        <w:tc>
          <w:tcPr>
            <w:tcW w:type="dxa" w:w="1473"/>
            <w:tcMar>
              <w:top w:w="50" w:type="dxa"/>
              <w:bottom w:w="50" w:type="dxa"/>
              <w:left w:w="90" w:type="dxa"/>
              <w:right w:w="90" w:type="dxa"/>
            </w:tcMar>
          </w:tcPr>
          <w:p>
            <w:pPr>
              <w:pStyle w:val="BDOITable"/>
            </w:pPr>
            <w:r>
              <w:rPr>
                <w:b/>
                <w:sz w:val="16"/>
              </w:rPr>
              <w:t>Availability</w:t>
            </w:r>
          </w:p>
        </w:tc>
        <w:tc>
          <w:tcPr>
            <w:tcW w:type="dxa" w:w="2493"/>
            <w:tcMar>
              <w:top w:w="50" w:type="dxa"/>
              <w:bottom w:w="50" w:type="dxa"/>
              <w:left w:w="90" w:type="dxa"/>
              <w:right w:w="90" w:type="dxa"/>
            </w:tcMar>
          </w:tcPr>
          <w:p>
            <w:pPr>
              <w:pStyle w:val="BDOITable"/>
            </w:pPr>
            <w:r>
              <w:rPr>
                <w:sz w:val="16"/>
              </w:rPr>
              <w:t>99.9 % in service hours</w:t>
            </w:r>
          </w:p>
        </w:tc>
        <w:tc>
          <w:tcPr>
            <w:tcW w:type="dxa" w:w="6006"/>
            <w:tcMar>
              <w:top w:w="50" w:type="dxa"/>
              <w:bottom w:w="50" w:type="dxa"/>
              <w:left w:w="90" w:type="dxa"/>
              <w:right w:w="90" w:type="dxa"/>
            </w:tcMar>
          </w:tcPr>
          <w:p>
            <w:pPr>
              <w:pStyle w:val="BDOITable"/>
            </w:pPr>
            <w:r>
              <w:rPr>
                <w:sz w:val="16"/>
              </w:rPr>
              <w:t>Three availability zones; at least two pods per user-facing workload with disruption budgets; RDS Multi-AZ; Valkey primary and replica; three Kafka brokers; rolling updates with no unavailable pod</w:t>
            </w:r>
          </w:p>
        </w:tc>
      </w:tr>
      <w:tr>
        <w:trPr>
          <w:cantSplit w:val="true"/>
        </w:trPr>
        <w:tc>
          <w:tcPr>
            <w:tcW w:type="dxa" w:w="1473"/>
            <w:tcMar>
              <w:top w:w="50" w:type="dxa"/>
              <w:bottom w:w="50" w:type="dxa"/>
              <w:left w:w="90" w:type="dxa"/>
              <w:right w:w="90" w:type="dxa"/>
            </w:tcMar>
            <w:shd w:val="clear" w:color="auto" w:fill="E5F5FF"/>
          </w:tcPr>
          <w:p>
            <w:pPr>
              <w:pStyle w:val="BDOITable"/>
            </w:pPr>
            <w:r>
              <w:rPr>
                <w:b/>
                <w:sz w:val="16"/>
              </w:rPr>
              <w:t>Recoverability</w:t>
            </w:r>
          </w:p>
        </w:tc>
        <w:tc>
          <w:tcPr>
            <w:tcW w:type="dxa" w:w="2493"/>
            <w:tcMar>
              <w:top w:w="50" w:type="dxa"/>
              <w:bottom w:w="50" w:type="dxa"/>
              <w:left w:w="90" w:type="dxa"/>
              <w:right w:w="90" w:type="dxa"/>
            </w:tcMar>
            <w:shd w:val="clear" w:color="auto" w:fill="E5F5FF"/>
          </w:tcPr>
          <w:p>
            <w:pPr>
              <w:pStyle w:val="BDOITable"/>
            </w:pPr>
            <w:r>
              <w:rPr>
                <w:sz w:val="16"/>
              </w:rPr>
              <w:t>RPO 15 minutes, RTO 4 hours</w:t>
            </w:r>
          </w:p>
        </w:tc>
        <w:tc>
          <w:tcPr>
            <w:tcW w:type="dxa" w:w="6006"/>
            <w:tcMar>
              <w:top w:w="50" w:type="dxa"/>
              <w:bottom w:w="50" w:type="dxa"/>
              <w:left w:w="90" w:type="dxa"/>
              <w:right w:w="90" w:type="dxa"/>
            </w:tcMar>
            <w:shd w:val="clear" w:color="auto" w:fill="E5F5FF"/>
          </w:tcPr>
          <w:p>
            <w:pPr>
              <w:pStyle w:val="BDOITable"/>
            </w:pPr>
            <w:r>
              <w:rPr>
                <w:sz w:val="16"/>
              </w:rPr>
              <w:t>Point-in-time recovery, 4-hourly snapshots, cross-region read replica and S3 replication; outbox resends events; DR runbook and yearly failover test (Infrastructure Architecture, chapter 7)</w:t>
            </w:r>
          </w:p>
        </w:tc>
      </w:tr>
      <w:tr>
        <w:trPr>
          <w:cantSplit w:val="true"/>
        </w:trPr>
        <w:tc>
          <w:tcPr>
            <w:tcW w:type="dxa" w:w="1473"/>
            <w:tcMar>
              <w:top w:w="50" w:type="dxa"/>
              <w:bottom w:w="50" w:type="dxa"/>
              <w:left w:w="90" w:type="dxa"/>
              <w:right w:w="90" w:type="dxa"/>
            </w:tcMar>
          </w:tcPr>
          <w:p>
            <w:pPr>
              <w:pStyle w:val="BDOITable"/>
            </w:pPr>
            <w:r>
              <w:rPr>
                <w:b/>
                <w:sz w:val="16"/>
              </w:rPr>
              <w:t>Security</w:t>
            </w:r>
          </w:p>
        </w:tc>
        <w:tc>
          <w:tcPr>
            <w:tcW w:type="dxa" w:w="2493"/>
            <w:tcMar>
              <w:top w:w="50" w:type="dxa"/>
              <w:bottom w:w="50" w:type="dxa"/>
              <w:left w:w="90" w:type="dxa"/>
              <w:right w:w="90" w:type="dxa"/>
            </w:tcMar>
          </w:tcPr>
          <w:p>
            <w:pPr>
              <w:pStyle w:val="BDOITable"/>
            </w:pPr>
            <w:r>
              <w:rPr>
                <w:sz w:val="16"/>
              </w:rPr>
              <w:t>BDO security standards; BRD-11</w:t>
            </w:r>
          </w:p>
        </w:tc>
        <w:tc>
          <w:tcPr>
            <w:tcW w:type="dxa" w:w="6006"/>
            <w:tcMar>
              <w:top w:w="50" w:type="dxa"/>
              <w:bottom w:w="50" w:type="dxa"/>
              <w:left w:w="90" w:type="dxa"/>
              <w:right w:w="90" w:type="dxa"/>
            </w:tcMar>
          </w:tcPr>
          <w:p>
            <w:pPr>
              <w:pStyle w:val="BDOITable"/>
            </w:pPr>
            <w:r>
              <w:rPr>
                <w:sz w:val="16"/>
              </w:rPr>
              <w:t>SSO with EIAM, TOTP for privileged users, 15-minute access tokens, permissions on every operation, data scope, maker-checker and separation of duties, TLS on every hop, KMS encryption with BDOI keys, WAF, network policies, security gates in the pipeline</w:t>
            </w:r>
          </w:p>
        </w:tc>
      </w:tr>
      <w:tr>
        <w:trPr>
          <w:cantSplit w:val="true"/>
        </w:trPr>
        <w:tc>
          <w:tcPr>
            <w:tcW w:type="dxa" w:w="1473"/>
            <w:tcMar>
              <w:top w:w="50" w:type="dxa"/>
              <w:bottom w:w="50" w:type="dxa"/>
              <w:left w:w="90" w:type="dxa"/>
              <w:right w:w="90" w:type="dxa"/>
            </w:tcMar>
            <w:shd w:val="clear" w:color="auto" w:fill="E5F5FF"/>
          </w:tcPr>
          <w:p>
            <w:pPr>
              <w:pStyle w:val="BDOITable"/>
            </w:pPr>
            <w:r>
              <w:rPr>
                <w:b/>
                <w:sz w:val="16"/>
              </w:rPr>
              <w:t>Auditability</w:t>
            </w:r>
          </w:p>
        </w:tc>
        <w:tc>
          <w:tcPr>
            <w:tcW w:type="dxa" w:w="2493"/>
            <w:tcMar>
              <w:top w:w="50" w:type="dxa"/>
              <w:bottom w:w="50" w:type="dxa"/>
              <w:left w:w="90" w:type="dxa"/>
              <w:right w:w="90" w:type="dxa"/>
            </w:tcMar>
            <w:shd w:val="clear" w:color="auto" w:fill="E5F5FF"/>
          </w:tcPr>
          <w:p>
            <w:pPr>
              <w:pStyle w:val="BDOITable"/>
            </w:pPr>
            <w:r>
              <w:rPr>
                <w:sz w:val="16"/>
              </w:rPr>
              <w:t>Every change traceable</w:t>
            </w:r>
          </w:p>
        </w:tc>
        <w:tc>
          <w:tcPr>
            <w:tcW w:type="dxa" w:w="6006"/>
            <w:tcMar>
              <w:top w:w="50" w:type="dxa"/>
              <w:bottom w:w="50" w:type="dxa"/>
              <w:left w:w="90" w:type="dxa"/>
              <w:right w:w="90" w:type="dxa"/>
            </w:tcMar>
            <w:shd w:val="clear" w:color="auto" w:fill="E5F5FF"/>
          </w:tcPr>
          <w:p>
            <w:pPr>
              <w:pStyle w:val="BDOITable"/>
            </w:pPr>
            <w:r>
              <w:rPr>
                <w:sz w:val="16"/>
              </w:rPr>
              <w:t>Insert-only audit trail protected by database triggers, written in the same transaction; access change log; immutable ledger with reversal-only corrections; correlation identifier from request to event</w:t>
            </w:r>
          </w:p>
        </w:tc>
      </w:tr>
      <w:tr>
        <w:trPr>
          <w:cantSplit w:val="true"/>
        </w:trPr>
        <w:tc>
          <w:tcPr>
            <w:tcW w:type="dxa" w:w="1473"/>
            <w:tcMar>
              <w:top w:w="50" w:type="dxa"/>
              <w:bottom w:w="50" w:type="dxa"/>
              <w:left w:w="90" w:type="dxa"/>
              <w:right w:w="90" w:type="dxa"/>
            </w:tcMar>
          </w:tcPr>
          <w:p>
            <w:pPr>
              <w:pStyle w:val="BDOITable"/>
            </w:pPr>
            <w:r>
              <w:rPr>
                <w:b/>
                <w:sz w:val="16"/>
              </w:rPr>
              <w:t>Data integrity</w:t>
            </w:r>
          </w:p>
        </w:tc>
        <w:tc>
          <w:tcPr>
            <w:tcW w:type="dxa" w:w="2493"/>
            <w:tcMar>
              <w:top w:w="50" w:type="dxa"/>
              <w:bottom w:w="50" w:type="dxa"/>
              <w:left w:w="90" w:type="dxa"/>
              <w:right w:w="90" w:type="dxa"/>
            </w:tcMar>
          </w:tcPr>
          <w:p>
            <w:pPr>
              <w:pStyle w:val="BDOITable"/>
            </w:pPr>
            <w:r>
              <w:rPr>
                <w:sz w:val="16"/>
              </w:rPr>
              <w:t>Ledgers agree to the centavo</w:t>
            </w:r>
          </w:p>
        </w:tc>
        <w:tc>
          <w:tcPr>
            <w:tcW w:type="dxa" w:w="6006"/>
            <w:tcMar>
              <w:top w:w="50" w:type="dxa"/>
              <w:bottom w:w="50" w:type="dxa"/>
              <w:left w:w="90" w:type="dxa"/>
              <w:right w:w="90" w:type="dxa"/>
            </w:tcMar>
          </w:tcPr>
          <w:p>
            <w:pPr>
              <w:pStyle w:val="BDOITable"/>
            </w:pPr>
            <w:r>
              <w:rPr>
                <w:sz w:val="16"/>
              </w:rPr>
              <w:t>One transaction per business fact; balanced-journal invariant; optimistic locking (409 on a stale update); gapless document numbers; SHA-256 on every file</w:t>
            </w:r>
          </w:p>
        </w:tc>
      </w:tr>
      <w:tr>
        <w:trPr>
          <w:cantSplit w:val="true"/>
        </w:trPr>
        <w:tc>
          <w:tcPr>
            <w:tcW w:type="dxa" w:w="1473"/>
            <w:tcMar>
              <w:top w:w="50" w:type="dxa"/>
              <w:bottom w:w="50" w:type="dxa"/>
              <w:left w:w="90" w:type="dxa"/>
              <w:right w:w="90" w:type="dxa"/>
            </w:tcMar>
            <w:shd w:val="clear" w:color="auto" w:fill="E5F5FF"/>
          </w:tcPr>
          <w:p>
            <w:pPr>
              <w:pStyle w:val="BDOITable"/>
            </w:pPr>
            <w:r>
              <w:rPr>
                <w:b/>
                <w:sz w:val="16"/>
              </w:rPr>
              <w:t>Maintainability</w:t>
            </w:r>
          </w:p>
        </w:tc>
        <w:tc>
          <w:tcPr>
            <w:tcW w:type="dxa" w:w="2493"/>
            <w:tcMar>
              <w:top w:w="50" w:type="dxa"/>
              <w:bottom w:w="50" w:type="dxa"/>
              <w:left w:w="90" w:type="dxa"/>
              <w:right w:w="90" w:type="dxa"/>
            </w:tcMar>
            <w:shd w:val="clear" w:color="auto" w:fill="E5F5FF"/>
          </w:tcPr>
          <w:p>
            <w:pPr>
              <w:pStyle w:val="BDOITable"/>
            </w:pPr>
            <w:r>
              <w:rPr>
                <w:sz w:val="16"/>
              </w:rPr>
              <w:t>Support by BDOI IT and iorta TechNXT for 10+ years</w:t>
            </w:r>
          </w:p>
        </w:tc>
        <w:tc>
          <w:tcPr>
            <w:tcW w:type="dxa" w:w="6006"/>
            <w:tcMar>
              <w:top w:w="50" w:type="dxa"/>
              <w:bottom w:w="50" w:type="dxa"/>
              <w:left w:w="90" w:type="dxa"/>
              <w:right w:w="90" w:type="dxa"/>
            </w:tcMar>
            <w:shd w:val="clear" w:color="auto" w:fill="E5F5FF"/>
          </w:tcPr>
          <w:p>
            <w:pPr>
              <w:pStyle w:val="BDOITable"/>
            </w:pPr>
            <w:r>
              <w:rPr>
                <w:sz w:val="16"/>
              </w:rPr>
              <w:t>Same layout in every module; architecture rules and complexity limits enforced; Javadoc on public types; configuration instead of code changes</w:t>
            </w:r>
          </w:p>
        </w:tc>
      </w:tr>
      <w:tr>
        <w:trPr>
          <w:cantSplit w:val="true"/>
        </w:trPr>
        <w:tc>
          <w:tcPr>
            <w:tcW w:type="dxa" w:w="1473"/>
            <w:tcMar>
              <w:top w:w="50" w:type="dxa"/>
              <w:bottom w:w="50" w:type="dxa"/>
              <w:left w:w="90" w:type="dxa"/>
              <w:right w:w="90" w:type="dxa"/>
            </w:tcMar>
          </w:tcPr>
          <w:p>
            <w:pPr>
              <w:pStyle w:val="BDOITable"/>
            </w:pPr>
            <w:r>
              <w:rPr>
                <w:b/>
                <w:sz w:val="16"/>
              </w:rPr>
              <w:t>Operability</w:t>
            </w:r>
          </w:p>
        </w:tc>
        <w:tc>
          <w:tcPr>
            <w:tcW w:type="dxa" w:w="2493"/>
            <w:tcMar>
              <w:top w:w="50" w:type="dxa"/>
              <w:bottom w:w="50" w:type="dxa"/>
              <w:left w:w="90" w:type="dxa"/>
              <w:right w:w="90" w:type="dxa"/>
            </w:tcMar>
          </w:tcPr>
          <w:p>
            <w:pPr>
              <w:pStyle w:val="BDOITable"/>
            </w:pPr>
            <w:r>
              <w:rPr>
                <w:sz w:val="16"/>
              </w:rPr>
              <w:t>Supportable without the delivery team</w:t>
            </w:r>
          </w:p>
        </w:tc>
        <w:tc>
          <w:tcPr>
            <w:tcW w:type="dxa" w:w="6006"/>
            <w:tcMar>
              <w:top w:w="50" w:type="dxa"/>
              <w:bottom w:w="50" w:type="dxa"/>
              <w:left w:w="90" w:type="dxa"/>
              <w:right w:w="90" w:type="dxa"/>
            </w:tcMar>
          </w:tcPr>
          <w:p>
            <w:pPr>
              <w:pStyle w:val="BDOITable"/>
            </w:pPr>
            <w:r>
              <w:rPr>
                <w:sz w:val="16"/>
              </w:rPr>
              <w:t>Job monitor with run history, Integration Events screen, exception codes and alerts, health indicators, runbook per module</w:t>
            </w:r>
          </w:p>
        </w:tc>
      </w:tr>
      <w:tr>
        <w:trPr>
          <w:cantSplit w:val="true"/>
        </w:trPr>
        <w:tc>
          <w:tcPr>
            <w:tcW w:type="dxa" w:w="1473"/>
            <w:tcMar>
              <w:top w:w="50" w:type="dxa"/>
              <w:bottom w:w="50" w:type="dxa"/>
              <w:left w:w="90" w:type="dxa"/>
              <w:right w:w="90" w:type="dxa"/>
            </w:tcMar>
            <w:shd w:val="clear" w:color="auto" w:fill="E5F5FF"/>
          </w:tcPr>
          <w:p>
            <w:pPr>
              <w:pStyle w:val="BDOITable"/>
            </w:pPr>
            <w:r>
              <w:rPr>
                <w:b/>
                <w:sz w:val="16"/>
              </w:rPr>
              <w:t>Portability</w:t>
            </w:r>
          </w:p>
        </w:tc>
        <w:tc>
          <w:tcPr>
            <w:tcW w:type="dxa" w:w="2493"/>
            <w:tcMar>
              <w:top w:w="50" w:type="dxa"/>
              <w:bottom w:w="50" w:type="dxa"/>
              <w:left w:w="90" w:type="dxa"/>
              <w:right w:w="90" w:type="dxa"/>
            </w:tcMar>
            <w:shd w:val="clear" w:color="auto" w:fill="E5F5FF"/>
          </w:tcPr>
          <w:p>
            <w:pPr>
              <w:pStyle w:val="BDOITable"/>
            </w:pPr>
            <w:r>
              <w:rPr>
                <w:sz w:val="16"/>
              </w:rPr>
              <w:t>Managed Kubernetes and standard services</w:t>
            </w:r>
          </w:p>
        </w:tc>
        <w:tc>
          <w:tcPr>
            <w:tcW w:type="dxa" w:w="6006"/>
            <w:tcMar>
              <w:top w:w="50" w:type="dxa"/>
              <w:bottom w:w="50" w:type="dxa"/>
              <w:left w:w="90" w:type="dxa"/>
              <w:right w:w="90" w:type="dxa"/>
            </w:tcMar>
            <w:shd w:val="clear" w:color="auto" w:fill="E5F5FF"/>
          </w:tcPr>
          <w:p>
            <w:pPr>
              <w:pStyle w:val="BDOITable"/>
            </w:pPr>
            <w:r>
              <w:rPr>
                <w:sz w:val="16"/>
              </w:rPr>
              <w:t>Standard Kubernetes resources and Gateway API; PostgreSQL, Valkey and Kafka protocols; S3 interface</w:t>
            </w:r>
          </w:p>
        </w:tc>
      </w:tr>
      <w:tr>
        <w:trPr>
          <w:cantSplit w:val="true"/>
        </w:trPr>
        <w:tc>
          <w:tcPr>
            <w:tcW w:type="dxa" w:w="1473"/>
            <w:tcMar>
              <w:top w:w="50" w:type="dxa"/>
              <w:bottom w:w="50" w:type="dxa"/>
              <w:left w:w="90" w:type="dxa"/>
              <w:right w:w="90" w:type="dxa"/>
            </w:tcMar>
          </w:tcPr>
          <w:p>
            <w:pPr>
              <w:pStyle w:val="BDOITable"/>
            </w:pPr>
            <w:r>
              <w:rPr>
                <w:b/>
                <w:sz w:val="16"/>
              </w:rPr>
              <w:t>Usability and accessibility</w:t>
            </w:r>
          </w:p>
        </w:tc>
        <w:tc>
          <w:tcPr>
            <w:tcW w:type="dxa" w:w="2493"/>
            <w:tcMar>
              <w:top w:w="50" w:type="dxa"/>
              <w:bottom w:w="50" w:type="dxa"/>
              <w:left w:w="90" w:type="dxa"/>
              <w:right w:w="90" w:type="dxa"/>
            </w:tcMar>
          </w:tcPr>
          <w:p>
            <w:pPr>
              <w:pStyle w:val="BDOITable"/>
            </w:pPr>
            <w:r>
              <w:rPr>
                <w:sz w:val="16"/>
              </w:rPr>
              <w:t>BDO UX guidelines; WCAG</w:t>
            </w:r>
          </w:p>
        </w:tc>
        <w:tc>
          <w:tcPr>
            <w:tcW w:type="dxa" w:w="6006"/>
            <w:tcMar>
              <w:top w:w="50" w:type="dxa"/>
              <w:bottom w:w="50" w:type="dxa"/>
              <w:left w:w="90" w:type="dxa"/>
              <w:right w:w="90" w:type="dxa"/>
            </w:tcMar>
          </w:tcPr>
          <w:p>
            <w:pPr>
              <w:pStyle w:val="BDOITable"/>
            </w:pPr>
            <w:r>
              <w:rPr>
                <w:sz w:val="16"/>
              </w:rPr>
              <w:t>One design system and theme; accessibility rules checked by the web client linter (jsx-a11y strict)</w:t>
            </w:r>
          </w:p>
        </w:tc>
      </w:tr>
    </w:tbl>
    <w:p>
      <w:pPr>
        <w:pStyle w:val="BDOISpacer"/>
      </w:pPr>
    </w:p>
    <w:p>
      <w:pPr>
        <w:pStyle w:val="Heading1"/>
        <w:pBdr>
          <w:bottom w:val="single" w:sz="4" w:space="4" w:color="99C1E7"/>
        </w:pBdr>
      </w:pPr>
      <w:bookmarkStart w:id="137" w:name="_Toc000137"/>
      <w:r>
        <w:rPr/>
        <w:t>12 Security architecture summary</w:t>
      </w:r>
      <w:bookmarkEnd w:id="137"/>
    </w:p>
    <w:p>
      <w:r>
        <w:rPr/>
        <w:t>Security is part of every chapter; the essentials for the Information Security Office:</w:t>
      </w:r>
    </w:p>
    <w:p>
      <w:pPr>
        <w:tabs>
          <w:tab w:pos="312" w:val="left"/>
        </w:tabs>
        <w:spacing w:after="40"/>
        <w:ind w:left="312" w:hanging="283"/>
      </w:pPr>
      <w:r>
        <w:rPr>
          <w:color w:val="004EA8"/>
        </w:rPr>
        <w:t>•</w:t>
        <w:tab/>
      </w:r>
      <w:r>
        <w:rPr>
          <w:b/>
        </w:rPr>
        <w:t>Identity.</w:t>
      </w:r>
      <w:r>
        <w:rPr/>
        <w:t xml:space="preserve"> Single sign-on with EIAM by OpenID Connect (SAML 2.0 supported); identities linked to existing active BIBS users only; break-glass administrators with a local password and TOTP (ADR-09). Accounts provisioned from UIDM-ISC (ADR-10, proposed).</w:t>
      </w:r>
    </w:p>
    <w:p>
      <w:pPr>
        <w:tabs>
          <w:tab w:pos="312" w:val="left"/>
        </w:tabs>
        <w:spacing w:after="40"/>
        <w:ind w:left="312" w:hanging="283"/>
      </w:pPr>
      <w:r>
        <w:rPr>
          <w:color w:val="004EA8"/>
        </w:rPr>
        <w:t>•</w:t>
        <w:tab/>
      </w:r>
      <w:r>
        <w:rPr>
          <w:b/>
        </w:rPr>
        <w:t>Authorization.</w:t>
      </w:r>
      <w:r>
        <w:rPr/>
        <w:t xml:space="preserve"> Fine-grained permissions on every operation (282 permission codes in use), roles as permission bundles granted through access requests under four eyes; company and branch data scope (ADR-08); maker-checker and authorization limits; separation-of-duties rules.</w:t>
      </w:r>
    </w:p>
    <w:p>
      <w:pPr>
        <w:tabs>
          <w:tab w:pos="312" w:val="left"/>
        </w:tabs>
        <w:spacing w:after="40"/>
        <w:ind w:left="312" w:hanging="283"/>
      </w:pPr>
      <w:r>
        <w:rPr>
          <w:color w:val="004EA8"/>
        </w:rPr>
        <w:t>•</w:t>
        <w:tab/>
      </w:r>
      <w:r>
        <w:rPr>
          <w:b/>
        </w:rPr>
        <w:t>Sessions.</w:t>
      </w:r>
      <w:r>
        <w:rPr/>
        <w:t xml:space="preserve"> Access token of 15 minutes (security parameter, 5 to 60), refresh cookie rotated on every renewal and bound to the session, inactivity time-out and an absolute end after 8 hours; sign-out ends the session at once; tokens refused when the session cannot be checked.</w:t>
      </w:r>
    </w:p>
    <w:p>
      <w:pPr>
        <w:tabs>
          <w:tab w:pos="312" w:val="left"/>
        </w:tabs>
        <w:spacing w:after="40"/>
        <w:ind w:left="312" w:hanging="283"/>
      </w:pPr>
      <w:r>
        <w:rPr>
          <w:color w:val="004EA8"/>
        </w:rPr>
        <w:t>•</w:t>
        <w:tab/>
      </w:r>
      <w:r>
        <w:rPr>
          <w:b/>
        </w:rPr>
        <w:t>Data protection.</w:t>
      </w:r>
      <w:r>
        <w:rPr/>
        <w:t xml:space="preserve"> TLS 1.2 or higher on every hop; RDS, S3, Valkey, MSK and backups encrypted with BDOI-owned KMS keys; personal data masked outside production; no personal data in object keys or event payloads.</w:t>
      </w:r>
    </w:p>
    <w:p>
      <w:pPr>
        <w:tabs>
          <w:tab w:pos="312" w:val="left"/>
        </w:tabs>
        <w:spacing w:after="120"/>
        <w:ind w:left="312" w:hanging="283"/>
      </w:pPr>
      <w:r>
        <w:rPr>
          <w:color w:val="004EA8"/>
        </w:rPr>
        <w:t>•</w:t>
        <w:tab/>
      </w:r>
      <w:r>
        <w:rPr>
          <w:b/>
        </w:rPr>
        <w:t>Assurance.</w:t>
      </w:r>
      <w:r>
        <w:rPr/>
        <w:t xml:space="preserve"> Security gates in every pipeline run (ADR-13) with time-boxed exceptions (ADR-14); penetration test on Pre-Prod in November - December 2027 (IQ35).</w:t>
      </w:r>
    </w:p>
    <w:p>
      <w:pPr>
        <w:pStyle w:val="Heading1"/>
        <w:pBdr>
          <w:bottom w:val="single" w:sz="4" w:space="4" w:color="99C1E7"/>
        </w:pBdr>
      </w:pPr>
      <w:bookmarkStart w:id="138" w:name="_Toc000138"/>
      <w:r>
        <w:rPr/>
        <w:t>13 Roles and responsibilities</w:t>
      </w:r>
      <w:bookmarkEnd w:id="138"/>
    </w:p>
    <w:p>
      <w:pPr>
        <w:pStyle w:val="Caption"/>
        <w:keepNext/>
        <w:spacing w:after="60"/>
      </w:pPr>
      <w:r>
        <w:rPr>
          <w:b/>
          <w:i w:val="0"/>
        </w:rPr>
        <w:t xml:space="preserve">Table 21: </w:t>
      </w:r>
      <w:r>
        <w:rPr/>
        <w:t>Architecture responsibilities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73"/>
        <w:gridCol w:w="1133"/>
        <w:gridCol w:w="1133"/>
        <w:gridCol w:w="1133"/>
        <w:gridCol w:w="1133"/>
        <w:gridCol w:w="1133"/>
        <w:gridCol w:w="1133"/>
      </w:tblGrid>
      <w:tr>
        <w:trPr>
          <w:tblHeader w:val="true"/>
          <w:cantSplit w:val="true"/>
        </w:trPr>
        <w:tc>
          <w:tcPr>
            <w:tcW w:type="dxa" w:w="317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BDOI Enterprise Architecture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BDOI IT Security</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BDOI IT Cloud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BDOI business owners</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iorta TechNXT Solution Architect</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iorta TechNXT Tech Lead</w:t>
            </w:r>
          </w:p>
        </w:tc>
      </w:tr>
      <w:tr>
        <w:trPr>
          <w:cantSplit w:val="true"/>
        </w:trPr>
        <w:tc>
          <w:tcPr>
            <w:tcW w:type="dxa" w:w="3173"/>
            <w:tcMar>
              <w:top w:w="50" w:type="dxa"/>
              <w:bottom w:w="50" w:type="dxa"/>
              <w:left w:w="90" w:type="dxa"/>
              <w:right w:w="90" w:type="dxa"/>
            </w:tcMar>
          </w:tcPr>
          <w:p>
            <w:pPr>
              <w:pStyle w:val="BDOITable"/>
            </w:pPr>
            <w:r>
              <w:rPr>
                <w:b/>
                <w:sz w:val="16"/>
              </w:rPr>
              <w:t>Architecture decisions (ADR)</w:t>
            </w:r>
          </w:p>
        </w:tc>
        <w:tc>
          <w:tcPr>
            <w:tcW w:type="dxa" w:w="1133"/>
            <w:tcMar>
              <w:top w:w="50" w:type="dxa"/>
              <w:bottom w:w="50" w:type="dxa"/>
              <w:left w:w="90" w:type="dxa"/>
              <w:right w:w="90" w:type="dxa"/>
            </w:tcMar>
          </w:tcPr>
          <w:p>
            <w:pPr>
              <w:pStyle w:val="BDOITable"/>
            </w:pPr>
            <w:r>
              <w:rPr>
                <w:sz w:val="16"/>
              </w:rPr>
              <w:t>A</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R</w:t>
            </w:r>
          </w:p>
        </w:tc>
        <w:tc>
          <w:tcPr>
            <w:tcW w:type="dxa" w:w="1133"/>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Component baseline and annual technology review</w:t>
            </w:r>
          </w:p>
        </w:tc>
        <w:tc>
          <w:tcPr>
            <w:tcW w:type="dxa" w:w="1133"/>
            <w:tcMar>
              <w:top w:w="50" w:type="dxa"/>
              <w:bottom w:w="50" w:type="dxa"/>
              <w:left w:w="90" w:type="dxa"/>
              <w:right w:w="90" w:type="dxa"/>
            </w:tcMar>
            <w:shd w:val="clear" w:color="auto" w:fill="E5F5FF"/>
          </w:tcPr>
          <w:p>
            <w:pPr>
              <w:pStyle w:val="BDOITable"/>
            </w:pPr>
            <w:r>
              <w:rPr>
                <w:sz w:val="16"/>
              </w:rPr>
              <w:t>A</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I</w:t>
            </w:r>
          </w:p>
        </w:tc>
        <w:tc>
          <w:tcPr>
            <w:tcW w:type="dxa" w:w="1133"/>
            <w:tcMar>
              <w:top w:w="50" w:type="dxa"/>
              <w:bottom w:w="50" w:type="dxa"/>
              <w:left w:w="90" w:type="dxa"/>
              <w:right w:w="90" w:type="dxa"/>
            </w:tcMar>
            <w:shd w:val="clear" w:color="auto" w:fill="E5F5FF"/>
          </w:tcPr>
          <w:p>
            <w:pPr>
              <w:pStyle w:val="BDOITable"/>
            </w:pPr>
            <w:r>
              <w:rPr>
                <w:sz w:val="16"/>
              </w:rPr>
              <w:t>R</w:t>
            </w:r>
          </w:p>
        </w:tc>
        <w:tc>
          <w:tcPr>
            <w:tcW w:type="dxa" w:w="1133"/>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73"/>
            <w:tcMar>
              <w:top w:w="50" w:type="dxa"/>
              <w:bottom w:w="50" w:type="dxa"/>
              <w:left w:w="90" w:type="dxa"/>
              <w:right w:w="90" w:type="dxa"/>
            </w:tcMar>
          </w:tcPr>
          <w:p>
            <w:pPr>
              <w:pStyle w:val="BDOITable"/>
            </w:pPr>
            <w:r>
              <w:rPr>
                <w:b/>
                <w:sz w:val="16"/>
              </w:rPr>
              <w:t>Security architecture and exceptions</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A</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R</w:t>
            </w:r>
          </w:p>
        </w:tc>
        <w:tc>
          <w:tcPr>
            <w:tcW w:type="dxa" w:w="1133"/>
            <w:tcMar>
              <w:top w:w="50" w:type="dxa"/>
              <w:bottom w:w="50" w:type="dxa"/>
              <w:left w:w="90" w:type="dxa"/>
              <w:right w:w="90" w:type="dxa"/>
            </w:tcMar>
          </w:tcPr>
          <w:p>
            <w:pPr>
              <w:pStyle w:val="BDOITable"/>
            </w:pPr>
            <w:r>
              <w:rPr>
                <w:sz w:val="16"/>
              </w:rPr>
              <w:t>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Bounded contexts and module boundaries</w:t>
            </w:r>
          </w:p>
        </w:tc>
        <w:tc>
          <w:tcPr>
            <w:tcW w:type="dxa" w:w="1133"/>
            <w:tcMar>
              <w:top w:w="50" w:type="dxa"/>
              <w:bottom w:w="50" w:type="dxa"/>
              <w:left w:w="90" w:type="dxa"/>
              <w:right w:w="90" w:type="dxa"/>
            </w:tcMar>
            <w:shd w:val="clear" w:color="auto" w:fill="E5F5FF"/>
          </w:tcPr>
          <w:p>
            <w:pPr>
              <w:pStyle w:val="BDOITable"/>
            </w:pPr>
            <w:r>
              <w:rPr>
                <w:sz w:val="16"/>
              </w:rPr>
              <w:t>I</w:t>
            </w:r>
          </w:p>
        </w:tc>
        <w:tc>
          <w:tcPr>
            <w:tcW w:type="dxa" w:w="1133"/>
            <w:tcMar>
              <w:top w:w="50" w:type="dxa"/>
              <w:bottom w:w="50" w:type="dxa"/>
              <w:left w:w="90" w:type="dxa"/>
              <w:right w:w="90" w:type="dxa"/>
            </w:tcMar>
            <w:shd w:val="clear" w:color="auto" w:fill="E5F5FF"/>
          </w:tcPr>
          <w:p>
            <w:pPr>
              <w:pStyle w:val="BDOITable"/>
            </w:pPr>
            <w:r>
              <w:rPr>
                <w:sz w:val="16"/>
              </w:rPr>
              <w:t>I</w:t>
            </w:r>
          </w:p>
        </w:tc>
        <w:tc>
          <w:tcPr>
            <w:tcW w:type="dxa" w:w="1133"/>
            <w:tcMar>
              <w:top w:w="50" w:type="dxa"/>
              <w:bottom w:w="50" w:type="dxa"/>
              <w:left w:w="90" w:type="dxa"/>
              <w:right w:w="90" w:type="dxa"/>
            </w:tcMar>
            <w:shd w:val="clear" w:color="auto" w:fill="E5F5FF"/>
          </w:tcPr>
          <w:p>
            <w:pPr>
              <w:pStyle w:val="BDOITable"/>
            </w:pPr>
            <w:r>
              <w:rPr>
                <w:sz w:val="16"/>
              </w:rPr>
              <w:t>I</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A</w:t>
            </w:r>
          </w:p>
        </w:tc>
        <w:tc>
          <w:tcPr>
            <w:tcW w:type="dxa" w:w="1133"/>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73"/>
            <w:tcMar>
              <w:top w:w="50" w:type="dxa"/>
              <w:bottom w:w="50" w:type="dxa"/>
              <w:left w:w="90" w:type="dxa"/>
              <w:right w:w="90" w:type="dxa"/>
            </w:tcMar>
          </w:tcPr>
          <w:p>
            <w:pPr>
              <w:pStyle w:val="BDOITable"/>
            </w:pPr>
            <w:r>
              <w:rPr>
                <w:b/>
                <w:sz w:val="16"/>
              </w:rPr>
              <w:t>Business rules as configuration (values)</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A</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Interface specifications</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A</w:t>
            </w:r>
          </w:p>
        </w:tc>
        <w:tc>
          <w:tcPr>
            <w:tcW w:type="dxa" w:w="1133"/>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73"/>
            <w:tcMar>
              <w:top w:w="50" w:type="dxa"/>
              <w:bottom w:w="50" w:type="dxa"/>
              <w:left w:w="90" w:type="dxa"/>
              <w:right w:w="90" w:type="dxa"/>
            </w:tcMar>
          </w:tcPr>
          <w:p>
            <w:pPr>
              <w:pStyle w:val="BDOITable"/>
            </w:pPr>
            <w:r>
              <w:rPr>
                <w:b/>
                <w:sz w:val="16"/>
              </w:rPr>
              <w:t>Infrastructure provisioning</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A</w:t>
            </w:r>
          </w:p>
        </w:tc>
        <w:tc>
          <w:tcPr>
            <w:tcW w:type="dxa" w:w="1133"/>
            <w:tcMar>
              <w:top w:w="50" w:type="dxa"/>
              <w:bottom w:w="50" w:type="dxa"/>
              <w:left w:w="90" w:type="dxa"/>
              <w:right w:w="90" w:type="dxa"/>
            </w:tcMar>
          </w:tcPr>
          <w:p>
            <w:pPr>
              <w:pStyle w:val="BDOITable"/>
            </w:pPr>
            <w:r>
              <w:rPr>
                <w:sz w:val="16"/>
              </w:rPr>
              <w:t>I</w:t>
            </w:r>
          </w:p>
        </w:tc>
        <w:tc>
          <w:tcPr>
            <w:tcW w:type="dxa" w:w="1133"/>
            <w:tcMar>
              <w:top w:w="50" w:type="dxa"/>
              <w:bottom w:w="50" w:type="dxa"/>
              <w:left w:w="90" w:type="dxa"/>
              <w:right w:w="90" w:type="dxa"/>
            </w:tcMar>
          </w:tcPr>
          <w:p>
            <w:pPr>
              <w:pStyle w:val="BDOITable"/>
            </w:pPr>
            <w:r>
              <w:rPr>
                <w:sz w:val="16"/>
              </w:rPr>
              <w:t>C</w:t>
            </w:r>
          </w:p>
        </w:tc>
        <w:tc>
          <w:tcPr>
            <w:tcW w:type="dxa" w:w="1133"/>
            <w:tcMar>
              <w:top w:w="50" w:type="dxa"/>
              <w:bottom w:w="50" w:type="dxa"/>
              <w:left w:w="90" w:type="dxa"/>
              <w:right w:w="90" w:type="dxa"/>
            </w:tcMar>
          </w:tcPr>
          <w:p>
            <w:pPr>
              <w:pStyle w:val="BDOITable"/>
            </w:pPr>
            <w:r>
              <w:rPr>
                <w:sz w:val="16"/>
              </w:rPr>
              <w:t>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Release approval to production</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R</w:t>
            </w:r>
          </w:p>
        </w:tc>
        <w:tc>
          <w:tcPr>
            <w:tcW w:type="dxa" w:w="1133"/>
            <w:tcMar>
              <w:top w:w="50" w:type="dxa"/>
              <w:bottom w:w="50" w:type="dxa"/>
              <w:left w:w="90" w:type="dxa"/>
              <w:right w:w="90" w:type="dxa"/>
            </w:tcMar>
            <w:shd w:val="clear" w:color="auto" w:fill="E5F5FF"/>
          </w:tcPr>
          <w:p>
            <w:pPr>
              <w:pStyle w:val="BDOITable"/>
            </w:pPr>
            <w:r>
              <w:rPr>
                <w:sz w:val="16"/>
              </w:rPr>
              <w:t>A</w:t>
            </w:r>
          </w:p>
        </w:tc>
        <w:tc>
          <w:tcPr>
            <w:tcW w:type="dxa" w:w="1133"/>
            <w:tcMar>
              <w:top w:w="50" w:type="dxa"/>
              <w:bottom w:w="50" w:type="dxa"/>
              <w:left w:w="90" w:type="dxa"/>
              <w:right w:w="90" w:type="dxa"/>
            </w:tcMar>
            <w:shd w:val="clear" w:color="auto" w:fill="E5F5FF"/>
          </w:tcPr>
          <w:p>
            <w:pPr>
              <w:pStyle w:val="BDOITable"/>
            </w:pPr>
            <w:r>
              <w:rPr>
                <w:sz w:val="16"/>
              </w:rPr>
              <w:t>C</w:t>
            </w:r>
          </w:p>
        </w:tc>
        <w:tc>
          <w:tcPr>
            <w:tcW w:type="dxa" w:w="1133"/>
            <w:tcMar>
              <w:top w:w="50" w:type="dxa"/>
              <w:bottom w:w="50" w:type="dxa"/>
              <w:left w:w="90" w:type="dxa"/>
              <w:right w:w="90" w:type="dxa"/>
            </w:tcMar>
            <w:shd w:val="clear" w:color="auto" w:fill="E5F5FF"/>
          </w:tcPr>
          <w:p>
            <w:pPr>
              <w:pStyle w:val="BDOITable"/>
            </w:pPr>
            <w:r>
              <w:rPr>
                <w:sz w:val="16"/>
              </w:rPr>
              <w:t>R</w:t>
            </w:r>
          </w:p>
        </w:tc>
      </w:tr>
    </w:tbl>
    <w:p>
      <w:pPr>
        <w:pStyle w:val="BDOISpacer"/>
      </w:pPr>
    </w:p>
    <w:p>
      <w:pPr>
        <w:pStyle w:val="Heading1"/>
        <w:pBdr>
          <w:bottom w:val="single" w:sz="4" w:space="4" w:color="99C1E7"/>
        </w:pBdr>
      </w:pPr>
      <w:bookmarkStart w:id="139" w:name="_Toc000139"/>
      <w:r>
        <w:rPr/>
        <w:t>14 Decisions and open points for BDOI</w:t>
      </w:r>
      <w:bookmarkEnd w:id="139"/>
    </w:p>
    <w:p>
      <w:pPr>
        <w:pStyle w:val="Caption"/>
        <w:keepNext/>
        <w:spacing w:after="60"/>
      </w:pPr>
      <w:r>
        <w:rPr>
          <w:b/>
          <w:i w:val="0"/>
        </w:rPr>
        <w:t xml:space="preserve">Table 22: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SA-01</w:t>
            </w:r>
          </w:p>
        </w:tc>
        <w:tc>
          <w:tcPr>
            <w:tcW w:type="dxa" w:w="1700"/>
            <w:tcMar>
              <w:top w:w="50" w:type="dxa"/>
              <w:bottom w:w="50" w:type="dxa"/>
              <w:left w:w="90" w:type="dxa"/>
              <w:right w:w="90" w:type="dxa"/>
            </w:tcMar>
          </w:tcPr>
          <w:p>
            <w:pPr>
              <w:pStyle w:val="BDOITable"/>
            </w:pPr>
            <w:r>
              <w:rPr>
                <w:sz w:val="16"/>
              </w:rPr>
              <w:t>IER restatement</w:t>
            </w:r>
          </w:p>
        </w:tc>
        <w:tc>
          <w:tcPr>
            <w:tcW w:type="dxa" w:w="4759"/>
            <w:tcMar>
              <w:top w:w="50" w:type="dxa"/>
              <w:bottom w:w="50" w:type="dxa"/>
              <w:left w:w="90" w:type="dxa"/>
              <w:right w:w="90" w:type="dxa"/>
            </w:tcMar>
          </w:tcPr>
          <w:p>
            <w:pPr>
              <w:pStyle w:val="BDOITable"/>
            </w:pPr>
            <w:r>
              <w:rPr>
                <w:sz w:val="16"/>
              </w:rPr>
              <w:t>BDOI IT restates the IER architecture and Kubernetes sheets with the BIBS architecture of this set (four workloads, managed services, no microservices) and adds the Pre-Prod and DR sheets (IQ25, IQ33)</w:t>
            </w:r>
          </w:p>
        </w:tc>
        <w:tc>
          <w:tcPr>
            <w:tcW w:type="dxa" w:w="1586"/>
            <w:tcMar>
              <w:top w:w="50" w:type="dxa"/>
              <w:bottom w:w="50" w:type="dxa"/>
              <w:left w:w="90" w:type="dxa"/>
              <w:right w:w="90" w:type="dxa"/>
            </w:tcMar>
          </w:tcPr>
          <w:p>
            <w:pPr>
              <w:pStyle w:val="BDOITable"/>
            </w:pPr>
            <w:r>
              <w:rPr>
                <w:sz w:val="16"/>
              </w:rPr>
              <w:t>BDOI IT Cloud and Digital Operations Engineering</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SA-02</w:t>
            </w:r>
          </w:p>
        </w:tc>
        <w:tc>
          <w:tcPr>
            <w:tcW w:type="dxa" w:w="1700"/>
            <w:tcMar>
              <w:top w:w="50" w:type="dxa"/>
              <w:bottom w:w="50" w:type="dxa"/>
              <w:left w:w="90" w:type="dxa"/>
              <w:right w:w="90" w:type="dxa"/>
            </w:tcMar>
            <w:shd w:val="clear" w:color="auto" w:fill="E5F5FF"/>
          </w:tcPr>
          <w:p>
            <w:pPr>
              <w:pStyle w:val="BDOITable"/>
            </w:pPr>
            <w:r>
              <w:rPr>
                <w:sz w:val="16"/>
              </w:rPr>
              <w:t>Sizing basis</w:t>
            </w:r>
          </w:p>
        </w:tc>
        <w:tc>
          <w:tcPr>
            <w:tcW w:type="dxa" w:w="4759"/>
            <w:tcMar>
              <w:top w:w="50" w:type="dxa"/>
              <w:bottom w:w="50" w:type="dxa"/>
              <w:left w:w="90" w:type="dxa"/>
              <w:right w:w="90" w:type="dxa"/>
            </w:tcMar>
            <w:shd w:val="clear" w:color="auto" w:fill="E5F5FF"/>
          </w:tcPr>
          <w:p>
            <w:pPr>
              <w:pStyle w:val="BDOITable"/>
            </w:pPr>
            <w:r>
              <w:rPr>
                <w:sz w:val="16"/>
              </w:rPr>
              <w:t>429 concurrent sessions as the peak case of the performance test and of the PROD sizing; 1,344 named users (CRQ21, IQ32)</w:t>
            </w:r>
          </w:p>
        </w:tc>
        <w:tc>
          <w:tcPr>
            <w:tcW w:type="dxa" w:w="1586"/>
            <w:tcMar>
              <w:top w:w="50" w:type="dxa"/>
              <w:bottom w:w="50" w:type="dxa"/>
              <w:left w:w="90" w:type="dxa"/>
              <w:right w:w="90" w:type="dxa"/>
            </w:tcMar>
            <w:shd w:val="clear" w:color="auto" w:fill="E5F5FF"/>
          </w:tcPr>
          <w:p>
            <w:pPr>
              <w:pStyle w:val="BDOITable"/>
            </w:pPr>
            <w:r>
              <w:rPr>
                <w:sz w:val="16"/>
              </w:rPr>
              <w:t>BDOI Program Manager</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SA-03</w:t>
            </w:r>
          </w:p>
        </w:tc>
        <w:tc>
          <w:tcPr>
            <w:tcW w:type="dxa" w:w="1700"/>
            <w:tcMar>
              <w:top w:w="50" w:type="dxa"/>
              <w:bottom w:w="50" w:type="dxa"/>
              <w:left w:w="90" w:type="dxa"/>
              <w:right w:w="90" w:type="dxa"/>
            </w:tcMar>
          </w:tcPr>
          <w:p>
            <w:pPr>
              <w:pStyle w:val="BDOITable"/>
            </w:pPr>
            <w:r>
              <w:rPr>
                <w:sz w:val="16"/>
              </w:rPr>
              <w:t>Response-time targets</w:t>
            </w:r>
          </w:p>
        </w:tc>
        <w:tc>
          <w:tcPr>
            <w:tcW w:type="dxa" w:w="4759"/>
            <w:tcMar>
              <w:top w:w="50" w:type="dxa"/>
              <w:bottom w:w="50" w:type="dxa"/>
              <w:left w:w="90" w:type="dxa"/>
              <w:right w:w="90" w:type="dxa"/>
            </w:tcMar>
          </w:tcPr>
          <w:p>
            <w:pPr>
              <w:pStyle w:val="BDOITable"/>
            </w:pPr>
            <w:r>
              <w:rPr>
                <w:sz w:val="16"/>
              </w:rPr>
              <w:t>Screens p95 under 2 seconds and every role under 5 seconds; reports and batch at the value of each BRD</w:t>
            </w:r>
          </w:p>
        </w:tc>
        <w:tc>
          <w:tcPr>
            <w:tcW w:type="dxa" w:w="1586"/>
            <w:tcMar>
              <w:top w:w="50" w:type="dxa"/>
              <w:bottom w:w="50" w:type="dxa"/>
              <w:left w:w="90" w:type="dxa"/>
              <w:right w:w="90" w:type="dxa"/>
            </w:tcMar>
          </w:tcPr>
          <w:p>
            <w:pPr>
              <w:pStyle w:val="BDOITable"/>
            </w:pPr>
            <w:r>
              <w:rPr>
                <w:sz w:val="16"/>
              </w:rPr>
              <w:t>BRD owners</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SA-04</w:t>
            </w:r>
          </w:p>
        </w:tc>
        <w:tc>
          <w:tcPr>
            <w:tcW w:type="dxa" w:w="1700"/>
            <w:tcMar>
              <w:top w:w="50" w:type="dxa"/>
              <w:bottom w:w="50" w:type="dxa"/>
              <w:left w:w="90" w:type="dxa"/>
              <w:right w:w="90" w:type="dxa"/>
            </w:tcMar>
            <w:shd w:val="clear" w:color="auto" w:fill="E5F5FF"/>
          </w:tcPr>
          <w:p>
            <w:pPr>
              <w:pStyle w:val="BDOITable"/>
            </w:pPr>
            <w:r>
              <w:rPr>
                <w:sz w:val="16"/>
              </w:rPr>
              <w:t>Data scope business options</w:t>
            </w:r>
          </w:p>
        </w:tc>
        <w:tc>
          <w:tcPr>
            <w:tcW w:type="dxa" w:w="4759"/>
            <w:tcMar>
              <w:top w:w="50" w:type="dxa"/>
              <w:bottom w:w="50" w:type="dxa"/>
              <w:left w:w="90" w:type="dxa"/>
              <w:right w:w="90" w:type="dxa"/>
            </w:tcMar>
            <w:shd w:val="clear" w:color="auto" w:fill="E5F5FF"/>
          </w:tcPr>
          <w:p>
            <w:pPr>
              <w:pStyle w:val="BDOITable"/>
            </w:pPr>
            <w:r>
              <w:rPr>
                <w:sz w:val="16"/>
              </w:rPr>
              <w:t>(1) any holder of user maintenance with an approved request may narrow a scope; (2) branch scope filters only requests that name a branch; (3) a restricted user's home branch is always in the scope; (4) a scope change carries the risk flag and needs a second approval</w:t>
            </w:r>
          </w:p>
        </w:tc>
        <w:tc>
          <w:tcPr>
            <w:tcW w:type="dxa" w:w="1586"/>
            <w:tcMar>
              <w:top w:w="50" w:type="dxa"/>
              <w:bottom w:w="50" w:type="dxa"/>
              <w:left w:w="90" w:type="dxa"/>
              <w:right w:w="90" w:type="dxa"/>
            </w:tcMar>
            <w:shd w:val="clear" w:color="auto" w:fill="E5F5FF"/>
          </w:tcPr>
          <w:p>
            <w:pPr>
              <w:pStyle w:val="BDOITable"/>
            </w:pPr>
            <w:r>
              <w:rPr>
                <w:sz w:val="16"/>
              </w:rPr>
              <w:t>BRD-11 owner, Information Security Office</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SA-05</w:t>
            </w:r>
          </w:p>
        </w:tc>
        <w:tc>
          <w:tcPr>
            <w:tcW w:type="dxa" w:w="1700"/>
            <w:tcMar>
              <w:top w:w="50" w:type="dxa"/>
              <w:bottom w:w="50" w:type="dxa"/>
              <w:left w:w="90" w:type="dxa"/>
              <w:right w:w="90" w:type="dxa"/>
            </w:tcMar>
          </w:tcPr>
          <w:p>
            <w:pPr>
              <w:pStyle w:val="BDOITable"/>
            </w:pPr>
            <w:r>
              <w:rPr>
                <w:sz w:val="16"/>
              </w:rPr>
              <w:t>UIDM-ISC provisioning</w:t>
            </w:r>
          </w:p>
        </w:tc>
        <w:tc>
          <w:tcPr>
            <w:tcW w:type="dxa" w:w="4759"/>
            <w:tcMar>
              <w:top w:w="50" w:type="dxa"/>
              <w:bottom w:w="50" w:type="dxa"/>
              <w:left w:w="90" w:type="dxa"/>
              <w:right w:w="90" w:type="dxa"/>
            </w:tcMar>
          </w:tcPr>
          <w:p>
            <w:pPr>
              <w:pStyle w:val="BDOITable"/>
            </w:pPr>
            <w:r>
              <w:rPr>
                <w:sz w:val="16"/>
              </w:rPr>
              <w:t>Option (a) of ADR-10: accounts from UIDM-ISC through SCIM 2.0, roles and data scope as BIBS requests (IQ05)</w:t>
            </w:r>
          </w:p>
        </w:tc>
        <w:tc>
          <w:tcPr>
            <w:tcW w:type="dxa" w:w="1586"/>
            <w:tcMar>
              <w:top w:w="50" w:type="dxa"/>
              <w:bottom w:w="50" w:type="dxa"/>
              <w:left w:w="90" w:type="dxa"/>
              <w:right w:w="90" w:type="dxa"/>
            </w:tcMar>
          </w:tcPr>
          <w:p>
            <w:pPr>
              <w:pStyle w:val="BDOITable"/>
            </w:pPr>
            <w:r>
              <w:rPr>
                <w:sz w:val="16"/>
              </w:rPr>
              <w:t>BDOI IT Identity Governance</w:t>
            </w:r>
          </w:p>
        </w:tc>
        <w:tc>
          <w:tcPr>
            <w:tcW w:type="dxa" w:w="1246"/>
            <w:tcMar>
              <w:top w:w="50" w:type="dxa"/>
              <w:bottom w:w="50" w:type="dxa"/>
              <w:left w:w="90" w:type="dxa"/>
              <w:right w:w="90" w:type="dxa"/>
            </w:tcMar>
          </w:tcPr>
          <w:p>
            <w:pPr>
              <w:pStyle w:val="BDOITable"/>
            </w:pPr>
            <w:r>
              <w:rPr>
                <w:sz w:val="16"/>
              </w:rPr>
              <w:t>16-Oct-2026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SA-06</w:t>
            </w:r>
          </w:p>
        </w:tc>
        <w:tc>
          <w:tcPr>
            <w:tcW w:type="dxa" w:w="1700"/>
            <w:tcMar>
              <w:top w:w="50" w:type="dxa"/>
              <w:bottom w:w="50" w:type="dxa"/>
              <w:left w:w="90" w:type="dxa"/>
              <w:right w:w="90" w:type="dxa"/>
            </w:tcMar>
            <w:shd w:val="clear" w:color="auto" w:fill="E5F5FF"/>
          </w:tcPr>
          <w:p>
            <w:pPr>
              <w:pStyle w:val="BDOITable"/>
            </w:pPr>
            <w:r>
              <w:rPr>
                <w:sz w:val="16"/>
              </w:rPr>
              <w:t>Screen language</w:t>
            </w:r>
          </w:p>
        </w:tc>
        <w:tc>
          <w:tcPr>
            <w:tcW w:type="dxa" w:w="4759"/>
            <w:tcMar>
              <w:top w:w="50" w:type="dxa"/>
              <w:bottom w:w="50" w:type="dxa"/>
              <w:left w:w="90" w:type="dxa"/>
              <w:right w:w="90" w:type="dxa"/>
            </w:tcMar>
            <w:shd w:val="clear" w:color="auto" w:fill="E5F5FF"/>
          </w:tcPr>
          <w:p>
            <w:pPr>
              <w:pStyle w:val="BDOITable"/>
            </w:pPr>
            <w:r>
              <w:rPr>
                <w:sz w:val="16"/>
              </w:rPr>
              <w:t>English only; no second language at go-live</w:t>
            </w:r>
          </w:p>
        </w:tc>
        <w:tc>
          <w:tcPr>
            <w:tcW w:type="dxa" w:w="1586"/>
            <w:tcMar>
              <w:top w:w="50" w:type="dxa"/>
              <w:bottom w:w="50" w:type="dxa"/>
              <w:left w:w="90" w:type="dxa"/>
              <w:right w:w="90" w:type="dxa"/>
            </w:tcMar>
            <w:shd w:val="clear" w:color="auto" w:fill="E5F5FF"/>
          </w:tcPr>
          <w:p>
            <w:pPr>
              <w:pStyle w:val="BDOITable"/>
            </w:pPr>
            <w:r>
              <w:rPr>
                <w:sz w:val="16"/>
              </w:rPr>
              <w:t>BIBS Product Owner</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SA-07</w:t>
            </w:r>
          </w:p>
        </w:tc>
        <w:tc>
          <w:tcPr>
            <w:tcW w:type="dxa" w:w="1700"/>
            <w:tcMar>
              <w:top w:w="50" w:type="dxa"/>
              <w:bottom w:w="50" w:type="dxa"/>
              <w:left w:w="90" w:type="dxa"/>
              <w:right w:w="90" w:type="dxa"/>
            </w:tcMar>
          </w:tcPr>
          <w:p>
            <w:pPr>
              <w:pStyle w:val="BDOITable"/>
            </w:pPr>
            <w:r>
              <w:rPr>
                <w:sz w:val="16"/>
              </w:rPr>
              <w:t>Spring Boot 3.5 support</w:t>
            </w:r>
          </w:p>
        </w:tc>
        <w:tc>
          <w:tcPr>
            <w:tcW w:type="dxa" w:w="4759"/>
            <w:tcMar>
              <w:top w:w="50" w:type="dxa"/>
              <w:bottom w:w="50" w:type="dxa"/>
              <w:left w:w="90" w:type="dxa"/>
              <w:right w:w="90" w:type="dxa"/>
            </w:tcMar>
          </w:tcPr>
          <w:p>
            <w:pPr>
              <w:pStyle w:val="BDOITable"/>
            </w:pPr>
            <w:r>
              <w:rPr>
                <w:sz w:val="16"/>
              </w:rPr>
              <w:t>Decide at the first technology review (31-Jan-2027) between the move to Spring Boot 4.x before UAT and commercial support of 3.5, on the upstream support dates then published</w:t>
            </w:r>
          </w:p>
        </w:tc>
        <w:tc>
          <w:tcPr>
            <w:tcW w:type="dxa" w:w="1586"/>
            <w:tcMar>
              <w:top w:w="50" w:type="dxa"/>
              <w:bottom w:w="50" w:type="dxa"/>
              <w:left w:w="90" w:type="dxa"/>
              <w:right w:w="90" w:type="dxa"/>
            </w:tcMar>
          </w:tcPr>
          <w:p>
            <w:pPr>
              <w:pStyle w:val="BDOITable"/>
            </w:pPr>
            <w:r>
              <w:rPr>
                <w:sz w:val="16"/>
              </w:rPr>
              <w:t>BDOI Enterprise Architecture</w:t>
            </w:r>
          </w:p>
        </w:tc>
        <w:tc>
          <w:tcPr>
            <w:tcW w:type="dxa" w:w="1246"/>
            <w:tcMar>
              <w:top w:w="50" w:type="dxa"/>
              <w:bottom w:w="50" w:type="dxa"/>
              <w:left w:w="90" w:type="dxa"/>
              <w:right w:w="90" w:type="dxa"/>
            </w:tcMar>
          </w:tcPr>
          <w:p>
            <w:pPr>
              <w:pStyle w:val="BDOITable"/>
            </w:pPr>
            <w:r>
              <w:rPr>
                <w:sz w:val="16"/>
              </w:rPr>
              <w:t>31-Jan-2027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SA-08</w:t>
            </w:r>
          </w:p>
        </w:tc>
        <w:tc>
          <w:tcPr>
            <w:tcW w:type="dxa" w:w="1700"/>
            <w:tcMar>
              <w:top w:w="50" w:type="dxa"/>
              <w:bottom w:w="50" w:type="dxa"/>
              <w:left w:w="90" w:type="dxa"/>
              <w:right w:w="90" w:type="dxa"/>
            </w:tcMar>
            <w:shd w:val="clear" w:color="auto" w:fill="E5F5FF"/>
          </w:tcPr>
          <w:p>
            <w:pPr>
              <w:pStyle w:val="BDOITable"/>
            </w:pPr>
            <w:r>
              <w:rPr>
                <w:sz w:val="16"/>
              </w:rPr>
              <w:t>Node 22 end of life (30-Apr-2027)</w:t>
            </w:r>
          </w:p>
        </w:tc>
        <w:tc>
          <w:tcPr>
            <w:tcW w:type="dxa" w:w="4759"/>
            <w:tcMar>
              <w:top w:w="50" w:type="dxa"/>
              <w:bottom w:w="50" w:type="dxa"/>
              <w:left w:w="90" w:type="dxa"/>
              <w:right w:w="90" w:type="dxa"/>
            </w:tcMar>
            <w:shd w:val="clear" w:color="auto" w:fill="E5F5FF"/>
          </w:tcPr>
          <w:p>
            <w:pPr>
              <w:pStyle w:val="BDOITable"/>
            </w:pPr>
            <w:r>
              <w:rPr>
                <w:sz w:val="16"/>
              </w:rPr>
              <w:t>Move the web client pipeline to Node 24 LTS by 31-Mar-2027 (no production impact: Node does not run in production)</w:t>
            </w:r>
          </w:p>
        </w:tc>
        <w:tc>
          <w:tcPr>
            <w:tcW w:type="dxa" w:w="1586"/>
            <w:tcMar>
              <w:top w:w="50" w:type="dxa"/>
              <w:bottom w:w="50" w:type="dxa"/>
              <w:left w:w="90" w:type="dxa"/>
              <w:right w:w="90" w:type="dxa"/>
            </w:tcMar>
            <w:shd w:val="clear" w:color="auto" w:fill="E5F5FF"/>
          </w:tcPr>
          <w:p>
            <w:pPr>
              <w:pStyle w:val="BDOITable"/>
            </w:pPr>
            <w:r>
              <w:rPr>
                <w:sz w:val="16"/>
              </w:rPr>
              <w:t>iorta TechNXT Tech Lead; informed BDOI EA</w:t>
            </w:r>
          </w:p>
        </w:tc>
        <w:tc>
          <w:tcPr>
            <w:tcW w:type="dxa" w:w="1246"/>
            <w:tcMar>
              <w:top w:w="50" w:type="dxa"/>
              <w:bottom w:w="50" w:type="dxa"/>
              <w:left w:w="90" w:type="dxa"/>
              <w:right w:w="90" w:type="dxa"/>
            </w:tcMar>
            <w:shd w:val="clear" w:color="auto" w:fill="E5F5FF"/>
          </w:tcPr>
          <w:p>
            <w:pPr>
              <w:pStyle w:val="BDOITable"/>
            </w:pPr>
            <w:r>
              <w:rPr>
                <w:sz w:val="16"/>
              </w:rPr>
              <w:t>31-Mar-2027</w:t>
            </w:r>
          </w:p>
        </w:tc>
      </w:tr>
      <w:tr>
        <w:trPr>
          <w:cantSplit w:val="true"/>
        </w:trPr>
        <w:tc>
          <w:tcPr>
            <w:tcW w:type="dxa" w:w="680"/>
            <w:tcMar>
              <w:top w:w="50" w:type="dxa"/>
              <w:bottom w:w="50" w:type="dxa"/>
              <w:left w:w="90" w:type="dxa"/>
              <w:right w:w="90" w:type="dxa"/>
            </w:tcMar>
          </w:tcPr>
          <w:p>
            <w:pPr>
              <w:pStyle w:val="BDOITable"/>
            </w:pPr>
            <w:r>
              <w:rPr>
                <w:b/>
                <w:sz w:val="16"/>
              </w:rPr>
              <w:t>SA-09</w:t>
            </w:r>
          </w:p>
        </w:tc>
        <w:tc>
          <w:tcPr>
            <w:tcW w:type="dxa" w:w="1700"/>
            <w:tcMar>
              <w:top w:w="50" w:type="dxa"/>
              <w:bottom w:w="50" w:type="dxa"/>
              <w:left w:w="90" w:type="dxa"/>
              <w:right w:w="90" w:type="dxa"/>
            </w:tcMar>
          </w:tcPr>
          <w:p>
            <w:pPr>
              <w:pStyle w:val="BDOITable"/>
            </w:pPr>
            <w:r>
              <w:rPr>
                <w:sz w:val="16"/>
              </w:rPr>
              <w:t>Retention exceptions</w:t>
            </w:r>
          </w:p>
        </w:tc>
        <w:tc>
          <w:tcPr>
            <w:tcW w:type="dxa" w:w="4759"/>
            <w:tcMar>
              <w:top w:w="50" w:type="dxa"/>
              <w:bottom w:w="50" w:type="dxa"/>
              <w:left w:w="90" w:type="dxa"/>
              <w:right w:w="90" w:type="dxa"/>
            </w:tcMar>
          </w:tcPr>
          <w:p>
            <w:pPr>
              <w:pStyle w:val="BDOITable"/>
            </w:pPr>
            <w:r>
              <w:rPr>
                <w:sz w:val="16"/>
              </w:rPr>
              <w:t>Platform rule 5 years online and 15 offline; BRD-7 10 / 15; BRD-5, BRD-10, BRD-12 5 / 5 (CRQ22)</w:t>
            </w:r>
          </w:p>
        </w:tc>
        <w:tc>
          <w:tcPr>
            <w:tcW w:type="dxa" w:w="1586"/>
            <w:tcMar>
              <w:top w:w="50" w:type="dxa"/>
              <w:bottom w:w="50" w:type="dxa"/>
              <w:left w:w="90" w:type="dxa"/>
              <w:right w:w="90" w:type="dxa"/>
            </w:tcMar>
          </w:tcPr>
          <w:p>
            <w:pPr>
              <w:pStyle w:val="BDOITable"/>
            </w:pPr>
            <w:r>
              <w:rPr>
                <w:sz w:val="16"/>
              </w:rPr>
              <w:t>BRD owners, Compliance</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SA-10</w:t>
            </w:r>
          </w:p>
        </w:tc>
        <w:tc>
          <w:tcPr>
            <w:tcW w:type="dxa" w:w="1700"/>
            <w:tcMar>
              <w:top w:w="50" w:type="dxa"/>
              <w:bottom w:w="50" w:type="dxa"/>
              <w:left w:w="90" w:type="dxa"/>
              <w:right w:w="90" w:type="dxa"/>
            </w:tcMar>
            <w:shd w:val="clear" w:color="auto" w:fill="E5F5FF"/>
          </w:tcPr>
          <w:p>
            <w:pPr>
              <w:pStyle w:val="BDOITable"/>
            </w:pPr>
            <w:r>
              <w:rPr>
                <w:sz w:val="16"/>
              </w:rPr>
              <w:t>Reviewer of CVE exceptions</w:t>
            </w:r>
          </w:p>
        </w:tc>
        <w:tc>
          <w:tcPr>
            <w:tcW w:type="dxa" w:w="4759"/>
            <w:tcMar>
              <w:top w:w="50" w:type="dxa"/>
              <w:bottom w:w="50" w:type="dxa"/>
              <w:left w:w="90" w:type="dxa"/>
              <w:right w:w="90" w:type="dxa"/>
            </w:tcMar>
            <w:shd w:val="clear" w:color="auto" w:fill="E5F5FF"/>
          </w:tcPr>
          <w:p>
            <w:pPr>
              <w:pStyle w:val="BDOITable"/>
            </w:pPr>
            <w:r>
              <w:rPr>
                <w:sz w:val="16"/>
              </w:rPr>
              <w:t>The BDOI Information Security Officer approves every accepted finding before a production release (ADR-14)</w:t>
            </w:r>
          </w:p>
        </w:tc>
        <w:tc>
          <w:tcPr>
            <w:tcW w:type="dxa" w:w="1586"/>
            <w:tcMar>
              <w:top w:w="50" w:type="dxa"/>
              <w:bottom w:w="50" w:type="dxa"/>
              <w:left w:w="90" w:type="dxa"/>
              <w:right w:w="90" w:type="dxa"/>
            </w:tcMar>
            <w:shd w:val="clear" w:color="auto" w:fill="E5F5FF"/>
          </w:tcPr>
          <w:p>
            <w:pPr>
              <w:pStyle w:val="BDOITable"/>
            </w:pPr>
            <w:r>
              <w:rPr>
                <w:sz w:val="16"/>
              </w:rPr>
              <w:t>Information Security Office</w:t>
            </w:r>
          </w:p>
        </w:tc>
        <w:tc>
          <w:tcPr>
            <w:tcW w:type="dxa" w:w="1246"/>
            <w:tcMar>
              <w:top w:w="50" w:type="dxa"/>
              <w:bottom w:w="50" w:type="dxa"/>
              <w:left w:w="90" w:type="dxa"/>
              <w:right w:w="90" w:type="dxa"/>
            </w:tcMar>
            <w:shd w:val="clear" w:color="auto" w:fill="E5F5FF"/>
          </w:tcPr>
          <w:p>
            <w:pPr>
              <w:pStyle w:val="BDOITable"/>
            </w:pPr>
            <w:r>
              <w:rPr>
                <w:sz w:val="16"/>
              </w:rPr>
              <w:t>31-Dec-2026</w:t>
            </w:r>
          </w:p>
        </w:tc>
      </w:tr>
      <w:tr>
        <w:trPr>
          <w:cantSplit w:val="true"/>
        </w:trPr>
        <w:tc>
          <w:tcPr>
            <w:tcW w:type="dxa" w:w="680"/>
            <w:tcMar>
              <w:top w:w="50" w:type="dxa"/>
              <w:bottom w:w="50" w:type="dxa"/>
              <w:left w:w="90" w:type="dxa"/>
              <w:right w:w="90" w:type="dxa"/>
            </w:tcMar>
          </w:tcPr>
          <w:p>
            <w:pPr>
              <w:pStyle w:val="BDOITable"/>
            </w:pPr>
            <w:r>
              <w:rPr>
                <w:b/>
                <w:sz w:val="16"/>
              </w:rPr>
              <w:t>SA-11</w:t>
            </w:r>
          </w:p>
        </w:tc>
        <w:tc>
          <w:tcPr>
            <w:tcW w:type="dxa" w:w="1700"/>
            <w:tcMar>
              <w:top w:w="50" w:type="dxa"/>
              <w:bottom w:w="50" w:type="dxa"/>
              <w:left w:w="90" w:type="dxa"/>
              <w:right w:w="90" w:type="dxa"/>
            </w:tcMar>
          </w:tcPr>
          <w:p>
            <w:pPr>
              <w:pStyle w:val="BDOITable"/>
            </w:pPr>
            <w:r>
              <w:rPr>
                <w:sz w:val="16"/>
              </w:rPr>
              <w:t>Availability target</w:t>
            </w:r>
          </w:p>
        </w:tc>
        <w:tc>
          <w:tcPr>
            <w:tcW w:type="dxa" w:w="4759"/>
            <w:tcMar>
              <w:top w:w="50" w:type="dxa"/>
              <w:bottom w:w="50" w:type="dxa"/>
              <w:left w:w="90" w:type="dxa"/>
              <w:right w:w="90" w:type="dxa"/>
            </w:tcMar>
          </w:tcPr>
          <w:p>
            <w:pPr>
              <w:pStyle w:val="BDOITable"/>
            </w:pPr>
            <w:r>
              <w:rPr>
                <w:sz w:val="16"/>
              </w:rPr>
              <w:t>99.9 % in service hours 06:00-22:00 Monday to Saturday; maintenance window 00:00-04:00</w:t>
            </w:r>
          </w:p>
        </w:tc>
        <w:tc>
          <w:tcPr>
            <w:tcW w:type="dxa" w:w="1586"/>
            <w:tcMar>
              <w:top w:w="50" w:type="dxa"/>
              <w:bottom w:w="50" w:type="dxa"/>
              <w:left w:w="90" w:type="dxa"/>
              <w:right w:w="90" w:type="dxa"/>
            </w:tcMar>
          </w:tcPr>
          <w:p>
            <w:pPr>
              <w:pStyle w:val="BDOITable"/>
            </w:pPr>
            <w:r>
              <w:rPr>
                <w:sz w:val="16"/>
              </w:rPr>
              <w:t>BDOI IT Operations</w:t>
            </w:r>
          </w:p>
        </w:tc>
        <w:tc>
          <w:tcPr>
            <w:tcW w:type="dxa" w:w="1246"/>
            <w:tcMar>
              <w:top w:w="50" w:type="dxa"/>
              <w:bottom w:w="50" w:type="dxa"/>
              <w:left w:w="90" w:type="dxa"/>
              <w:right w:w="90" w:type="dxa"/>
            </w:tcMar>
          </w:tcPr>
          <w:p>
            <w:pPr>
              <w:pStyle w:val="BDOITable"/>
            </w:pPr>
            <w:r>
              <w:rPr>
                <w:sz w:val="16"/>
              </w:rPr>
              <w:t>30-Nov-2026</w:t>
            </w:r>
          </w:p>
        </w:tc>
      </w:tr>
    </w:tbl>
    <w:p>
      <w:pPr>
        <w:pStyle w:val="BDOISpacer"/>
      </w:pPr>
    </w:p>
    <w:p>
      <w:pPr>
        <w:pStyle w:val="Heading1"/>
        <w:pBdr>
          <w:bottom w:val="single" w:sz="4" w:space="4" w:color="99C1E7"/>
        </w:pBdr>
      </w:pPr>
      <w:bookmarkStart w:id="140" w:name="_Toc000140"/>
      <w:r>
        <w:rPr/>
        <w:t>Glossary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ABAC</w:t>
            </w:r>
          </w:p>
        </w:tc>
        <w:tc>
          <w:tcPr>
            <w:tcW w:type="dxa" w:w="7932"/>
            <w:tcMar>
              <w:top w:w="50" w:type="dxa"/>
              <w:bottom w:w="50" w:type="dxa"/>
              <w:left w:w="90" w:type="dxa"/>
              <w:right w:w="90" w:type="dxa"/>
            </w:tcMar>
          </w:tcPr>
          <w:p>
            <w:pPr>
              <w:pStyle w:val="BDOITable"/>
            </w:pPr>
            <w:r>
              <w:rPr>
                <w:sz w:val="18"/>
              </w:rPr>
              <w:t>Attribute-based access control (company and branch data scope)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ACSL</w:t>
            </w:r>
          </w:p>
        </w:tc>
        <w:tc>
          <w:tcPr>
            <w:tcW w:type="dxa" w:w="7932"/>
            <w:tcMar>
              <w:top w:w="50" w:type="dxa"/>
              <w:bottom w:w="50" w:type="dxa"/>
              <w:left w:w="90" w:type="dxa"/>
              <w:right w:w="90" w:type="dxa"/>
            </w:tcMar>
            <w:shd w:val="clear" w:color="auto" w:fill="E5F5FF"/>
          </w:tcPr>
          <w:p>
            <w:pPr>
              <w:pStyle w:val="BDOITable"/>
            </w:pPr>
            <w:r>
              <w:rPr>
                <w:sz w:val="18"/>
              </w:rPr>
              <w:t>Accounting Control and Sub-Ledger (BRD-5)</w:t>
            </w:r>
          </w:p>
        </w:tc>
      </w:tr>
      <w:tr>
        <w:trPr>
          <w:cantSplit w:val="true"/>
        </w:trPr>
        <w:tc>
          <w:tcPr>
            <w:tcW w:type="dxa" w:w="2040"/>
            <w:tcMar>
              <w:top w:w="50" w:type="dxa"/>
              <w:bottom w:w="50" w:type="dxa"/>
              <w:left w:w="90" w:type="dxa"/>
              <w:right w:w="90" w:type="dxa"/>
            </w:tcMar>
          </w:tcPr>
          <w:p>
            <w:pPr>
              <w:pStyle w:val="BDOITable"/>
            </w:pPr>
            <w:r>
              <w:rPr>
                <w:b/>
                <w:sz w:val="18"/>
              </w:rPr>
              <w:t>ADR</w:t>
            </w:r>
          </w:p>
        </w:tc>
        <w:tc>
          <w:tcPr>
            <w:tcW w:type="dxa" w:w="7932"/>
            <w:tcMar>
              <w:top w:w="50" w:type="dxa"/>
              <w:bottom w:w="50" w:type="dxa"/>
              <w:left w:w="90" w:type="dxa"/>
              <w:right w:w="90" w:type="dxa"/>
            </w:tcMar>
          </w:tcPr>
          <w:p>
            <w:pPr>
              <w:pStyle w:val="BDOITable"/>
            </w:pPr>
            <w:r>
              <w:rPr>
                <w:sz w:val="18"/>
              </w:rPr>
              <w:t>Architecture decision record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w:t>
            </w:r>
          </w:p>
        </w:tc>
      </w:tr>
      <w:tr>
        <w:trPr>
          <w:cantSplit w:val="true"/>
        </w:trPr>
        <w:tc>
          <w:tcPr>
            <w:tcW w:type="dxa" w:w="2040"/>
            <w:tcMar>
              <w:top w:w="50" w:type="dxa"/>
              <w:bottom w:w="50" w:type="dxa"/>
              <w:left w:w="90" w:type="dxa"/>
              <w:right w:w="90" w:type="dxa"/>
            </w:tcMar>
          </w:tcPr>
          <w:p>
            <w:pPr>
              <w:pStyle w:val="BDOITable"/>
            </w:pPr>
            <w:r>
              <w:rPr>
                <w:b/>
                <w:sz w:val="18"/>
              </w:rPr>
              <w:t>BC</w:t>
            </w:r>
          </w:p>
        </w:tc>
        <w:tc>
          <w:tcPr>
            <w:tcW w:type="dxa" w:w="7932"/>
            <w:tcMar>
              <w:top w:w="50" w:type="dxa"/>
              <w:bottom w:w="50" w:type="dxa"/>
              <w:left w:w="90" w:type="dxa"/>
              <w:right w:w="90" w:type="dxa"/>
            </w:tcMar>
          </w:tcPr>
          <w:p>
            <w:pPr>
              <w:pStyle w:val="BDOITable"/>
            </w:pPr>
            <w:r>
              <w:rPr>
                <w:sz w:val="18"/>
              </w:rPr>
              <w:t>Bounded context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DOA</w:t>
            </w:r>
          </w:p>
        </w:tc>
        <w:tc>
          <w:tcPr>
            <w:tcW w:type="dxa" w:w="7932"/>
            <w:tcMar>
              <w:top w:w="50" w:type="dxa"/>
              <w:bottom w:w="50" w:type="dxa"/>
              <w:left w:w="90" w:type="dxa"/>
              <w:right w:w="90" w:type="dxa"/>
            </w:tcMar>
          </w:tcPr>
          <w:p>
            <w:pPr>
              <w:pStyle w:val="BDOITable"/>
            </w:pPr>
            <w:r>
              <w:rPr>
                <w:sz w:val="18"/>
              </w:rPr>
              <w:t>Delegation of Authority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Enterprise Identity Access Management (Microsoft Entra ID)</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IRSA</w:t>
            </w:r>
          </w:p>
        </w:tc>
        <w:tc>
          <w:tcPr>
            <w:tcW w:type="dxa" w:w="7932"/>
            <w:tcMar>
              <w:top w:w="50" w:type="dxa"/>
              <w:bottom w:w="50" w:type="dxa"/>
              <w:left w:w="90" w:type="dxa"/>
              <w:right w:w="90" w:type="dxa"/>
            </w:tcMar>
            <w:shd w:val="clear" w:color="auto" w:fill="E5F5FF"/>
          </w:tcPr>
          <w:p>
            <w:pPr>
              <w:pStyle w:val="BDOITable"/>
            </w:pPr>
            <w:r>
              <w:rPr>
                <w:sz w:val="18"/>
              </w:rPr>
              <w:t>IAM roles for service accounts (Amazon EKS)</w:t>
            </w:r>
          </w:p>
        </w:tc>
      </w:tr>
      <w:tr>
        <w:trPr>
          <w:cantSplit w:val="true"/>
        </w:trPr>
        <w:tc>
          <w:tcPr>
            <w:tcW w:type="dxa" w:w="2040"/>
            <w:tcMar>
              <w:top w:w="50" w:type="dxa"/>
              <w:bottom w:w="50" w:type="dxa"/>
              <w:left w:w="90" w:type="dxa"/>
              <w:right w:w="90" w:type="dxa"/>
            </w:tcMar>
          </w:tcPr>
          <w:p>
            <w:pPr>
              <w:pStyle w:val="BDOITable"/>
            </w:pPr>
            <w:r>
              <w:rPr>
                <w:b/>
                <w:sz w:val="18"/>
              </w:rPr>
              <w:t>KRaft</w:t>
            </w:r>
          </w:p>
        </w:tc>
        <w:tc>
          <w:tcPr>
            <w:tcW w:type="dxa" w:w="7932"/>
            <w:tcMar>
              <w:top w:w="50" w:type="dxa"/>
              <w:bottom w:w="50" w:type="dxa"/>
              <w:left w:w="90" w:type="dxa"/>
              <w:right w:w="90" w:type="dxa"/>
            </w:tcMar>
          </w:tcPr>
          <w:p>
            <w:pPr>
              <w:pStyle w:val="BDOITable"/>
            </w:pPr>
            <w:r>
              <w:rPr>
                <w:sz w:val="18"/>
              </w:rPr>
              <w:t>Kafka Raft metadata mode (no ZooKeeper)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MSK</w:t>
            </w:r>
          </w:p>
        </w:tc>
        <w:tc>
          <w:tcPr>
            <w:tcW w:type="dxa" w:w="7932"/>
            <w:tcMar>
              <w:top w:w="50" w:type="dxa"/>
              <w:bottom w:w="50" w:type="dxa"/>
              <w:left w:w="90" w:type="dxa"/>
              <w:right w:w="90" w:type="dxa"/>
            </w:tcMar>
            <w:shd w:val="clear" w:color="auto" w:fill="E5F5FF"/>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tcPr>
          <w:p>
            <w:pPr>
              <w:pStyle w:val="BDOITable"/>
            </w:pPr>
            <w:r>
              <w:rPr>
                <w:b/>
                <w:sz w:val="18"/>
              </w:rPr>
              <w:t>OIDC</w:t>
            </w:r>
          </w:p>
        </w:tc>
        <w:tc>
          <w:tcPr>
            <w:tcW w:type="dxa" w:w="7932"/>
            <w:tcMar>
              <w:top w:w="50" w:type="dxa"/>
              <w:bottom w:w="50" w:type="dxa"/>
              <w:left w:w="90" w:type="dxa"/>
              <w:right w:w="90" w:type="dxa"/>
            </w:tcMar>
          </w:tcPr>
          <w:p>
            <w:pPr>
              <w:pStyle w:val="BDOITable"/>
            </w:pPr>
            <w:r>
              <w:rPr>
                <w:sz w:val="18"/>
              </w:rPr>
              <w:t>OpenID Connect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PRF</w:t>
            </w:r>
          </w:p>
        </w:tc>
        <w:tc>
          <w:tcPr>
            <w:tcW w:type="dxa" w:w="7932"/>
            <w:tcMar>
              <w:top w:w="50" w:type="dxa"/>
              <w:bottom w:w="50" w:type="dxa"/>
              <w:left w:w="90" w:type="dxa"/>
              <w:right w:w="90" w:type="dxa"/>
            </w:tcMar>
            <w:shd w:val="clear" w:color="auto" w:fill="E5F5FF"/>
          </w:tcPr>
          <w:p>
            <w:pPr>
              <w:pStyle w:val="BDOITable"/>
            </w:pPr>
            <w:r>
              <w:rPr>
                <w:sz w:val="18"/>
              </w:rPr>
              <w:t>Proposal Request Form</w:t>
            </w:r>
          </w:p>
        </w:tc>
      </w:tr>
      <w:tr>
        <w:trPr>
          <w:cantSplit w:val="true"/>
        </w:trPr>
        <w:tc>
          <w:tcPr>
            <w:tcW w:type="dxa" w:w="2040"/>
            <w:tcMar>
              <w:top w:w="50" w:type="dxa"/>
              <w:bottom w:w="50" w:type="dxa"/>
              <w:left w:w="90" w:type="dxa"/>
              <w:right w:w="90" w:type="dxa"/>
            </w:tcMar>
          </w:tcPr>
          <w:p>
            <w:pPr>
              <w:pStyle w:val="BDOITable"/>
            </w:pPr>
            <w:r>
              <w:rPr>
                <w:b/>
                <w:sz w:val="18"/>
              </w:rPr>
              <w:t>RPO / RTO</w:t>
            </w:r>
          </w:p>
        </w:tc>
        <w:tc>
          <w:tcPr>
            <w:tcW w:type="dxa" w:w="7932"/>
            <w:tcMar>
              <w:top w:w="50" w:type="dxa"/>
              <w:bottom w:w="50" w:type="dxa"/>
              <w:left w:w="90" w:type="dxa"/>
              <w:right w:w="90" w:type="dxa"/>
            </w:tcMar>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SCIM</w:t>
            </w:r>
          </w:p>
        </w:tc>
        <w:tc>
          <w:tcPr>
            <w:tcW w:type="dxa" w:w="7932"/>
            <w:tcMar>
              <w:top w:w="50" w:type="dxa"/>
              <w:bottom w:w="50" w:type="dxa"/>
              <w:left w:w="90" w:type="dxa"/>
              <w:right w:w="90" w:type="dxa"/>
            </w:tcMar>
            <w:shd w:val="clear" w:color="auto" w:fill="E5F5FF"/>
          </w:tcPr>
          <w:p>
            <w:pPr>
              <w:pStyle w:val="BDOITable"/>
            </w:pPr>
            <w:r>
              <w:rPr>
                <w:sz w:val="18"/>
              </w:rPr>
              <w:t>System for Cross-domain Identity Management</w:t>
            </w:r>
          </w:p>
        </w:tc>
      </w:tr>
      <w:tr>
        <w:trPr>
          <w:cantSplit w:val="true"/>
        </w:trPr>
        <w:tc>
          <w:tcPr>
            <w:tcW w:type="dxa" w:w="2040"/>
            <w:tcMar>
              <w:top w:w="50" w:type="dxa"/>
              <w:bottom w:w="50" w:type="dxa"/>
              <w:left w:w="90" w:type="dxa"/>
              <w:right w:w="90" w:type="dxa"/>
            </w:tcMar>
          </w:tcPr>
          <w:p>
            <w:pPr>
              <w:pStyle w:val="BDOITable"/>
            </w:pPr>
            <w:r>
              <w:rPr>
                <w:b/>
                <w:sz w:val="18"/>
              </w:rPr>
              <w:t>TOTP</w:t>
            </w:r>
          </w:p>
        </w:tc>
        <w:tc>
          <w:tcPr>
            <w:tcW w:type="dxa" w:w="7932"/>
            <w:tcMar>
              <w:top w:w="50" w:type="dxa"/>
              <w:bottom w:w="50" w:type="dxa"/>
              <w:left w:w="90" w:type="dxa"/>
              <w:right w:w="90" w:type="dxa"/>
            </w:tcMar>
          </w:tcPr>
          <w:p>
            <w:pPr>
              <w:pStyle w:val="BDOITable"/>
            </w:pPr>
            <w:r>
              <w:rPr>
                <w:sz w:val="18"/>
              </w:rPr>
              <w:t>Time-based one-time password (authenticator app)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UIDM-ISC</w:t>
            </w:r>
          </w:p>
        </w:tc>
        <w:tc>
          <w:tcPr>
            <w:tcW w:type="dxa" w:w="7932"/>
            <w:tcMar>
              <w:top w:w="50" w:type="dxa"/>
              <w:bottom w:w="50" w:type="dxa"/>
              <w:left w:w="90" w:type="dxa"/>
              <w:right w:w="90" w:type="dxa"/>
            </w:tcMar>
          </w:tcPr>
          <w:p>
            <w:pPr>
              <w:pStyle w:val="BDOITable"/>
            </w:pPr>
            <w:r>
              <w:rPr>
                <w:sz w:val="18"/>
              </w:rPr>
              <w:t>User ID Maintenance - Identity Security Cloud (identity governance)</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1 of 6</w:t>
    </w:r>
    <w:r>
      <w:rPr>
        <w:color w:val="656565"/>
        <w:sz w:val="16"/>
      </w:rPr>
      <w:t xml:space="preserve">   Solution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Architecture Solution Architecture</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