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64</w:t>
          </w:r>
        </w:p>
        <w:p>
          <w:pPr>
            <w:pStyle w:val="TOC1"/>
            <w:tabs>
              <w:tab w:val="right" w:leader="dot" w:pos="9630"/>
            </w:tabs>
            <w:rPr>
              <w:rStyle w:val="Hyperlink"/>
            </w:rPr>
          </w:pPr>
          <w:r>
            <w:t xml:space="preserve">Non-Package Request Process Flow</w:t>
          </w:r>
          <w:r>
            <w:tab/>
          </w:r>
          <w:r>
            <w:t xml:space="preserve">64</w:t>
          </w:r>
        </w:p>
        <w:p>
          <w:pPr>
            <w:pStyle w:val="TOC1"/>
            <w:tabs>
              <w:tab w:val="right" w:leader="dot" w:pos="9630"/>
            </w:tabs>
            <w:rPr>
              <w:rStyle w:val="Hyperlink"/>
            </w:rPr>
          </w:pPr>
          <w:r>
            <w:t xml:space="preserve">New Request Process Flow</w:t>
          </w:r>
          <w:r>
            <w:tab/>
          </w:r>
          <w:r>
            <w:t xml:space="preserve">65</w:t>
          </w:r>
        </w:p>
        <w:p>
          <w:pPr>
            <w:pStyle w:val="TOC1"/>
            <w:tabs>
              <w:tab w:val="right" w:leader="dot" w:pos="9630"/>
            </w:tabs>
            <w:rPr>
              <w:rStyle w:val="Hyperlink"/>
            </w:rPr>
          </w:pPr>
          <w:r>
            <w:t xml:space="preserve">Package Set-up, Validation and Release Process Flow</w:t>
          </w:r>
          <w:r>
            <w:tab/>
          </w:r>
          <w:r>
            <w:t xml:space="preserve">67</w:t>
          </w:r>
        </w:p>
        <w:p>
          <w:pPr>
            <w:pStyle w:val="TOC1"/>
            <w:tabs>
              <w:tab w:val="right" w:leader="dot" w:pos="9630"/>
            </w:tabs>
            <w:rPr>
              <w:rStyle w:val="Hyperlink"/>
            </w:rPr>
          </w:pPr>
          <w:r>
            <w:t xml:space="preserve">Package Expiry, Renewal and Deactivation Process Flow</w:t>
          </w:r>
          <w:r>
            <w:tab/>
          </w:r>
          <w:r>
            <w:t xml:space="preserve">68</w:t>
          </w:r>
        </w:p>
        <w:p>
          <w:pPr>
            <w:pStyle w:val="TOC1"/>
            <w:tabs>
              <w:tab w:val="right" w:leader="dot" w:pos="9630"/>
            </w:tabs>
            <w:rPr>
              <w:rStyle w:val="Hyperlink"/>
            </w:rPr>
          </w:pPr>
          <w:r>
            <w:t xml:space="preserve">Rate Exception Process Flow (New Business on a Package)</w:t>
          </w:r>
          <w:r>
            <w:tab/>
          </w:r>
          <w:r>
            <w:t xml:space="preserve">69</w:t>
          </w:r>
        </w:p>
        <w:p>
          <w:pPr>
            <w:pStyle w:val="TOC1"/>
            <w:tabs>
              <w:tab w:val="right" w:leader="dot" w:pos="9630"/>
            </w:tabs>
            <w:rPr>
              <w:rStyle w:val="Hyperlink"/>
            </w:rPr>
          </w:pPr>
          <w:r>
            <w:t xml:space="preserve">Package Request and Approval Process Flow (Marketing and TSU)</w:t>
          </w:r>
          <w:r>
            <w:tab/>
          </w:r>
          <w:r>
            <w:t xml:space="preserve">70</w:t>
          </w:r>
        </w:p>
        <w:p>
          <w:pPr>
            <w:pStyle w:val="TOC1"/>
            <w:tabs>
              <w:tab w:val="right" w:leader="dot" w:pos="9630"/>
            </w:tabs>
            <w:rPr>
              <w:rStyle w:val="Hyperlink"/>
            </w:rPr>
          </w:pPr>
          <w:r>
            <w:t xml:space="preserve">Negotiation, Comparative Table and Terms Review Process Flow</w:t>
          </w:r>
          <w:r>
            <w:tab/>
          </w:r>
          <w:r>
            <w:t xml:space="preserve">71</w:t>
          </w:r>
        </w:p>
        <w:p>
          <w:pPr>
            <w:pStyle w:val="TOC1"/>
            <w:tabs>
              <w:tab w:val="right" w:leader="dot" w:pos="9630"/>
            </w:tabs>
            <w:rPr>
              <w:rStyle w:val="Hyperlink"/>
            </w:rPr>
          </w:pPr>
          <w:r>
            <w:t xml:space="preserve">Product Master Maintenance Process Flow (Maker-Checker)</w:t>
          </w:r>
          <w:r>
            <w:tab/>
          </w:r>
          <w:r>
            <w:t xml:space="preserve">72</w:t>
          </w:r>
        </w:p>
        <w:p>
          <w:pPr>
            <w:pStyle w:val="TOC1"/>
            <w:tabs>
              <w:tab w:val="right" w:leader="dot" w:pos="9630"/>
            </w:tabs>
            <w:rPr>
              <w:rStyle w:val="Hyperlink"/>
            </w:rPr>
          </w:pPr>
          <w:r>
            <w:t xml:space="preserve">Status Life-cycles</w:t>
          </w:r>
          <w:r>
            <w:tab/>
          </w:r>
          <w:r>
            <w:t xml:space="preserve">73</w:t>
          </w:r>
        </w:p>
        <w:p>
          <w:pPr>
            <w:pStyle w:val="TOC1"/>
            <w:tabs>
              <w:tab w:val="right" w:leader="dot" w:pos="9630"/>
            </w:tabs>
            <w:rPr>
              <w:rStyle w:val="Hyperlink"/>
            </w:rPr>
          </w:pPr>
          <w:r>
            <w:t xml:space="preserve">Integration Context Diagram</w:t>
          </w:r>
          <w:r>
            <w:tab/>
          </w:r>
          <w:r>
            <w:t xml:space="preserve">75</w:t>
          </w:r>
        </w:p>
        <w:p>
          <w:pPr>
            <w:pStyle w:val="TOC1"/>
            <w:tabs>
              <w:tab w:val="right" w:leader="dot" w:pos="9630"/>
            </w:tabs>
            <w:rPr>
              <w:rStyle w:val="Hyperlink"/>
            </w:rPr>
          </w:pPr>
          <w:r>
            <w:t xml:space="preserve">Signoff Sheet</w:t>
          </w:r>
          <w:r>
            <w:tab/>
          </w:r>
          <w:r>
            <w:t xml:space="preserve">76</w:t>
          </w:r>
        </w:p>
        <w:p>
          <w:pPr>
            <w:pStyle w:val="TOC1"/>
            <w:tabs>
              <w:tab w:val="right" w:leader="dot" w:pos="9630"/>
            </w:tabs>
            <w:rPr>
              <w:rStyle w:val="Hyperlink"/>
            </w:rPr>
          </w:pPr>
          <w:r>
            <w:t xml:space="preserve">Annex A – Package Product Fields</w:t>
          </w:r>
          <w:r>
            <w:tab/>
          </w:r>
          <w:r>
            <w:t xml:space="preserve">77</w:t>
          </w:r>
        </w:p>
        <w:p>
          <w:pPr>
            <w:pStyle w:val="TOC1"/>
            <w:tabs>
              <w:tab w:val="right" w:leader="dot" w:pos="9630"/>
            </w:tabs>
            <w:rPr>
              <w:rStyle w:val="Hyperlink"/>
            </w:rPr>
          </w:pPr>
          <w:r>
            <w:t xml:space="preserve">Annex B – Non-Package Product Fields</w:t>
          </w:r>
          <w:r>
            <w:tab/>
          </w:r>
          <w:r>
            <w:t xml:space="preserve">79</w:t>
          </w:r>
        </w:p>
        <w:p>
          <w:pPr>
            <w:pStyle w:val="TOC1"/>
            <w:tabs>
              <w:tab w:val="right" w:leader="dot" w:pos="9630"/>
            </w:tabs>
            <w:rPr>
              <w:rStyle w:val="Hyperlink"/>
            </w:rPr>
          </w:pPr>
          <w:r>
            <w:t xml:space="preserve">Annex C – Non-Package Quotation Request Fields</w:t>
          </w:r>
          <w:r>
            <w:tab/>
          </w:r>
          <w:r>
            <w:t xml:space="preserve">83</w:t>
          </w:r>
        </w:p>
        <w:p>
          <w:pPr>
            <w:pStyle w:val="TOC1"/>
            <w:tabs>
              <w:tab w:val="right" w:leader="dot" w:pos="9630"/>
            </w:tabs>
            <w:rPr>
              <w:rStyle w:val="Hyperlink"/>
            </w:rPr>
          </w:pPr>
          <w:r>
            <w:t xml:space="preserve">Annex D – Non-Package Quotation Slip Templates</w:t>
          </w:r>
          <w:r>
            <w:tab/>
          </w:r>
          <w:r>
            <w:t xml:space="preserve">87</w:t>
          </w:r>
        </w:p>
        <w:p>
          <w:pPr>
            <w:pStyle w:val="TOC1"/>
            <w:tabs>
              <w:tab w:val="right" w:leader="dot" w:pos="9630"/>
            </w:tabs>
            <w:rPr>
              <w:rStyle w:val="Hyperlink"/>
            </w:rPr>
          </w:pPr>
          <w:r>
            <w:t xml:space="preserve">Annex E – Package Request Fields</w:t>
          </w:r>
          <w:r>
            <w:tab/>
          </w:r>
          <w:r>
            <w:t xml:space="preserve">88</w:t>
          </w:r>
        </w:p>
        <w:p>
          <w:pPr>
            <w:pStyle w:val="TOC1"/>
            <w:tabs>
              <w:tab w:val="right" w:leader="dot" w:pos="9630"/>
            </w:tabs>
            <w:rPr>
              <w:rStyle w:val="Hyperlink"/>
            </w:rPr>
          </w:pPr>
          <w:r>
            <w:t xml:space="preserve">Annex F– Package Quotation Slip Templates</w:t>
          </w:r>
          <w:r>
            <w:tab/>
          </w:r>
          <w:r>
            <w:t xml:space="preserve">90</w:t>
          </w:r>
        </w:p>
        <w:p>
          <w:pPr>
            <w:pStyle w:val="TOC1"/>
            <w:tabs>
              <w:tab w:val="right" w:leader="dot" w:pos="9630"/>
            </w:tabs>
            <w:rPr>
              <w:rStyle w:val="Hyperlink"/>
            </w:rPr>
          </w:pPr>
          <w:r>
            <w:t xml:space="preserve">Annex G – Screen Specifications</w:t>
          </w:r>
          <w:r>
            <w:tab/>
          </w:r>
          <w:r>
            <w:t xml:space="preserve">91</w:t>
          </w:r>
        </w:p>
        <w:p>
          <w:pPr>
            <w:pStyle w:val="TOC2"/>
            <w:tabs>
              <w:tab w:val="right" w:leader="dot" w:pos="9630"/>
            </w:tabs>
            <w:rPr>
              <w:rStyle w:val="Hyperlink"/>
            </w:rPr>
          </w:pPr>
          <w:r>
            <w:t xml:space="preserve">G.1 Product Maintenance Home (SCR-PM-01)</w:t>
          </w:r>
          <w:r>
            <w:tab/>
          </w:r>
          <w:r>
            <w:t xml:space="preserve">91</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95</w:t>
          </w:r>
        </w:p>
        <w:p>
          <w:pPr>
            <w:pStyle w:val="TOC2"/>
            <w:tabs>
              <w:tab w:val="right" w:leader="dot" w:pos="9630"/>
            </w:tabs>
            <w:rPr>
              <w:rStyle w:val="Hyperlink"/>
            </w:rPr>
          </w:pPr>
          <w:r>
            <w:t xml:space="preserve">G.4 Package Request record (SCR-PM-04)</w:t>
          </w:r>
          <w:r>
            <w:tab/>
          </w:r>
          <w:r>
            <w:t xml:space="preserve">99</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106</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110</w:t>
          </w:r>
        </w:p>
        <w:p>
          <w:pPr>
            <w:pStyle w:val="TOC2"/>
            <w:tabs>
              <w:tab w:val="right" w:leader="dot" w:pos="9630"/>
            </w:tabs>
            <w:rPr>
              <w:rStyle w:val="Hyperlink"/>
            </w:rPr>
          </w:pPr>
          <w:r>
            <w:t xml:space="preserve">G.9 TSU Workbench (SCR-PM-09)</w:t>
          </w:r>
          <w:r>
            <w:tab/>
          </w:r>
          <w:r>
            <w:t xml:space="preserve">112</w:t>
          </w:r>
        </w:p>
        <w:p>
          <w:pPr>
            <w:pStyle w:val="TOC2"/>
            <w:tabs>
              <w:tab w:val="right" w:leader="dot" w:pos="9630"/>
            </w:tabs>
            <w:rPr>
              <w:rStyle w:val="Hyperlink"/>
            </w:rPr>
          </w:pPr>
          <w:r>
            <w:t xml:space="preserve">G.10 Package Expiry (SCR-PM-10)</w:t>
          </w:r>
          <w:r>
            <w:tab/>
          </w:r>
          <w:r>
            <w:t xml:space="preserve">114</w:t>
          </w:r>
        </w:p>
        <w:p>
          <w:pPr>
            <w:pStyle w:val="TOC2"/>
            <w:tabs>
              <w:tab w:val="right" w:leader="dot" w:pos="9630"/>
            </w:tabs>
            <w:rPr>
              <w:rStyle w:val="Hyperlink"/>
            </w:rPr>
          </w:pPr>
          <w:r>
            <w:t xml:space="preserve">G.11 Products (SCR-PM-11)</w:t>
          </w:r>
          <w:r>
            <w:tab/>
          </w:r>
          <w:r>
            <w:t xml:space="preserve">115</w:t>
          </w:r>
        </w:p>
        <w:p>
          <w:pPr>
            <w:pStyle w:val="TOC2"/>
            <w:tabs>
              <w:tab w:val="right" w:leader="dot" w:pos="9630"/>
            </w:tabs>
            <w:rPr>
              <w:rStyle w:val="Hyperlink"/>
            </w:rPr>
          </w:pPr>
          <w:r>
            <w:t xml:space="preserve">G.12 Product record (SCR-PM-12)</w:t>
          </w:r>
          <w:r>
            <w:tab/>
          </w:r>
          <w:r>
            <w:t xml:space="preserve">118</w:t>
          </w:r>
        </w:p>
        <w:p>
          <w:pPr>
            <w:pStyle w:val="TOC2"/>
            <w:tabs>
              <w:tab w:val="right" w:leader="dot" w:pos="9630"/>
            </w:tabs>
            <w:rPr>
              <w:rStyle w:val="Hyperlink"/>
            </w:rPr>
          </w:pPr>
          <w:r>
            <w:t xml:space="preserve">G.13 Package Version (SCR-PM-13)</w:t>
          </w:r>
          <w:r>
            <w:tab/>
          </w:r>
          <w:r>
            <w:t xml:space="preserve">121</w:t>
          </w:r>
        </w:p>
        <w:p>
          <w:pPr>
            <w:pStyle w:val="TOC2"/>
            <w:tabs>
              <w:tab w:val="right" w:leader="dot" w:pos="9630"/>
            </w:tabs>
            <w:rPr>
              <w:rStyle w:val="Hyperlink"/>
            </w:rPr>
          </w:pPr>
          <w:r>
            <w:t xml:space="preserve">G.14 Validation Queue (SCR-PM-14)</w:t>
          </w:r>
          <w:r>
            <w:tab/>
          </w:r>
          <w:r>
            <w:t xml:space="preserve">124</w:t>
          </w:r>
        </w:p>
        <w:p>
          <w:pPr>
            <w:pStyle w:val="TOC2"/>
            <w:tabs>
              <w:tab w:val="right" w:leader="dot" w:pos="9630"/>
            </w:tabs>
            <w:rPr>
              <w:rStyle w:val="Hyperlink"/>
            </w:rPr>
          </w:pPr>
          <w:r>
            <w:t xml:space="preserve">G.15 Coverages &amp; Clauses (SCR-PM-15)</w:t>
          </w:r>
          <w:r>
            <w:tab/>
          </w:r>
          <w:r>
            <w:t xml:space="preserve">125</w:t>
          </w:r>
        </w:p>
        <w:p>
          <w:pPr>
            <w:pStyle w:val="TOC2"/>
            <w:tabs>
              <w:tab w:val="right" w:leader="dot" w:pos="9630"/>
            </w:tabs>
            <w:rPr>
              <w:rStyle w:val="Hyperlink"/>
            </w:rPr>
          </w:pPr>
          <w:r>
            <w:t xml:space="preserve">G.16 Incentive Criteria (SCR-PM-16)</w:t>
          </w:r>
          <w:r>
            <w:tab/>
          </w:r>
          <w:r>
            <w:t xml:space="preserve">126</w:t>
          </w:r>
        </w:p>
        <w:p>
          <w:pPr>
            <w:pStyle w:val="TOC2"/>
            <w:tabs>
              <w:tab w:val="right" w:leader="dot" w:pos="9630"/>
            </w:tabs>
            <w:rPr>
              <w:rStyle w:val="Hyperlink"/>
            </w:rPr>
          </w:pPr>
          <w:r>
            <w:t xml:space="preserve">G.17 Insurers (SCR-PM-17)</w:t>
          </w:r>
          <w:r>
            <w:tab/>
          </w:r>
          <w:r>
            <w:t xml:space="preserve">128</w:t>
          </w:r>
        </w:p>
        <w:p>
          <w:pPr>
            <w:pStyle w:val="TOC2"/>
            <w:tabs>
              <w:tab w:val="right" w:leader="dot" w:pos="9630"/>
            </w:tabs>
            <w:rPr>
              <w:rStyle w:val="Hyperlink"/>
            </w:rPr>
          </w:pPr>
          <w:r>
            <w:t xml:space="preserve">G.18 Insurer record (SCR-PM-18)</w:t>
          </w:r>
          <w:r>
            <w:tab/>
          </w:r>
          <w:r>
            <w:t xml:space="preserve">129</w:t>
          </w:r>
        </w:p>
        <w:p>
          <w:pPr>
            <w:pStyle w:val="TOC2"/>
            <w:tabs>
              <w:tab w:val="right" w:leader="dot" w:pos="9630"/>
            </w:tabs>
            <w:rPr>
              <w:rStyle w:val="Hyperlink"/>
            </w:rPr>
          </w:pPr>
          <w:r>
            <w:t xml:space="preserve">G.19 Rates &amp; Taxes (SCR-PM-19)</w:t>
          </w:r>
          <w:r>
            <w:tab/>
          </w:r>
          <w:r>
            <w:t xml:space="preserve">131</w:t>
          </w:r>
        </w:p>
        <w:p>
          <w:pPr>
            <w:pStyle w:val="TOC2"/>
            <w:tabs>
              <w:tab w:val="right" w:leader="dot" w:pos="9630"/>
            </w:tabs>
            <w:rPr>
              <w:rStyle w:val="Hyperlink"/>
            </w:rPr>
          </w:pPr>
          <w:r>
            <w:t xml:space="preserve">G.20 Sales Organisation (SCR-PM-20)</w:t>
          </w:r>
          <w:r>
            <w:tab/>
          </w:r>
          <w:r>
            <w:t xml:space="preserve">132</w:t>
          </w:r>
        </w:p>
        <w:p>
          <w:pPr>
            <w:pStyle w:val="TOC2"/>
            <w:tabs>
              <w:tab w:val="right" w:leader="dot" w:pos="9630"/>
            </w:tabs>
            <w:rPr>
              <w:rStyle w:val="Hyperlink"/>
            </w:rPr>
          </w:pPr>
          <w:r>
            <w:t xml:space="preserve">G.21 Premium Calculator (SCR-PM-21)</w:t>
          </w:r>
          <w:r>
            <w:tab/>
          </w:r>
          <w:r>
            <w:t xml:space="preserve">135</w:t>
          </w:r>
        </w:p>
        <w:p>
          <w:pPr>
            <w:pStyle w:val="TOC2"/>
            <w:tabs>
              <w:tab w:val="right" w:leader="dot" w:pos="9630"/>
            </w:tabs>
            <w:rPr>
              <w:rStyle w:val="Hyperlink"/>
            </w:rPr>
          </w:pPr>
          <w:r>
            <w:t xml:space="preserve">G.22 Quotation: package rate scheme and rate exception (SCR-PM-22)</w:t>
          </w:r>
          <w:r>
            <w:tab/>
          </w:r>
          <w:r>
            <w:t xml:space="preserve">138</w:t>
          </w:r>
        </w:p>
        <w:p>
          <w:pPr>
            <w:pStyle w:val="TOC2"/>
            <w:tabs>
              <w:tab w:val="right" w:leader="dot" w:pos="9630"/>
            </w:tabs>
            <w:rPr>
              <w:rStyle w:val="Hyperlink"/>
            </w:rPr>
          </w:pPr>
          <w:r>
            <w:t xml:space="preserve">G.23 Product Maintenance Dashboard (SCR-PM-23)</w:t>
          </w:r>
          <w:r>
            <w:tab/>
          </w:r>
          <w:r>
            <w:t xml:space="preserve">139</w:t>
          </w:r>
        </w:p>
        <w:p>
          <w:pPr>
            <w:pStyle w:val="TOC2"/>
            <w:tabs>
              <w:tab w:val="right" w:leader="dot" w:pos="9630"/>
            </w:tabs>
            <w:rPr>
              <w:rStyle w:val="Hyperlink"/>
            </w:rPr>
          </w:pPr>
          <w:r>
            <w:t xml:space="preserve">G.24 Deactivation Requests (SCR-PM-24)</w:t>
          </w:r>
          <w:r>
            <w:tab/>
          </w:r>
          <w:r>
            <w:t xml:space="preserve">141</w:t>
          </w:r>
        </w:p>
        <w:p>
          <w:pPr>
            <w:pStyle w:val="TOC2"/>
            <w:tabs>
              <w:tab w:val="right" w:leader="dot" w:pos="9630"/>
            </w:tabs>
            <w:rPr>
              <w:rStyle w:val="Hyperlink"/>
            </w:rPr>
          </w:pPr>
          <w:r>
            <w:t xml:space="preserve">G.25 Product Master Transfers (SCR-PM-25)</w:t>
          </w:r>
          <w:r>
            <w:tab/>
          </w:r>
          <w:r>
            <w:t xml:space="preserve">143</w:t>
          </w:r>
        </w:p>
        <w:p>
          <w:pPr>
            <w:pStyle w:val="TOC2"/>
            <w:tabs>
              <w:tab w:val="right" w:leader="dot" w:pos="9630"/>
            </w:tabs>
            <w:rPr>
              <w:rStyle w:val="Hyperlink"/>
            </w:rPr>
          </w:pPr>
          <w:r>
            <w:t xml:space="preserve">G.26 Placement Update Reports (SCR-PM-26)</w:t>
          </w:r>
          <w:r>
            <w:tab/>
          </w:r>
          <w:r>
            <w:t xml:space="preserve">144</w:t>
          </w:r>
        </w:p>
        <w:p>
          <w:pPr>
            <w:pStyle w:val="TOC2"/>
            <w:tabs>
              <w:tab w:val="right" w:leader="dot" w:pos="9630"/>
            </w:tabs>
            <w:rPr>
              <w:rStyle w:val="Hyperlink"/>
            </w:rPr>
          </w:pPr>
          <w:r>
            <w:t xml:space="preserve">G.27 Audit Logs (SCR-PM-27)</w:t>
          </w:r>
          <w:r>
            <w:tab/>
          </w:r>
          <w:r>
            <w:t xml:space="preserve">146</w:t>
          </w:r>
        </w:p>
        <w:p>
          <w:pPr>
            <w:pStyle w:val="TOC2"/>
            <w:tabs>
              <w:tab w:val="right" w:leader="dot" w:pos="9630"/>
            </w:tabs>
            <w:rPr>
              <w:rStyle w:val="Hyperlink"/>
            </w:rPr>
          </w:pPr>
          <w:r>
            <w:t xml:space="preserve">G.28 Proposal request: Comparative Table, proposal slips and client response (SCR-PM-28)</w:t>
          </w:r>
          <w:r>
            <w:tab/>
          </w:r>
          <w:r>
            <w:t xml:space="preserve">147</w:t>
          </w:r>
        </w:p>
        <w:p>
          <w:pPr>
            <w:pStyle w:val="TOC2"/>
            <w:tabs>
              <w:tab w:val="right" w:leader="dot" w:pos="9630"/>
            </w:tabs>
            <w:rPr>
              <w:rStyle w:val="Hyperlink"/>
            </w:rPr>
          </w:pPr>
          <w:r>
            <w:t xml:space="preserve">G.29 Package Request record: Routing &amp; Approvals tab (SCR-PM-29)</w:t>
          </w:r>
          <w:r>
            <w:tab/>
          </w:r>
          <w:r>
            <w:t xml:space="preserve">149</w:t>
          </w:r>
        </w:p>
        <w:p>
          <w:pPr>
            <w:pStyle w:val="TOC2"/>
            <w:tabs>
              <w:tab w:val="right" w:leader="dot" w:pos="9630"/>
            </w:tabs>
            <w:rPr>
              <w:rStyle w:val="Hyperlink"/>
            </w:rPr>
          </w:pPr>
          <w:r>
            <w:t xml:space="preserve">G.30 Navigation: menu by persona</w:t>
          </w:r>
          <w:r>
            <w:tab/>
          </w:r>
          <w:r>
            <w:t xml:space="preserve">152</w:t>
          </w:r>
        </w:p>
        <w:p>
          <w:pPr>
            <w:pStyle w:val="TOC1"/>
            <w:tabs>
              <w:tab w:val="right" w:leader="dot" w:pos="9630"/>
            </w:tabs>
            <w:rPr>
              <w:rStyle w:val="Hyperlink"/>
            </w:rPr>
          </w:pPr>
          <w:r>
            <w:t xml:space="preserve">Annex H – Messages and Validations</w:t>
          </w:r>
          <w:r>
            <w:tab/>
          </w:r>
          <w:r>
            <w:t xml:space="preserve">153</w:t>
          </w:r>
        </w:p>
        <w:p>
          <w:pPr>
            <w:pStyle w:val="TOC1"/>
            <w:tabs>
              <w:tab w:val="right" w:leader="dot" w:pos="9630"/>
            </w:tabs>
            <w:rPr>
              <w:rStyle w:val="Hyperlink"/>
            </w:rPr>
          </w:pPr>
          <w:r>
            <w:t xml:space="preserve">Annex I – Notifications and E-mails</w:t>
          </w:r>
          <w:r>
            <w:tab/>
          </w:r>
          <w:r>
            <w:t xml:space="preserve">167</w:t>
          </w:r>
        </w:p>
        <w:p>
          <w:pPr>
            <w:pStyle w:val="TOC1"/>
            <w:tabs>
              <w:tab w:val="right" w:leader="dot" w:pos="9630"/>
            </w:tabs>
            <w:rPr>
              <w:rStyle w:val="Hyperlink"/>
            </w:rPr>
          </w:pPr>
          <w:r>
            <w:t xml:space="preserve">Annex J – Business Rules and Configurable Parameters</w:t>
          </w:r>
          <w:r>
            <w:tab/>
          </w:r>
          <w:r>
            <w:t xml:space="preserve">169</w:t>
          </w:r>
        </w:p>
        <w:p>
          <w:pPr>
            <w:pStyle w:val="TOC2"/>
            <w:tabs>
              <w:tab w:val="right" w:leader="dot" w:pos="9630"/>
            </w:tabs>
            <w:rPr>
              <w:rStyle w:val="Hyperlink"/>
            </w:rPr>
          </w:pPr>
          <w:r>
            <w:t xml:space="preserve">J.1 Business rules</w:t>
          </w:r>
          <w:r>
            <w:tab/>
          </w:r>
          <w:r>
            <w:t xml:space="preserve">169</w:t>
          </w:r>
        </w:p>
        <w:p>
          <w:pPr>
            <w:pStyle w:val="TOC2"/>
            <w:tabs>
              <w:tab w:val="right" w:leader="dot" w:pos="9630"/>
            </w:tabs>
            <w:rPr>
              <w:rStyle w:val="Hyperlink"/>
            </w:rPr>
          </w:pPr>
          <w:r>
            <w:t xml:space="preserve">J.2 Configurable parameters</w:t>
          </w:r>
          <w:r>
            <w:tab/>
          </w:r>
          <w:r>
            <w:t xml:space="preserve">169</w:t>
          </w:r>
        </w:p>
        <w:p>
          <w:pPr>
            <w:pStyle w:val="TOC2"/>
            <w:tabs>
              <w:tab w:val="right" w:leader="dot" w:pos="9630"/>
            </w:tabs>
            <w:rPr>
              <w:rStyle w:val="Hyperlink"/>
            </w:rPr>
          </w:pPr>
          <w:r>
            <w:t xml:space="preserve">J.3 Lists of values</w:t>
          </w:r>
          <w:r>
            <w:tab/>
          </w:r>
          <w:r>
            <w:t xml:space="preserve">170</w:t>
          </w:r>
        </w:p>
        <w:p>
          <w:pPr>
            <w:pStyle w:val="TOC2"/>
            <w:tabs>
              <w:tab w:val="right" w:leader="dot" w:pos="9630"/>
            </w:tabs>
            <w:rPr>
              <w:rStyle w:val="Hyperlink"/>
            </w:rPr>
          </w:pPr>
          <w:r>
            <w:t xml:space="preserve">J.4 Workflow stages and service levels</w:t>
          </w:r>
          <w:r>
            <w:tab/>
          </w:r>
          <w:r>
            <w:t xml:space="preserve">170</w:t>
          </w:r>
        </w:p>
        <w:p>
          <w:pPr>
            <w:pStyle w:val="TOC2"/>
            <w:tabs>
              <w:tab w:val="right" w:leader="dot" w:pos="9630"/>
            </w:tabs>
            <w:rPr>
              <w:rStyle w:val="Hyperlink"/>
            </w:rPr>
          </w:pPr>
          <w:r>
            <w:t xml:space="preserve">J.5 Proposed role-to-action matrix</w:t>
          </w:r>
          <w:r>
            <w:tab/>
          </w:r>
          <w:r>
            <w:t xml:space="preserve">170</w:t>
          </w:r>
        </w:p>
        <w:p>
          <w:pPr>
            <w:pStyle w:val="TOC2"/>
            <w:tabs>
              <w:tab w:val="right" w:leader="dot" w:pos="9630"/>
            </w:tabs>
            <w:rPr>
              <w:rStyle w:val="Hyperlink"/>
            </w:rPr>
          </w:pPr>
          <w:r>
            <w:t xml:space="preserve">J.6 Masters maintained by the business</w:t>
          </w:r>
          <w:r>
            <w:tab/>
          </w:r>
          <w:r>
            <w:t xml:space="preserve">171</w:t>
          </w:r>
        </w:p>
        <w:p>
          <w:pPr>
            <w:pStyle w:val="TOC2"/>
            <w:tabs>
              <w:tab w:val="right" w:leader="dot" w:pos="9630"/>
            </w:tabs>
            <w:rPr>
              <w:rStyle w:val="Hyperlink"/>
            </w:rPr>
          </w:pPr>
          <w:r>
            <w:t xml:space="preserve">J.7 Settings for the points BDOI decides</w:t>
          </w:r>
          <w:r>
            <w:tab/>
          </w:r>
          <w:r>
            <w:t xml:space="preserve">171</w:t>
          </w:r>
        </w:p>
        <w:p>
          <w:pPr>
            <w:pStyle w:val="TOC1"/>
            <w:tabs>
              <w:tab w:val="right" w:leader="dot" w:pos="9630"/>
            </w:tabs>
            <w:rPr>
              <w:rStyle w:val="Hyperlink"/>
            </w:rPr>
          </w:pPr>
          <w:r>
            <w:t xml:space="preserve">Annex K – Process Walkthroughs</w:t>
          </w:r>
          <w:r>
            <w:tab/>
          </w:r>
          <w:r>
            <w:t xml:space="preserve">172</w:t>
          </w:r>
        </w:p>
        <w:p>
          <w:pPr>
            <w:pStyle w:val="TOC2"/>
            <w:tabs>
              <w:tab w:val="right" w:leader="dot" w:pos="9630"/>
            </w:tabs>
            <w:rPr>
              <w:rStyle w:val="Hyperlink"/>
            </w:rPr>
          </w:pPr>
          <w:r>
            <w:t xml:space="preserve">WT-A A new package from the request to its first New Business quotation</w:t>
          </w:r>
          <w:r>
            <w:tab/>
          </w:r>
          <w:r>
            <w:t xml:space="preserve">172</w:t>
          </w:r>
        </w:p>
        <w:p>
          <w:pPr>
            <w:pStyle w:val="TOC2"/>
            <w:tabs>
              <w:tab w:val="right" w:leader="dot" w:pos="9630"/>
            </w:tabs>
            <w:rPr>
              <w:rStyle w:val="Hyperlink"/>
            </w:rPr>
          </w:pPr>
          <w:r>
            <w:t xml:space="preserve">WT-B Returns and refusals, and the messages the user sees</w:t>
          </w:r>
          <w:r>
            <w:tab/>
          </w:r>
          <w:r>
            <w:t xml:space="preserve">174</w:t>
          </w:r>
        </w:p>
        <w:p>
          <w:pPr>
            <w:pStyle w:val="TOC1"/>
            <w:tabs>
              <w:tab w:val="right" w:leader="dot" w:pos="9630"/>
            </w:tabs>
            <w:rPr>
              <w:rStyle w:val="Hyperlink"/>
            </w:rPr>
          </w:pPr>
          <w:r>
            <w:t xml:space="preserve">Annex L – Requirements Traceability</w:t>
          </w:r>
          <w:r>
            <w:tab/>
          </w:r>
          <w:r>
            <w:t xml:space="preserve">176</w:t>
          </w:r>
        </w:p>
        <w:p>
          <w:pPr>
            <w:pStyle w:val="TOC2"/>
            <w:tabs>
              <w:tab w:val="right" w:leader="dot" w:pos="9630"/>
            </w:tabs>
            <w:rPr>
              <w:rStyle w:val="Hyperlink"/>
            </w:rPr>
          </w:pPr>
          <w:r>
            <w:t xml:space="preserve">L.1 BRD requirement to FRPM and test conditions</w:t>
          </w:r>
          <w:r>
            <w:tab/>
          </w:r>
          <w:r>
            <w:t xml:space="preserve">176</w:t>
          </w:r>
        </w:p>
        <w:p>
          <w:pPr>
            <w:pStyle w:val="TOC2"/>
            <w:tabs>
              <w:tab w:val="right" w:leader="dot" w:pos="9630"/>
            </w:tabs>
            <w:rPr>
              <w:rStyle w:val="Hyperlink"/>
            </w:rPr>
          </w:pPr>
          <w:r>
            <w:t xml:space="preserve">L.2 FRPM item to BRD IDs and test conditions</w:t>
          </w:r>
          <w:r>
            <w:tab/>
          </w:r>
          <w:r>
            <w:t xml:space="preserve">177</w:t>
          </w:r>
        </w:p>
        <w:p>
          <w:pPr>
            <w:pStyle w:val="TOC1"/>
            <w:tabs>
              <w:tab w:val="right" w:leader="dot" w:pos="9630"/>
            </w:tabs>
            <w:rPr>
              <w:rStyle w:val="Hyperlink"/>
            </w:rPr>
          </w:pPr>
          <w:r>
            <w:t xml:space="preserve">Annex M – Observations and Points for BDOI Decision</w:t>
          </w:r>
          <w:r>
            <w:tab/>
          </w:r>
          <w:r>
            <w:t xml:space="preserve">179</w:t>
          </w:r>
        </w:p>
        <w:p>
          <w:pPr>
            <w:pStyle w:val="TOC2"/>
            <w:tabs>
              <w:tab w:val="right" w:leader="dot" w:pos="9630"/>
            </w:tabs>
            <w:rPr>
              <w:rStyle w:val="Hyperlink"/>
            </w:rPr>
          </w:pPr>
          <w:r>
            <w:t xml:space="preserve">M.1 Points where the proposed behaviour differs from the original text of this FRS</w:t>
          </w:r>
          <w:r>
            <w:tab/>
          </w:r>
          <w:r>
            <w:t xml:space="preserve">179</w:t>
          </w:r>
        </w:p>
        <w:p>
          <w:pPr>
            <w:pStyle w:val="TOC2"/>
            <w:tabs>
              <w:tab w:val="right" w:leader="dot" w:pos="9630"/>
            </w:tabs>
            <w:rPr>
              <w:rStyle w:val="Hyperlink"/>
            </w:rPr>
          </w:pPr>
          <w:r>
            <w:t xml:space="preserve">M.2 BDOI's open item and changes to the Business Requirements Mapping</w:t>
          </w:r>
          <w:r>
            <w:tab/>
          </w:r>
          <w:r>
            <w:t xml:space="preserve">183</w:t>
          </w:r>
        </w:p>
        <w:p>
          <w:pPr>
            <w:pStyle w:val="TOC2"/>
            <w:tabs>
              <w:tab w:val="right" w:leader="dot" w:pos="9630"/>
            </w:tabs>
            <w:rPr>
              <w:rStyle w:val="Hyperlink"/>
            </w:rPr>
          </w:pPr>
          <w:r>
            <w:t xml:space="preserve">M.3 Slips noticed in BDOI's FRS (proposed corrections; the text is not changed)</w:t>
          </w:r>
          <w:r>
            <w:tab/>
          </w:r>
          <w:r>
            <w:t xml:space="preserve">187</w:t>
          </w:r>
        </w:p>
        <w:p>
          <w:pPr>
            <w:pStyle w:val="TOC2"/>
            <w:tabs>
              <w:tab w:val="right" w:leader="dot" w:pos="9630"/>
            </w:tabs>
            <w:rPr>
              <w:rStyle w:val="Hyperlink"/>
            </w:rPr>
          </w:pPr>
          <w:r>
            <w:t xml:space="preserve">M.4 Scope, added requirements and added annex rows</w:t>
          </w:r>
          <w:r>
            <w:tab/>
          </w:r>
          <w:r>
            <w:t xml:space="preserve">188</w:t>
          </w:r>
        </w:p>
        <w:p>
          <w:pPr>
            <w:pStyle w:val="TOC2"/>
            <w:tabs>
              <w:tab w:val="right" w:leader="dot" w:pos="9630"/>
            </w:tabs>
            <w:rPr>
              <w:rStyle w:val="Hyperlink"/>
            </w:rPr>
          </w:pPr>
          <w:r>
            <w:t xml:space="preserve">M.5 Observations of version 1.2</w:t>
          </w:r>
          <w:r>
            <w:tab/>
          </w:r>
          <w:r>
            <w:t xml:space="preserve">190</w:t>
          </w:r>
        </w:p>
        <w:p>
          <w:pPr>
            <w:pStyle w:val="TOC1"/>
            <w:tabs>
              <w:tab w:val="right" w:leader="dot" w:pos="9630"/>
            </w:tabs>
            <w:rPr>
              <w:rStyle w:val="Hyperlink"/>
            </w:rPr>
          </w:pPr>
          <w:r>
            <w:t xml:space="preserve">Annex N – Glossary</w:t>
          </w:r>
          <w:r>
            <w:tab/>
          </w:r>
          <w:r>
            <w:t xml:space="preserve">192</w:t>
          </w:r>
        </w:p>
        <w:p>
          <w:pPr>
            <w:pStyle w:val="TOC2"/>
            <w:tabs>
              <w:tab w:val="right" w:leader="dot" w:pos="9630"/>
            </w:tabs>
            <w:rPr>
              <w:rStyle w:val="Hyperlink"/>
            </w:rPr>
          </w:pPr>
          <w:r>
            <w:t xml:space="preserve">N.2 Terms added in version 1.2</w:t>
          </w:r>
          <w:r>
            <w:tab/>
          </w:r>
          <w:r>
            <w:t xml:space="preserve">192</w:t>
          </w:r>
        </w:p>
        <w:p>
          <w:pPr>
            <w:pStyle w:val="TOC1"/>
            <w:tabs>
              <w:tab w:val="right" w:leader="dot" w:pos="9630"/>
            </w:tabs>
            <w:rPr>
              <w:rStyle w:val="Hyperlink"/>
            </w:rPr>
          </w:pPr>
          <w:r>
            <w:t xml:space="preserve">Annex O – Workflow and Approvals</w:t>
          </w:r>
          <w:r>
            <w:tab/>
          </w:r>
          <w:r>
            <w:t xml:space="preserve">194</w:t>
          </w:r>
        </w:p>
        <w:p>
          <w:pPr>
            <w:pStyle w:val="TOC2"/>
            <w:tabs>
              <w:tab w:val="right" w:leader="dot" w:pos="9630"/>
            </w:tabs>
            <w:rPr>
              <w:rStyle w:val="Hyperlink"/>
            </w:rPr>
          </w:pPr>
          <w:r>
            <w:t xml:space="preserve">O.1 Who makes, checks and approves (picture)</w:t>
          </w:r>
          <w:r>
            <w:tab/>
          </w:r>
          <w:r>
            <w:t xml:space="preserve">195</w:t>
          </w:r>
        </w:p>
        <w:p>
          <w:pPr>
            <w:pStyle w:val="TOC2"/>
            <w:tabs>
              <w:tab w:val="right" w:leader="dot" w:pos="9630"/>
            </w:tabs>
            <w:rPr>
              <w:rStyle w:val="Hyperlink"/>
            </w:rPr>
          </w:pPr>
          <w:r>
            <w:t xml:space="preserve">O.2 Stages, approvals and service levels per process</w:t>
          </w:r>
          <w:r>
            <w:tab/>
          </w:r>
          <w:r>
            <w:t xml:space="preserve">196</w:t>
          </w:r>
        </w:p>
        <w:p>
          <w:pPr>
            <w:pStyle w:val="TOC2"/>
            <w:tabs>
              <w:tab w:val="right" w:leader="dot" w:pos="9630"/>
            </w:tabs>
            <w:rPr>
              <w:rStyle w:val="Hyperlink"/>
            </w:rPr>
          </w:pPr>
          <w:r>
            <w:t xml:space="preserve">O.3 Role-to-stage matrix (table)</w:t>
          </w:r>
          <w:r>
            <w:tab/>
          </w:r>
          <w:r>
            <w:t xml:space="preserve">199</w:t>
          </w:r>
        </w:p>
        <w:p>
          <w:pPr>
            <w:pStyle w:val="TOC2"/>
            <w:tabs>
              <w:tab w:val="right" w:leader="dot" w:pos="9630"/>
            </w:tabs>
            <w:rPr>
              <w:rStyle w:val="Hyperlink"/>
            </w:rPr>
          </w:pPr>
          <w:r>
            <w:t xml:space="preserve">O.4 Status names: BDOI's FRS and the screens</w:t>
          </w:r>
          <w:r>
            <w:tab/>
          </w:r>
          <w:r>
            <w:t xml:space="preserve">199</w:t>
          </w:r>
        </w:p>
        <w:p>
          <w:pPr>
            <w:pStyle w:val="TOC1"/>
            <w:tabs>
              <w:tab w:val="right" w:leader="dot" w:pos="9630"/>
            </w:tabs>
            <w:rPr>
              <w:rStyle w:val="Hyperlink"/>
            </w:rPr>
          </w:pPr>
          <w:r>
            <w:t xml:space="preserve">Annex P – E-mail and Notification Texts</w:t>
          </w:r>
          <w:r>
            <w:tab/>
          </w:r>
          <w:r>
            <w:t xml:space="preserve">200</w:t>
          </w:r>
        </w:p>
        <w:p>
          <w:pPr>
            <w:pStyle w:val="TOC2"/>
            <w:tabs>
              <w:tab w:val="right" w:leader="dot" w:pos="9630"/>
            </w:tabs>
            <w:rPr>
              <w:rStyle w:val="Hyperlink"/>
            </w:rPr>
          </w:pPr>
          <w:r>
            <w:t xml:space="preserve">P.1 Overview</w:t>
          </w:r>
          <w:r>
            <w:tab/>
          </w:r>
          <w:r>
            <w:t xml:space="preserve">200</w:t>
          </w:r>
        </w:p>
        <w:p>
          <w:pPr>
            <w:pStyle w:val="TOC2"/>
            <w:tabs>
              <w:tab w:val="right" w:leader="dot" w:pos="9630"/>
            </w:tabs>
            <w:rPr>
              <w:rStyle w:val="Hyperlink"/>
            </w:rPr>
          </w:pPr>
          <w:r>
            <w:t xml:space="preserve">P.2 The texts</w:t>
          </w:r>
          <w:r>
            <w:tab/>
          </w:r>
          <w:r>
            <w:t xml:space="preserve">201</w:t>
          </w:r>
        </w:p>
        <w:p>
          <w:pPr>
            <w:pStyle w:val="TOC1"/>
            <w:tabs>
              <w:tab w:val="right" w:leader="dot" w:pos="9630"/>
            </w:tabs>
            <w:rPr>
              <w:rStyle w:val="Hyperlink"/>
            </w:rPr>
          </w:pPr>
          <w:r>
            <w:t xml:space="preserve">Annex Q – Document Prints and Output Formats</w:t>
          </w:r>
          <w:r>
            <w:tab/>
          </w:r>
          <w:r>
            <w:t xml:space="preserve">208</w:t>
          </w:r>
        </w:p>
        <w:p>
          <w:pPr>
            <w:pStyle w:val="TOC2"/>
            <w:tabs>
              <w:tab w:val="right" w:leader="dot" w:pos="9630"/>
            </w:tabs>
            <w:rPr>
              <w:rStyle w:val="Hyperlink"/>
            </w:rPr>
          </w:pPr>
          <w:r>
            <w:t xml:space="preserve">Q.1 Overview</w:t>
          </w:r>
          <w:r>
            <w:tab/>
          </w:r>
          <w:r>
            <w:t xml:space="preserve">208</w:t>
          </w:r>
        </w:p>
        <w:p>
          <w:pPr>
            <w:pStyle w:val="TOC2"/>
            <w:tabs>
              <w:tab w:val="right" w:leader="dot" w:pos="9630"/>
            </w:tabs>
            <w:rPr>
              <w:rStyle w:val="Hyperlink"/>
            </w:rPr>
          </w:pPr>
          <w:r>
            <w:t xml:space="preserve">Q.2 The documents</w:t>
          </w:r>
          <w:r>
            <w:tab/>
          </w:r>
          <w:r>
            <w:t xml:space="preserve">208</w:t>
          </w:r>
        </w:p>
        <w:p>
          <w:pPr>
            <w:pStyle w:val="TOC1"/>
            <w:tabs>
              <w:tab w:val="right" w:leader="dot" w:pos="9630"/>
            </w:tabs>
            <w:rPr>
              <w:rStyle w:val="Hyperlink"/>
            </w:rPr>
          </w:pPr>
          <w:r>
            <w:t xml:space="preserve">Annex R – Reports and Schedules</w:t>
          </w:r>
          <w:r>
            <w:tab/>
          </w:r>
          <w:r>
            <w:t xml:space="preserve">218</w:t>
          </w:r>
        </w:p>
        <w:p>
          <w:pPr>
            <w:pStyle w:val="TOC2"/>
            <w:tabs>
              <w:tab w:val="right" w:leader="dot" w:pos="9630"/>
            </w:tabs>
            <w:rPr>
              <w:rStyle w:val="Hyperlink"/>
            </w:rPr>
          </w:pPr>
          <w:r>
            <w:t xml:space="preserve">R.1 Reports</w:t>
          </w:r>
          <w:r>
            <w:tab/>
          </w:r>
          <w:r>
            <w:t xml:space="preserve">218</w:t>
          </w:r>
        </w:p>
        <w:p>
          <w:pPr>
            <w:pStyle w:val="TOC2"/>
            <w:tabs>
              <w:tab w:val="right" w:leader="dot" w:pos="9630"/>
            </w:tabs>
            <w:rPr>
              <w:rStyle w:val="Hyperlink"/>
            </w:rPr>
          </w:pPr>
          <w:r>
            <w:t xml:space="preserve">R.2 Scheduled runs</w:t>
          </w:r>
          <w:r>
            <w:tab/>
          </w:r>
          <w:r>
            <w:t xml:space="preserve">218</w:t>
          </w:r>
        </w:p>
        <w:p>
          <w:pPr>
            <w:pStyle w:val="TOC1"/>
            <w:tabs>
              <w:tab w:val="right" w:leader="dot" w:pos="9630"/>
            </w:tabs>
            <w:rPr>
              <w:rStyle w:val="Hyperlink"/>
            </w:rPr>
          </w:pPr>
          <w:r>
            <w:t xml:space="preserve">Annex S – Integrations</w:t>
          </w:r>
          <w:r>
            <w:tab/>
          </w:r>
          <w:r>
            <w:t xml:space="preserve">220</w:t>
          </w:r>
        </w:p>
        <w:p>
          <w:pPr>
            <w:pStyle w:val="TOC1"/>
            <w:tabs>
              <w:tab w:val="right" w:leader="dot" w:pos="9630"/>
            </w:tabs>
            <w:rPr>
              <w:rStyle w:val="Hyperlink"/>
            </w:rPr>
          </w:pPr>
          <w:r>
            <w:t xml:space="preserve">Annex T – Non-functional Requirements</w:t>
          </w:r>
          <w:r>
            <w:tab/>
          </w:r>
          <w:r>
            <w:t xml:space="preserve">222</w:t>
          </w:r>
        </w:p>
        <w:p>
          <w:pPr>
            <w:pStyle w:val="TOC1"/>
            <w:tabs>
              <w:tab w:val="right" w:leader="dot" w:pos="9630"/>
            </w:tabs>
            <w:rPr>
              <w:rStyle w:val="Hyperlink"/>
            </w:rPr>
          </w:pPr>
          <w:r>
            <w:t xml:space="preserve">Annex U – Data Set-up and Migration at Go-live</w:t>
          </w:r>
          <w:r>
            <w:tab/>
          </w:r>
          <w:r>
            <w:t xml:space="preserve">223</w:t>
          </w:r>
        </w:p>
        <w:p>
          <w:pPr>
            <w:pStyle w:val="TOC1"/>
            <w:tabs>
              <w:tab w:val="right" w:leader="dot" w:pos="9630"/>
            </w:tabs>
            <w:rPr>
              <w:rStyle w:val="Hyperlink"/>
            </w:rPr>
          </w:pPr>
          <w:r>
            <w:t xml:space="preserve">Annex V – Assumptions, Dependencies and Open Questions</w:t>
          </w:r>
          <w:r>
            <w:tab/>
          </w:r>
          <w:r>
            <w:t xml:space="preserve">224</w:t>
          </w:r>
        </w:p>
        <w:p>
          <w:pPr>
            <w:pStyle w:val="TOC2"/>
            <w:tabs>
              <w:tab w:val="right" w:leader="dot" w:pos="9630"/>
            </w:tabs>
            <w:rPr>
              <w:rStyle w:val="Hyperlink"/>
            </w:rPr>
          </w:pPr>
          <w:r>
            <w:t xml:space="preserve">V.1 Assumptions</w:t>
          </w:r>
          <w:r>
            <w:tab/>
          </w:r>
          <w:r>
            <w:t xml:space="preserve">224</w:t>
          </w:r>
        </w:p>
        <w:p>
          <w:pPr>
            <w:pStyle w:val="TOC2"/>
            <w:tabs>
              <w:tab w:val="right" w:leader="dot" w:pos="9630"/>
            </w:tabs>
            <w:rPr>
              <w:rStyle w:val="Hyperlink"/>
            </w:rPr>
          </w:pPr>
          <w:r>
            <w:t xml:space="preserve">V.2 Dependencies</w:t>
          </w:r>
          <w:r>
            <w:tab/>
          </w:r>
          <w:r>
            <w:t xml:space="preserve">224</w:t>
          </w:r>
        </w:p>
        <w:p>
          <w:pPr>
            <w:pStyle w:val="TOC2"/>
            <w:tabs>
              <w:tab w:val="right" w:leader="dot" w:pos="9630"/>
            </w:tabs>
            <w:rPr>
              <w:rStyle w:val="Hyperlink"/>
            </w:rPr>
          </w:pPr>
          <w:r>
            <w:t xml:space="preserve">V.3 Open questions</w:t>
          </w:r>
          <w:r>
            <w:tab/>
          </w:r>
          <w:r>
            <w:t xml:space="preserve">225</w:t>
          </w:r>
        </w:p>
        <w:p>
          <w:pPr>
            <w:pStyle w:val="TOC2"/>
            <w:tabs>
              <w:tab w:val="right" w:leader="dot" w:pos="9630"/>
            </w:tabs>
            <w:rPr>
              <w:rStyle w:val="Hyperlink"/>
            </w:rPr>
          </w:pPr>
          <w:r>
            <w:t xml:space="preserve">V.4 Proposed rules to confirm</w:t>
          </w:r>
          <w:r>
            <w:tab/>
          </w:r>
          <w:r>
            <w:t xml:space="preserve">226</w:t>
          </w:r>
        </w:p>
        <w:p>
          <w:pPr>
            <w:pStyle w:val="TOC1"/>
            <w:tabs>
              <w:tab w:val="right" w:leader="dot" w:pos="9630"/>
            </w:tabs>
            <w:rPr>
              <w:rStyle w:val="Hyperlink"/>
            </w:rPr>
          </w:pPr>
          <w:r>
            <w:t xml:space="preserve">Annex W – Change Control after Sign-off</w:t>
          </w:r>
          <w:r>
            <w:tab/>
          </w:r>
          <w:r>
            <w:t xml:space="preserve">227</w:t>
          </w:r>
        </w:p>
        <w:p>
          <w:pPr>
            <w:pStyle w:val="TOC2"/>
            <w:tabs>
              <w:tab w:val="right" w:leader="dot" w:pos="9630"/>
            </w:tabs>
            <w:rPr>
              <w:rStyle w:val="Hyperlink"/>
            </w:rPr>
          </w:pPr>
          <w:r>
            <w:t xml:space="preserve">W.1 What signing freezes</w:t>
          </w:r>
          <w:r>
            <w:tab/>
          </w:r>
          <w:r>
            <w:t xml:space="preserve">227</w:t>
          </w:r>
        </w:p>
        <w:p>
          <w:pPr>
            <w:pStyle w:val="TOC2"/>
            <w:tabs>
              <w:tab w:val="right" w:leader="dot" w:pos="9630"/>
            </w:tabs>
            <w:rPr>
              <w:rStyle w:val="Hyperlink"/>
            </w:rPr>
          </w:pPr>
          <w:r>
            <w:t xml:space="preserve">W.2 How a change is raised, assessed and approved</w:t>
          </w:r>
          <w:r>
            <w:tab/>
          </w:r>
          <w:r>
            <w:t xml:space="preserve">227</w:t>
          </w:r>
        </w:p>
        <w:p>
          <w:pPr>
            <w:pStyle w:val="TOC1"/>
            <w:tabs>
              <w:tab w:val="right" w:leader="dot" w:pos="9630"/>
            </w:tabs>
            <w:rPr>
              <w:rStyle w:val="Hyperlink"/>
            </w:rPr>
          </w:pPr>
          <w:r>
            <w:t xml:space="preserve">Annex X – Business Unit Review Checklist</w:t>
          </w:r>
          <w:r>
            <w:tab/>
          </w:r>
          <w:r>
            <w:t xml:space="preserve">228</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79"/>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spacing w:after="0"/>
              <w:rPr>
                <w:rFonts w:ascii="Calibri" w:hAnsi="Calibri" w:cs="Calibri"/>
                <w:sz w:val="17"/>
                <w:szCs w:val="17"/>
              </w:rPr>
            </w:pPr>
            <w:r>
              <w:rPr>
                <w:rFonts w:ascii="Calibri" w:hAnsi="Calibri" w:cs="Calibri"/>
                <w:sz w:val="17"/>
                <w:szCs w:val="17"/>
              </w:rPr>
              <w:t xml:space="preserve">78</w:t>
            </w:r>
          </w:p>
        </w:tc>
        <w:tc>
          <w:tcPr>
            <w:tcW w:w="3024" w:type="dxa"/>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spacing w:after="0"/>
              <w:rPr>
                <w:rFonts w:ascii="Calibri" w:hAnsi="Calibri" w:cs="Calibri"/>
                <w:sz w:val="17"/>
                <w:szCs w:val="17"/>
              </w:rPr>
            </w:pPr>
            <w:r>
              <w:rPr>
                <w:rFonts w:ascii="Calibri" w:hAnsi="Calibri" w:cs="Calibri"/>
                <w:sz w:val="17"/>
                <w:szCs w:val="17"/>
              </w:rPr>
              <w:t xml:space="preserve">472</w:t>
            </w:r>
          </w:p>
        </w:tc>
        <w:tc>
          <w:tcPr>
            <w:tcW w:w="3024" w:type="dxa"/>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tcPr>
          <w:p>
            <w:pPr>
              <w:spacing w:after="0"/>
              <w:rPr>
                <w:rFonts w:ascii="Calibri" w:hAnsi="Calibri" w:cs="Calibri"/>
                <w:sz w:val="16"/>
                <w:szCs w:val="16"/>
              </w:rPr>
            </w:pPr>
            <w:r>
              <w:rPr>
                <w:rFonts w:ascii="Calibri" w:hAnsi="Calibri" w:cs="Calibri"/>
                <w:sz w:val="16"/>
                <w:szCs w:val="16"/>
              </w:rPr>
              <w:t xml:space="preserve">8</w:t>
            </w:r>
          </w:p>
        </w:tc>
        <w:tc>
          <w:tcPr>
            <w:tcW w:w="3384" w:type="dxa"/>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9</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keepNext/>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1424"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1424"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pageBreakBefore/>
        <w:spacing w:line="259" w:lineRule="auto"/>
      </w:pPr>
      <w:r>
        <w:rPr>
          <w:rFonts w:ascii="Arial" w:hAnsi="Arial" w:cs="Arial"/>
        </w:rPr>
        <w:t xml:space="preserve">Product Master Maintenance Process Flow (Maker-Checker)</w:t>
      </w:r>
    </w:p>
    <w:p>
      <w:pPr>
        <w:keepNext/>
        <w:jc w:val="center"/>
      </w:pPr>
      <w:r>
        <w:drawing>
          <wp:inline>
            <wp:extent cx="5185556" cy="7498079"/>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5185556"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266944" cy="73152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5266944"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608999"/>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5852160" cy="26089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4374037" cy="731520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5470282"/>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5852160" cy="547028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241005" cy="731519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5241005"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5852160" cy="154086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4449451" cy="731519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5852160" cy="424259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565694"/>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852160" cy="456569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5852160" cy="232068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4374037" cy="7315200"/>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5852160" cy="385435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spacing w:after="0"/>
              <w:rPr>
                <w:rFonts w:ascii="Calibri" w:hAnsi="Calibri" w:cs="Calibri"/>
                <w:sz w:val="16"/>
                <w:szCs w:val="16"/>
              </w:rPr>
            </w:pPr>
            <w:r>
              <w:rPr>
                <w:rFonts w:ascii="Calibri" w:hAnsi="Calibri" w:cs="Calibri"/>
                <w:sz w:val="16"/>
                <w:szCs w:val="16"/>
              </w:rPr>
              <w:t xml:space="preserve">Drop-down;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w:t>
            </w:r>
          </w:p>
        </w:tc>
      </w:tr>
      <w:t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5589822"/>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5852160" cy="558982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5852160" cy="194735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4969291"/>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5852160" cy="496929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5852160" cy="218447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5852160" cy="358192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5458653"/>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5852160" cy="5458653"/>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5852160" cy="333976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5569642"/>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5852160" cy="55696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4511234" cy="731519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4511234"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1111"/>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5852160" cy="258111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4401261" cy="7315199"/>
            <wp:docPr id="448933135" name="Picture 448933135"/>
            <wp:cNvGraphicFramePr>
              <a:graphicFrameLocks noChangeAspect="1"/>
            </wp:cNvGraphicFramePr>
            <a:graphic>
              <a:graphicData uri="http://schemas.openxmlformats.org/drawingml/2006/picture">
                <pic:pic>
                  <pic:nvPicPr>
                    <pic:cNvPr id="0" name="scr-pm-23-01-view.png"/>
                    <pic:cNvPicPr/>
                  </pic:nvPicPr>
                  <pic:blipFill>
                    <a:blip r:embed="rId61"/>
                    <a:stretch>
                      <a:fillRect/>
                    </a:stretch>
                  </pic:blipFill>
                  <pic:spPr>
                    <a:xfrm>
                      <a:off x="0" y="0"/>
                      <a:ext cx="440126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key figure]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62"/>
                    <a:stretch>
                      <a:fillRect/>
                    </a:stretch>
                  </pic:blipFill>
                  <pic:spPr>
                    <a:xfrm>
                      <a:off x="0" y="0"/>
                      <a:ext cx="5852160" cy="331146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spacing w:after="0"/>
              <w:rPr>
                <w:rFonts w:ascii="Calibri" w:hAnsi="Calibri" w:cs="Calibri"/>
                <w:sz w:val="16"/>
                <w:szCs w:val="16"/>
              </w:rPr>
            </w:pPr>
            <w:r>
              <w:rPr>
                <w:rFonts w:ascii="Calibri" w:hAnsi="Calibri" w:cs="Calibri"/>
                <w:sz w:val="16"/>
                <w:szCs w:val="16"/>
              </w:rPr>
              <w:t xml:space="preserve">Text area</w:t>
            </w:r>
          </w:p>
        </w:tc>
        <w:tc>
          <w:tcPr>
            <w:tcW w:w="1296" w:type="dxa"/>
          </w:tcPr>
          <w:p>
            <w:pPr>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w:t>
            </w:r>
          </w:p>
        </w:tc>
        <w:tc>
          <w:tcPr>
            <w:tcW w:w="1944" w:type="dxa"/>
          </w:tcPr>
          <w:p>
            <w:pPr>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042936"/>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63"/>
                    <a:stretch>
                      <a:fillRect/>
                    </a:stretch>
                  </pic:blipFill>
                  <pic:spPr>
                    <a:xfrm>
                      <a:off x="0" y="0"/>
                      <a:ext cx="5852160" cy="304293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858016"/>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64"/>
                    <a:stretch>
                      <a:fillRect/>
                    </a:stretch>
                  </pic:blipFill>
                  <pic:spPr>
                    <a:xfrm>
                      <a:off x="0" y="0"/>
                      <a:ext cx="5852160" cy="385801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No Placement Update Report has been generated yet</w:t>
            </w:r>
          </w:p>
        </w:tc>
      </w:tr>
      <w:t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Now</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6879786"/>
            <wp:docPr id="448933135" name="Picture 448933135"/>
            <wp:cNvGraphicFramePr>
              <a:graphicFrameLocks noChangeAspect="1"/>
            </wp:cNvGraphicFramePr>
            <a:graphic>
              <a:graphicData uri="http://schemas.openxmlformats.org/drawingml/2006/picture">
                <pic:pic>
                  <pic:nvPicPr>
                    <pic:cNvPr id="0" name="scr-pm-27-01-list.png"/>
                    <pic:cNvPicPr/>
                  </pic:nvPicPr>
                  <pic:blipFill>
                    <a:blip r:embed="rId65"/>
                    <a:stretch>
                      <a:fillRect/>
                    </a:stretch>
                  </pic:blipFill>
                  <pic:spPr>
                    <a:xfrm>
                      <a:off x="0" y="0"/>
                      <a:ext cx="5852160" cy="687978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for these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66"/>
                    <a:stretch>
                      <a:fillRect/>
                    </a:stretch>
                  </pic:blipFill>
                  <pic:spPr>
                    <a:xfrm>
                      <a:off x="0" y="0"/>
                      <a:ext cx="5852160" cy="389106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r>
        <w:tc>
          <w:tcPr>
            <w:tcW w:w="2232" w:type="dxa"/>
          </w:tcPr>
          <w:p>
            <w:pPr>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spacing w:after="0"/>
              <w:rPr>
                <w:rFonts w:ascii="Calibri" w:hAnsi="Calibri" w:cs="Calibri"/>
                <w:sz w:val="16"/>
                <w:szCs w:val="16"/>
              </w:rPr>
            </w:pPr>
            <w:r>
              <w:rPr>
                <w:rFonts w:ascii="Calibri" w:hAnsi="Calibri" w:cs="Calibri"/>
                <w:sz w:val="16"/>
                <w:szCs w:val="16"/>
              </w:rPr>
              <w:t xml:space="preserve">No client response recorded yet</w:t>
            </w:r>
          </w:p>
        </w:tc>
      </w:tr>
      <w:t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spacing w:after="0"/>
              <w:rPr>
                <w:rFonts w:ascii="Calibri" w:hAnsi="Calibri" w:cs="Calibri"/>
                <w:sz w:val="16"/>
                <w:szCs w:val="16"/>
              </w:rPr>
            </w:pPr>
            <w:r>
              <w:rPr>
                <w:rFonts w:ascii="Calibri" w:hAnsi="Calibri" w:cs="Calibri"/>
                <w:sz w:val="16"/>
                <w:szCs w:val="16"/>
              </w:rPr>
              <w:t xml:space="preserve">Terms agreed</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Proposal slip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4377807" cy="7315199"/>
            <wp:docPr id="448933135" name="Picture 448933135"/>
            <wp:cNvGraphicFramePr>
              <a:graphicFrameLocks noChangeAspect="1"/>
            </wp:cNvGraphicFramePr>
            <a:graphic>
              <a:graphicData uri="http://schemas.openxmlformats.org/drawingml/2006/picture">
                <pic:pic>
                  <pic:nvPicPr>
                    <pic:cNvPr id="0" name="scr-pm-29-01-tab.png"/>
                    <pic:cNvPicPr/>
                  </pic:nvPicPr>
                  <pic:blipFill>
                    <a:blip r:embed="rId67"/>
                    <a:stretch>
                      <a:fillRect/>
                    </a:stretch>
                  </pic:blipFill>
                  <pic:spPr>
                    <a:xfrm>
                      <a:off x="0" y="0"/>
                      <a:ext cx="4377807"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spacing w:after="0"/>
              <w:rPr>
                <w:rFonts w:ascii="Calibri" w:hAnsi="Calibri" w:cs="Calibri"/>
                <w:sz w:val="16"/>
                <w:szCs w:val="16"/>
              </w:rPr>
            </w:pPr>
            <w:r>
              <w:rPr>
                <w:rFonts w:ascii="Calibri" w:hAnsi="Calibri" w:cs="Calibri"/>
                <w:sz w:val="16"/>
                <w:szCs w:val="16"/>
              </w:rPr>
              <w:t xml:space="preserve">No ManCom approvers selected yet.</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spacing w:after="0"/>
              <w:rPr>
                <w:rFonts w:ascii="Calibri" w:hAnsi="Calibri" w:cs="Calibri"/>
                <w:sz w:val="16"/>
                <w:szCs w:val="16"/>
              </w:rPr>
            </w:pPr>
            <w:r>
              <w:rPr>
                <w:rFonts w:ascii="Calibri" w:hAnsi="Calibri" w:cs="Calibri"/>
                <w:sz w:val="16"/>
                <w:szCs w:val="16"/>
              </w:rPr>
              <w:t xml:space="preserve">Text area</w:t>
            </w:r>
          </w:p>
        </w:tc>
        <w:tc>
          <w:tcPr>
            <w:tcW w:w="1296" w:type="dxa"/>
          </w:tcPr>
          <w:p>
            <w:pPr>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Enter the remarks of the rejection or the return</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spacing w:after="0"/>
              <w:rPr>
                <w:rFonts w:ascii="Calibri" w:hAnsi="Calibri" w:cs="Calibri"/>
                <w:sz w:val="16"/>
                <w:szCs w:val="16"/>
              </w:rPr>
            </w:pPr>
            <w:r>
              <w:rPr>
                <w:rFonts w:ascii="Calibri" w:hAnsi="Calibri" w:cs="Calibri"/>
                <w:sz w:val="16"/>
                <w:szCs w:val="16"/>
              </w:rPr>
              <w:t xml:space="preserve">Approved, returned or rejected</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8"/>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c>
          <w:tcPr>
            <w:tcW w:w="2131" w:type="dxa"/>
          </w:tcPr>
          <w:p>
            <w:pPr>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spacing w:after="0"/>
              <w:rPr>
                <w:rFonts w:ascii="Calibri" w:hAnsi="Calibri" w:cs="Calibri"/>
                <w:sz w:val="16"/>
                <w:szCs w:val="16"/>
              </w:rPr>
            </w:pPr>
            <w:r>
              <w:rPr>
                <w:rFonts w:ascii="Calibri" w:hAnsi="Calibri" w:cs="Calibri"/>
                <w:sz w:val="16"/>
                <w:szCs w:val="16"/>
              </w:rPr>
              <w:t xml:space="preserve">C23</w:t>
            </w:r>
          </w:p>
        </w:tc>
        <w:tc>
          <w:tcPr>
            <w:tcW w:w="1421" w:type="dxa"/>
          </w:tcPr>
          <w:p>
            <w:pPr>
              <w:spacing w:after="0"/>
              <w:rPr>
                <w:rFonts w:ascii="Calibri" w:hAnsi="Calibri" w:cs="Calibri"/>
                <w:sz w:val="16"/>
                <w:szCs w:val="16"/>
              </w:rPr>
            </w:pPr>
            <w:r>
              <w:rPr>
                <w:rFonts w:ascii="Calibri" w:hAnsi="Calibri" w:cs="Calibri"/>
                <w:sz w:val="16"/>
                <w:szCs w:val="16"/>
              </w:rPr>
              <w:t xml:space="preserve">BDO ITG System Analyst</w:t>
            </w:r>
          </w:p>
        </w:tc>
      </w:tr>
      <w:tr>
        <w:tc>
          <w:tcPr>
            <w:tcW w:w="2131" w:type="dxa"/>
          </w:tcPr>
          <w:p>
            <w:pPr>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6623"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6623"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FRPM.028.01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FRPM.029.01</w:t>
            </w:r>
          </w:p>
        </w:tc>
        <w:tc>
          <w:tcPr>
            <w:tcW w:w="5472" w:type="dxa"/>
          </w:tcPr>
          <w:p>
            <w:pPr>
              <w:spacing w:after="0"/>
              <w:rPr>
                <w:rFonts w:ascii="Calibri" w:hAnsi="Calibri" w:cs="Calibri"/>
                <w:sz w:val="15"/>
                <w:szCs w:val="15"/>
              </w:rPr>
            </w:pPr>
            <w:r>
              <w:rPr>
                <w:rFonts w:ascii="Calibri" w:hAnsi="Calibri" w:cs="Calibri"/>
                <w:sz w:val="15"/>
                <w:szCs w:val="15"/>
              </w:rPr>
              <w:t xml:space="preserve">BRPM.022</w:t>
            </w:r>
          </w:p>
        </w:tc>
        <w:tc>
          <w:tcPr>
            <w:tcW w:w="6480"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M-77</w:t>
            </w:r>
          </w:p>
        </w:tc>
        <w:tc>
          <w:tcPr>
            <w:tcW w:w="720" w:type="dxa"/>
          </w:tcPr>
          <w:p>
            <w:pPr>
              <w:spacing w:after="0"/>
              <w:rPr>
                <w:rFonts w:ascii="Calibri" w:hAnsi="Calibri" w:cs="Calibri"/>
                <w:sz w:val="14"/>
                <w:szCs w:val="14"/>
              </w:rPr>
            </w:pPr>
            <w:r>
              <w:rPr>
                <w:rFonts w:ascii="Calibri" w:hAnsi="Calibri" w:cs="Calibri"/>
                <w:sz w:val="14"/>
                <w:szCs w:val="14"/>
              </w:rPr>
              <w:t xml:space="preserve">Annex P</w:t>
            </w:r>
          </w:p>
        </w:tc>
        <w:tc>
          <w:tcPr>
            <w:tcW w:w="1368" w:type="dxa"/>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spacing w:after="0"/>
              <w:rPr>
                <w:rFonts w:ascii="Calibri" w:hAnsi="Calibri" w:cs="Calibri"/>
                <w:sz w:val="14"/>
                <w:szCs w:val="14"/>
              </w:rPr>
            </w:pPr>
            <w:r>
              <w:rPr>
                <w:rFonts w:ascii="Calibri" w:hAnsi="Calibri" w:cs="Calibri"/>
                <w:sz w:val="14"/>
                <w:szCs w:val="14"/>
              </w:rPr>
              <w:t xml:space="preserve">Not stated.</w:t>
            </w:r>
          </w:p>
        </w:tc>
        <w:tc>
          <w:tcPr>
            <w:tcW w:w="2088" w:type="dxa"/>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tcPr>
          <w:p>
            <w:pPr>
              <w:spacing w:after="0"/>
              <w:rPr>
                <w:rFonts w:ascii="Calibri" w:hAnsi="Calibri" w:cs="Calibri"/>
                <w:sz w:val="18"/>
                <w:szCs w:val="18"/>
              </w:rPr>
            </w:pPr>
            <w:r>
              <w:rPr>
                <w:rFonts w:ascii="Calibri" w:hAnsi="Calibri" w:cs="Calibri"/>
                <w:sz w:val="18"/>
                <w:szCs w:val="18"/>
              </w:rPr>
              <w:t xml:space="preserve">NFR</w:t>
            </w:r>
          </w:p>
        </w:tc>
        <w:tc>
          <w:tcPr>
            <w:tcW w:w="7776" w:type="dxa"/>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7682775" cy="493776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9"/>
                    <a:stretch>
                      <a:fillRect/>
                    </a:stretch>
                  </pic:blipFill>
                  <pic:spPr>
                    <a:xfrm>
                      <a:off x="0" y="0"/>
                      <a:ext cx="7682775" cy="4937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spacing w:after="0"/>
              <w:rPr>
                <w:rFonts w:ascii="Calibri" w:hAnsi="Calibri" w:cs="Calibri"/>
                <w:sz w:val="15"/>
                <w:szCs w:val="15"/>
              </w:rPr>
            </w:pPr>
            <w:r>
              <w:rPr>
                <w:rFonts w:ascii="Calibri" w:hAnsi="Calibri" w:cs="Calibri"/>
                <w:sz w:val="15"/>
                <w:szCs w:val="15"/>
              </w:rPr>
              <w:t xml:space="preserve">MBS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spacing w:after="0"/>
              <w:rPr>
                <w:rFonts w:ascii="Calibri" w:hAnsi="Calibri" w:cs="Calibri"/>
                <w:sz w:val="17"/>
                <w:szCs w:val="17"/>
              </w:rPr>
            </w:pPr>
            <w:r>
              <w:rPr>
                <w:rFonts w:ascii="Calibri" w:hAnsi="Calibri" w:cs="Calibri"/>
                <w:sz w:val="17"/>
                <w:szCs w:val="17"/>
              </w:rPr>
              <w:t xml:space="preserve">Released</w:t>
            </w:r>
          </w:p>
        </w:tc>
        <w:tc>
          <w:tcPr>
            <w:tcW w:w="2880" w:type="dxa"/>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tcPr>
          <w:p>
            <w:pPr>
              <w:spacing w:after="0"/>
              <w:rPr>
                <w:rFonts w:ascii="Calibri" w:hAnsi="Calibri" w:cs="Calibri"/>
                <w:sz w:val="15"/>
                <w:szCs w:val="15"/>
              </w:rPr>
            </w:pPr>
            <w:r>
              <w:rPr>
                <w:rFonts w:ascii="Calibri" w:hAnsi="Calibri" w:cs="Calibri"/>
                <w:sz w:val="15"/>
                <w:szCs w:val="15"/>
              </w:rPr>
              <w:t xml:space="preserve">NT-25</w:t>
            </w:r>
          </w:p>
        </w:tc>
        <w:tc>
          <w:tcPr>
            <w:tcW w:w="2160" w:type="dxa"/>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tcPr>
          <w:p>
            <w:pPr>
              <w:spacing w:after="0"/>
              <w:rPr>
                <w:rFonts w:ascii="Calibri" w:hAnsi="Calibri" w:cs="Calibri"/>
                <w:sz w:val="15"/>
                <w:szCs w:val="15"/>
              </w:rPr>
            </w:pPr>
            <w:r>
              <w:rPr>
                <w:rFonts w:ascii="Calibri" w:hAnsi="Calibri" w:cs="Calibri"/>
                <w:sz w:val="15"/>
                <w:szCs w:val="15"/>
              </w:rPr>
              <w:t xml:space="preserve">NT-26</w:t>
            </w:r>
          </w:p>
        </w:tc>
        <w:tc>
          <w:tcPr>
            <w:tcW w:w="2160" w:type="dxa"/>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DO-10</w:t>
            </w:r>
          </w:p>
        </w:tc>
        <w:tc>
          <w:tcPr>
            <w:tcW w:w="2160" w:type="dxa"/>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spacing w:after="0"/>
              <w:rPr>
                <w:rFonts w:ascii="Calibri" w:hAnsi="Calibri" w:cs="Calibri"/>
                <w:sz w:val="15"/>
                <w:szCs w:val="15"/>
              </w:rPr>
            </w:pPr>
            <w:r>
              <w:rPr>
                <w:rFonts w:ascii="Calibri" w:hAnsi="Calibri" w:cs="Calibri"/>
                <w:sz w:val="15"/>
                <w:szCs w:val="15"/>
              </w:rPr>
              <w:t xml:space="preserve">PDF, Excel, CSV</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tcPr>
          <w:p>
            <w:pPr>
              <w:spacing w:after="0"/>
              <w:rPr>
                <w:rFonts w:ascii="Calibri" w:hAnsi="Calibri" w:cs="Calibri"/>
                <w:sz w:val="15"/>
                <w:szCs w:val="15"/>
              </w:rPr>
            </w:pPr>
            <w:r>
              <w:rPr>
                <w:rFonts w:ascii="Calibri" w:hAnsi="Calibri" w:cs="Calibri"/>
                <w:sz w:val="15"/>
                <w:szCs w:val="15"/>
              </w:rPr>
              <w:t xml:space="preserve">DO-11</w:t>
            </w:r>
          </w:p>
        </w:tc>
        <w:tc>
          <w:tcPr>
            <w:tcW w:w="2160" w:type="dxa"/>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spacing w:after="0"/>
              <w:rPr>
                <w:rFonts w:ascii="Calibri" w:hAnsi="Calibri" w:cs="Calibri"/>
                <w:sz w:val="15"/>
                <w:szCs w:val="15"/>
              </w:rPr>
            </w:pPr>
            <w:r>
              <w:rPr>
                <w:rFonts w:ascii="Calibri" w:hAnsi="Calibri" w:cs="Calibri"/>
                <w:sz w:val="15"/>
                <w:szCs w:val="15"/>
              </w:rPr>
              <w:t xml:space="preserve">As the screen</w:t>
            </w:r>
          </w:p>
        </w:tc>
        <w:tc>
          <w:tcPr>
            <w:tcW w:w="1296" w:type="dxa"/>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1"/>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72"/>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7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7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7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spacing w:after="0"/>
              <w:rPr>
                <w:rFonts w:ascii="Calibri" w:hAnsi="Calibri" w:cs="Calibri"/>
                <w:sz w:val="15"/>
                <w:szCs w:val="15"/>
              </w:rPr>
            </w:pPr>
            <w:r>
              <w:rPr>
                <w:rFonts w:ascii="Calibri" w:hAnsi="Calibri" w:cs="Calibri"/>
                <w:sz w:val="15"/>
                <w:szCs w:val="15"/>
              </w:rPr>
              <w:t xml:space="preserve">As chosen</w:t>
            </w:r>
          </w:p>
        </w:tc>
        <w:tc>
          <w:tcPr>
            <w:tcW w:w="1080" w:type="dxa"/>
          </w:tcPr>
          <w:p>
            <w:pPr>
              <w:spacing w:after="0"/>
              <w:rPr>
                <w:rFonts w:ascii="Calibri" w:hAnsi="Calibri" w:cs="Calibri"/>
                <w:sz w:val="15"/>
                <w:szCs w:val="15"/>
              </w:rPr>
            </w:pPr>
            <w:r>
              <w:rPr>
                <w:rFonts w:ascii="Calibri" w:hAnsi="Calibri" w:cs="Calibri"/>
                <w:sz w:val="15"/>
                <w:szCs w:val="15"/>
              </w:rPr>
              <w:t xml:space="preserve">As chosen</w:t>
            </w:r>
          </w:p>
        </w:tc>
        <w:tc>
          <w:tcPr>
            <w:tcW w:w="1368" w:type="dxa"/>
          </w:tcPr>
          <w:p>
            <w:pPr>
              <w:spacing w:after="0"/>
              <w:rPr>
                <w:rFonts w:ascii="Calibri" w:hAnsi="Calibri" w:cs="Calibri"/>
                <w:sz w:val="15"/>
                <w:szCs w:val="15"/>
              </w:rPr>
            </w:pPr>
            <w:r>
              <w:rPr>
                <w:rFonts w:ascii="Calibri" w:hAnsi="Calibri" w:cs="Calibri"/>
                <w:sz w:val="15"/>
                <w:szCs w:val="15"/>
              </w:rPr>
              <w:t xml:space="preserve">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tcPr>
          <w:p>
            <w:pPr>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spacing w:after="0"/>
              <w:rPr>
                <w:rFonts w:ascii="Calibri" w:hAnsi="Calibri" w:cs="Calibri"/>
                <w:sz w:val="16"/>
                <w:szCs w:val="16"/>
              </w:rPr>
            </w:pPr>
            <w:r>
              <w:rPr>
                <w:rFonts w:ascii="Calibri" w:hAnsi="Calibri" w:cs="Calibri"/>
                <w:sz w:val="16"/>
                <w:szCs w:val="16"/>
              </w:rPr>
              <w:t xml:space="preserve">Daily 01:05</w:t>
            </w:r>
          </w:p>
        </w:tc>
        <w:tc>
          <w:tcPr>
            <w:tcW w:w="5760" w:type="dxa"/>
          </w:tcPr>
          <w:p>
            <w:pPr>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FRPM.003.07</w:t>
            </w:r>
          </w:p>
        </w:tc>
      </w:tr>
      <w:tr>
        <w:tc>
          <w:tcPr>
            <w:tcW w:w="2304" w:type="dxa"/>
          </w:tcPr>
          <w:p>
            <w:pPr>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spacing w:after="0"/>
              <w:rPr>
                <w:rFonts w:ascii="Calibri" w:hAnsi="Calibri" w:cs="Calibri"/>
                <w:sz w:val="16"/>
                <w:szCs w:val="16"/>
              </w:rPr>
            </w:pPr>
            <w:r>
              <w:rPr>
                <w:rFonts w:ascii="Calibri" w:hAnsi="Calibri" w:cs="Calibri"/>
                <w:sz w:val="16"/>
                <w:szCs w:val="16"/>
              </w:rPr>
              <w:t xml:space="preserve">FRPM.029.01</w:t>
            </w:r>
          </w:p>
        </w:tc>
      </w:tr>
      <w:t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tcPr>
          <w:p>
            <w:pPr>
              <w:spacing w:after="0"/>
              <w:rPr>
                <w:rFonts w:ascii="Calibri" w:hAnsi="Calibri" w:cs="Calibri"/>
                <w:sz w:val="15"/>
                <w:szCs w:val="15"/>
              </w:rPr>
            </w:pPr>
            <w:r>
              <w:rPr>
                <w:rFonts w:ascii="Calibri" w:hAnsi="Calibri" w:cs="Calibri"/>
                <w:sz w:val="15"/>
                <w:szCs w:val="15"/>
              </w:rPr>
              <w:t xml:space="preserve">IN-09</w:t>
            </w:r>
          </w:p>
        </w:tc>
        <w:tc>
          <w:tcPr>
            <w:tcW w:w="1728" w:type="dxa"/>
          </w:tcPr>
          <w:p>
            <w:pPr>
              <w:spacing w:after="0"/>
              <w:rPr>
                <w:rFonts w:ascii="Calibri" w:hAnsi="Calibri" w:cs="Calibri"/>
                <w:sz w:val="15"/>
                <w:szCs w:val="15"/>
              </w:rPr>
            </w:pPr>
            <w:r>
              <w:rPr>
                <w:rFonts w:ascii="Calibri" w:hAnsi="Calibri" w:cs="Calibri"/>
                <w:sz w:val="15"/>
                <w:szCs w:val="15"/>
              </w:rPr>
              <w:t xml:space="preserve">Insurers</w:t>
            </w:r>
          </w:p>
        </w:tc>
        <w:tc>
          <w:tcPr>
            <w:tcW w:w="1152" w:type="dxa"/>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spacing w:after="0"/>
              <w:rPr>
                <w:rFonts w:ascii="Calibri" w:hAnsi="Calibri" w:cs="Calibri"/>
                <w:sz w:val="15"/>
                <w:szCs w:val="15"/>
              </w:rPr>
            </w:pPr>
            <w:r>
              <w:rPr>
                <w:rFonts w:ascii="Calibri" w:hAnsi="Calibri" w:cs="Calibri"/>
                <w:sz w:val="15"/>
                <w:szCs w:val="15"/>
              </w:rPr>
              <w:t xml:space="preserve">Per round</w:t>
            </w:r>
          </w:p>
        </w:tc>
        <w:tc>
          <w:tcPr>
            <w:tcW w:w="864" w:type="dxa"/>
          </w:tcPr>
          <w:p>
            <w:pPr>
              <w:spacing w:after="0"/>
              <w:rPr>
                <w:rFonts w:ascii="Calibri" w:hAnsi="Calibri" w:cs="Calibri"/>
                <w:sz w:val="15"/>
                <w:szCs w:val="15"/>
              </w:rPr>
            </w:pPr>
            <w:r>
              <w:rPr>
                <w:rFonts w:ascii="Calibri" w:hAnsi="Calibri" w:cs="Calibri"/>
                <w:sz w:val="15"/>
                <w:szCs w:val="15"/>
              </w:rPr>
              <w:t xml:space="preserve">Per round</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tcPr>
          <w:p>
            <w:pPr>
              <w:spacing w:after="0"/>
              <w:rPr>
                <w:rFonts w:ascii="Calibri" w:hAnsi="Calibri" w:cs="Calibri"/>
                <w:sz w:val="15"/>
                <w:szCs w:val="15"/>
              </w:rPr>
            </w:pPr>
            <w:r>
              <w:rPr>
                <w:rFonts w:ascii="Calibri" w:hAnsi="Calibri" w:cs="Calibri"/>
                <w:sz w:val="15"/>
                <w:szCs w:val="15"/>
              </w:rPr>
              <w:t xml:space="preserve">IN-10</w:t>
            </w:r>
          </w:p>
        </w:tc>
        <w:tc>
          <w:tcPr>
            <w:tcW w:w="1728" w:type="dxa"/>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spacing w:after="0"/>
              <w:rPr>
                <w:rFonts w:ascii="Calibri" w:hAnsi="Calibri" w:cs="Calibri"/>
                <w:sz w:val="15"/>
                <w:szCs w:val="15"/>
              </w:rPr>
            </w:pPr>
            <w:r>
              <w:rPr>
                <w:rFonts w:ascii="Calibri" w:hAnsi="Calibri" w:cs="Calibri"/>
                <w:sz w:val="15"/>
                <w:szCs w:val="15"/>
              </w:rPr>
              <w:t xml:space="preserve">Per document</w:t>
            </w:r>
          </w:p>
        </w:tc>
        <w:tc>
          <w:tcPr>
            <w:tcW w:w="1224" w:type="dxa"/>
          </w:tcPr>
          <w:p>
            <w:pPr>
              <w:spacing w:after="0"/>
              <w:rPr>
                <w:rFonts w:ascii="Calibri" w:hAnsi="Calibri" w:cs="Calibri"/>
                <w:sz w:val="15"/>
                <w:szCs w:val="15"/>
              </w:rPr>
            </w:pPr>
            <w:r>
              <w:rPr>
                <w:rFonts w:ascii="Calibri" w:hAnsi="Calibri" w:cs="Calibri"/>
                <w:sz w:val="15"/>
                <w:szCs w:val="15"/>
              </w:rPr>
              <w:t xml:space="preserve">TSU, MBS</w:t>
            </w:r>
          </w:p>
        </w:tc>
        <w:tc>
          <w:tcPr>
            <w:tcW w:w="1512" w:type="dxa"/>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T-15</w:t>
            </w:r>
          </w:p>
        </w:tc>
        <w:tc>
          <w:tcPr>
            <w:tcW w:w="1440" w:type="dxa"/>
          </w:tcPr>
          <w:p>
            <w:pPr>
              <w:spacing w:after="0"/>
              <w:rPr>
                <w:rFonts w:ascii="Calibri" w:hAnsi="Calibri" w:cs="Calibri"/>
                <w:sz w:val="16"/>
                <w:szCs w:val="16"/>
              </w:rPr>
            </w:pPr>
            <w:r>
              <w:rPr>
                <w:rFonts w:ascii="Calibri" w:hAnsi="Calibri" w:cs="Calibri"/>
                <w:sz w:val="16"/>
                <w:szCs w:val="16"/>
              </w:rPr>
              <w:t xml:space="preserve">Accessibility</w:t>
            </w:r>
          </w:p>
        </w:tc>
        <w:tc>
          <w:tcPr>
            <w:tcW w:w="3311" w:type="dxa"/>
          </w:tcPr>
          <w:p>
            <w:pPr>
              <w:spacing w:after="0"/>
              <w:rPr>
                <w:rFonts w:ascii="Calibri" w:hAnsi="Calibri" w:cs="Calibri"/>
                <w:sz w:val="16"/>
                <w:szCs w:val="16"/>
              </w:rPr>
            </w:pPr>
            <w:r>
              <w:rPr>
                <w:rFonts w:ascii="Calibri" w:hAnsi="Calibri" w:cs="Calibri"/>
                <w:sz w:val="16"/>
                <w:szCs w:val="16"/>
              </w:rPr>
              <w:t xml:space="preserve">Every screen</w:t>
            </w:r>
          </w:p>
        </w:tc>
        <w:tc>
          <w:tcPr>
            <w:tcW w:w="3744" w:type="dxa"/>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sz w:val="16"/>
                <w:szCs w:val="16"/>
              </w:rPr>
              <w:t xml:space="preserve">BRD (all users)</w:t>
            </w:r>
          </w:p>
        </w:tc>
        <w:tc>
          <w:tcPr>
            <w:tcW w:w="1655" w:type="dxa"/>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c>
          <w:tcPr>
            <w:tcW w:w="648" w:type="dxa"/>
          </w:tcPr>
          <w:p>
            <w:pPr>
              <w:spacing w:after="0"/>
              <w:rPr>
                <w:rFonts w:ascii="Calibri" w:hAnsi="Calibri" w:cs="Calibri"/>
                <w:sz w:val="16"/>
                <w:szCs w:val="16"/>
              </w:rPr>
            </w:pPr>
            <w:r>
              <w:rPr>
                <w:rFonts w:ascii="Calibri" w:hAnsi="Calibri" w:cs="Calibri"/>
                <w:sz w:val="16"/>
                <w:szCs w:val="16"/>
              </w:rPr>
              <w:t xml:space="preserve">U-10</w:t>
            </w:r>
          </w:p>
        </w:tc>
        <w:tc>
          <w:tcPr>
            <w:tcW w:w="3384" w:type="dxa"/>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tcPr>
          <w:p>
            <w:pPr>
              <w:spacing w:after="0"/>
              <w:rPr>
                <w:rFonts w:ascii="Calibri" w:hAnsi="Calibri" w:cs="Calibri"/>
                <w:sz w:val="16"/>
                <w:szCs w:val="16"/>
              </w:rPr>
            </w:pPr>
            <w:r>
              <w:rPr>
                <w:rFonts w:ascii="Calibri" w:hAnsi="Calibri" w:cs="Calibri"/>
                <w:sz w:val="16"/>
                <w:szCs w:val="16"/>
              </w:rPr>
              <w:t xml:space="preserve">U-11</w:t>
            </w:r>
          </w:p>
        </w:tc>
        <w:tc>
          <w:tcPr>
            <w:tcW w:w="3384" w:type="dxa"/>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Product Owner</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V-01</w:t>
            </w:r>
          </w:p>
        </w:tc>
        <w:tc>
          <w:tcPr>
            <w:tcW w:w="1224" w:type="dxa"/>
          </w:tcPr>
          <w:p>
            <w:pPr>
              <w:spacing w:after="0"/>
              <w:rPr>
                <w:rFonts w:ascii="Calibri" w:hAnsi="Calibri" w:cs="Calibri"/>
                <w:sz w:val="15"/>
                <w:szCs w:val="15"/>
              </w:rPr>
            </w:pPr>
            <w:r>
              <w:rPr>
                <w:rFonts w:ascii="Calibri" w:hAnsi="Calibri" w:cs="Calibri"/>
                <w:sz w:val="15"/>
                <w:szCs w:val="15"/>
              </w:rPr>
              <w:t xml:space="preserve">A-PM-01</w:t>
            </w:r>
          </w:p>
        </w:tc>
        <w:tc>
          <w:tcPr>
            <w:tcW w:w="5903" w:type="dxa"/>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PM-Q01</w:t>
            </w:r>
          </w:p>
        </w:tc>
      </w:tr>
      <w:t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V-06</w:t>
            </w:r>
          </w:p>
        </w:tc>
        <w:tc>
          <w:tcPr>
            <w:tcW w:w="1224" w:type="dxa"/>
          </w:tcPr>
          <w:p>
            <w:pPr>
              <w:spacing w:after="0"/>
              <w:rPr>
                <w:rFonts w:ascii="Calibri" w:hAnsi="Calibri" w:cs="Calibri"/>
                <w:sz w:val="15"/>
                <w:szCs w:val="15"/>
              </w:rPr>
            </w:pPr>
            <w:r>
              <w:rPr>
                <w:rFonts w:ascii="Calibri" w:hAnsi="Calibri" w:cs="Calibri"/>
                <w:sz w:val="15"/>
                <w:szCs w:val="15"/>
              </w:rPr>
              <w:t xml:space="preserve">D-PM-04</w:t>
            </w:r>
          </w:p>
        </w:tc>
        <w:tc>
          <w:tcPr>
            <w:tcW w:w="5903" w:type="dxa"/>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V-07</w:t>
            </w:r>
          </w:p>
        </w:tc>
        <w:tc>
          <w:tcPr>
            <w:tcW w:w="1224" w:type="dxa"/>
          </w:tcPr>
          <w:p>
            <w:pPr>
              <w:spacing w:after="0"/>
              <w:rPr>
                <w:rFonts w:ascii="Calibri" w:hAnsi="Calibri" w:cs="Calibri"/>
                <w:sz w:val="15"/>
                <w:szCs w:val="15"/>
              </w:rPr>
            </w:pPr>
            <w:r>
              <w:rPr>
                <w:rFonts w:ascii="Calibri" w:hAnsi="Calibri" w:cs="Calibri"/>
                <w:sz w:val="15"/>
                <w:szCs w:val="15"/>
              </w:rPr>
              <w:t xml:space="preserve">D-PM-05</w:t>
            </w:r>
          </w:p>
        </w:tc>
        <w:tc>
          <w:tcPr>
            <w:tcW w:w="5903" w:type="dxa"/>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spacing w:after="0"/>
              <w:rPr>
                <w:rFonts w:ascii="Calibri" w:hAnsi="Calibri" w:cs="Calibri"/>
                <w:sz w:val="15"/>
                <w:szCs w:val="15"/>
              </w:rPr>
            </w:pPr>
            <w:r>
              <w:rPr>
                <w:rFonts w:ascii="Calibri" w:hAnsi="Calibri" w:cs="Calibri"/>
                <w:sz w:val="15"/>
                <w:szCs w:val="15"/>
              </w:rPr>
              <w:t xml:space="preserve">Head, Renewal</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PM-Q41</w:t>
            </w:r>
          </w:p>
        </w:tc>
      </w:tr>
      <w:t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c>
          <w:tcPr>
            <w:tcW w:w="720" w:type="dxa"/>
          </w:tcPr>
          <w:p>
            <w:pPr>
              <w:spacing w:after="0"/>
              <w:rPr>
                <w:rFonts w:ascii="Calibri" w:hAnsi="Calibri" w:cs="Calibri"/>
                <w:sz w:val="15"/>
                <w:szCs w:val="15"/>
              </w:rPr>
            </w:pPr>
            <w:r>
              <w:rPr>
                <w:rFonts w:ascii="Calibri" w:hAnsi="Calibri" w:cs="Calibri"/>
                <w:sz w:val="15"/>
                <w:szCs w:val="15"/>
              </w:rPr>
              <w:t xml:space="preserve">V-21</w:t>
            </w:r>
          </w:p>
        </w:tc>
        <w:tc>
          <w:tcPr>
            <w:tcW w:w="1224" w:type="dxa"/>
          </w:tcPr>
          <w:p>
            <w:pPr>
              <w:spacing w:after="0"/>
              <w:rPr>
                <w:rFonts w:ascii="Calibri" w:hAnsi="Calibri" w:cs="Calibri"/>
                <w:sz w:val="15"/>
                <w:szCs w:val="15"/>
              </w:rPr>
            </w:pPr>
            <w:r>
              <w:rPr>
                <w:rFonts w:ascii="Calibri" w:hAnsi="Calibri" w:cs="Calibri"/>
                <w:sz w:val="15"/>
                <w:szCs w:val="15"/>
              </w:rPr>
              <w:t xml:space="preserve">PQ16</w:t>
            </w:r>
          </w:p>
        </w:tc>
        <w:tc>
          <w:tcPr>
            <w:tcW w:w="5903" w:type="dxa"/>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V-22</w:t>
            </w:r>
          </w:p>
        </w:tc>
        <w:tc>
          <w:tcPr>
            <w:tcW w:w="1224" w:type="dxa"/>
          </w:tcPr>
          <w:p>
            <w:pPr>
              <w:spacing w:after="0"/>
              <w:rPr>
                <w:rFonts w:ascii="Calibri" w:hAnsi="Calibri" w:cs="Calibri"/>
                <w:sz w:val="15"/>
                <w:szCs w:val="15"/>
              </w:rPr>
            </w:pPr>
            <w:r>
              <w:rPr>
                <w:rFonts w:ascii="Calibri" w:hAnsi="Calibri" w:cs="Calibri"/>
                <w:sz w:val="15"/>
                <w:szCs w:val="15"/>
              </w:rPr>
              <w:t xml:space="preserve">PQ18</w:t>
            </w:r>
          </w:p>
        </w:tc>
        <w:tc>
          <w:tcPr>
            <w:tcW w:w="5903" w:type="dxa"/>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tcPr>
          <w:p>
            <w:pPr>
              <w:spacing w:after="0"/>
              <w:rPr>
                <w:rFonts w:ascii="Calibri" w:hAnsi="Calibri" w:cs="Calibri"/>
                <w:sz w:val="15"/>
                <w:szCs w:val="15"/>
              </w:rPr>
            </w:pPr>
            <w:r>
              <w:rPr>
                <w:rFonts w:ascii="Calibri" w:hAnsi="Calibri" w:cs="Calibri"/>
                <w:sz w:val="15"/>
                <w:szCs w:val="15"/>
              </w:rPr>
              <w:t xml:space="preserve">V-36</w:t>
            </w:r>
          </w:p>
        </w:tc>
        <w:tc>
          <w:tcPr>
            <w:tcW w:w="1224" w:type="dxa"/>
          </w:tcPr>
          <w:p>
            <w:pPr>
              <w:spacing w:after="0"/>
              <w:rPr>
                <w:rFonts w:ascii="Calibri" w:hAnsi="Calibri" w:cs="Calibri"/>
                <w:sz w:val="15"/>
                <w:szCs w:val="15"/>
              </w:rPr>
            </w:pPr>
            <w:r>
              <w:rPr>
                <w:rFonts w:ascii="Calibri" w:hAnsi="Calibri" w:cs="Calibri"/>
                <w:sz w:val="15"/>
                <w:szCs w:val="15"/>
              </w:rPr>
              <w:t xml:space="preserve">CLR-PM-21</w:t>
            </w:r>
          </w:p>
        </w:tc>
        <w:tc>
          <w:tcPr>
            <w:tcW w:w="5903" w:type="dxa"/>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tcPr>
          <w:p>
            <w:pPr>
              <w:spacing w:after="0"/>
              <w:rPr>
                <w:rFonts w:ascii="Calibri" w:hAnsi="Calibri" w:cs="Calibri"/>
                <w:sz w:val="15"/>
                <w:szCs w:val="15"/>
              </w:rPr>
            </w:pPr>
            <w:r>
              <w:rPr>
                <w:rFonts w:ascii="Calibri" w:hAnsi="Calibri" w:cs="Calibri"/>
                <w:sz w:val="15"/>
                <w:szCs w:val="15"/>
              </w:rPr>
              <w:t xml:space="preserve">V-37</w:t>
            </w:r>
          </w:p>
        </w:tc>
        <w:tc>
          <w:tcPr>
            <w:tcW w:w="1224" w:type="dxa"/>
          </w:tcPr>
          <w:p>
            <w:pPr>
              <w:spacing w:after="0"/>
              <w:rPr>
                <w:rFonts w:ascii="Calibri" w:hAnsi="Calibri" w:cs="Calibri"/>
                <w:sz w:val="15"/>
                <w:szCs w:val="15"/>
              </w:rPr>
            </w:pPr>
            <w:r>
              <w:rPr>
                <w:rFonts w:ascii="Calibri" w:hAnsi="Calibri" w:cs="Calibri"/>
                <w:sz w:val="15"/>
                <w:szCs w:val="15"/>
              </w:rPr>
              <w:t xml:space="preserve">CLR-PM-22</w:t>
            </w:r>
          </w:p>
        </w:tc>
        <w:tc>
          <w:tcPr>
            <w:tcW w:w="5903" w:type="dxa"/>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78"/>
                    <a:stretch>
                      <a:fillRect/>
                    </a:stretch>
                  </pic:blipFill>
                  <pic:spPr>
                    <a:xfrm>
                      <a:off x="0" y="0"/>
                      <a:ext cx="6583680" cy="13162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tcPr>
          <w:p>
            <w:pPr>
              <w:spacing w:after="0"/>
              <w:rPr>
                <w:rFonts w:ascii="Calibri" w:hAnsi="Calibri" w:cs="Calibri"/>
                <w:sz w:val="16"/>
                <w:szCs w:val="16"/>
              </w:rPr>
            </w:pPr>
            <w:r>
              <w:rPr>
                <w:rFonts w:ascii="Calibri" w:hAnsi="Calibri" w:cs="Calibri"/>
                <w:sz w:val="16"/>
                <w:szCs w:val="16"/>
              </w:rPr>
              <w:t xml:space="preserve">4 Schedule</w:t>
            </w:r>
          </w:p>
        </w:tc>
        <w:tc>
          <w:tcPr>
            <w:tcW w:w="5616" w:type="dxa"/>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tcPr>
          <w:p>
            <w:pPr>
              <w:spacing w:after="0"/>
              <w:rPr>
                <w:rFonts w:ascii="Calibri" w:hAnsi="Calibri" w:cs="Calibri"/>
                <w:sz w:val="16"/>
                <w:szCs w:val="16"/>
              </w:rPr>
            </w:pPr>
            <w:r>
              <w:rPr>
                <w:rFonts w:ascii="Calibri" w:hAnsi="Calibri" w:cs="Calibri"/>
                <w:sz w:val="16"/>
                <w:szCs w:val="16"/>
              </w:rPr>
              <w:t xml:space="preserve">5 Test</w:t>
            </w:r>
          </w:p>
        </w:tc>
        <w:tc>
          <w:tcPr>
            <w:tcW w:w="5616" w:type="dxa"/>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736" w:type="dxa"/>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spacing w:after="0"/>
              <w:rPr>
                <w:rFonts w:ascii="Calibri" w:hAnsi="Calibri" w:cs="Calibri"/>
                <w:sz w:val="16"/>
                <w:szCs w:val="16"/>
              </w:rPr>
            </w:pPr>
            <w:r>
              <w:rPr>
                <w:rFonts w:ascii="Calibri" w:hAnsi="Calibri" w:cs="Calibri"/>
                <w:sz w:val="16"/>
                <w:szCs w:val="16"/>
              </w:rPr>
              <w:t xml:space="preserve">Annex W</w:t>
            </w:r>
          </w:p>
        </w:tc>
        <w:tc>
          <w:tcPr>
            <w:tcW w:w="2664" w:type="dxa"/>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