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64</w:t>
          </w:r>
        </w:p>
        <w:p>
          <w:pPr>
            <w:pStyle w:val="TOC1"/>
            <w:tabs>
              <w:tab w:val="right" w:leader="dot" w:pos="9630"/>
            </w:tabs>
            <w:rPr>
              <w:rStyle w:val="Hyperlink"/>
            </w:rPr>
          </w:pPr>
          <w:r>
            <w:t xml:space="preserve">End-to-End Process Flow (all actors and systems)</w:t>
          </w:r>
          <w:r>
            <w:tab/>
          </w:r>
          <w:r>
            <w:t xml:space="preserve">64</w:t>
          </w:r>
        </w:p>
        <w:p>
          <w:pPr>
            <w:pStyle w:val="TOC1"/>
            <w:tabs>
              <w:tab w:val="right" w:leader="dot" w:pos="9630"/>
            </w:tabs>
            <w:rPr>
              <w:rStyle w:val="Hyperlink"/>
            </w:rPr>
          </w:pPr>
          <w:r>
            <w:t xml:space="preserve">Non-Package Request Process Flow</w:t>
          </w:r>
          <w:r>
            <w:tab/>
          </w:r>
          <w:r>
            <w:t xml:space="preserve">65</w:t>
          </w:r>
        </w:p>
        <w:p>
          <w:pPr>
            <w:pStyle w:val="TOC1"/>
            <w:tabs>
              <w:tab w:val="right" w:leader="dot" w:pos="9630"/>
            </w:tabs>
            <w:rPr>
              <w:rStyle w:val="Hyperlink"/>
            </w:rPr>
          </w:pPr>
          <w:r>
            <w:t xml:space="preserve">New Request Process Flow</w:t>
          </w:r>
          <w:r>
            <w:tab/>
          </w:r>
          <w:r>
            <w:t xml:space="preserve">66</w:t>
          </w:r>
        </w:p>
        <w:p>
          <w:pPr>
            <w:pStyle w:val="TOC1"/>
            <w:tabs>
              <w:tab w:val="right" w:leader="dot" w:pos="9630"/>
            </w:tabs>
            <w:rPr>
              <w:rStyle w:val="Hyperlink"/>
            </w:rPr>
          </w:pPr>
          <w:r>
            <w:t xml:space="preserve">Package Set-up, Validation and Release Process Flow</w:t>
          </w:r>
          <w:r>
            <w:tab/>
          </w:r>
          <w:r>
            <w:t xml:space="preserve">67</w:t>
          </w:r>
        </w:p>
        <w:p>
          <w:pPr>
            <w:pStyle w:val="TOC1"/>
            <w:tabs>
              <w:tab w:val="right" w:leader="dot" w:pos="9630"/>
            </w:tabs>
            <w:rPr>
              <w:rStyle w:val="Hyperlink"/>
            </w:rPr>
          </w:pPr>
          <w:r>
            <w:t xml:space="preserve">Package Expiry, Renewal and Deactivation Process Flow</w:t>
          </w:r>
          <w:r>
            <w:tab/>
          </w:r>
          <w:r>
            <w:t xml:space="preserve">68</w:t>
          </w:r>
        </w:p>
        <w:p>
          <w:pPr>
            <w:pStyle w:val="TOC1"/>
            <w:tabs>
              <w:tab w:val="right" w:leader="dot" w:pos="9630"/>
            </w:tabs>
            <w:rPr>
              <w:rStyle w:val="Hyperlink"/>
            </w:rPr>
          </w:pPr>
          <w:r>
            <w:t xml:space="preserve">Rate Exception Process Flow (New Business on a Package)</w:t>
          </w:r>
          <w:r>
            <w:tab/>
          </w:r>
          <w:r>
            <w:t xml:space="preserve">69</w:t>
          </w:r>
        </w:p>
        <w:p>
          <w:pPr>
            <w:pStyle w:val="TOC1"/>
            <w:tabs>
              <w:tab w:val="right" w:leader="dot" w:pos="9630"/>
            </w:tabs>
            <w:rPr>
              <w:rStyle w:val="Hyperlink"/>
            </w:rPr>
          </w:pPr>
          <w:r>
            <w:t xml:space="preserve">Package Request and Approval Process Flow (Marketing and TSU)</w:t>
          </w:r>
          <w:r>
            <w:tab/>
          </w:r>
          <w:r>
            <w:t xml:space="preserve">70</w:t>
          </w:r>
        </w:p>
        <w:p>
          <w:pPr>
            <w:pStyle w:val="TOC1"/>
            <w:tabs>
              <w:tab w:val="right" w:leader="dot" w:pos="9630"/>
            </w:tabs>
            <w:rPr>
              <w:rStyle w:val="Hyperlink"/>
            </w:rPr>
          </w:pPr>
          <w:r>
            <w:t xml:space="preserve">Negotiation, Comparative Table and Terms Review Process Flow</w:t>
          </w:r>
          <w:r>
            <w:tab/>
          </w:r>
          <w:r>
            <w:t xml:space="preserve">71</w:t>
          </w:r>
        </w:p>
        <w:p>
          <w:pPr>
            <w:pStyle w:val="TOC1"/>
            <w:tabs>
              <w:tab w:val="right" w:leader="dot" w:pos="9630"/>
            </w:tabs>
            <w:rPr>
              <w:rStyle w:val="Hyperlink"/>
            </w:rPr>
          </w:pPr>
          <w:r>
            <w:t xml:space="preserve">Product Master Maintenance Process Flow (Maker-Checker)</w:t>
          </w:r>
          <w:r>
            <w:tab/>
          </w:r>
          <w:r>
            <w:t xml:space="preserve">72</w:t>
          </w:r>
        </w:p>
        <w:p>
          <w:pPr>
            <w:pStyle w:val="TOC1"/>
            <w:tabs>
              <w:tab w:val="right" w:leader="dot" w:pos="9630"/>
            </w:tabs>
            <w:rPr>
              <w:rStyle w:val="Hyperlink"/>
            </w:rPr>
          </w:pPr>
          <w:r>
            <w:t xml:space="preserve">Status Life-cycles</w:t>
          </w:r>
          <w:r>
            <w:tab/>
          </w:r>
          <w:r>
            <w:t xml:space="preserve">73</w:t>
          </w:r>
        </w:p>
        <w:p>
          <w:pPr>
            <w:pStyle w:val="TOC1"/>
            <w:tabs>
              <w:tab w:val="right" w:leader="dot" w:pos="9630"/>
            </w:tabs>
            <w:rPr>
              <w:rStyle w:val="Hyperlink"/>
            </w:rPr>
          </w:pPr>
          <w:r>
            <w:t xml:space="preserve">Integration Context Diagram</w:t>
          </w:r>
          <w:r>
            <w:tab/>
          </w:r>
          <w:r>
            <w:t xml:space="preserve">75</w:t>
          </w:r>
        </w:p>
        <w:p>
          <w:pPr>
            <w:pStyle w:val="TOC1"/>
            <w:tabs>
              <w:tab w:val="right" w:leader="dot" w:pos="9630"/>
            </w:tabs>
            <w:rPr>
              <w:rStyle w:val="Hyperlink"/>
            </w:rPr>
          </w:pPr>
          <w:r>
            <w:t xml:space="preserve">Signoff Sheet</w:t>
          </w:r>
          <w:r>
            <w:tab/>
          </w:r>
          <w:r>
            <w:t xml:space="preserve">76</w:t>
          </w:r>
        </w:p>
        <w:p>
          <w:pPr>
            <w:pStyle w:val="TOC1"/>
            <w:tabs>
              <w:tab w:val="right" w:leader="dot" w:pos="9630"/>
            </w:tabs>
            <w:rPr>
              <w:rStyle w:val="Hyperlink"/>
            </w:rPr>
          </w:pPr>
          <w:r>
            <w:t xml:space="preserve">Annex A – Package Product Fields</w:t>
          </w:r>
          <w:r>
            <w:tab/>
          </w:r>
          <w:r>
            <w:t xml:space="preserve">77</w:t>
          </w:r>
        </w:p>
        <w:p>
          <w:pPr>
            <w:pStyle w:val="TOC1"/>
            <w:tabs>
              <w:tab w:val="right" w:leader="dot" w:pos="9630"/>
            </w:tabs>
            <w:rPr>
              <w:rStyle w:val="Hyperlink"/>
            </w:rPr>
          </w:pPr>
          <w:r>
            <w:t xml:space="preserve">Annex B – Non-Package Product Fields</w:t>
          </w:r>
          <w:r>
            <w:tab/>
          </w:r>
          <w:r>
            <w:t xml:space="preserve">79</w:t>
          </w:r>
        </w:p>
        <w:p>
          <w:pPr>
            <w:pStyle w:val="TOC1"/>
            <w:tabs>
              <w:tab w:val="right" w:leader="dot" w:pos="9630"/>
            </w:tabs>
            <w:rPr>
              <w:rStyle w:val="Hyperlink"/>
            </w:rPr>
          </w:pPr>
          <w:r>
            <w:t xml:space="preserve">Annex C – Non-Package Quotation Request Fields</w:t>
          </w:r>
          <w:r>
            <w:tab/>
          </w:r>
          <w:r>
            <w:t xml:space="preserve">83</w:t>
          </w:r>
        </w:p>
        <w:p>
          <w:pPr>
            <w:pStyle w:val="TOC1"/>
            <w:tabs>
              <w:tab w:val="right" w:leader="dot" w:pos="9630"/>
            </w:tabs>
            <w:rPr>
              <w:rStyle w:val="Hyperlink"/>
            </w:rPr>
          </w:pPr>
          <w:r>
            <w:t xml:space="preserve">Annex D – Non-Package Quotation Slip Templates</w:t>
          </w:r>
          <w:r>
            <w:tab/>
          </w:r>
          <w:r>
            <w:t xml:space="preserve">87</w:t>
          </w:r>
        </w:p>
        <w:p>
          <w:pPr>
            <w:pStyle w:val="TOC1"/>
            <w:tabs>
              <w:tab w:val="right" w:leader="dot" w:pos="9630"/>
            </w:tabs>
            <w:rPr>
              <w:rStyle w:val="Hyperlink"/>
            </w:rPr>
          </w:pPr>
          <w:r>
            <w:t xml:space="preserve">Annex E – Package Request Fields</w:t>
          </w:r>
          <w:r>
            <w:tab/>
          </w:r>
          <w:r>
            <w:t xml:space="preserve">87</w:t>
          </w:r>
        </w:p>
        <w:p>
          <w:pPr>
            <w:pStyle w:val="TOC1"/>
            <w:tabs>
              <w:tab w:val="right" w:leader="dot" w:pos="9630"/>
            </w:tabs>
            <w:rPr>
              <w:rStyle w:val="Hyperlink"/>
            </w:rPr>
          </w:pPr>
          <w:r>
            <w:t xml:space="preserve">Annex F– Package Quotation Slip Templates</w:t>
          </w:r>
          <w:r>
            <w:tab/>
          </w:r>
          <w:r>
            <w:t xml:space="preserve">89</w:t>
          </w:r>
        </w:p>
        <w:p>
          <w:pPr>
            <w:pStyle w:val="TOC1"/>
            <w:tabs>
              <w:tab w:val="right" w:leader="dot" w:pos="9630"/>
            </w:tabs>
            <w:rPr>
              <w:rStyle w:val="Hyperlink"/>
            </w:rPr>
          </w:pPr>
          <w:r>
            <w:t xml:space="preserve">Annex G – Screen Specifications</w:t>
          </w:r>
          <w:r>
            <w:tab/>
          </w:r>
          <w:r>
            <w:t xml:space="preserve">90</w:t>
          </w:r>
        </w:p>
        <w:p>
          <w:pPr>
            <w:pStyle w:val="TOC2"/>
            <w:tabs>
              <w:tab w:val="right" w:leader="dot" w:pos="9630"/>
            </w:tabs>
            <w:rPr>
              <w:rStyle w:val="Hyperlink"/>
            </w:rPr>
          </w:pPr>
          <w:r>
            <w:t xml:space="preserve">G.1 Product Maintenance Home (SCR-PM-01)</w:t>
          </w:r>
          <w:r>
            <w:tab/>
          </w:r>
          <w:r>
            <w:t xml:space="preserve">90</w:t>
          </w:r>
        </w:p>
        <w:p>
          <w:pPr>
            <w:pStyle w:val="TOC2"/>
            <w:tabs>
              <w:tab w:val="right" w:leader="dot" w:pos="9630"/>
            </w:tabs>
            <w:rPr>
              <w:rStyle w:val="Hyperlink"/>
            </w:rPr>
          </w:pPr>
          <w:r>
            <w:t xml:space="preserve">G.2 Package Requests (SCR-PM-02)</w:t>
          </w:r>
          <w:r>
            <w:tab/>
          </w:r>
          <w:r>
            <w:t xml:space="preserve">92</w:t>
          </w:r>
        </w:p>
        <w:p>
          <w:pPr>
            <w:pStyle w:val="TOC2"/>
            <w:tabs>
              <w:tab w:val="right" w:leader="dot" w:pos="9630"/>
            </w:tabs>
            <w:rPr>
              <w:rStyle w:val="Hyperlink"/>
            </w:rPr>
          </w:pPr>
          <w:r>
            <w:t xml:space="preserve">G.3 New Package Request and Edit Package Request (SCR-PM-03)</w:t>
          </w:r>
          <w:r>
            <w:tab/>
          </w:r>
          <w:r>
            <w:t xml:space="preserve">93</w:t>
          </w:r>
        </w:p>
        <w:p>
          <w:pPr>
            <w:pStyle w:val="TOC2"/>
            <w:tabs>
              <w:tab w:val="right" w:leader="dot" w:pos="9630"/>
            </w:tabs>
            <w:rPr>
              <w:rStyle w:val="Hyperlink"/>
            </w:rPr>
          </w:pPr>
          <w:r>
            <w:t xml:space="preserve">G.4 Package Request record (SCR-PM-04)</w:t>
          </w:r>
          <w:r>
            <w:tab/>
          </w:r>
          <w:r>
            <w:t xml:space="preserve">97</w:t>
          </w:r>
        </w:p>
        <w:p>
          <w:pPr>
            <w:pStyle w:val="TOC2"/>
            <w:tabs>
              <w:tab w:val="right" w:leader="dot" w:pos="9630"/>
            </w:tabs>
            <w:rPr>
              <w:rStyle w:val="Hyperlink"/>
            </w:rPr>
          </w:pPr>
          <w:r>
            <w:t xml:space="preserve">G.5 Package Request record: Negotiation tab (SCR-PM-05)</w:t>
          </w:r>
          <w:r>
            <w:tab/>
          </w:r>
          <w:r>
            <w:t xml:space="preserve">100</w:t>
          </w:r>
        </w:p>
        <w:p>
          <w:pPr>
            <w:pStyle w:val="TOC2"/>
            <w:tabs>
              <w:tab w:val="right" w:leader="dot" w:pos="9630"/>
            </w:tabs>
            <w:rPr>
              <w:rStyle w:val="Hyperlink"/>
            </w:rPr>
          </w:pPr>
          <w:r>
            <w:t xml:space="preserve">G.6 Package Request record: Comparative tab (SCR-PM-06)</w:t>
          </w:r>
          <w:r>
            <w:tab/>
          </w:r>
          <w:r>
            <w:t xml:space="preserve">103</w:t>
          </w:r>
        </w:p>
        <w:p>
          <w:pPr>
            <w:pStyle w:val="TOC2"/>
            <w:tabs>
              <w:tab w:val="right" w:leader="dot" w:pos="9630"/>
            </w:tabs>
            <w:rPr>
              <w:rStyle w:val="Hyperlink"/>
            </w:rPr>
          </w:pPr>
          <w:r>
            <w:t xml:space="preserve">G.7 Package Request record: Requirements &amp; Sign-off tab (SCR-PM-07)</w:t>
          </w:r>
          <w:r>
            <w:tab/>
          </w:r>
          <w:r>
            <w:t xml:space="preserve">105</w:t>
          </w:r>
        </w:p>
        <w:p>
          <w:pPr>
            <w:pStyle w:val="TOC2"/>
            <w:tabs>
              <w:tab w:val="right" w:leader="dot" w:pos="9630"/>
            </w:tabs>
            <w:rPr>
              <w:rStyle w:val="Hyperlink"/>
            </w:rPr>
          </w:pPr>
          <w:r>
            <w:t xml:space="preserve">G.8 Package Request record: Set-up and Advisories tabs (SCR-PM-08)</w:t>
          </w:r>
          <w:r>
            <w:tab/>
          </w:r>
          <w:r>
            <w:t xml:space="preserve">107</w:t>
          </w:r>
        </w:p>
        <w:p>
          <w:pPr>
            <w:pStyle w:val="TOC2"/>
            <w:tabs>
              <w:tab w:val="right" w:leader="dot" w:pos="9630"/>
            </w:tabs>
            <w:rPr>
              <w:rStyle w:val="Hyperlink"/>
            </w:rPr>
          </w:pPr>
          <w:r>
            <w:t xml:space="preserve">G.9 TSU Workbench (SCR-PM-09)</w:t>
          </w:r>
          <w:r>
            <w:tab/>
          </w:r>
          <w:r>
            <w:t xml:space="preserve">109</w:t>
          </w:r>
        </w:p>
        <w:p>
          <w:pPr>
            <w:pStyle w:val="TOC2"/>
            <w:tabs>
              <w:tab w:val="right" w:leader="dot" w:pos="9630"/>
            </w:tabs>
            <w:rPr>
              <w:rStyle w:val="Hyperlink"/>
            </w:rPr>
          </w:pPr>
          <w:r>
            <w:t xml:space="preserve">G.10 Package Expiry (SCR-PM-10)</w:t>
          </w:r>
          <w:r>
            <w:tab/>
          </w:r>
          <w:r>
            <w:t xml:space="preserve">111</w:t>
          </w:r>
        </w:p>
        <w:p>
          <w:pPr>
            <w:pStyle w:val="TOC2"/>
            <w:tabs>
              <w:tab w:val="right" w:leader="dot" w:pos="9630"/>
            </w:tabs>
            <w:rPr>
              <w:rStyle w:val="Hyperlink"/>
            </w:rPr>
          </w:pPr>
          <w:r>
            <w:t xml:space="preserve">G.11 Products (SCR-PM-11)</w:t>
          </w:r>
          <w:r>
            <w:tab/>
          </w:r>
          <w:r>
            <w:t xml:space="preserve">111</w:t>
          </w:r>
        </w:p>
        <w:p>
          <w:pPr>
            <w:pStyle w:val="TOC2"/>
            <w:tabs>
              <w:tab w:val="right" w:leader="dot" w:pos="9630"/>
            </w:tabs>
            <w:rPr>
              <w:rStyle w:val="Hyperlink"/>
            </w:rPr>
          </w:pPr>
          <w:r>
            <w:t xml:space="preserve">G.12 Product record (SCR-PM-12)</w:t>
          </w:r>
          <w:r>
            <w:tab/>
          </w:r>
          <w:r>
            <w:t xml:space="preserve">115</w:t>
          </w:r>
        </w:p>
        <w:p>
          <w:pPr>
            <w:pStyle w:val="TOC2"/>
            <w:tabs>
              <w:tab w:val="right" w:leader="dot" w:pos="9630"/>
            </w:tabs>
            <w:rPr>
              <w:rStyle w:val="Hyperlink"/>
            </w:rPr>
          </w:pPr>
          <w:r>
            <w:t xml:space="preserve">G.13 Package Version (SCR-PM-13)</w:t>
          </w:r>
          <w:r>
            <w:tab/>
          </w:r>
          <w:r>
            <w:t xml:space="preserve">117</w:t>
          </w:r>
        </w:p>
        <w:p>
          <w:pPr>
            <w:pStyle w:val="TOC2"/>
            <w:tabs>
              <w:tab w:val="right" w:leader="dot" w:pos="9630"/>
            </w:tabs>
            <w:rPr>
              <w:rStyle w:val="Hyperlink"/>
            </w:rPr>
          </w:pPr>
          <w:r>
            <w:t xml:space="preserve">G.14 Validation Queue (SCR-PM-14)</w:t>
          </w:r>
          <w:r>
            <w:tab/>
          </w:r>
          <w:r>
            <w:t xml:space="preserve">120</w:t>
          </w:r>
        </w:p>
        <w:p>
          <w:pPr>
            <w:pStyle w:val="TOC2"/>
            <w:tabs>
              <w:tab w:val="right" w:leader="dot" w:pos="9630"/>
            </w:tabs>
            <w:rPr>
              <w:rStyle w:val="Hyperlink"/>
            </w:rPr>
          </w:pPr>
          <w:r>
            <w:t xml:space="preserve">G.15 Coverages &amp; Clauses (SCR-PM-15)</w:t>
          </w:r>
          <w:r>
            <w:tab/>
          </w:r>
          <w:r>
            <w:t xml:space="preserve">121</w:t>
          </w:r>
        </w:p>
        <w:p>
          <w:pPr>
            <w:pStyle w:val="TOC2"/>
            <w:tabs>
              <w:tab w:val="right" w:leader="dot" w:pos="9630"/>
            </w:tabs>
            <w:rPr>
              <w:rStyle w:val="Hyperlink"/>
            </w:rPr>
          </w:pPr>
          <w:r>
            <w:t xml:space="preserve">G.16 Incentive Criteria (SCR-PM-16)</w:t>
          </w:r>
          <w:r>
            <w:tab/>
          </w:r>
          <w:r>
            <w:t xml:space="preserve">122</w:t>
          </w:r>
        </w:p>
        <w:p>
          <w:pPr>
            <w:pStyle w:val="TOC2"/>
            <w:tabs>
              <w:tab w:val="right" w:leader="dot" w:pos="9630"/>
            </w:tabs>
            <w:rPr>
              <w:rStyle w:val="Hyperlink"/>
            </w:rPr>
          </w:pPr>
          <w:r>
            <w:t xml:space="preserve">G.17 Insurers (SCR-PM-17)</w:t>
          </w:r>
          <w:r>
            <w:tab/>
          </w:r>
          <w:r>
            <w:t xml:space="preserve">123</w:t>
          </w:r>
        </w:p>
        <w:p>
          <w:pPr>
            <w:pStyle w:val="TOC2"/>
            <w:tabs>
              <w:tab w:val="right" w:leader="dot" w:pos="9630"/>
            </w:tabs>
            <w:rPr>
              <w:rStyle w:val="Hyperlink"/>
            </w:rPr>
          </w:pPr>
          <w:r>
            <w:t xml:space="preserve">G.18 Insurer record (SCR-PM-18)</w:t>
          </w:r>
          <w:r>
            <w:tab/>
          </w:r>
          <w:r>
            <w:t xml:space="preserve">125</w:t>
          </w:r>
        </w:p>
        <w:p>
          <w:pPr>
            <w:pStyle w:val="TOC2"/>
            <w:tabs>
              <w:tab w:val="right" w:leader="dot" w:pos="9630"/>
            </w:tabs>
            <w:rPr>
              <w:rStyle w:val="Hyperlink"/>
            </w:rPr>
          </w:pPr>
          <w:r>
            <w:t xml:space="preserve">G.19 Rates &amp; Taxes (SCR-PM-19)</w:t>
          </w:r>
          <w:r>
            <w:tab/>
          </w:r>
          <w:r>
            <w:t xml:space="preserve">127</w:t>
          </w:r>
        </w:p>
        <w:p>
          <w:pPr>
            <w:pStyle w:val="TOC2"/>
            <w:tabs>
              <w:tab w:val="right" w:leader="dot" w:pos="9630"/>
            </w:tabs>
            <w:rPr>
              <w:rStyle w:val="Hyperlink"/>
            </w:rPr>
          </w:pPr>
          <w:r>
            <w:t xml:space="preserve">G.20 Sales Organisation (SCR-PM-20)</w:t>
          </w:r>
          <w:r>
            <w:tab/>
          </w:r>
          <w:r>
            <w:t xml:space="preserve">128</w:t>
          </w:r>
        </w:p>
        <w:p>
          <w:pPr>
            <w:pStyle w:val="TOC2"/>
            <w:tabs>
              <w:tab w:val="right" w:leader="dot" w:pos="9630"/>
            </w:tabs>
            <w:rPr>
              <w:rStyle w:val="Hyperlink"/>
            </w:rPr>
          </w:pPr>
          <w:r>
            <w:t xml:space="preserve">G.21 Premium Calculator (SCR-PM-21)</w:t>
          </w:r>
          <w:r>
            <w:tab/>
          </w:r>
          <w:r>
            <w:t xml:space="preserve">130</w:t>
          </w:r>
        </w:p>
        <w:p>
          <w:pPr>
            <w:pStyle w:val="TOC2"/>
            <w:tabs>
              <w:tab w:val="right" w:leader="dot" w:pos="9630"/>
            </w:tabs>
            <w:rPr>
              <w:rStyle w:val="Hyperlink"/>
            </w:rPr>
          </w:pPr>
          <w:r>
            <w:t xml:space="preserve">G.22 Quotation: package rate scheme and rate exception (SCR-PM-22)</w:t>
          </w:r>
          <w:r>
            <w:tab/>
          </w:r>
          <w:r>
            <w:t xml:space="preserve">133</w:t>
          </w:r>
        </w:p>
        <w:p>
          <w:pPr>
            <w:pStyle w:val="TOC2"/>
            <w:tabs>
              <w:tab w:val="right" w:leader="dot" w:pos="9630"/>
            </w:tabs>
            <w:rPr>
              <w:rStyle w:val="Hyperlink"/>
            </w:rPr>
          </w:pPr>
          <w:r>
            <w:t xml:space="preserve">G.23 Product Maintenance Dashboard (SCR-PM-23)</w:t>
          </w:r>
          <w:r>
            <w:tab/>
          </w:r>
          <w:r>
            <w:t xml:space="preserve">135</w:t>
          </w:r>
        </w:p>
        <w:p>
          <w:pPr>
            <w:pStyle w:val="TOC2"/>
            <w:tabs>
              <w:tab w:val="right" w:leader="dot" w:pos="9630"/>
            </w:tabs>
            <w:rPr>
              <w:rStyle w:val="Hyperlink"/>
            </w:rPr>
          </w:pPr>
          <w:r>
            <w:t xml:space="preserve">G.24 Deactivation Requests (SCR-PM-24)</w:t>
          </w:r>
          <w:r>
            <w:tab/>
          </w:r>
          <w:r>
            <w:t xml:space="preserve">137</w:t>
          </w:r>
        </w:p>
        <w:p>
          <w:pPr>
            <w:pStyle w:val="TOC2"/>
            <w:tabs>
              <w:tab w:val="right" w:leader="dot" w:pos="9630"/>
            </w:tabs>
            <w:rPr>
              <w:rStyle w:val="Hyperlink"/>
            </w:rPr>
          </w:pPr>
          <w:r>
            <w:t xml:space="preserve">G.25 Product Master Transfers (SCR-PM-25)</w:t>
          </w:r>
          <w:r>
            <w:tab/>
          </w:r>
          <w:r>
            <w:t xml:space="preserve">139</w:t>
          </w:r>
        </w:p>
        <w:p>
          <w:pPr>
            <w:pStyle w:val="TOC2"/>
            <w:tabs>
              <w:tab w:val="right" w:leader="dot" w:pos="9630"/>
            </w:tabs>
            <w:rPr>
              <w:rStyle w:val="Hyperlink"/>
            </w:rPr>
          </w:pPr>
          <w:r>
            <w:t xml:space="preserve">G.26 Placement Update Reports (SCR-PM-26)</w:t>
          </w:r>
          <w:r>
            <w:tab/>
          </w:r>
          <w:r>
            <w:t xml:space="preserve">140</w:t>
          </w:r>
        </w:p>
        <w:p>
          <w:pPr>
            <w:pStyle w:val="TOC2"/>
            <w:tabs>
              <w:tab w:val="right" w:leader="dot" w:pos="9630"/>
            </w:tabs>
            <w:rPr>
              <w:rStyle w:val="Hyperlink"/>
            </w:rPr>
          </w:pPr>
          <w:r>
            <w:t xml:space="preserve">G.27 Audit Logs (SCR-PM-27)</w:t>
          </w:r>
          <w:r>
            <w:tab/>
          </w:r>
          <w:r>
            <w:t xml:space="preserve">141</w:t>
          </w:r>
        </w:p>
        <w:p>
          <w:pPr>
            <w:pStyle w:val="TOC2"/>
            <w:tabs>
              <w:tab w:val="right" w:leader="dot" w:pos="9630"/>
            </w:tabs>
            <w:rPr>
              <w:rStyle w:val="Hyperlink"/>
            </w:rPr>
          </w:pPr>
          <w:r>
            <w:t xml:space="preserve">G.28 Proposal request: Comparative Table, proposal slips and client response (SCR-PM-28)</w:t>
          </w:r>
          <w:r>
            <w:tab/>
          </w:r>
          <w:r>
            <w:t xml:space="preserve">143</w:t>
          </w:r>
        </w:p>
        <w:p>
          <w:pPr>
            <w:pStyle w:val="TOC2"/>
            <w:tabs>
              <w:tab w:val="right" w:leader="dot" w:pos="9630"/>
            </w:tabs>
            <w:rPr>
              <w:rStyle w:val="Hyperlink"/>
            </w:rPr>
          </w:pPr>
          <w:r>
            <w:t xml:space="preserve">G.29 Package Request record: Routing &amp; Approvals tab (SCR-PM-29)</w:t>
          </w:r>
          <w:r>
            <w:tab/>
          </w:r>
          <w:r>
            <w:t xml:space="preserve">145</w:t>
          </w:r>
        </w:p>
        <w:p>
          <w:pPr>
            <w:pStyle w:val="TOC2"/>
            <w:tabs>
              <w:tab w:val="right" w:leader="dot" w:pos="9630"/>
            </w:tabs>
            <w:rPr>
              <w:rStyle w:val="Hyperlink"/>
            </w:rPr>
          </w:pPr>
          <w:r>
            <w:t xml:space="preserve">G.30 Navigation: menu by persona</w:t>
          </w:r>
          <w:r>
            <w:tab/>
          </w:r>
          <w:r>
            <w:t xml:space="preserve">148</w:t>
          </w:r>
        </w:p>
        <w:p>
          <w:pPr>
            <w:pStyle w:val="TOC1"/>
            <w:tabs>
              <w:tab w:val="right" w:leader="dot" w:pos="9630"/>
            </w:tabs>
            <w:rPr>
              <w:rStyle w:val="Hyperlink"/>
            </w:rPr>
          </w:pPr>
          <w:r>
            <w:t xml:space="preserve">Annex H – Messages and Validations</w:t>
          </w:r>
          <w:r>
            <w:tab/>
          </w:r>
          <w:r>
            <w:t xml:space="preserve">149</w:t>
          </w:r>
        </w:p>
        <w:p>
          <w:pPr>
            <w:pStyle w:val="TOC1"/>
            <w:tabs>
              <w:tab w:val="right" w:leader="dot" w:pos="9630"/>
            </w:tabs>
            <w:rPr>
              <w:rStyle w:val="Hyperlink"/>
            </w:rPr>
          </w:pPr>
          <w:r>
            <w:t xml:space="preserve">Annex I – Notifications and E-mails</w:t>
          </w:r>
          <w:r>
            <w:tab/>
          </w:r>
          <w:r>
            <w:t xml:space="preserve">163</w:t>
          </w:r>
        </w:p>
        <w:p>
          <w:pPr>
            <w:pStyle w:val="TOC1"/>
            <w:tabs>
              <w:tab w:val="right" w:leader="dot" w:pos="9630"/>
            </w:tabs>
            <w:rPr>
              <w:rStyle w:val="Hyperlink"/>
            </w:rPr>
          </w:pPr>
          <w:r>
            <w:t xml:space="preserve">Annex J – Business Rules and Configurable Parameters</w:t>
          </w:r>
          <w:r>
            <w:tab/>
          </w:r>
          <w:r>
            <w:t xml:space="preserve">165</w:t>
          </w:r>
        </w:p>
        <w:p>
          <w:pPr>
            <w:pStyle w:val="TOC2"/>
            <w:tabs>
              <w:tab w:val="right" w:leader="dot" w:pos="9630"/>
            </w:tabs>
            <w:rPr>
              <w:rStyle w:val="Hyperlink"/>
            </w:rPr>
          </w:pPr>
          <w:r>
            <w:t xml:space="preserve">J.1 Business rules</w:t>
          </w:r>
          <w:r>
            <w:tab/>
          </w:r>
          <w:r>
            <w:t xml:space="preserve">165</w:t>
          </w:r>
        </w:p>
        <w:p>
          <w:pPr>
            <w:pStyle w:val="TOC2"/>
            <w:tabs>
              <w:tab w:val="right" w:leader="dot" w:pos="9630"/>
            </w:tabs>
            <w:rPr>
              <w:rStyle w:val="Hyperlink"/>
            </w:rPr>
          </w:pPr>
          <w:r>
            <w:t xml:space="preserve">J.2 Configurable parameters</w:t>
          </w:r>
          <w:r>
            <w:tab/>
          </w:r>
          <w:r>
            <w:t xml:space="preserve">165</w:t>
          </w:r>
        </w:p>
        <w:p>
          <w:pPr>
            <w:pStyle w:val="TOC2"/>
            <w:tabs>
              <w:tab w:val="right" w:leader="dot" w:pos="9630"/>
            </w:tabs>
            <w:rPr>
              <w:rStyle w:val="Hyperlink"/>
            </w:rPr>
          </w:pPr>
          <w:r>
            <w:t xml:space="preserve">J.3 Lists of values</w:t>
          </w:r>
          <w:r>
            <w:tab/>
          </w:r>
          <w:r>
            <w:t xml:space="preserve">166</w:t>
          </w:r>
        </w:p>
        <w:p>
          <w:pPr>
            <w:pStyle w:val="TOC2"/>
            <w:tabs>
              <w:tab w:val="right" w:leader="dot" w:pos="9630"/>
            </w:tabs>
            <w:rPr>
              <w:rStyle w:val="Hyperlink"/>
            </w:rPr>
          </w:pPr>
          <w:r>
            <w:t xml:space="preserve">J.4 Workflow stages and service levels</w:t>
          </w:r>
          <w:r>
            <w:tab/>
          </w:r>
          <w:r>
            <w:t xml:space="preserve">166</w:t>
          </w:r>
        </w:p>
        <w:p>
          <w:pPr>
            <w:pStyle w:val="TOC2"/>
            <w:tabs>
              <w:tab w:val="right" w:leader="dot" w:pos="9630"/>
            </w:tabs>
            <w:rPr>
              <w:rStyle w:val="Hyperlink"/>
            </w:rPr>
          </w:pPr>
          <w:r>
            <w:t xml:space="preserve">J.5 Proposed role-to-action matrix</w:t>
          </w:r>
          <w:r>
            <w:tab/>
          </w:r>
          <w:r>
            <w:t xml:space="preserve">166</w:t>
          </w:r>
        </w:p>
        <w:p>
          <w:pPr>
            <w:pStyle w:val="TOC2"/>
            <w:tabs>
              <w:tab w:val="right" w:leader="dot" w:pos="9630"/>
            </w:tabs>
            <w:rPr>
              <w:rStyle w:val="Hyperlink"/>
            </w:rPr>
          </w:pPr>
          <w:r>
            <w:t xml:space="preserve">J.6 Masters maintained by the business</w:t>
          </w:r>
          <w:r>
            <w:tab/>
          </w:r>
          <w:r>
            <w:t xml:space="preserve">167</w:t>
          </w:r>
        </w:p>
        <w:p>
          <w:pPr>
            <w:pStyle w:val="TOC2"/>
            <w:tabs>
              <w:tab w:val="right" w:leader="dot" w:pos="9630"/>
            </w:tabs>
            <w:rPr>
              <w:rStyle w:val="Hyperlink"/>
            </w:rPr>
          </w:pPr>
          <w:r>
            <w:t xml:space="preserve">J.7 Settings for the points BDOI decides</w:t>
          </w:r>
          <w:r>
            <w:tab/>
          </w:r>
          <w:r>
            <w:t xml:space="preserve">167</w:t>
          </w:r>
        </w:p>
        <w:p>
          <w:pPr>
            <w:pStyle w:val="TOC1"/>
            <w:tabs>
              <w:tab w:val="right" w:leader="dot" w:pos="9630"/>
            </w:tabs>
            <w:rPr>
              <w:rStyle w:val="Hyperlink"/>
            </w:rPr>
          </w:pPr>
          <w:r>
            <w:t xml:space="preserve">Annex K – Process Walkthroughs</w:t>
          </w:r>
          <w:r>
            <w:tab/>
          </w:r>
          <w:r>
            <w:t xml:space="preserve">168</w:t>
          </w:r>
        </w:p>
        <w:p>
          <w:pPr>
            <w:pStyle w:val="TOC2"/>
            <w:tabs>
              <w:tab w:val="right" w:leader="dot" w:pos="9630"/>
            </w:tabs>
            <w:rPr>
              <w:rStyle w:val="Hyperlink"/>
            </w:rPr>
          </w:pPr>
          <w:r>
            <w:t xml:space="preserve">WT-A A new package from the request to its first New Business quotation</w:t>
          </w:r>
          <w:r>
            <w:tab/>
          </w:r>
          <w:r>
            <w:t xml:space="preserve">168</w:t>
          </w:r>
        </w:p>
        <w:p>
          <w:pPr>
            <w:pStyle w:val="TOC2"/>
            <w:tabs>
              <w:tab w:val="right" w:leader="dot" w:pos="9630"/>
            </w:tabs>
            <w:rPr>
              <w:rStyle w:val="Hyperlink"/>
            </w:rPr>
          </w:pPr>
          <w:r>
            <w:t xml:space="preserve">WT-B Returns and refusals, and the messages the user sees</w:t>
          </w:r>
          <w:r>
            <w:tab/>
          </w:r>
          <w:r>
            <w:t xml:space="preserve">170</w:t>
          </w:r>
        </w:p>
        <w:p>
          <w:pPr>
            <w:pStyle w:val="TOC1"/>
            <w:tabs>
              <w:tab w:val="right" w:leader="dot" w:pos="9630"/>
            </w:tabs>
            <w:rPr>
              <w:rStyle w:val="Hyperlink"/>
            </w:rPr>
          </w:pPr>
          <w:r>
            <w:t xml:space="preserve">Annex L – Requirements Traceability</w:t>
          </w:r>
          <w:r>
            <w:tab/>
          </w:r>
          <w:r>
            <w:t xml:space="preserve">171</w:t>
          </w:r>
        </w:p>
        <w:p>
          <w:pPr>
            <w:pStyle w:val="TOC2"/>
            <w:tabs>
              <w:tab w:val="right" w:leader="dot" w:pos="9630"/>
            </w:tabs>
            <w:rPr>
              <w:rStyle w:val="Hyperlink"/>
            </w:rPr>
          </w:pPr>
          <w:r>
            <w:t xml:space="preserve">L.1 BRD requirement to FRPM and test conditions</w:t>
          </w:r>
          <w:r>
            <w:tab/>
          </w:r>
          <w:r>
            <w:t xml:space="preserve">171</w:t>
          </w:r>
        </w:p>
        <w:p>
          <w:pPr>
            <w:pStyle w:val="TOC2"/>
            <w:tabs>
              <w:tab w:val="right" w:leader="dot" w:pos="9630"/>
            </w:tabs>
            <w:rPr>
              <w:rStyle w:val="Hyperlink"/>
            </w:rPr>
          </w:pPr>
          <w:r>
            <w:t xml:space="preserve">L.2 FRPM item to BRD IDs and test conditions</w:t>
          </w:r>
          <w:r>
            <w:tab/>
          </w:r>
          <w:r>
            <w:t xml:space="preserve">172</w:t>
          </w:r>
        </w:p>
        <w:p>
          <w:pPr>
            <w:pStyle w:val="TOC1"/>
            <w:tabs>
              <w:tab w:val="right" w:leader="dot" w:pos="9630"/>
            </w:tabs>
            <w:rPr>
              <w:rStyle w:val="Hyperlink"/>
            </w:rPr>
          </w:pPr>
          <w:r>
            <w:t xml:space="preserve">Annex M – Observations and Points for BDOI Decision</w:t>
          </w:r>
          <w:r>
            <w:tab/>
          </w:r>
          <w:r>
            <w:t xml:space="preserve">174</w:t>
          </w:r>
        </w:p>
        <w:p>
          <w:pPr>
            <w:pStyle w:val="TOC2"/>
            <w:tabs>
              <w:tab w:val="right" w:leader="dot" w:pos="9630"/>
            </w:tabs>
            <w:rPr>
              <w:rStyle w:val="Hyperlink"/>
            </w:rPr>
          </w:pPr>
          <w:r>
            <w:t xml:space="preserve">M.1 Points where the proposed behaviour differs from the original text of this FRS</w:t>
          </w:r>
          <w:r>
            <w:tab/>
          </w:r>
          <w:r>
            <w:t xml:space="preserve">174</w:t>
          </w:r>
        </w:p>
        <w:p>
          <w:pPr>
            <w:pStyle w:val="TOC2"/>
            <w:tabs>
              <w:tab w:val="right" w:leader="dot" w:pos="9630"/>
            </w:tabs>
            <w:rPr>
              <w:rStyle w:val="Hyperlink"/>
            </w:rPr>
          </w:pPr>
          <w:r>
            <w:t xml:space="preserve">M.2 BDOI's open item and changes to the Business Requirements Mapping</w:t>
          </w:r>
          <w:r>
            <w:tab/>
          </w:r>
          <w:r>
            <w:t xml:space="preserve">177</w:t>
          </w:r>
        </w:p>
        <w:p>
          <w:pPr>
            <w:pStyle w:val="TOC2"/>
            <w:tabs>
              <w:tab w:val="right" w:leader="dot" w:pos="9630"/>
            </w:tabs>
            <w:rPr>
              <w:rStyle w:val="Hyperlink"/>
            </w:rPr>
          </w:pPr>
          <w:r>
            <w:t xml:space="preserve">M.3 Slips noticed in BDOI's FRS (proposed corrections; the text is not changed)</w:t>
          </w:r>
          <w:r>
            <w:tab/>
          </w:r>
          <w:r>
            <w:t xml:space="preserve">181</w:t>
          </w:r>
        </w:p>
        <w:p>
          <w:pPr>
            <w:pStyle w:val="TOC2"/>
            <w:tabs>
              <w:tab w:val="right" w:leader="dot" w:pos="9630"/>
            </w:tabs>
            <w:rPr>
              <w:rStyle w:val="Hyperlink"/>
            </w:rPr>
          </w:pPr>
          <w:r>
            <w:t xml:space="preserve">M.4 Scope, added requirements and added annex rows</w:t>
          </w:r>
          <w:r>
            <w:tab/>
          </w:r>
          <w:r>
            <w:t xml:space="preserve">182</w:t>
          </w:r>
        </w:p>
        <w:p>
          <w:pPr>
            <w:pStyle w:val="TOC2"/>
            <w:tabs>
              <w:tab w:val="right" w:leader="dot" w:pos="9630"/>
            </w:tabs>
            <w:rPr>
              <w:rStyle w:val="Hyperlink"/>
            </w:rPr>
          </w:pPr>
          <w:r>
            <w:t xml:space="preserve">M.5 Observations of version 1.2</w:t>
          </w:r>
          <w:r>
            <w:tab/>
          </w:r>
          <w:r>
            <w:t xml:space="preserve">183</w:t>
          </w:r>
        </w:p>
        <w:p>
          <w:pPr>
            <w:pStyle w:val="TOC1"/>
            <w:tabs>
              <w:tab w:val="right" w:leader="dot" w:pos="9630"/>
            </w:tabs>
            <w:rPr>
              <w:rStyle w:val="Hyperlink"/>
            </w:rPr>
          </w:pPr>
          <w:r>
            <w:t xml:space="preserve">Annex N – Glossary</w:t>
          </w:r>
          <w:r>
            <w:tab/>
          </w:r>
          <w:r>
            <w:t xml:space="preserve">185</w:t>
          </w:r>
        </w:p>
        <w:p>
          <w:pPr>
            <w:pStyle w:val="TOC2"/>
            <w:tabs>
              <w:tab w:val="right" w:leader="dot" w:pos="9630"/>
            </w:tabs>
            <w:rPr>
              <w:rStyle w:val="Hyperlink"/>
            </w:rPr>
          </w:pPr>
          <w:r>
            <w:t xml:space="preserve">N.2 Terms added in version 1.2</w:t>
          </w:r>
          <w:r>
            <w:tab/>
          </w:r>
          <w:r>
            <w:t xml:space="preserve">185</w:t>
          </w:r>
        </w:p>
        <w:p>
          <w:pPr>
            <w:pStyle w:val="TOC1"/>
            <w:tabs>
              <w:tab w:val="right" w:leader="dot" w:pos="9630"/>
            </w:tabs>
            <w:rPr>
              <w:rStyle w:val="Hyperlink"/>
            </w:rPr>
          </w:pPr>
          <w:r>
            <w:t xml:space="preserve">Annex O – Workflow and Approvals</w:t>
          </w:r>
          <w:r>
            <w:tab/>
          </w:r>
          <w:r>
            <w:t xml:space="preserve">187</w:t>
          </w:r>
        </w:p>
        <w:p>
          <w:pPr>
            <w:pStyle w:val="TOC2"/>
            <w:tabs>
              <w:tab w:val="right" w:leader="dot" w:pos="9630"/>
            </w:tabs>
            <w:rPr>
              <w:rStyle w:val="Hyperlink"/>
            </w:rPr>
          </w:pPr>
          <w:r>
            <w:t xml:space="preserve">O.1 Who makes, checks and approves (picture)</w:t>
          </w:r>
          <w:r>
            <w:tab/>
          </w:r>
          <w:r>
            <w:t xml:space="preserve">187</w:t>
          </w:r>
        </w:p>
        <w:p>
          <w:pPr>
            <w:pStyle w:val="TOC2"/>
            <w:tabs>
              <w:tab w:val="right" w:leader="dot" w:pos="9630"/>
            </w:tabs>
            <w:rPr>
              <w:rStyle w:val="Hyperlink"/>
            </w:rPr>
          </w:pPr>
          <w:r>
            <w:t xml:space="preserve">O.2 Stages, approvals and service levels per process</w:t>
          </w:r>
          <w:r>
            <w:tab/>
          </w:r>
          <w:r>
            <w:t xml:space="preserve">188</w:t>
          </w:r>
        </w:p>
        <w:p>
          <w:pPr>
            <w:pStyle w:val="TOC2"/>
            <w:tabs>
              <w:tab w:val="right" w:leader="dot" w:pos="9630"/>
            </w:tabs>
            <w:rPr>
              <w:rStyle w:val="Hyperlink"/>
            </w:rPr>
          </w:pPr>
          <w:r>
            <w:t xml:space="preserve">O.3 Role-to-stage matrix (table)</w:t>
          </w:r>
          <w:r>
            <w:tab/>
          </w:r>
          <w:r>
            <w:t xml:space="preserve">191</w:t>
          </w:r>
        </w:p>
        <w:p>
          <w:pPr>
            <w:pStyle w:val="TOC2"/>
            <w:tabs>
              <w:tab w:val="right" w:leader="dot" w:pos="9630"/>
            </w:tabs>
            <w:rPr>
              <w:rStyle w:val="Hyperlink"/>
            </w:rPr>
          </w:pPr>
          <w:r>
            <w:t xml:space="preserve">O.4 Status names: BDOI's FRS and the screens</w:t>
          </w:r>
          <w:r>
            <w:tab/>
          </w:r>
          <w:r>
            <w:t xml:space="preserve">191</w:t>
          </w:r>
        </w:p>
        <w:p>
          <w:pPr>
            <w:pStyle w:val="TOC1"/>
            <w:tabs>
              <w:tab w:val="right" w:leader="dot" w:pos="9630"/>
            </w:tabs>
            <w:rPr>
              <w:rStyle w:val="Hyperlink"/>
            </w:rPr>
          </w:pPr>
          <w:r>
            <w:t xml:space="preserve">Annex P – E-mail and Notification Texts</w:t>
          </w:r>
          <w:r>
            <w:tab/>
          </w:r>
          <w:r>
            <w:t xml:space="preserve">193</w:t>
          </w:r>
        </w:p>
        <w:p>
          <w:pPr>
            <w:pStyle w:val="TOC2"/>
            <w:tabs>
              <w:tab w:val="right" w:leader="dot" w:pos="9630"/>
            </w:tabs>
            <w:rPr>
              <w:rStyle w:val="Hyperlink"/>
            </w:rPr>
          </w:pPr>
          <w:r>
            <w:t xml:space="preserve">P.1 Overview</w:t>
          </w:r>
          <w:r>
            <w:tab/>
          </w:r>
          <w:r>
            <w:t xml:space="preserve">193</w:t>
          </w:r>
        </w:p>
        <w:p>
          <w:pPr>
            <w:pStyle w:val="TOC2"/>
            <w:tabs>
              <w:tab w:val="right" w:leader="dot" w:pos="9630"/>
            </w:tabs>
            <w:rPr>
              <w:rStyle w:val="Hyperlink"/>
            </w:rPr>
          </w:pPr>
          <w:r>
            <w:t xml:space="preserve">P.2 The texts</w:t>
          </w:r>
          <w:r>
            <w:tab/>
          </w:r>
          <w:r>
            <w:t xml:space="preserve">194</w:t>
          </w:r>
        </w:p>
        <w:p>
          <w:pPr>
            <w:pStyle w:val="TOC1"/>
            <w:tabs>
              <w:tab w:val="right" w:leader="dot" w:pos="9630"/>
            </w:tabs>
            <w:rPr>
              <w:rStyle w:val="Hyperlink"/>
            </w:rPr>
          </w:pPr>
          <w:r>
            <w:t xml:space="preserve">Annex Q – Document Prints and Output Formats</w:t>
          </w:r>
          <w:r>
            <w:tab/>
          </w:r>
          <w:r>
            <w:t xml:space="preserve">201</w:t>
          </w:r>
        </w:p>
        <w:p>
          <w:pPr>
            <w:pStyle w:val="TOC2"/>
            <w:tabs>
              <w:tab w:val="right" w:leader="dot" w:pos="9630"/>
            </w:tabs>
            <w:rPr>
              <w:rStyle w:val="Hyperlink"/>
            </w:rPr>
          </w:pPr>
          <w:r>
            <w:t xml:space="preserve">Q.1 Overview</w:t>
          </w:r>
          <w:r>
            <w:tab/>
          </w:r>
          <w:r>
            <w:t xml:space="preserve">201</w:t>
          </w:r>
        </w:p>
        <w:p>
          <w:pPr>
            <w:pStyle w:val="TOC2"/>
            <w:tabs>
              <w:tab w:val="right" w:leader="dot" w:pos="9630"/>
            </w:tabs>
            <w:rPr>
              <w:rStyle w:val="Hyperlink"/>
            </w:rPr>
          </w:pPr>
          <w:r>
            <w:t xml:space="preserve">Q.2 The documents</w:t>
          </w:r>
          <w:r>
            <w:tab/>
          </w:r>
          <w:r>
            <w:t xml:space="preserve">201</w:t>
          </w:r>
        </w:p>
        <w:p>
          <w:pPr>
            <w:pStyle w:val="TOC1"/>
            <w:tabs>
              <w:tab w:val="right" w:leader="dot" w:pos="9630"/>
            </w:tabs>
            <w:rPr>
              <w:rStyle w:val="Hyperlink"/>
            </w:rPr>
          </w:pPr>
          <w:r>
            <w:t xml:space="preserve">Annex R – Reports and Schedules</w:t>
          </w:r>
          <w:r>
            <w:tab/>
          </w:r>
          <w:r>
            <w:t xml:space="preserve">211</w:t>
          </w:r>
        </w:p>
        <w:p>
          <w:pPr>
            <w:pStyle w:val="TOC2"/>
            <w:tabs>
              <w:tab w:val="right" w:leader="dot" w:pos="9630"/>
            </w:tabs>
            <w:rPr>
              <w:rStyle w:val="Hyperlink"/>
            </w:rPr>
          </w:pPr>
          <w:r>
            <w:t xml:space="preserve">R.1 Reports</w:t>
          </w:r>
          <w:r>
            <w:tab/>
          </w:r>
          <w:r>
            <w:t xml:space="preserve">211</w:t>
          </w:r>
        </w:p>
        <w:p>
          <w:pPr>
            <w:pStyle w:val="TOC2"/>
            <w:tabs>
              <w:tab w:val="right" w:leader="dot" w:pos="9630"/>
            </w:tabs>
            <w:rPr>
              <w:rStyle w:val="Hyperlink"/>
            </w:rPr>
          </w:pPr>
          <w:r>
            <w:t xml:space="preserve">R.2 Scheduled runs</w:t>
          </w:r>
          <w:r>
            <w:tab/>
          </w:r>
          <w:r>
            <w:t xml:space="preserve">211</w:t>
          </w:r>
        </w:p>
        <w:p>
          <w:pPr>
            <w:pStyle w:val="TOC1"/>
            <w:tabs>
              <w:tab w:val="right" w:leader="dot" w:pos="9630"/>
            </w:tabs>
            <w:rPr>
              <w:rStyle w:val="Hyperlink"/>
            </w:rPr>
          </w:pPr>
          <w:r>
            <w:t xml:space="preserve">Annex S – Integrations</w:t>
          </w:r>
          <w:r>
            <w:tab/>
          </w:r>
          <w:r>
            <w:t xml:space="preserve">213</w:t>
          </w:r>
        </w:p>
        <w:p>
          <w:pPr>
            <w:pStyle w:val="TOC1"/>
            <w:tabs>
              <w:tab w:val="right" w:leader="dot" w:pos="9630"/>
            </w:tabs>
            <w:rPr>
              <w:rStyle w:val="Hyperlink"/>
            </w:rPr>
          </w:pPr>
          <w:r>
            <w:t xml:space="preserve">Annex T – Non-functional Requirements</w:t>
          </w:r>
          <w:r>
            <w:tab/>
          </w:r>
          <w:r>
            <w:t xml:space="preserve">215</w:t>
          </w:r>
        </w:p>
        <w:p>
          <w:pPr>
            <w:pStyle w:val="TOC1"/>
            <w:tabs>
              <w:tab w:val="right" w:leader="dot" w:pos="9630"/>
            </w:tabs>
            <w:rPr>
              <w:rStyle w:val="Hyperlink"/>
            </w:rPr>
          </w:pPr>
          <w:r>
            <w:t xml:space="preserve">Annex U – Data Set-up and Migration at Go-live</w:t>
          </w:r>
          <w:r>
            <w:tab/>
          </w:r>
          <w:r>
            <w:t xml:space="preserve">217</w:t>
          </w:r>
        </w:p>
        <w:p>
          <w:pPr>
            <w:pStyle w:val="TOC1"/>
            <w:tabs>
              <w:tab w:val="right" w:leader="dot" w:pos="9630"/>
            </w:tabs>
            <w:rPr>
              <w:rStyle w:val="Hyperlink"/>
            </w:rPr>
          </w:pPr>
          <w:r>
            <w:t xml:space="preserve">Annex V – Assumptions, Dependencies and Open Questions</w:t>
          </w:r>
          <w:r>
            <w:tab/>
          </w:r>
          <w:r>
            <w:t xml:space="preserve">218</w:t>
          </w:r>
        </w:p>
        <w:p>
          <w:pPr>
            <w:pStyle w:val="TOC2"/>
            <w:tabs>
              <w:tab w:val="right" w:leader="dot" w:pos="9630"/>
            </w:tabs>
            <w:rPr>
              <w:rStyle w:val="Hyperlink"/>
            </w:rPr>
          </w:pPr>
          <w:r>
            <w:t xml:space="preserve">V.1 Assumptions</w:t>
          </w:r>
          <w:r>
            <w:tab/>
          </w:r>
          <w:r>
            <w:t xml:space="preserve">218</w:t>
          </w:r>
        </w:p>
        <w:p>
          <w:pPr>
            <w:pStyle w:val="TOC2"/>
            <w:tabs>
              <w:tab w:val="right" w:leader="dot" w:pos="9630"/>
            </w:tabs>
            <w:rPr>
              <w:rStyle w:val="Hyperlink"/>
            </w:rPr>
          </w:pPr>
          <w:r>
            <w:t xml:space="preserve">V.2 Dependencies</w:t>
          </w:r>
          <w:r>
            <w:tab/>
          </w:r>
          <w:r>
            <w:t xml:space="preserve">218</w:t>
          </w:r>
        </w:p>
        <w:p>
          <w:pPr>
            <w:pStyle w:val="TOC2"/>
            <w:tabs>
              <w:tab w:val="right" w:leader="dot" w:pos="9630"/>
            </w:tabs>
            <w:rPr>
              <w:rStyle w:val="Hyperlink"/>
            </w:rPr>
          </w:pPr>
          <w:r>
            <w:t xml:space="preserve">V.3 Open questions</w:t>
          </w:r>
          <w:r>
            <w:tab/>
          </w:r>
          <w:r>
            <w:t xml:space="preserve">219</w:t>
          </w:r>
        </w:p>
        <w:p>
          <w:pPr>
            <w:pStyle w:val="TOC2"/>
            <w:tabs>
              <w:tab w:val="right" w:leader="dot" w:pos="9630"/>
            </w:tabs>
            <w:rPr>
              <w:rStyle w:val="Hyperlink"/>
            </w:rPr>
          </w:pPr>
          <w:r>
            <w:t xml:space="preserve">V.4 Proposed rules to confirm</w:t>
          </w:r>
          <w:r>
            <w:tab/>
          </w:r>
          <w:r>
            <w:t xml:space="preserve">219</w:t>
          </w:r>
        </w:p>
        <w:p>
          <w:pPr>
            <w:pStyle w:val="TOC1"/>
            <w:tabs>
              <w:tab w:val="right" w:leader="dot" w:pos="9630"/>
            </w:tabs>
            <w:rPr>
              <w:rStyle w:val="Hyperlink"/>
            </w:rPr>
          </w:pPr>
          <w:r>
            <w:t xml:space="preserve">Annex W – Change Control after Sign-off</w:t>
          </w:r>
          <w:r>
            <w:tab/>
          </w:r>
          <w:r>
            <w:t xml:space="preserve">221</w:t>
          </w:r>
        </w:p>
        <w:p>
          <w:pPr>
            <w:pStyle w:val="TOC2"/>
            <w:tabs>
              <w:tab w:val="right" w:leader="dot" w:pos="9630"/>
            </w:tabs>
            <w:rPr>
              <w:rStyle w:val="Hyperlink"/>
            </w:rPr>
          </w:pPr>
          <w:r>
            <w:t xml:space="preserve">W.1 What signing freezes</w:t>
          </w:r>
          <w:r>
            <w:tab/>
          </w:r>
          <w:r>
            <w:t xml:space="preserve">221</w:t>
          </w:r>
        </w:p>
        <w:p>
          <w:pPr>
            <w:pStyle w:val="TOC2"/>
            <w:tabs>
              <w:tab w:val="right" w:leader="dot" w:pos="9630"/>
            </w:tabs>
            <w:rPr>
              <w:rStyle w:val="Hyperlink"/>
            </w:rPr>
          </w:pPr>
          <w:r>
            <w:t xml:space="preserve">W.2 How a change is raised, assessed and approved</w:t>
          </w:r>
          <w:r>
            <w:tab/>
          </w:r>
          <w:r>
            <w:t xml:space="preserve">221</w:t>
          </w:r>
        </w:p>
        <w:p>
          <w:pPr>
            <w:pStyle w:val="TOC1"/>
            <w:tabs>
              <w:tab w:val="right" w:leader="dot" w:pos="9630"/>
            </w:tabs>
            <w:rPr>
              <w:rStyle w:val="Hyperlink"/>
            </w:rPr>
          </w:pPr>
          <w:r>
            <w:t xml:space="preserve">Annex X – Business Unit Review Checklist</w:t>
          </w:r>
          <w:r>
            <w:tab/>
          </w:r>
          <w:r>
            <w:t xml:space="preserve">222</w:t>
          </w:r>
        </w:p>
        <w:p>
          <w:pPr>
            <w:pStyle w:val="TOC1"/>
            <w:tabs>
              <w:tab w:val="right" w:leader="dot" w:pos="9630"/>
            </w:tabs>
            <w:rPr>
              <w:rStyle w:val="Hyperlink"/>
            </w:rPr>
          </w:pPr>
          <w:r>
            <w:t xml:space="preserve">Annex Y – Points beyond the BRD and Change Requests</w:t>
          </w:r>
          <w:r>
            <w:tab/>
          </w:r>
          <w:r>
            <w:t xml:space="preserve">223</w:t>
          </w:r>
        </w:p>
        <w:p>
          <w:pPr>
            <w:pStyle w:val="TOC2"/>
            <w:tabs>
              <w:tab w:val="right" w:leader="dot" w:pos="9630"/>
            </w:tabs>
            <w:rPr>
              <w:rStyle w:val="Hyperlink"/>
            </w:rPr>
          </w:pPr>
          <w:r>
            <w:t xml:space="preserve">Y.1 How the points were classified</w:t>
          </w:r>
          <w:r>
            <w:tab/>
          </w:r>
          <w:r>
            <w:t xml:space="preserve">223</w:t>
          </w:r>
        </w:p>
        <w:p>
          <w:pPr>
            <w:pStyle w:val="TOC2"/>
            <w:tabs>
              <w:tab w:val="right" w:leader="dot" w:pos="9630"/>
            </w:tabs>
            <w:rPr>
              <w:rStyle w:val="Hyperlink"/>
            </w:rPr>
          </w:pPr>
          <w:r>
            <w:t xml:space="preserve">Y.2 Change requests (orange)</w:t>
          </w:r>
          <w:r>
            <w:tab/>
          </w:r>
          <w:r>
            <w:t xml:space="preserve">223</w:t>
          </w:r>
        </w:p>
        <w:p>
          <w:pPr>
            <w:pStyle w:val="TOC2"/>
            <w:tabs>
              <w:tab w:val="right" w:leader="dot" w:pos="9630"/>
            </w:tabs>
            <w:rPr>
              <w:rStyle w:val="Hyperlink"/>
            </w:rPr>
          </w:pPr>
          <w:r>
            <w:t xml:space="preserve">Y.3 Points beyond the BRD available in BIBS (green)</w:t>
          </w:r>
          <w:r>
            <w:tab/>
          </w:r>
          <w:r>
            <w:t xml:space="preserve">223</w:t>
          </w:r>
        </w:p>
        <w:p>
          <w:pPr>
            <w:pStyle w:val="TOC2"/>
            <w:tabs>
              <w:tab w:val="right" w:leader="dot" w:pos="9630"/>
            </w:tabs>
            <w:rPr>
              <w:rStyle w:val="Hyperlink"/>
            </w:rPr>
          </w:pPr>
          <w:r>
            <w:t xml:space="preserve">Y.4 Check of the BRD lines outside the requirement table</w:t>
          </w:r>
          <w:r>
            <w:tab/>
          </w:r>
          <w:r>
            <w:t xml:space="preserve">224</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rPr>
                <w:rFonts w:ascii="Arial" w:hAnsi="Arial" w:cs="Arial"/>
              </w:rPr>
            </w:pPr>
          </w:p>
        </w:tc>
        <w:tc>
          <w:tcPr>
            <w:tcW w:w="2733" w:type="dxa"/>
          </w:tcPr>
          <w:p w:rsidRPr="00BB7915" w:rsidR="002F3073" w:rsidP="00301633" w:rsidRDefault="002F3073" w14:paraId="47A4B64F" w14:textId="77777777">
            <w:pPr>
              <w:keepNext/>
              <w:jc w:val="center"/>
              <w:rPr>
                <w:rFonts w:ascii="Arial" w:hAnsi="Arial" w:cs="Arial"/>
              </w:rPr>
            </w:pPr>
          </w:p>
        </w:tc>
      </w:tr>
      <w:tr>
        <w:trPr>
          <w:cantSplit/>
          <w:trHeight w:val="169"/>
          <w:jc w:val="center"/>
        </w:trPr>
        <w:tc>
          <w:tcPr>
            <w:tcW w:w="1896" w:type="dxa"/>
          </w:tcPr>
          <w:p>
            <w:pPr>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jc w:val="center"/>
              <w:rPr>
                <w:rFonts w:ascii="Arial" w:hAnsi="Arial" w:cs="Arial"/>
                <w:color w:val="000000"/>
                <w:sz w:val="21"/>
                <w:szCs w:val="21"/>
              </w:rPr>
            </w:pPr>
            <w:r>
              <w:rPr>
                <w:rFonts w:ascii="Arial" w:hAnsi="Arial" w:cs="Arial"/>
                <w:sz w:val="18"/>
                <w:szCs w:val="18"/>
              </w:rPr>
              <w:t xml:space="preserve">1.3</w:t>
            </w:r>
          </w:p>
        </w:tc>
        <w:tc>
          <w:tcPr>
            <w:tcW w:w="4950" w:type="dxa"/>
          </w:tcPr>
          <w:p>
            <w:pPr>
              <w:rPr>
                <w:rFonts w:ascii="Arial" w:hAnsi="Arial" w:cs="Arial"/>
              </w:rPr>
            </w:pPr>
            <w:r>
              <w:rPr>
                <w:rFonts w:ascii="Arial" w:hAnsi="Arial" w:cs="Arial"/>
                <w:sz w:val="18"/>
                <w:szCs w:val="18"/>
              </w:rPr>
              <w:t xml:space="preserve">Simplified and end-to-end swimlane process flows; colour coding of the points not in the BRD (green: available in BIBS; orange: change request); Annex Y with the change requests and their effort, the points beyond the BRD available in BIBS and the check of every BRD line; BRD non-functional lines and programme NFRs 10.07 and 4.03 added to Annex T</w:t>
            </w:r>
          </w:p>
        </w:tc>
        <w:tc>
          <w:tcPr>
            <w:tcW w:w="2733" w:type="dxa"/>
          </w:tcPr>
          <w:p>
            <w:pPr>
              <w:jc w:val="center"/>
              <w:rPr>
                <w:rFonts w:ascii="Arial" w:hAnsi="Arial" w:cs="Arial"/>
              </w:rPr>
            </w:pPr>
            <w:r>
              <w:rPr>
                <w:rFonts w:ascii="Arial" w:hAnsi="Arial" w:cs="Arial"/>
                <w:sz w:val="18"/>
                <w:szCs w:val="18"/>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BIBS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16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16</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21</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keepNext/>
              <w:spacing w:after="0"/>
              <w:rPr>
                <w:rFonts w:ascii="Calibri" w:hAnsi="Calibri" w:cs="Calibri"/>
                <w:sz w:val="17"/>
                <w:szCs w:val="17"/>
              </w:rPr>
            </w:pPr>
            <w:r>
              <w:rPr>
                <w:rFonts w:ascii="Calibri" w:hAnsi="Calibri" w:cs="Calibri"/>
                <w:sz w:val="17"/>
                <w:szCs w:val="17"/>
              </w:rPr>
              <w:t xml:space="preserve">78</w:t>
            </w:r>
          </w:p>
        </w:tc>
        <w:tc>
          <w:tcPr>
            <w:tcW w:w="3024" w:type="dxa"/>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keepNext/>
              <w:spacing w:after="0"/>
              <w:rPr>
                <w:rFonts w:ascii="Calibri" w:hAnsi="Calibri" w:cs="Calibri"/>
                <w:sz w:val="17"/>
                <w:szCs w:val="17"/>
              </w:rPr>
            </w:pPr>
            <w:r>
              <w:rPr>
                <w:rFonts w:ascii="Calibri" w:hAnsi="Calibri" w:cs="Calibri"/>
                <w:sz w:val="17"/>
                <w:szCs w:val="17"/>
              </w:rPr>
              <w:t xml:space="preserve">472</w:t>
            </w:r>
          </w:p>
        </w:tc>
        <w:tc>
          <w:tcPr>
            <w:tcW w:w="3024" w:type="dxa"/>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28</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8</w:t>
            </w:r>
          </w:p>
        </w:tc>
        <w:tc>
          <w:tcPr>
            <w:tcW w:w="3384" w:type="dxa"/>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9</w:t>
            </w:r>
          </w:p>
        </w:tc>
        <w:tc>
          <w:tcPr>
            <w:tcW w:w="3384" w:type="dxa"/>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Colour</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Cost</w:t>
            </w:r>
          </w:p>
        </w:tc>
      </w:tr>
      <w:tr>
        <w:trPr>
          <w:cantSplit/>
        </w:trPr>
        <w:tc>
          <w:tcPr>
            <w:tcW w:w="1728" w:type="dxa"/>
          </w:tcPr>
          <w:p>
            <w:pPr>
              <w:keepNext/>
              <w:spacing w:after="0"/>
              <w:rPr>
                <w:rFonts w:ascii="Calibri" w:hAnsi="Calibri" w:cs="Calibri"/>
                <w:sz w:val="17"/>
                <w:szCs w:val="17"/>
              </w:rPr>
            </w:pPr>
            <w:r>
              <w:rPr>
                <w:rFonts w:ascii="Calibri" w:hAnsi="Calibri" w:cs="Calibri"/>
                <w:sz w:val="17"/>
                <w:szCs w:val="17"/>
              </w:rPr>
              <w:t xml:space="preserve">Black text</w:t>
            </w:r>
          </w:p>
        </w:tc>
        <w:tc>
          <w:tcPr>
            <w:tcW w:w="6192" w:type="dxa"/>
          </w:tcPr>
          <w:p>
            <w:pPr>
              <w:keepNext/>
              <w:spacing w:after="0"/>
              <w:rPr>
                <w:rFonts w:ascii="Calibri" w:hAnsi="Calibri" w:cs="Calibri"/>
                <w:sz w:val="17"/>
                <w:szCs w:val="17"/>
              </w:rPr>
            </w:pPr>
            <w:r>
              <w:rPr>
                <w:rFonts w:ascii="Calibri" w:hAnsi="Calibri" w:cs="Calibri"/>
                <w:sz w:val="17"/>
                <w:szCs w:val="17"/>
              </w:rPr>
              <w:t xml:space="preserve">A BRD requirement, BDOI's own FRS text, or the detail needed to meet a BRD requirement.</w:t>
            </w:r>
          </w:p>
        </w:tc>
        <w:tc>
          <w:tcPr>
            <w:tcW w:w="2015" w:type="dxa"/>
          </w:tcPr>
          <w:p>
            <w:pPr>
              <w:keepNext/>
              <w:spacing w:after="0"/>
              <w:rPr>
                <w:rFonts w:ascii="Calibri" w:hAnsi="Calibri" w:cs="Calibri"/>
                <w:sz w:val="17"/>
                <w:szCs w:val="17"/>
              </w:rPr>
            </w:pPr>
            <w:r>
              <w:rPr>
                <w:rFonts w:ascii="Calibri" w:hAnsi="Calibri" w:cs="Calibri"/>
                <w:sz w:val="17"/>
                <w:szCs w:val="17"/>
              </w:rPr>
              <w:t xml:space="preserve">In scope</w:t>
            </w:r>
          </w:p>
        </w:tc>
      </w:tr>
      <w:tr>
        <w:trPr>
          <w:cantSplit/>
        </w:trPr>
        <w:tc>
          <w:tcPr>
            <w:tcW w:w="1728" w:type="dxa"/>
          </w:tcPr>
          <w:p>
            <w:pPr>
              <w:keepNext/>
              <w:spacing w:after="0"/>
              <w:rPr>
                <w:rFonts w:ascii="Calibri" w:hAnsi="Calibri" w:cs="Calibri"/>
                <w:sz w:val="17"/>
                <w:szCs w:val="17"/>
              </w:rPr>
            </w:pPr>
            <w:r>
              <w:rPr>
                <w:rFonts w:ascii="Calibri" w:hAnsi="Calibri" w:cs="Calibri"/>
                <w:b/>
                <w:color w:val="2E7D32"/>
                <w:sz w:val="17"/>
                <w:szCs w:val="17"/>
              </w:rPr>
              <w:t xml:space="preserve">Green text</w:t>
            </w:r>
          </w:p>
        </w:tc>
        <w:tc>
          <w:tcPr>
            <w:tcW w:w="6192" w:type="dxa"/>
          </w:tcPr>
          <w:p>
            <w:pPr>
              <w:keepNext/>
              <w:spacing w:after="0"/>
              <w:rPr>
                <w:rFonts w:ascii="Calibri" w:hAnsi="Calibri" w:cs="Calibri"/>
                <w:sz w:val="17"/>
                <w:szCs w:val="17"/>
              </w:rPr>
            </w:pPr>
            <w:r>
              <w:rPr>
                <w:rFonts w:ascii="Calibri" w:hAnsi="Calibri" w:cs="Calibri"/>
                <w:sz w:val="17"/>
                <w:szCs w:val="17"/>
              </w:rPr>
              <w:t xml:space="preserve">Not in the BRD, and already available in BIBS (out of the box). No development needed; the Business Unit may keep or drop it.</w:t>
            </w:r>
          </w:p>
        </w:tc>
        <w:tc>
          <w:tcPr>
            <w:tcW w:w="2015" w:type="dxa"/>
          </w:tcPr>
          <w:p>
            <w:pPr>
              <w:keepNext/>
              <w:spacing w:after="0"/>
              <w:rPr>
                <w:rFonts w:ascii="Calibri" w:hAnsi="Calibri" w:cs="Calibri"/>
                <w:sz w:val="17"/>
                <w:szCs w:val="17"/>
              </w:rPr>
            </w:pPr>
            <w:r>
              <w:rPr>
                <w:rFonts w:ascii="Calibri" w:hAnsi="Calibri" w:cs="Calibri"/>
                <w:sz w:val="17"/>
                <w:szCs w:val="17"/>
              </w:rPr>
              <w:t xml:space="preserve">No cost; listed in Annex Y.3</w:t>
            </w:r>
          </w:p>
        </w:tc>
      </w:tr>
      <w:tr>
        <w:trPr>
          <w:cantSplit/>
        </w:trPr>
        <w:tc>
          <w:tcPr>
            <w:tcW w:w="1728" w:type="dxa"/>
          </w:tcPr>
          <w:p>
            <w:pPr>
              <w:spacing w:after="0"/>
              <w:rPr>
                <w:rFonts w:ascii="Calibri" w:hAnsi="Calibri" w:cs="Calibri"/>
                <w:sz w:val="17"/>
                <w:szCs w:val="17"/>
              </w:rPr>
            </w:pPr>
            <w:r>
              <w:rPr>
                <w:rFonts w:ascii="Calibri" w:hAnsi="Calibri" w:cs="Calibri"/>
                <w:b/>
                <w:color w:val="E65100"/>
                <w:sz w:val="17"/>
                <w:szCs w:val="17"/>
              </w:rPr>
              <w:t xml:space="preserve">Orange text</w:t>
            </w:r>
          </w:p>
        </w:tc>
        <w:tc>
          <w:tcPr>
            <w:tcW w:w="6192" w:type="dxa"/>
          </w:tcPr>
          <w:p>
            <w:pPr>
              <w:spacing w:after="0"/>
              <w:rPr>
                <w:rFonts w:ascii="Calibri" w:hAnsi="Calibri" w:cs="Calibri"/>
                <w:sz w:val="17"/>
                <w:szCs w:val="17"/>
              </w:rPr>
            </w:pPr>
            <w:r>
              <w:rPr>
                <w:rFonts w:ascii="Calibri" w:hAnsi="Calibri" w:cs="Calibri"/>
                <w:sz w:val="17"/>
                <w:szCs w:val="17"/>
              </w:rPr>
              <w:t xml:space="preserve">Not in the BRD and not yet available in BIBS: a change request (CR-PM-1nn). It is delivered only if the Business Unit approves it.</w:t>
            </w:r>
          </w:p>
        </w:tc>
        <w:tc>
          <w:tcPr>
            <w:tcW w:w="2015" w:type="dxa"/>
          </w:tcPr>
          <w:p>
            <w:pPr>
              <w:spacing w:after="0"/>
              <w:rPr>
                <w:rFonts w:ascii="Calibri" w:hAnsi="Calibri" w:cs="Calibri"/>
                <w:sz w:val="17"/>
                <w:szCs w:val="17"/>
              </w:rPr>
            </w:pPr>
            <w:r>
              <w:rPr>
                <w:rFonts w:ascii="Calibri" w:hAnsi="Calibri" w:cs="Calibri"/>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5 change requests (30 man-days in all) and 8 points available in BIBS beyond the BRD; every line of the BRD is covered (Annex Y.4).</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color w:val="2E7D32"/>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color w:val="2E7D32"/>
              </w:rPr>
              <w:t xml:space="preserve">Advisories drafted and not yet sent</w:t>
            </w:r>
          </w:p>
          <w:p>
            <w:pPr>
              <w:pStyle w:val="ListParagraph"/>
              <w:numPr>
                <w:ilvl w:val="1"/>
                <w:numId w:val="2"/>
              </w:numPr>
              <w:rPr>
                <w:rFonts w:ascii="Arial" w:hAnsi="Arial" w:cs="Arial"/>
              </w:rPr>
            </w:pPr>
            <w:r>
              <w:rPr>
                <w:rFonts w:ascii="Arial" w:hAnsi="Arial" w:cs="Arial"/>
                <w:color w:val="2E7D32"/>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color w:val="E65100"/>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color w:val="2E7D32"/>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color w:val="2E7D32"/>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color w:val="2E7D32"/>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color w:val="2E7D32"/>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pPr>
        <w:pStyle w:val="Heading1"/>
        <w:keepNext/>
        <w:spacing w:line="259" w:lineRule="auto"/>
      </w:pPr>
      <w:r>
        <w:rPr>
          <w:rFonts w:ascii="Arial" w:hAnsi="Arial" w:cs="Arial"/>
        </w:rPr>
        <w:t xml:space="preserve">End-to-End Process Flow (all actors and systems)</w:t>
      </w:r>
    </w:p>
    <w:p>
      <w:pPr>
        <w:keepNext/>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pageBreakBefore/>
        <w:spacing w:line="259" w:lineRule="auto"/>
      </w:pPr>
      <w:r>
        <w:rPr>
          <w:rFonts w:ascii="Arial" w:hAnsi="Arial" w:cs="Arial"/>
        </w:rPr>
        <w:t xml:space="preserve">Product Master Maintenance Process Flow (Maker-Checker)</w:t>
      </w:r>
    </w:p>
    <w:p>
      <w:pPr>
        <w:keepNext/>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package version</w:t>
      </w:r>
    </w:p>
    <w:p>
      <w:pPr>
        <w:keepNext/>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rate exception</w:t>
      </w:r>
    </w:p>
    <w:p>
      <w:pPr>
        <w:keepNext/>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keepNext/>
              <w:spacing w:after="0"/>
              <w:rPr>
                <w:rFonts w:ascii="Calibri" w:hAnsi="Calibri" w:cs="Calibri"/>
                <w:sz w:val="16"/>
                <w:szCs w:val="16"/>
              </w:rPr>
            </w:pPr>
            <w:r>
              <w:rPr>
                <w:rFonts w:ascii="Calibri" w:hAnsi="Calibri" w:cs="Calibri"/>
                <w:sz w:val="16"/>
                <w:szCs w:val="16"/>
              </w:rPr>
              <w:t xml:space="preserve">C23</w:t>
            </w:r>
          </w:p>
        </w:tc>
        <w:tc>
          <w:tcPr>
            <w:tcW w:w="1421" w:type="dxa"/>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keepNext/>
              <w:spacing w:after="0"/>
              <w:rPr>
                <w:rFonts w:ascii="Calibri" w:hAnsi="Calibri" w:cs="Calibri"/>
                <w:sz w:val="16"/>
                <w:szCs w:val="16"/>
              </w:rPr>
            </w:pPr>
            <w:r>
              <w:rPr>
                <w:rFonts w:ascii="Calibri" w:hAnsi="Calibri" w:cs="Calibri"/>
                <w:sz w:val="16"/>
                <w:szCs w:val="16"/>
              </w:rPr>
              <w:t xml:space="preserve">-</w:t>
            </w:r>
          </w:p>
        </w:tc>
        <w:tc>
          <w:tcPr>
            <w:tcW w:w="1421" w:type="dxa"/>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color w:val="E65100"/>
                <w:sz w:val="14"/>
                <w:szCs w:val="14"/>
              </w:rPr>
              <w:t xml:space="preserve">M-75</w:t>
            </w:r>
          </w:p>
        </w:tc>
        <w:tc>
          <w:tcPr>
            <w:tcW w:w="720" w:type="dxa"/>
          </w:tcPr>
          <w:p>
            <w:pPr>
              <w:spacing w:after="0"/>
              <w:rPr>
                <w:rFonts w:ascii="Calibri" w:hAnsi="Calibri" w:cs="Calibri"/>
                <w:sz w:val="14"/>
                <w:szCs w:val="14"/>
              </w:rPr>
            </w:pPr>
            <w:r>
              <w:rPr>
                <w:rFonts w:ascii="Calibri" w:hAnsi="Calibri" w:cs="Calibri"/>
                <w:color w:val="E65100"/>
                <w:sz w:val="14"/>
                <w:szCs w:val="14"/>
              </w:rPr>
              <w:t xml:space="preserve">FRPM.021.01</w:t>
            </w:r>
          </w:p>
        </w:tc>
        <w:tc>
          <w:tcPr>
            <w:tcW w:w="1368" w:type="dxa"/>
          </w:tcPr>
          <w:p>
            <w:pPr>
              <w:spacing w:after="0"/>
              <w:rPr>
                <w:rFonts w:ascii="Calibri" w:hAnsi="Calibri" w:cs="Calibri"/>
                <w:sz w:val="14"/>
                <w:szCs w:val="14"/>
              </w:rPr>
            </w:pPr>
            <w:r>
              <w:rPr>
                <w:rFonts w:ascii="Calibri" w:hAnsi="Calibri" w:cs="Calibri"/>
                <w:color w:val="E65100"/>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color w:val="E65100"/>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color w:val="E65100"/>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color w:val="E65100"/>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color w:val="E65100"/>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color w:val="E65100"/>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color w:val="E65100"/>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M-77</w:t>
            </w:r>
          </w:p>
        </w:tc>
        <w:tc>
          <w:tcPr>
            <w:tcW w:w="720" w:type="dxa"/>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NFR</w:t>
            </w:r>
          </w:p>
        </w:tc>
        <w:tc>
          <w:tcPr>
            <w:tcW w:w="7776" w:type="dxa"/>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DEV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keepNext/>
              <w:spacing w:after="0"/>
              <w:rPr>
                <w:rFonts w:ascii="Calibri" w:hAnsi="Calibri" w:cs="Calibri"/>
                <w:sz w:val="15"/>
                <w:szCs w:val="15"/>
              </w:rPr>
            </w:pPr>
            <w:r>
              <w:rPr>
                <w:rFonts w:ascii="Calibri" w:hAnsi="Calibri" w:cs="Calibri"/>
                <w:sz w:val="15"/>
                <w:szCs w:val="15"/>
              </w:rPr>
              <w:t xml:space="preserve">MBS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NT-13</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NT-14</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President</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NT-16</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FRPM.006.01, FRPM.012.01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tcPr>
          <w:p>
            <w:pPr>
              <w:keepNext/>
              <w:spacing w:after="0"/>
              <w:rPr>
                <w:rFonts w:ascii="Calibri" w:hAnsi="Calibri" w:cs="Calibri"/>
                <w:sz w:val="15"/>
                <w:szCs w:val="15"/>
              </w:rPr>
            </w:pPr>
            <w:r>
              <w:rPr>
                <w:rFonts w:ascii="Calibri" w:hAnsi="Calibri" w:cs="Calibri"/>
                <w:sz w:val="15"/>
                <w:szCs w:val="15"/>
              </w:rPr>
              <w:t xml:space="preserve">TSU</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color w:val="E65100"/>
                <w:sz w:val="16"/>
                <w:szCs w:val="16"/>
              </w:rPr>
              <w:t xml:space="preserve">T-15</w:t>
            </w:r>
          </w:p>
        </w:tc>
        <w:tc>
          <w:tcPr>
            <w:tcW w:w="1440" w:type="dxa"/>
          </w:tcPr>
          <w:p>
            <w:pPr>
              <w:spacing w:after="0"/>
              <w:rPr>
                <w:rFonts w:ascii="Calibri" w:hAnsi="Calibri" w:cs="Calibri"/>
                <w:sz w:val="16"/>
                <w:szCs w:val="16"/>
              </w:rPr>
            </w:pPr>
            <w:r>
              <w:rPr>
                <w:rFonts w:ascii="Calibri" w:hAnsi="Calibri" w:cs="Calibri"/>
                <w:color w:val="E65100"/>
                <w:sz w:val="16"/>
                <w:szCs w:val="16"/>
              </w:rPr>
              <w:t xml:space="preserve">Accessibility</w:t>
            </w:r>
          </w:p>
        </w:tc>
        <w:tc>
          <w:tcPr>
            <w:tcW w:w="3311" w:type="dxa"/>
          </w:tcPr>
          <w:p>
            <w:pPr>
              <w:spacing w:after="0"/>
              <w:rPr>
                <w:rFonts w:ascii="Calibri" w:hAnsi="Calibri" w:cs="Calibri"/>
                <w:sz w:val="16"/>
                <w:szCs w:val="16"/>
              </w:rPr>
            </w:pPr>
            <w:r>
              <w:rPr>
                <w:rFonts w:ascii="Calibri" w:hAnsi="Calibri" w:cs="Calibri"/>
                <w:color w:val="E65100"/>
                <w:sz w:val="16"/>
                <w:szCs w:val="16"/>
              </w:rPr>
              <w:t xml:space="preserve">Every screen</w:t>
            </w:r>
          </w:p>
        </w:tc>
        <w:tc>
          <w:tcPr>
            <w:tcW w:w="3744" w:type="dxa"/>
          </w:tcPr>
          <w:p>
            <w:pPr>
              <w:spacing w:after="0"/>
              <w:rPr>
                <w:rFonts w:ascii="Calibri" w:hAnsi="Calibri" w:cs="Calibri"/>
                <w:sz w:val="16"/>
                <w:szCs w:val="16"/>
              </w:rPr>
            </w:pPr>
            <w:r>
              <w:rPr>
                <w:rFonts w:ascii="Calibri" w:hAnsi="Calibri" w:cs="Calibri"/>
                <w:color w:val="E65100"/>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color w:val="E65100"/>
                <w:sz w:val="16"/>
                <w:szCs w:val="16"/>
              </w:rPr>
              <w:t xml:space="preserve">BRD (all users)</w:t>
            </w:r>
          </w:p>
        </w:tc>
        <w:tc>
          <w:tcPr>
            <w:tcW w:w="1655" w:type="dxa"/>
          </w:tcPr>
          <w:p>
            <w:pPr>
              <w:spacing w:after="0"/>
              <w:rPr>
                <w:rFonts w:ascii="Calibri" w:hAnsi="Calibri" w:cs="Calibri"/>
                <w:sz w:val="16"/>
                <w:szCs w:val="16"/>
              </w:rPr>
            </w:pPr>
            <w:r>
              <w:rPr>
                <w:rFonts w:ascii="Calibri" w:hAnsi="Calibri" w:cs="Calibri"/>
                <w:color w:val="E65100"/>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color w:val="E65100"/>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T-18</w:t>
            </w:r>
          </w:p>
        </w:tc>
        <w:tc>
          <w:tcPr>
            <w:tcW w:w="1440" w:type="dxa"/>
          </w:tcPr>
          <w:p>
            <w:pPr>
              <w:spacing w:after="0"/>
              <w:rPr>
                <w:rFonts w:ascii="Calibri" w:hAnsi="Calibri" w:cs="Calibri"/>
                <w:sz w:val="16"/>
                <w:szCs w:val="16"/>
              </w:rPr>
            </w:pPr>
            <w:r>
              <w:rPr>
                <w:rFonts w:ascii="Calibri" w:hAnsi="Calibri" w:cs="Calibri"/>
                <w:sz w:val="16"/>
                <w:szCs w:val="16"/>
              </w:rPr>
              <w:t xml:space="preserve">Maintenance</w:t>
            </w:r>
          </w:p>
        </w:tc>
        <w:tc>
          <w:tcPr>
            <w:tcW w:w="3311" w:type="dxa"/>
          </w:tcPr>
          <w:p>
            <w:pPr>
              <w:spacing w:after="0"/>
              <w:rPr>
                <w:rFonts w:ascii="Calibri" w:hAnsi="Calibri" w:cs="Calibri"/>
                <w:sz w:val="16"/>
                <w:szCs w:val="16"/>
              </w:rPr>
            </w:pPr>
            <w:r>
              <w:rPr>
                <w:rFonts w:ascii="Calibri" w:hAnsi="Calibri" w:cs="Calibri"/>
                <w:sz w:val="16"/>
                <w:szCs w:val="16"/>
              </w:rPr>
              <w:t xml:space="preserve">Planned maintenance of the system</w:t>
            </w:r>
          </w:p>
        </w:tc>
        <w:tc>
          <w:tcPr>
            <w:tcW w:w="3744" w:type="dxa"/>
          </w:tcPr>
          <w:p>
            <w:pPr>
              <w:spacing w:after="0"/>
              <w:rPr>
                <w:rFonts w:ascii="Calibri" w:hAnsi="Calibri" w:cs="Calibri"/>
                <w:sz w:val="16"/>
                <w:szCs w:val="16"/>
              </w:rPr>
            </w:pPr>
            <w:r>
              <w:rPr>
                <w:rFonts w:ascii="Calibri" w:hAnsi="Calibri" w:cs="Calibri"/>
                <w:sz w:val="16"/>
                <w:szCs w:val="16"/>
              </w:rPr>
              <w:t xml:space="preserve">Within the maintenance windows of the bank standard; users told in advance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(maintenance: as per bank standard)</w:t>
            </w:r>
          </w:p>
        </w:tc>
        <w:tc>
          <w:tcPr>
            <w:tcW w:w="1655" w:type="dxa"/>
          </w:tcPr>
          <w:p>
            <w:pPr>
              <w:spacing w:after="0"/>
              <w:rPr>
                <w:rFonts w:ascii="Calibri" w:hAnsi="Calibri" w:cs="Calibri"/>
                <w:sz w:val="16"/>
                <w:szCs w:val="16"/>
              </w:rPr>
            </w:pPr>
            <w:r>
              <w:rPr>
                <w:rFonts w:ascii="Calibri" w:hAnsi="Calibri" w:cs="Calibri"/>
                <w:sz w:val="16"/>
                <w:szCs w:val="16"/>
              </w:rPr>
              <w:t xml:space="preserve">NFR-AVL-03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T-19</w:t>
            </w:r>
          </w:p>
        </w:tc>
        <w:tc>
          <w:tcPr>
            <w:tcW w:w="1440" w:type="dxa"/>
          </w:tcPr>
          <w:p>
            <w:pPr>
              <w:keepNext/>
              <w:spacing w:after="0"/>
              <w:rPr>
                <w:rFonts w:ascii="Calibri" w:hAnsi="Calibri" w:cs="Calibri"/>
                <w:sz w:val="16"/>
                <w:szCs w:val="16"/>
              </w:rPr>
            </w:pPr>
            <w:r>
              <w:rPr>
                <w:rFonts w:ascii="Calibri" w:hAnsi="Calibri" w:cs="Calibri"/>
                <w:sz w:val="16"/>
                <w:szCs w:val="16"/>
              </w:rPr>
              <w:t xml:space="preserve">Sessions</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user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One session per device; a second sign-in on another device ends the first (User Access Maintenance FRS)</w:t>
            </w:r>
          </w:p>
        </w:tc>
        <w:tc>
          <w:tcPr>
            <w:tcW w:w="2160" w:type="dxa"/>
          </w:tcPr>
          <w:p>
            <w:pPr>
              <w:keepNext/>
              <w:spacing w:after="0"/>
              <w:rPr>
                <w:rFonts w:ascii="Calibri" w:hAnsi="Calibri" w:cs="Calibri"/>
                <w:sz w:val="16"/>
                <w:szCs w:val="16"/>
              </w:rPr>
            </w:pPr>
            <w:r>
              <w:rPr>
                <w:rFonts w:ascii="Calibri" w:hAnsi="Calibri" w:cs="Calibri"/>
                <w:sz w:val="16"/>
                <w:szCs w:val="16"/>
              </w:rPr>
              <w:t xml:space="preserve">Collections addendum NFR 10.07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10.07</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T-20</w:t>
            </w:r>
          </w:p>
        </w:tc>
        <w:tc>
          <w:tcPr>
            <w:tcW w:w="1440" w:type="dxa"/>
          </w:tcPr>
          <w:p>
            <w:pPr>
              <w:keepNext/>
              <w:spacing w:after="0"/>
              <w:rPr>
                <w:rFonts w:ascii="Calibri" w:hAnsi="Calibri" w:cs="Calibri"/>
                <w:sz w:val="16"/>
                <w:szCs w:val="16"/>
              </w:rPr>
            </w:pPr>
            <w:r>
              <w:rPr>
                <w:rFonts w:ascii="Calibri" w:hAnsi="Calibri" w:cs="Calibri"/>
                <w:sz w:val="16"/>
                <w:szCs w:val="16"/>
              </w:rPr>
              <w:t xml:space="preserve">Audit source</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audit log entry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The audit log records the source (workstation / IP address) of every action</w:t>
            </w:r>
          </w:p>
        </w:tc>
        <w:tc>
          <w:tcPr>
            <w:tcW w:w="2160" w:type="dxa"/>
          </w:tcPr>
          <w:p>
            <w:pPr>
              <w:keepNext/>
              <w:spacing w:after="0"/>
              <w:rPr>
                <w:rFonts w:ascii="Calibri" w:hAnsi="Calibri" w:cs="Calibri"/>
                <w:sz w:val="16"/>
                <w:szCs w:val="16"/>
              </w:rPr>
            </w:pPr>
            <w:r>
              <w:rPr>
                <w:rFonts w:ascii="Calibri" w:hAnsi="Calibri" w:cs="Calibri"/>
                <w:sz w:val="16"/>
                <w:szCs w:val="16"/>
              </w:rPr>
              <w:t xml:space="preserve">CLM, CLXN and RI addenda NFR 4.03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4.03</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T-21</w:t>
            </w:r>
          </w:p>
        </w:tc>
        <w:tc>
          <w:tcPr>
            <w:tcW w:w="1440" w:type="dxa"/>
          </w:tcPr>
          <w:p>
            <w:pPr>
              <w:spacing w:after="0"/>
              <w:rPr>
                <w:rFonts w:ascii="Calibri" w:hAnsi="Calibri" w:cs="Calibri"/>
                <w:sz w:val="16"/>
                <w:szCs w:val="16"/>
              </w:rPr>
            </w:pPr>
            <w:r>
              <w:rPr>
                <w:rFonts w:ascii="Calibri" w:hAnsi="Calibri" w:cs="Calibri"/>
                <w:sz w:val="16"/>
                <w:szCs w:val="16"/>
              </w:rPr>
              <w:t xml:space="preserve">Disaster recovery</w:t>
            </w:r>
          </w:p>
        </w:tc>
        <w:tc>
          <w:tcPr>
            <w:tcW w:w="3311" w:type="dxa"/>
          </w:tcPr>
          <w:p>
            <w:pPr>
              <w:spacing w:after="0"/>
              <w:rPr>
                <w:rFonts w:ascii="Calibri" w:hAnsi="Calibri" w:cs="Calibri"/>
                <w:sz w:val="16"/>
                <w:szCs w:val="16"/>
              </w:rPr>
            </w:pPr>
            <w:r>
              <w:rPr>
                <w:rFonts w:ascii="Calibri" w:hAnsi="Calibri" w:cs="Calibri"/>
                <w:sz w:val="16"/>
                <w:szCs w:val="16"/>
              </w:rPr>
              <w:t xml:space="preserve">Major disaster</w:t>
            </w:r>
          </w:p>
        </w:tc>
        <w:tc>
          <w:tcPr>
            <w:tcW w:w="3744" w:type="dxa"/>
          </w:tcPr>
          <w:p>
            <w:pPr>
              <w:spacing w:after="0"/>
              <w:rPr>
                <w:rFonts w:ascii="Calibri" w:hAnsi="Calibri" w:cs="Calibri"/>
                <w:sz w:val="16"/>
                <w:szCs w:val="16"/>
              </w:rPr>
            </w:pPr>
            <w:r>
              <w:rPr>
                <w:rFonts w:ascii="Calibri" w:hAnsi="Calibri" w:cs="Calibri"/>
                <w:sz w:val="16"/>
                <w:szCs w:val="16"/>
              </w:rPr>
              <w:t xml:space="preserve">Business continuity threshold: recovery within 4 hours, data loss of at most 24 hours (BRD); the programme target of T-08 is stricter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(major disaster)</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U-10</w:t>
            </w:r>
          </w:p>
        </w:tc>
        <w:tc>
          <w:tcPr>
            <w:tcW w:w="3384"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U-11</w:t>
            </w:r>
          </w:p>
        </w:tc>
        <w:tc>
          <w:tcPr>
            <w:tcW w:w="3384"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V-01</w:t>
            </w:r>
          </w:p>
        </w:tc>
        <w:tc>
          <w:tcPr>
            <w:tcW w:w="1224" w:type="dxa"/>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V-06</w:t>
            </w:r>
          </w:p>
        </w:tc>
        <w:tc>
          <w:tcPr>
            <w:tcW w:w="1224" w:type="dxa"/>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V-07</w:t>
            </w:r>
          </w:p>
        </w:tc>
        <w:tc>
          <w:tcPr>
            <w:tcW w:w="1224" w:type="dxa"/>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V-21</w:t>
            </w:r>
          </w:p>
        </w:tc>
        <w:tc>
          <w:tcPr>
            <w:tcW w:w="1224" w:type="dxa"/>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V-22</w:t>
            </w:r>
          </w:p>
        </w:tc>
        <w:tc>
          <w:tcPr>
            <w:tcW w:w="1224" w:type="dxa"/>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V-36</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V-37</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736" w:type="dxa"/>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27</w:t>
            </w:r>
          </w:p>
        </w:tc>
        <w:tc>
          <w:tcPr>
            <w:tcW w:w="2736" w:type="dxa"/>
          </w:tcPr>
          <w:p>
            <w:pPr>
              <w:keepNext/>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keepNext/>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28</w:t>
            </w:r>
          </w:p>
        </w:tc>
        <w:tc>
          <w:tcPr>
            <w:tcW w:w="2736" w:type="dxa"/>
          </w:tcPr>
          <w:p>
            <w:pPr>
              <w:spacing w:after="0"/>
              <w:rPr>
                <w:rFonts w:ascii="Calibri" w:hAnsi="Calibri" w:cs="Calibri"/>
                <w:sz w:val="16"/>
                <w:szCs w:val="16"/>
              </w:rPr>
            </w:pPr>
            <w:r>
              <w:rPr>
                <w:rFonts w:ascii="Calibri" w:hAnsi="Calibri" w:cs="Calibri"/>
                <w:sz w:val="16"/>
                <w:szCs w:val="16"/>
              </w:rPr>
              <w:t xml:space="preserve">Points beyond the BRD and change requests</w:t>
            </w:r>
          </w:p>
        </w:tc>
        <w:tc>
          <w:tcPr>
            <w:tcW w:w="2304" w:type="dxa"/>
          </w:tcPr>
          <w:p>
            <w:pPr>
              <w:spacing w:after="0"/>
              <w:rPr>
                <w:rFonts w:ascii="Calibri" w:hAnsi="Calibri" w:cs="Calibri"/>
                <w:sz w:val="16"/>
                <w:szCs w:val="16"/>
              </w:rPr>
            </w:pPr>
            <w:r>
              <w:rPr>
                <w:rFonts w:ascii="Calibri" w:hAnsi="Calibri" w:cs="Calibri"/>
                <w:sz w:val="16"/>
                <w:szCs w:val="16"/>
              </w:rPr>
              <w:t xml:space="preserve">Section 1.5; Annex Y</w:t>
            </w:r>
          </w:p>
        </w:tc>
        <w:tc>
          <w:tcPr>
            <w:tcW w:w="2664" w:type="dxa"/>
          </w:tcPr>
          <w:p>
            <w:pPr>
              <w:spacing w:after="0"/>
              <w:rPr>
                <w:rFonts w:ascii="Calibri" w:hAnsi="Calibri" w:cs="Calibri"/>
                <w:sz w:val="16"/>
                <w:szCs w:val="16"/>
              </w:rPr>
            </w:pPr>
            <w:r>
              <w:rPr>
                <w:rFonts w:ascii="Calibri" w:hAnsi="Calibri" w:cs="Calibri"/>
                <w:sz w:val="16"/>
                <w:szCs w:val="16"/>
              </w:rPr>
              <w:t xml:space="preserve">Keep or drop each green point; approve, defer or reject each orange change request</w:t>
            </w:r>
          </w:p>
        </w:tc>
        <w:tc>
          <w:tcPr>
            <w:tcW w:w="1872" w:type="dxa"/>
          </w:tcPr>
          <w:p>
            <w:pPr>
              <w:spacing w:after="0"/>
              <w:rPr>
                <w:rFonts w:ascii="Calibri" w:hAnsi="Calibri" w:cs="Calibri"/>
                <w:sz w:val="16"/>
                <w:szCs w:val="16"/>
              </w:rPr>
            </w:pPr>
            <w:r>
              <w:rPr>
                <w:rFonts w:ascii="Calibri" w:hAnsi="Calibri" w:cs="Calibri"/>
                <w:sz w:val="16"/>
                <w:szCs w:val="16"/>
              </w:rPr>
              <w:t xml:space="preserve">Product Owner; 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BIBS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numPr>
          <w:ilvl w:val="0"/>
          <w:numId w:val="0"/>
        </w:numPr>
        <w:rPr>
          <w:rFonts w:ascii="Arial" w:hAnsi="Arial" w:cs="Arial"/>
        </w:rPr>
      </w:pPr>
      <w:r>
        <w:rPr>
          <w:rFonts w:ascii="Arial" w:hAnsi="Arial" w:cs="Arial"/>
        </w:rPr>
        <w:t xml:space="preserve">Y.1 How the points were classified</w:t>
      </w:r>
    </w:p>
    <w:p>
      <w:pPr>
        <w:pStyle w:val="ListParagraph"/>
        <w:numPr>
          <w:ilvl w:val="0"/>
          <w:numId w:val="152"/>
        </w:numPr>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rPr>
          <w:rFonts w:ascii="Arial" w:hAnsi="Arial" w:cs="Arial"/>
        </w:rPr>
      </w:pPr>
      <w:r>
        <w:rPr>
          <w:rFonts w:ascii="Arial" w:hAnsi="Arial" w:cs="Arial"/>
        </w:rPr>
        <w:t xml:space="preserve">A point not in the BRD was checked in the BIBS platform (screens, services and scheduled runs) and in the pack fit-gap workbook: available = green; not available, or available only in part = orange (change request).</w:t>
      </w:r>
    </w:p>
    <w:p>
      <w:pPr>
        <w:pStyle w:val="ListParagraph"/>
        <w:numPr>
          <w:ilvl w:val="0"/>
          <w:numId w:val="152"/>
        </w:numPr>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numPr>
          <w:ilvl w:val="0"/>
          <w:numId w:val="0"/>
        </w:numPr>
        <w:rPr>
          <w:rFonts w:ascii="Arial" w:hAnsi="Arial" w:cs="Arial"/>
        </w:rPr>
      </w:pPr>
      <w:r>
        <w:rPr>
          <w:rFonts w:ascii="Arial" w:hAnsi="Arial" w:cs="Arial"/>
        </w:rPr>
        <w:t xml:space="preserve">Y.2 Change requests (orange)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2033"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14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119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reference</w:t>
            </w:r>
          </w:p>
        </w:tc>
        <w:tc>
          <w:tcPr>
            <w:tcW w:w="2594" w:type="dxa"/>
            <w:shd w:val="clear" w:color="auto" w:fill="D9E1F2"/>
          </w:tcPr>
          <w:p>
            <w:pPr>
              <w:spacing w:after="0"/>
              <w:rPr>
                <w:rFonts w:ascii="Calibri" w:hAnsi="Calibri" w:cs="Calibri"/>
                <w:sz w:val="15"/>
                <w:szCs w:val="15"/>
              </w:rPr>
            </w:pPr>
            <w:r>
              <w:rPr>
                <w:rFonts w:ascii="Calibri" w:hAnsi="Calibri" w:cs="Calibri"/>
                <w:b/>
                <w:bCs/>
                <w:sz w:val="15"/>
                <w:szCs w:val="15"/>
              </w:rPr>
              <w:t xml:space="preserve">In BIBS today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911"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Complexity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CR-PM-101</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Quotation Slip decision notice to the preparer</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FRPM.006.01, FRPM.012.01; Annex P NT-16</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BRPM.012 (extends)</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Not available: the slip approval (negotiation service) sends the slip to the insurers but no notice to the preparer; the notice service of the platform is available and is reused.</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3.5</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CR-PM-102</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ManCom e-mails in BDOI's wording, with the President's text</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FRPM.014.01; Annex P NT-13, NT-14</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BRPM.015 (extends)</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Partly available: each ManCom approver is told in the system with an e-mail copy, in one standard text; the two BDOI texts are to be added.</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2.5</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CR-PM-103</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Old and new field values of product master changes in the audit log</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FRPM.021.01, FRPM.021.02; Annex M.5</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BRPM.024 (extends)</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Partly available: every create, change and authorize of a product master is in the audit log with user and time; the field-by-field old and new values are kept today for package terms only.</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9</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Medium</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High</w:t>
            </w:r>
          </w:p>
        </w:tc>
      </w:tr>
      <w:tr>
        <w:trPr>
          <w:cantSplit/>
        </w:trPr>
        <w:tc>
          <w:tcPr>
            <w:tcW w:w="1051" w:type="dxa"/>
          </w:tcPr>
          <w:p>
            <w:pPr>
              <w:keepNext/>
              <w:spacing w:after="0"/>
              <w:rPr>
                <w:rFonts w:ascii="Calibri" w:hAnsi="Calibri" w:cs="Calibri"/>
                <w:sz w:val="15"/>
                <w:szCs w:val="15"/>
              </w:rPr>
            </w:pPr>
            <w:r>
              <w:rPr>
                <w:rFonts w:ascii="Calibri" w:hAnsi="Calibri" w:cs="Calibri"/>
                <w:color w:val="E65100"/>
                <w:sz w:val="15"/>
                <w:szCs w:val="15"/>
              </w:rPr>
              <w:t xml:space="preserve">CR-PM-104</w:t>
            </w:r>
          </w:p>
        </w:tc>
        <w:tc>
          <w:tcPr>
            <w:tcW w:w="2033" w:type="dxa"/>
          </w:tcPr>
          <w:p>
            <w:pPr>
              <w:keepNext/>
              <w:spacing w:after="0"/>
              <w:rPr>
                <w:rFonts w:ascii="Calibri" w:hAnsi="Calibri" w:cs="Calibri"/>
                <w:sz w:val="15"/>
                <w:szCs w:val="15"/>
              </w:rPr>
            </w:pPr>
            <w:r>
              <w:rPr>
                <w:rFonts w:ascii="Calibri" w:hAnsi="Calibri" w:cs="Calibri"/>
                <w:color w:val="E65100"/>
                <w:sz w:val="15"/>
                <w:szCs w:val="15"/>
              </w:rPr>
              <w:t xml:space="preserve">Accessibility of the Product Maintenance screens (WCAG 2.2 level AA)</w:t>
            </w:r>
          </w:p>
        </w:tc>
        <w:tc>
          <w:tcPr>
            <w:tcW w:w="1472" w:type="dxa"/>
          </w:tcPr>
          <w:p>
            <w:pPr>
              <w:keepNext/>
              <w:spacing w:after="0"/>
              <w:rPr>
                <w:rFonts w:ascii="Calibri" w:hAnsi="Calibri" w:cs="Calibri"/>
                <w:sz w:val="15"/>
                <w:szCs w:val="15"/>
              </w:rPr>
            </w:pPr>
            <w:r>
              <w:rPr>
                <w:rFonts w:ascii="Calibri" w:hAnsi="Calibri" w:cs="Calibri"/>
                <w:color w:val="E65100"/>
                <w:sz w:val="15"/>
                <w:szCs w:val="15"/>
              </w:rPr>
              <w:t xml:space="preserve">Annex T, T-15</w:t>
            </w:r>
          </w:p>
        </w:tc>
        <w:tc>
          <w:tcPr>
            <w:tcW w:w="1192" w:type="dxa"/>
          </w:tcPr>
          <w:p>
            <w:pPr>
              <w:keepNext/>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tcPr>
          <w:p>
            <w:pPr>
              <w:keepNext/>
              <w:spacing w:after="0"/>
              <w:rPr>
                <w:rFonts w:ascii="Calibri" w:hAnsi="Calibri" w:cs="Calibri"/>
                <w:sz w:val="15"/>
                <w:szCs w:val="15"/>
              </w:rPr>
            </w:pPr>
            <w:r>
              <w:rPr>
                <w:rFonts w:ascii="Calibri" w:hAnsi="Calibri" w:cs="Calibri"/>
                <w:color w:val="E65100"/>
                <w:sz w:val="15"/>
                <w:szCs w:val="15"/>
              </w:rPr>
              <w:t xml:space="preserve">Partly available: the screens use the platform components and are usable with the keyboard; no WCAG 2.2 AA conformance check has been made on the module (about 8 of 35 screen files carry accessibility labels).</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11.5</w:t>
            </w:r>
          </w:p>
        </w:tc>
        <w:tc>
          <w:tcPr>
            <w:tcW w:w="911" w:type="dxa"/>
          </w:tcPr>
          <w:p>
            <w:pPr>
              <w:keepNext/>
              <w:spacing w:after="0"/>
              <w:rPr>
                <w:rFonts w:ascii="Calibri" w:hAnsi="Calibri" w:cs="Calibri"/>
                <w:sz w:val="15"/>
                <w:szCs w:val="15"/>
              </w:rPr>
            </w:pPr>
            <w:r>
              <w:rPr>
                <w:rFonts w:ascii="Calibri" w:hAnsi="Calibri" w:cs="Calibri"/>
                <w:color w:val="E65100"/>
                <w:sz w:val="15"/>
                <w:szCs w:val="15"/>
              </w:rPr>
              <w:t xml:space="preserve">Medium</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tcPr>
          <w:p>
            <w:pPr>
              <w:keepNext/>
              <w:spacing w:after="0"/>
              <w:rPr>
                <w:rFonts w:ascii="Calibri" w:hAnsi="Calibri" w:cs="Calibri"/>
                <w:sz w:val="15"/>
                <w:szCs w:val="15"/>
              </w:rPr>
            </w:pPr>
            <w:r>
              <w:rPr>
                <w:rFonts w:ascii="Calibri" w:hAnsi="Calibri" w:cs="Calibri"/>
                <w:color w:val="E65100"/>
                <w:sz w:val="15"/>
                <w:szCs w:val="15"/>
              </w:rPr>
              <w:t xml:space="preserve">CR-PM-105</w:t>
            </w:r>
          </w:p>
        </w:tc>
        <w:tc>
          <w:tcPr>
            <w:tcW w:w="2033" w:type="dxa"/>
          </w:tcPr>
          <w:p>
            <w:pPr>
              <w:keepNext/>
              <w:spacing w:after="0"/>
              <w:rPr>
                <w:rFonts w:ascii="Calibri" w:hAnsi="Calibri" w:cs="Calibri"/>
                <w:sz w:val="15"/>
                <w:szCs w:val="15"/>
              </w:rPr>
            </w:pPr>
            <w:r>
              <w:rPr>
                <w:rFonts w:ascii="Calibri" w:hAnsi="Calibri" w:cs="Calibri"/>
                <w:color w:val="E65100"/>
                <w:sz w:val="15"/>
                <w:szCs w:val="15"/>
              </w:rPr>
              <w:t xml:space="preserve">'Due soon' marker at 80% of the stage service level</w:t>
            </w:r>
          </w:p>
        </w:tc>
        <w:tc>
          <w:tcPr>
            <w:tcW w:w="1472" w:type="dxa"/>
          </w:tcPr>
          <w:p>
            <w:pPr>
              <w:keepNext/>
              <w:spacing w:after="0"/>
              <w:rPr>
                <w:rFonts w:ascii="Calibri" w:hAnsi="Calibri" w:cs="Calibri"/>
                <w:sz w:val="15"/>
                <w:szCs w:val="15"/>
              </w:rPr>
            </w:pPr>
            <w:r>
              <w:rPr>
                <w:rFonts w:ascii="Calibri" w:hAnsi="Calibri" w:cs="Calibri"/>
                <w:color w:val="E65100"/>
                <w:sz w:val="15"/>
                <w:szCs w:val="15"/>
              </w:rPr>
              <w:t xml:space="preserve">FRPM.001.01</w:t>
            </w:r>
          </w:p>
        </w:tc>
        <w:tc>
          <w:tcPr>
            <w:tcW w:w="1192" w:type="dxa"/>
          </w:tcPr>
          <w:p>
            <w:pPr>
              <w:keepNext/>
              <w:spacing w:after="0"/>
              <w:rPr>
                <w:rFonts w:ascii="Calibri" w:hAnsi="Calibri" w:cs="Calibri"/>
                <w:sz w:val="15"/>
                <w:szCs w:val="15"/>
              </w:rPr>
            </w:pPr>
            <w:r>
              <w:rPr>
                <w:rFonts w:ascii="Calibri" w:hAnsi="Calibri" w:cs="Calibri"/>
                <w:color w:val="E65100"/>
                <w:sz w:val="15"/>
                <w:szCs w:val="15"/>
              </w:rPr>
              <w:t xml:space="preserve">BRPM.021 (extends)</w:t>
            </w:r>
          </w:p>
        </w:tc>
        <w:tc>
          <w:tcPr>
            <w:tcW w:w="2594" w:type="dxa"/>
          </w:tcPr>
          <w:p>
            <w:pPr>
              <w:keepNext/>
              <w:spacing w:after="0"/>
              <w:rPr>
                <w:rFonts w:ascii="Calibri" w:hAnsi="Calibri" w:cs="Calibri"/>
                <w:sz w:val="15"/>
                <w:szCs w:val="15"/>
              </w:rPr>
            </w:pPr>
            <w:r>
              <w:rPr>
                <w:rFonts w:ascii="Calibri" w:hAnsi="Calibri" w:cs="Calibri"/>
                <w:color w:val="E65100"/>
                <w:sz w:val="15"/>
                <w:szCs w:val="15"/>
              </w:rPr>
              <w:t xml:space="preserve">Partly available: a request is marked 'due soon' when it is due within 8 hours, whatever the service level of the stage; overdue (red) is available.</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3.5</w:t>
            </w:r>
          </w:p>
        </w:tc>
        <w:tc>
          <w:tcPr>
            <w:tcW w:w="911" w:type="dxa"/>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Total</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5 change requests</w:t>
            </w:r>
          </w:p>
        </w:tc>
        <w:tc>
          <w:tcPr>
            <w:tcW w:w="1472" w:type="dxa"/>
          </w:tcPr>
          <w:p>
            <w:pPr>
              <w:spacing w:after="0"/>
              <w:rPr>
                <w:rFonts w:ascii="Calibri" w:hAnsi="Calibri" w:cs="Calibri"/>
                <w:sz w:val="15"/>
                <w:szCs w:val="15"/>
              </w:rPr>
            </w:pPr>
          </w:p>
        </w:tc>
        <w:tc>
          <w:tcPr>
            <w:tcW w:w="1192" w:type="dxa"/>
          </w:tcPr>
          <w:p>
            <w:pPr>
              <w:spacing w:after="0"/>
              <w:rPr>
                <w:rFonts w:ascii="Calibri" w:hAnsi="Calibri" w:cs="Calibri"/>
                <w:sz w:val="15"/>
                <w:szCs w:val="15"/>
              </w:rPr>
            </w:pPr>
          </w:p>
        </w:tc>
        <w:tc>
          <w:tcPr>
            <w:tcW w:w="2594" w:type="dxa"/>
          </w:tcPr>
          <w:p>
            <w:pPr>
              <w:spacing w:after="0"/>
              <w:rPr>
                <w:rFonts w:ascii="Calibri" w:hAnsi="Calibri" w:cs="Calibri"/>
                <w:sz w:val="15"/>
                <w:szCs w:val="15"/>
              </w:rPr>
            </w:pPr>
          </w:p>
        </w:tc>
        <w:tc>
          <w:tcPr>
            <w:tcW w:w="771" w:type="dxa"/>
          </w:tcPr>
          <w:p>
            <w:pPr>
              <w:spacing w:after="0"/>
              <w:rPr>
                <w:rFonts w:ascii="Calibri" w:hAnsi="Calibri" w:cs="Calibri"/>
                <w:sz w:val="15"/>
                <w:szCs w:val="15"/>
              </w:rPr>
            </w:pPr>
            <w:r>
              <w:rPr>
                <w:rFonts w:ascii="Calibri" w:hAnsi="Calibri" w:cs="Calibri"/>
                <w:color w:val="E65100"/>
                <w:sz w:val="15"/>
                <w:szCs w:val="15"/>
              </w:rPr>
              <w:t xml:space="preserve">30</w:t>
            </w:r>
          </w:p>
        </w:tc>
        <w:tc>
          <w:tcPr>
            <w:tcW w:w="911" w:type="dxa"/>
          </w:tcPr>
          <w:p>
            <w:pPr>
              <w:spacing w:after="0"/>
              <w:rPr>
                <w:rFonts w:ascii="Calibri" w:hAnsi="Calibri" w:cs="Calibri"/>
                <w:sz w:val="15"/>
                <w:szCs w:val="15"/>
              </w:rPr>
            </w:pPr>
          </w:p>
        </w:tc>
        <w:tc>
          <w:tcPr>
            <w:tcW w:w="771"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Y.3 Points beyond the BRD available in BIBS (green)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FRS reference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BIBS</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G-01</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Excel export of the list behind each dashboard tile</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Product Maintenance dashboard, export buttons</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G-02</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Dashboard tiles of packages ending within 30, 60 and 90 days</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Dashboard stage tiles</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G-03</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Dashboard tile of advisories drafted and not sent</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Dashboard stage tiles</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G-04</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Dashboard tile of the comparative outputs of the week</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Dashboard stage tiles</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G-05</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TSU Workbench with the TSU queues by stage</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FRPM.002.01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TSU Workbench screen</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keepNext/>
              <w:spacing w:after="0"/>
              <w:rPr>
                <w:rFonts w:ascii="Calibri" w:hAnsi="Calibri" w:cs="Calibri"/>
                <w:sz w:val="16"/>
                <w:szCs w:val="16"/>
              </w:rPr>
            </w:pPr>
            <w:r>
              <w:rPr>
                <w:rFonts w:ascii="Calibri" w:hAnsi="Calibri" w:cs="Calibri"/>
                <w:color w:val="2E7D32"/>
                <w:sz w:val="16"/>
                <w:szCs w:val="16"/>
              </w:rPr>
              <w:t xml:space="preserve">G-06</w:t>
            </w:r>
          </w:p>
        </w:tc>
        <w:tc>
          <w:tcPr>
            <w:tcW w:w="3744" w:type="dxa"/>
          </w:tcPr>
          <w:p>
            <w:pPr>
              <w:keepNext/>
              <w:spacing w:after="0"/>
              <w:rPr>
                <w:rFonts w:ascii="Calibri" w:hAnsi="Calibri" w:cs="Calibri"/>
                <w:sz w:val="16"/>
                <w:szCs w:val="16"/>
              </w:rPr>
            </w:pPr>
            <w:r>
              <w:rPr>
                <w:rFonts w:ascii="Calibri" w:hAnsi="Calibri" w:cs="Calibri"/>
                <w:color w:val="2E7D32"/>
                <w:sz w:val="16"/>
                <w:szCs w:val="16"/>
              </w:rPr>
              <w:t xml:space="preserve">Premium Calculator on the package rate scheme</w:t>
            </w:r>
          </w:p>
        </w:tc>
        <w:tc>
          <w:tcPr>
            <w:tcW w:w="1440" w:type="dxa"/>
          </w:tcPr>
          <w:p>
            <w:pPr>
              <w:keepNext/>
              <w:spacing w:after="0"/>
              <w:rPr>
                <w:rFonts w:ascii="Calibri" w:hAnsi="Calibri" w:cs="Calibri"/>
                <w:sz w:val="16"/>
                <w:szCs w:val="16"/>
              </w:rPr>
            </w:pPr>
            <w:r>
              <w:rPr>
                <w:rFonts w:ascii="Calibri" w:hAnsi="Calibri" w:cs="Calibri"/>
                <w:color w:val="2E7D32"/>
                <w:sz w:val="16"/>
                <w:szCs w:val="16"/>
              </w:rPr>
              <w:t xml:space="preserve">FRPM.002.01</w:t>
            </w:r>
          </w:p>
        </w:tc>
        <w:tc>
          <w:tcPr>
            <w:tcW w:w="2736" w:type="dxa"/>
          </w:tcPr>
          <w:p>
            <w:pPr>
              <w:keepNext/>
              <w:spacing w:after="0"/>
              <w:rPr>
                <w:rFonts w:ascii="Calibri" w:hAnsi="Calibri" w:cs="Calibri"/>
                <w:sz w:val="16"/>
                <w:szCs w:val="16"/>
              </w:rPr>
            </w:pPr>
            <w:r>
              <w:rPr>
                <w:rFonts w:ascii="Calibri" w:hAnsi="Calibri" w:cs="Calibri"/>
                <w:color w:val="2E7D32"/>
                <w:sz w:val="16"/>
                <w:szCs w:val="16"/>
              </w:rPr>
              <w:t xml:space="preserve">Premium Calculator screen</w:t>
            </w:r>
          </w:p>
        </w:tc>
        <w:tc>
          <w:tcPr>
            <w:tcW w:w="1728" w:type="dxa"/>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keepNext/>
              <w:spacing w:after="0"/>
              <w:rPr>
                <w:rFonts w:ascii="Calibri" w:hAnsi="Calibri" w:cs="Calibri"/>
                <w:sz w:val="16"/>
                <w:szCs w:val="16"/>
              </w:rPr>
            </w:pPr>
            <w:r>
              <w:rPr>
                <w:rFonts w:ascii="Calibri" w:hAnsi="Calibri" w:cs="Calibri"/>
                <w:color w:val="2E7D32"/>
                <w:sz w:val="16"/>
                <w:szCs w:val="16"/>
              </w:rPr>
              <w:t xml:space="preserve">G-07</w:t>
            </w:r>
          </w:p>
        </w:tc>
        <w:tc>
          <w:tcPr>
            <w:tcW w:w="3744" w:type="dxa"/>
          </w:tcPr>
          <w:p>
            <w:pPr>
              <w:keepNext/>
              <w:spacing w:after="0"/>
              <w:rPr>
                <w:rFonts w:ascii="Calibri" w:hAnsi="Calibri" w:cs="Calibri"/>
                <w:sz w:val="16"/>
                <w:szCs w:val="16"/>
              </w:rPr>
            </w:pPr>
            <w:r>
              <w:rPr>
                <w:rFonts w:ascii="Calibri" w:hAnsi="Calibri" w:cs="Calibri"/>
                <w:color w:val="2E7D32"/>
                <w:sz w:val="16"/>
                <w:szCs w:val="16"/>
              </w:rPr>
              <w:t xml:space="preserve">Renewal Request Report exported to PDF, Excel and CSV, every run logged</w:t>
            </w:r>
          </w:p>
        </w:tc>
        <w:tc>
          <w:tcPr>
            <w:tcW w:w="1440" w:type="dxa"/>
          </w:tcPr>
          <w:p>
            <w:pPr>
              <w:keepNext/>
              <w:spacing w:after="0"/>
              <w:rPr>
                <w:rFonts w:ascii="Calibri" w:hAnsi="Calibri" w:cs="Calibri"/>
                <w:sz w:val="16"/>
                <w:szCs w:val="16"/>
              </w:rPr>
            </w:pPr>
            <w:r>
              <w:rPr>
                <w:rFonts w:ascii="Calibri" w:hAnsi="Calibri" w:cs="Calibri"/>
                <w:color w:val="2E7D32"/>
                <w:sz w:val="16"/>
                <w:szCs w:val="16"/>
              </w:rPr>
              <w:t xml:space="preserve">FRPM.019.01</w:t>
            </w:r>
          </w:p>
        </w:tc>
        <w:tc>
          <w:tcPr>
            <w:tcW w:w="2736" w:type="dxa"/>
          </w:tcPr>
          <w:p>
            <w:pPr>
              <w:keepNext/>
              <w:spacing w:after="0"/>
              <w:rPr>
                <w:rFonts w:ascii="Calibri" w:hAnsi="Calibri" w:cs="Calibri"/>
                <w:sz w:val="16"/>
                <w:szCs w:val="16"/>
              </w:rPr>
            </w:pPr>
            <w:r>
              <w:rPr>
                <w:rFonts w:ascii="Calibri" w:hAnsi="Calibri" w:cs="Calibri"/>
                <w:color w:val="2E7D32"/>
                <w:sz w:val="16"/>
                <w:szCs w:val="16"/>
              </w:rPr>
              <w:t xml:space="preserve">Report engine of the platform</w:t>
            </w:r>
          </w:p>
        </w:tc>
        <w:tc>
          <w:tcPr>
            <w:tcW w:w="1728" w:type="dxa"/>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G-08</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E-mail log with recipient, time, subject and attachment fingerprint</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FRPM.021.01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Message log of the platform</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part</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line</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this FRS</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Direct management and update capability for Package Products</w:t>
            </w:r>
          </w:p>
        </w:tc>
        <w:tc>
          <w:tcPr>
            <w:tcW w:w="3168" w:type="dxa"/>
          </w:tcPr>
          <w:p>
            <w:pPr>
              <w:spacing w:after="0"/>
              <w:rPr>
                <w:rFonts w:ascii="Calibri" w:hAnsi="Calibri" w:cs="Calibri"/>
                <w:sz w:val="16"/>
                <w:szCs w:val="16"/>
              </w:rPr>
            </w:pPr>
            <w:r>
              <w:rPr>
                <w:rFonts w:ascii="Calibri" w:hAnsi="Calibri" w:cs="Calibri"/>
                <w:sz w:val="16"/>
                <w:szCs w:val="16"/>
              </w:rPr>
              <w:t xml:space="preserve">FRPM.003, FRPM.022 to FRPM.024</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Automatic audit tracking for compliance</w:t>
            </w:r>
          </w:p>
        </w:tc>
        <w:tc>
          <w:tcPr>
            <w:tcW w:w="3168" w:type="dxa"/>
          </w:tcPr>
          <w:p>
            <w:pPr>
              <w:spacing w:after="0"/>
              <w:rPr>
                <w:rFonts w:ascii="Calibri" w:hAnsi="Calibri" w:cs="Calibri"/>
                <w:sz w:val="16"/>
                <w:szCs w:val="16"/>
              </w:rPr>
            </w:pPr>
            <w:r>
              <w:rPr>
                <w:rFonts w:ascii="Calibri" w:hAnsi="Calibri" w:cs="Calibri"/>
                <w:sz w:val="16"/>
                <w:szCs w:val="16"/>
              </w:rPr>
              <w:t xml:space="preserve">FRPM.021.01, FRPM.021.02; Annex T T-13</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Synchronization of updates across all relevant systems</w:t>
            </w:r>
          </w:p>
        </w:tc>
        <w:tc>
          <w:tcPr>
            <w:tcW w:w="3168" w:type="dxa"/>
          </w:tcPr>
          <w:p>
            <w:pPr>
              <w:spacing w:after="0"/>
              <w:rPr>
                <w:rFonts w:ascii="Calibri" w:hAnsi="Calibri" w:cs="Calibri"/>
                <w:sz w:val="16"/>
                <w:szCs w:val="16"/>
              </w:rPr>
            </w:pPr>
            <w:r>
              <w:rPr>
                <w:rFonts w:ascii="Calibri" w:hAnsi="Calibri" w:cs="Calibri"/>
                <w:sz w:val="16"/>
                <w:szCs w:val="16"/>
              </w:rPr>
              <w:t xml:space="preserve">FRPM.029.01; Annex S IN-01 to IN-11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Streamlined approval, validation, and reporting processes</w:t>
            </w:r>
          </w:p>
        </w:tc>
        <w:tc>
          <w:tcPr>
            <w:tcW w:w="3168" w:type="dxa"/>
          </w:tcPr>
          <w:p>
            <w:pPr>
              <w:spacing w:after="0"/>
              <w:rPr>
                <w:rFonts w:ascii="Calibri" w:hAnsi="Calibri" w:cs="Calibri"/>
                <w:sz w:val="16"/>
                <w:szCs w:val="16"/>
              </w:rPr>
            </w:pPr>
            <w:r>
              <w:rPr>
                <w:rFonts w:ascii="Calibri" w:hAnsi="Calibri" w:cs="Calibri"/>
                <w:sz w:val="16"/>
                <w:szCs w:val="16"/>
              </w:rPr>
              <w:t xml:space="preserve">FRPM.011, FRPM.014, FRPM.016.02, FRPM.019, FRPM.020, FRPM.028.01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Benefits</w:t>
            </w:r>
          </w:p>
        </w:tc>
        <w:tc>
          <w:tcPr>
            <w:tcW w:w="4176" w:type="dxa"/>
          </w:tcPr>
          <w:p>
            <w:pPr>
              <w:spacing w:after="0"/>
              <w:rPr>
                <w:rFonts w:ascii="Calibri" w:hAnsi="Calibri" w:cs="Calibri"/>
                <w:sz w:val="16"/>
                <w:szCs w:val="16"/>
              </w:rPr>
            </w:pPr>
            <w:r>
              <w:rPr>
                <w:rFonts w:ascii="Calibri" w:hAnsi="Calibri" w:cs="Calibri"/>
                <w:sz w:val="16"/>
                <w:szCs w:val="16"/>
              </w:rPr>
              <w:t xml:space="preserve">Files can be password-protected or encrypted; only authorized users access sensitive documents</w:t>
            </w:r>
          </w:p>
        </w:tc>
        <w:tc>
          <w:tcPr>
            <w:tcW w:w="3168" w:type="dxa"/>
          </w:tcPr>
          <w:p>
            <w:pPr>
              <w:spacing w:after="0"/>
              <w:rPr>
                <w:rFonts w:ascii="Calibri" w:hAnsi="Calibri" w:cs="Calibri"/>
                <w:sz w:val="16"/>
                <w:szCs w:val="16"/>
              </w:rPr>
            </w:pPr>
            <w:r>
              <w:rPr>
                <w:rFonts w:ascii="Calibri" w:hAnsi="Calibri" w:cs="Calibri"/>
                <w:sz w:val="16"/>
                <w:szCs w:val="16"/>
              </w:rPr>
              <w:t xml:space="preserve">FRPM.027.01; Annex T T-10, T-11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1-2</w:t>
            </w:r>
          </w:p>
        </w:tc>
        <w:tc>
          <w:tcPr>
            <w:tcW w:w="4176" w:type="dxa"/>
          </w:tcPr>
          <w:p>
            <w:pPr>
              <w:spacing w:after="0"/>
              <w:rPr>
                <w:rFonts w:ascii="Calibri" w:hAnsi="Calibri" w:cs="Calibri"/>
                <w:sz w:val="16"/>
                <w:szCs w:val="16"/>
              </w:rPr>
            </w:pPr>
            <w:r>
              <w:rPr>
                <w:rFonts w:ascii="Calibri" w:hAnsi="Calibri" w:cs="Calibri"/>
                <w:sz w:val="16"/>
                <w:szCs w:val="16"/>
              </w:rPr>
              <w:t xml:space="preserve">Requests logged in the system; reference numbers generated and tracked</w:t>
            </w:r>
          </w:p>
        </w:tc>
        <w:tc>
          <w:tcPr>
            <w:tcW w:w="3168" w:type="dxa"/>
          </w:tcPr>
          <w:p>
            <w:pPr>
              <w:spacing w:after="0"/>
              <w:rPr>
                <w:rFonts w:ascii="Calibri" w:hAnsi="Calibri" w:cs="Calibri"/>
                <w:sz w:val="16"/>
                <w:szCs w:val="16"/>
              </w:rPr>
            </w:pPr>
            <w:r>
              <w:rPr>
                <w:rFonts w:ascii="Calibri" w:hAnsi="Calibri" w:cs="Calibri"/>
                <w:sz w:val="16"/>
                <w:szCs w:val="16"/>
              </w:rPr>
              <w:t xml:space="preserve">FRPM.011.01, FRPM.011.02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3</w:t>
            </w:r>
          </w:p>
        </w:tc>
        <w:tc>
          <w:tcPr>
            <w:tcW w:w="4176" w:type="dxa"/>
          </w:tcPr>
          <w:p>
            <w:pPr>
              <w:spacing w:after="0"/>
              <w:rPr>
                <w:rFonts w:ascii="Calibri" w:hAnsi="Calibri" w:cs="Calibri"/>
                <w:sz w:val="16"/>
                <w:szCs w:val="16"/>
              </w:rPr>
            </w:pPr>
            <w:r>
              <w:rPr>
                <w:rFonts w:ascii="Calibri" w:hAnsi="Calibri" w:cs="Calibri"/>
                <w:sz w:val="16"/>
                <w:szCs w:val="16"/>
              </w:rPr>
              <w:t xml:space="preserve">Proposal and quotation workflows systematized</w:t>
            </w:r>
          </w:p>
        </w:tc>
        <w:tc>
          <w:tcPr>
            <w:tcW w:w="3168" w:type="dxa"/>
          </w:tcPr>
          <w:p>
            <w:pPr>
              <w:spacing w:after="0"/>
              <w:rPr>
                <w:rFonts w:ascii="Calibri" w:hAnsi="Calibri" w:cs="Calibri"/>
                <w:sz w:val="16"/>
                <w:szCs w:val="16"/>
              </w:rPr>
            </w:pPr>
            <w:r>
              <w:rPr>
                <w:rFonts w:ascii="Calibri" w:hAnsi="Calibri" w:cs="Calibri"/>
                <w:sz w:val="16"/>
                <w:szCs w:val="16"/>
              </w:rPr>
              <w:t xml:space="preserve">FRPM.012.01 to FRPM.013.02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4</w:t>
            </w:r>
          </w:p>
        </w:tc>
        <w:tc>
          <w:tcPr>
            <w:tcW w:w="4176" w:type="dxa"/>
          </w:tcPr>
          <w:p>
            <w:pPr>
              <w:spacing w:after="0"/>
              <w:rPr>
                <w:rFonts w:ascii="Calibri" w:hAnsi="Calibri" w:cs="Calibri"/>
                <w:sz w:val="16"/>
                <w:szCs w:val="16"/>
              </w:rPr>
            </w:pPr>
            <w:r>
              <w:rPr>
                <w:rFonts w:ascii="Calibri" w:hAnsi="Calibri" w:cs="Calibri"/>
                <w:sz w:val="16"/>
                <w:szCs w:val="16"/>
              </w:rPr>
              <w:t xml:space="preserve">Comparative tables and reports generated and shared via a secure dashboard</w:t>
            </w:r>
          </w:p>
        </w:tc>
        <w:tc>
          <w:tcPr>
            <w:tcW w:w="3168" w:type="dxa"/>
          </w:tcPr>
          <w:p>
            <w:pPr>
              <w:spacing w:after="0"/>
              <w:rPr>
                <w:rFonts w:ascii="Calibri" w:hAnsi="Calibri" w:cs="Calibri"/>
                <w:sz w:val="16"/>
                <w:szCs w:val="16"/>
              </w:rPr>
            </w:pPr>
            <w:r>
              <w:rPr>
                <w:rFonts w:ascii="Calibri" w:hAnsi="Calibri" w:cs="Calibri"/>
                <w:sz w:val="16"/>
                <w:szCs w:val="16"/>
              </w:rPr>
              <w:t xml:space="preserve">FRPM.012.04, FRPM.001.01, FRPM.020.01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5</w:t>
            </w:r>
          </w:p>
        </w:tc>
        <w:tc>
          <w:tcPr>
            <w:tcW w:w="4176" w:type="dxa"/>
          </w:tcPr>
          <w:p>
            <w:pPr>
              <w:spacing w:after="0"/>
              <w:rPr>
                <w:rFonts w:ascii="Calibri" w:hAnsi="Calibri" w:cs="Calibri"/>
                <w:sz w:val="16"/>
                <w:szCs w:val="16"/>
              </w:rPr>
            </w:pPr>
            <w:r>
              <w:rPr>
                <w:rFonts w:ascii="Calibri" w:hAnsi="Calibri" w:cs="Calibri"/>
                <w:sz w:val="16"/>
                <w:szCs w:val="16"/>
              </w:rPr>
              <w:t xml:space="preserve">Dashboard with real-time tracking, reporting and user-specific access</w:t>
            </w:r>
          </w:p>
        </w:tc>
        <w:tc>
          <w:tcPr>
            <w:tcW w:w="3168" w:type="dxa"/>
          </w:tcPr>
          <w:p>
            <w:pPr>
              <w:spacing w:after="0"/>
              <w:rPr>
                <w:rFonts w:ascii="Calibri" w:hAnsi="Calibri" w:cs="Calibri"/>
                <w:sz w:val="16"/>
                <w:szCs w:val="16"/>
              </w:rPr>
            </w:pPr>
            <w:r>
              <w:rPr>
                <w:rFonts w:ascii="Calibri" w:hAnsi="Calibri" w:cs="Calibri"/>
                <w:sz w:val="16"/>
                <w:szCs w:val="16"/>
              </w:rPr>
              <w:t xml:space="preserve">FRPM.001.01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6</w:t>
            </w:r>
          </w:p>
        </w:tc>
        <w:tc>
          <w:tcPr>
            <w:tcW w:w="4176" w:type="dxa"/>
          </w:tcPr>
          <w:p>
            <w:pPr>
              <w:spacing w:after="0"/>
              <w:rPr>
                <w:rFonts w:ascii="Calibri" w:hAnsi="Calibri" w:cs="Calibri"/>
                <w:sz w:val="16"/>
                <w:szCs w:val="16"/>
              </w:rPr>
            </w:pPr>
            <w:r>
              <w:rPr>
                <w:rFonts w:ascii="Calibri" w:hAnsi="Calibri" w:cs="Calibri"/>
                <w:sz w:val="16"/>
                <w:szCs w:val="16"/>
              </w:rPr>
              <w:t xml:space="preserve">Documents shared securely (password protection / encryption)</w:t>
            </w:r>
          </w:p>
        </w:tc>
        <w:tc>
          <w:tcPr>
            <w:tcW w:w="3168" w:type="dxa"/>
          </w:tcPr>
          <w:p>
            <w:pPr>
              <w:spacing w:after="0"/>
              <w:rPr>
                <w:rFonts w:ascii="Calibri" w:hAnsi="Calibri" w:cs="Calibri"/>
                <w:sz w:val="16"/>
                <w:szCs w:val="16"/>
              </w:rPr>
            </w:pPr>
            <w:r>
              <w:rPr>
                <w:rFonts w:ascii="Calibri" w:hAnsi="Calibri" w:cs="Calibri"/>
                <w:sz w:val="16"/>
                <w:szCs w:val="16"/>
              </w:rPr>
              <w:t xml:space="preserve">FRPM.027.01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7</w:t>
            </w:r>
          </w:p>
        </w:tc>
        <w:tc>
          <w:tcPr>
            <w:tcW w:w="4176" w:type="dxa"/>
          </w:tcPr>
          <w:p>
            <w:pPr>
              <w:spacing w:after="0"/>
              <w:rPr>
                <w:rFonts w:ascii="Calibri" w:hAnsi="Calibri" w:cs="Calibri"/>
                <w:sz w:val="16"/>
                <w:szCs w:val="16"/>
              </w:rPr>
            </w:pPr>
            <w:r>
              <w:rPr>
                <w:rFonts w:ascii="Calibri" w:hAnsi="Calibri" w:cs="Calibri"/>
                <w:sz w:val="16"/>
                <w:szCs w:val="16"/>
              </w:rPr>
              <w:t xml:space="preserve">Validation and approval steps enforced within the system</w:t>
            </w:r>
          </w:p>
        </w:tc>
        <w:tc>
          <w:tcPr>
            <w:tcW w:w="3168" w:type="dxa"/>
          </w:tcPr>
          <w:p>
            <w:pPr>
              <w:spacing w:after="0"/>
              <w:rPr>
                <w:rFonts w:ascii="Calibri" w:hAnsi="Calibri" w:cs="Calibri"/>
                <w:sz w:val="16"/>
                <w:szCs w:val="16"/>
              </w:rPr>
            </w:pPr>
            <w:r>
              <w:rPr>
                <w:rFonts w:ascii="Calibri" w:hAnsi="Calibri" w:cs="Calibri"/>
                <w:sz w:val="16"/>
                <w:szCs w:val="16"/>
              </w:rPr>
              <w:t xml:space="preserve">FRPM.028.01, FRPM.016.02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8-9</w:t>
            </w:r>
          </w:p>
        </w:tc>
        <w:tc>
          <w:tcPr>
            <w:tcW w:w="4176" w:type="dxa"/>
          </w:tcPr>
          <w:p>
            <w:pPr>
              <w:spacing w:after="0"/>
              <w:rPr>
                <w:rFonts w:ascii="Calibri" w:hAnsi="Calibri" w:cs="Calibri"/>
                <w:sz w:val="16"/>
                <w:szCs w:val="16"/>
              </w:rPr>
            </w:pPr>
            <w:r>
              <w:rPr>
                <w:rFonts w:ascii="Calibri" w:hAnsi="Calibri" w:cs="Calibri"/>
                <w:sz w:val="16"/>
                <w:szCs w:val="16"/>
              </w:rPr>
              <w:t xml:space="preserve">Monitoring of expiring packages; automated renewal workflow before expiry</w:t>
            </w:r>
          </w:p>
        </w:tc>
        <w:tc>
          <w:tcPr>
            <w:tcW w:w="3168" w:type="dxa"/>
          </w:tcPr>
          <w:p>
            <w:pPr>
              <w:spacing w:after="0"/>
              <w:rPr>
                <w:rFonts w:ascii="Calibri" w:hAnsi="Calibri" w:cs="Calibri"/>
                <w:sz w:val="16"/>
                <w:szCs w:val="16"/>
              </w:rPr>
            </w:pPr>
            <w:r>
              <w:rPr>
                <w:rFonts w:ascii="Calibri" w:hAnsi="Calibri" w:cs="Calibri"/>
                <w:sz w:val="16"/>
                <w:szCs w:val="16"/>
              </w:rPr>
              <w:t xml:space="preserve">FRPM.004.01, FRPM.026.01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10</w:t>
            </w:r>
          </w:p>
        </w:tc>
        <w:tc>
          <w:tcPr>
            <w:tcW w:w="4176" w:type="dxa"/>
          </w:tcPr>
          <w:p>
            <w:pPr>
              <w:spacing w:after="0"/>
              <w:rPr>
                <w:rFonts w:ascii="Calibri" w:hAnsi="Calibri" w:cs="Calibri"/>
                <w:sz w:val="16"/>
                <w:szCs w:val="16"/>
              </w:rPr>
            </w:pPr>
            <w:r>
              <w:rPr>
                <w:rFonts w:ascii="Calibri" w:hAnsi="Calibri" w:cs="Calibri"/>
                <w:sz w:val="16"/>
                <w:szCs w:val="16"/>
              </w:rPr>
              <w:t xml:space="preserve">Renewal records and history archived for audit</w:t>
            </w:r>
          </w:p>
        </w:tc>
        <w:tc>
          <w:tcPr>
            <w:tcW w:w="3168" w:type="dxa"/>
          </w:tcPr>
          <w:p>
            <w:pPr>
              <w:spacing w:after="0"/>
              <w:rPr>
                <w:rFonts w:ascii="Calibri" w:hAnsi="Calibri" w:cs="Calibri"/>
                <w:sz w:val="16"/>
                <w:szCs w:val="16"/>
              </w:rPr>
            </w:pPr>
            <w:r>
              <w:rPr>
                <w:rFonts w:ascii="Calibri" w:hAnsi="Calibri" w:cs="Calibri"/>
                <w:sz w:val="16"/>
                <w:szCs w:val="16"/>
              </w:rPr>
              <w:t xml:space="preserve">FRPM.024.01, FRPM.019.03, FRPM.021.01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Key capabilities 1-9</w:t>
            </w:r>
          </w:p>
        </w:tc>
        <w:tc>
          <w:tcPr>
            <w:tcW w:w="4176" w:type="dxa"/>
          </w:tcPr>
          <w:p>
            <w:pPr>
              <w:spacing w:after="0"/>
              <w:rPr>
                <w:rFonts w:ascii="Calibri" w:hAnsi="Calibri" w:cs="Calibri"/>
                <w:sz w:val="16"/>
                <w:szCs w:val="16"/>
              </w:rPr>
            </w:pPr>
            <w:r>
              <w:rPr>
                <w:rFonts w:ascii="Calibri" w:hAnsi="Calibri" w:cs="Calibri"/>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0"/>
              <w:rPr>
                <w:rFonts w:ascii="Calibri" w:hAnsi="Calibri" w:cs="Calibri"/>
                <w:sz w:val="16"/>
                <w:szCs w:val="16"/>
              </w:rPr>
            </w:pPr>
            <w:r>
              <w:rPr>
                <w:rFonts w:ascii="Calibri" w:hAnsi="Calibri" w:cs="Calibri"/>
                <w:sz w:val="16"/>
                <w:szCs w:val="16"/>
              </w:rPr>
              <w:t xml:space="preserve">FRPM.001 to FRPM.030 (Business Requirements Mapping)</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Key capabilities 10-13</w:t>
            </w:r>
          </w:p>
        </w:tc>
        <w:tc>
          <w:tcPr>
            <w:tcW w:w="4176" w:type="dxa"/>
          </w:tcPr>
          <w:p>
            <w:pPr>
              <w:spacing w:after="0"/>
              <w:rPr>
                <w:rFonts w:ascii="Calibri" w:hAnsi="Calibri" w:cs="Calibri"/>
                <w:sz w:val="16"/>
                <w:szCs w:val="16"/>
              </w:rPr>
            </w:pPr>
            <w:r>
              <w:rPr>
                <w:rFonts w:ascii="Calibri" w:hAnsi="Calibri" w:cs="Calibri"/>
                <w:sz w:val="16"/>
                <w:szCs w:val="16"/>
              </w:rPr>
              <w:t xml:space="preserve">Expiring packages monitoring; renewal workflow automation, negotiation and documentation; renewal reporting</w:t>
            </w:r>
          </w:p>
        </w:tc>
        <w:tc>
          <w:tcPr>
            <w:tcW w:w="3168" w:type="dxa"/>
          </w:tcPr>
          <w:p>
            <w:pPr>
              <w:spacing w:after="0"/>
              <w:rPr>
                <w:rFonts w:ascii="Calibri" w:hAnsi="Calibri" w:cs="Calibri"/>
                <w:sz w:val="16"/>
                <w:szCs w:val="16"/>
              </w:rPr>
            </w:pPr>
            <w:r>
              <w:rPr>
                <w:rFonts w:ascii="Calibri" w:hAnsi="Calibri" w:cs="Calibri"/>
                <w:sz w:val="16"/>
                <w:szCs w:val="16"/>
              </w:rPr>
              <w:t xml:space="preserve">FRPM.004.01, FRPM.026.01, FRPM.012.03, FRPM.019.01, FRPM.019.02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users</w:t>
            </w:r>
          </w:p>
        </w:tc>
        <w:tc>
          <w:tcPr>
            <w:tcW w:w="4176" w:type="dxa"/>
          </w:tcPr>
          <w:p>
            <w:pPr>
              <w:spacing w:after="0"/>
              <w:rPr>
                <w:rFonts w:ascii="Calibri" w:hAnsi="Calibri" w:cs="Calibri"/>
                <w:sz w:val="16"/>
                <w:szCs w:val="16"/>
              </w:rPr>
            </w:pPr>
            <w:r>
              <w:rPr>
                <w:rFonts w:ascii="Calibri" w:hAnsi="Calibri" w:cs="Calibri"/>
                <w:sz w:val="16"/>
                <w:szCs w:val="16"/>
              </w:rPr>
              <w:t xml:space="preserve">Marketing 485 (145 concurrent), MBS 5 (5), TSU 13 (13)</w:t>
            </w:r>
          </w:p>
        </w:tc>
        <w:tc>
          <w:tcPr>
            <w:tcW w:w="3168" w:type="dxa"/>
          </w:tcPr>
          <w:p>
            <w:pPr>
              <w:spacing w:after="0"/>
              <w:rPr>
                <w:rFonts w:ascii="Calibri" w:hAnsi="Calibri" w:cs="Calibri"/>
                <w:sz w:val="16"/>
                <w:szCs w:val="16"/>
              </w:rPr>
            </w:pPr>
            <w:r>
              <w:rPr>
                <w:rFonts w:ascii="Calibri" w:hAnsi="Calibri" w:cs="Calibri"/>
                <w:sz w:val="16"/>
                <w:szCs w:val="16"/>
              </w:rPr>
              <w:t xml:space="preserve">Annex T T-01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response</w:t>
            </w:r>
          </w:p>
        </w:tc>
        <w:tc>
          <w:tcPr>
            <w:tcW w:w="4176" w:type="dxa"/>
          </w:tcPr>
          <w:p>
            <w:pPr>
              <w:spacing w:after="0"/>
              <w:rPr>
                <w:rFonts w:ascii="Calibri" w:hAnsi="Calibri" w:cs="Calibri"/>
                <w:sz w:val="16"/>
                <w:szCs w:val="16"/>
              </w:rPr>
            </w:pPr>
            <w:r>
              <w:rPr>
                <w:rFonts w:ascii="Calibri" w:hAnsi="Calibri" w:cs="Calibri"/>
                <w:sz w:val="16"/>
                <w:szCs w:val="16"/>
              </w:rPr>
              <w:t xml:space="preserve">Expected response time under 5 seconds</w:t>
            </w:r>
          </w:p>
        </w:tc>
        <w:tc>
          <w:tcPr>
            <w:tcW w:w="3168" w:type="dxa"/>
          </w:tcPr>
          <w:p>
            <w:pPr>
              <w:spacing w:after="0"/>
              <w:rPr>
                <w:rFonts w:ascii="Calibri" w:hAnsi="Calibri" w:cs="Calibri"/>
                <w:sz w:val="16"/>
                <w:szCs w:val="16"/>
              </w:rPr>
            </w:pPr>
            <w:r>
              <w:rPr>
                <w:rFonts w:ascii="Calibri" w:hAnsi="Calibri" w:cs="Calibri"/>
                <w:sz w:val="16"/>
                <w:szCs w:val="16"/>
              </w:rPr>
              <w:t xml:space="preserve">Annex T T-03</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peak</w:t>
            </w:r>
          </w:p>
        </w:tc>
        <w:tc>
          <w:tcPr>
            <w:tcW w:w="4176" w:type="dxa"/>
          </w:tcPr>
          <w:p>
            <w:pPr>
              <w:spacing w:after="0"/>
              <w:rPr>
                <w:rFonts w:ascii="Calibri" w:hAnsi="Calibri" w:cs="Calibri"/>
                <w:sz w:val="16"/>
                <w:szCs w:val="16"/>
              </w:rPr>
            </w:pPr>
            <w:r>
              <w:rPr>
                <w:rFonts w:ascii="Calibri" w:hAnsi="Calibri" w:cs="Calibri"/>
                <w:sz w:val="16"/>
                <w:szCs w:val="16"/>
              </w:rPr>
              <w:t xml:space="preserve">Highest demand on the 15th and 30th; peak 08:00 to 17:30</w:t>
            </w:r>
          </w:p>
        </w:tc>
        <w:tc>
          <w:tcPr>
            <w:tcW w:w="3168" w:type="dxa"/>
          </w:tcPr>
          <w:p>
            <w:pPr>
              <w:spacing w:after="0"/>
              <w:rPr>
                <w:rFonts w:ascii="Calibri" w:hAnsi="Calibri" w:cs="Calibri"/>
                <w:sz w:val="16"/>
                <w:szCs w:val="16"/>
              </w:rPr>
            </w:pPr>
            <w:r>
              <w:rPr>
                <w:rFonts w:ascii="Calibri" w:hAnsi="Calibri" w:cs="Calibri"/>
                <w:sz w:val="16"/>
                <w:szCs w:val="16"/>
              </w:rPr>
              <w:t xml:space="preserve">Annex T T-06</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devices</w:t>
            </w:r>
          </w:p>
        </w:tc>
        <w:tc>
          <w:tcPr>
            <w:tcW w:w="4176" w:type="dxa"/>
          </w:tcPr>
          <w:p>
            <w:pPr>
              <w:spacing w:after="0"/>
              <w:rPr>
                <w:rFonts w:ascii="Calibri" w:hAnsi="Calibri" w:cs="Calibri"/>
                <w:sz w:val="16"/>
                <w:szCs w:val="16"/>
              </w:rPr>
            </w:pPr>
            <w:r>
              <w:rPr>
                <w:rFonts w:ascii="Calibri" w:hAnsi="Calibri" w:cs="Calibri"/>
                <w:sz w:val="16"/>
                <w:szCs w:val="16"/>
              </w:rPr>
              <w:t xml:space="preserve">Same speed on mobile and desktop</w:t>
            </w:r>
          </w:p>
        </w:tc>
        <w:tc>
          <w:tcPr>
            <w:tcW w:w="3168" w:type="dxa"/>
          </w:tcPr>
          <w:p>
            <w:pPr>
              <w:spacing w:after="0"/>
              <w:rPr>
                <w:rFonts w:ascii="Calibri" w:hAnsi="Calibri" w:cs="Calibri"/>
                <w:sz w:val="16"/>
                <w:szCs w:val="16"/>
              </w:rPr>
            </w:pPr>
            <w:r>
              <w:rPr>
                <w:rFonts w:ascii="Calibri" w:hAnsi="Calibri" w:cs="Calibri"/>
                <w:sz w:val="16"/>
                <w:szCs w:val="16"/>
              </w:rPr>
              <w:t xml:space="preserve">Annex T T-09</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availability</w:t>
            </w:r>
          </w:p>
        </w:tc>
        <w:tc>
          <w:tcPr>
            <w:tcW w:w="4176" w:type="dxa"/>
          </w:tcPr>
          <w:p>
            <w:pPr>
              <w:spacing w:after="0"/>
              <w:rPr>
                <w:rFonts w:ascii="Calibri" w:hAnsi="Calibri" w:cs="Calibri"/>
                <w:sz w:val="16"/>
                <w:szCs w:val="16"/>
              </w:rPr>
            </w:pPr>
            <w:r>
              <w:rPr>
                <w:rFonts w:ascii="Calibri" w:hAnsi="Calibri" w:cs="Calibri"/>
                <w:sz w:val="16"/>
                <w:szCs w:val="16"/>
              </w:rPr>
              <w:t xml:space="preserve">99.9%; used 07:00 to 18:30</w:t>
            </w:r>
          </w:p>
        </w:tc>
        <w:tc>
          <w:tcPr>
            <w:tcW w:w="3168" w:type="dxa"/>
          </w:tcPr>
          <w:p>
            <w:pPr>
              <w:spacing w:after="0"/>
              <w:rPr>
                <w:rFonts w:ascii="Calibri" w:hAnsi="Calibri" w:cs="Calibri"/>
                <w:sz w:val="16"/>
                <w:szCs w:val="16"/>
              </w:rPr>
            </w:pPr>
            <w:r>
              <w:rPr>
                <w:rFonts w:ascii="Calibri" w:hAnsi="Calibri" w:cs="Calibri"/>
                <w:sz w:val="16"/>
                <w:szCs w:val="16"/>
              </w:rPr>
              <w:t xml:space="preserve">Annex T T-07</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downtime</w:t>
            </w:r>
          </w:p>
        </w:tc>
        <w:tc>
          <w:tcPr>
            <w:tcW w:w="4176" w:type="dxa"/>
          </w:tcPr>
          <w:p>
            <w:pPr>
              <w:spacing w:after="0"/>
              <w:rPr>
                <w:rFonts w:ascii="Calibri" w:hAnsi="Calibri" w:cs="Calibri"/>
                <w:sz w:val="16"/>
                <w:szCs w:val="16"/>
              </w:rPr>
            </w:pPr>
            <w:r>
              <w:rPr>
                <w:rFonts w:ascii="Calibri" w:hAnsi="Calibri" w:cs="Calibri"/>
                <w:sz w:val="16"/>
                <w:szCs w:val="16"/>
              </w:rPr>
              <w:t xml:space="preserve">RTO 4 hours, RPO 24 hours</w:t>
            </w:r>
          </w:p>
        </w:tc>
        <w:tc>
          <w:tcPr>
            <w:tcW w:w="3168" w:type="dxa"/>
          </w:tcPr>
          <w:p>
            <w:pPr>
              <w:spacing w:after="0"/>
              <w:rPr>
                <w:rFonts w:ascii="Calibri" w:hAnsi="Calibri" w:cs="Calibri"/>
                <w:sz w:val="16"/>
                <w:szCs w:val="16"/>
              </w:rPr>
            </w:pPr>
            <w:r>
              <w:rPr>
                <w:rFonts w:ascii="Calibri" w:hAnsi="Calibri" w:cs="Calibri"/>
                <w:sz w:val="16"/>
                <w:szCs w:val="16"/>
              </w:rPr>
              <w:t xml:space="preserve">Annex T T-08</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maintenance</w:t>
            </w:r>
          </w:p>
        </w:tc>
        <w:tc>
          <w:tcPr>
            <w:tcW w:w="4176" w:type="dxa"/>
          </w:tcPr>
          <w:p>
            <w:pPr>
              <w:spacing w:after="0"/>
              <w:rPr>
                <w:rFonts w:ascii="Calibri" w:hAnsi="Calibri" w:cs="Calibri"/>
                <w:sz w:val="16"/>
                <w:szCs w:val="16"/>
              </w:rPr>
            </w:pPr>
            <w:r>
              <w:rPr>
                <w:rFonts w:ascii="Calibri" w:hAnsi="Calibri" w:cs="Calibri"/>
                <w:sz w:val="16"/>
                <w:szCs w:val="16"/>
              </w:rPr>
              <w:t xml:space="preserve">Maintenance times as per bank standard</w:t>
            </w:r>
          </w:p>
        </w:tc>
        <w:tc>
          <w:tcPr>
            <w:tcW w:w="3168" w:type="dxa"/>
          </w:tcPr>
          <w:p>
            <w:pPr>
              <w:spacing w:after="0"/>
              <w:rPr>
                <w:rFonts w:ascii="Calibri" w:hAnsi="Calibri" w:cs="Calibri"/>
                <w:sz w:val="16"/>
                <w:szCs w:val="16"/>
              </w:rPr>
            </w:pPr>
            <w:r>
              <w:rPr>
                <w:rFonts w:ascii="Calibri" w:hAnsi="Calibri" w:cs="Calibri"/>
                <w:sz w:val="16"/>
                <w:szCs w:val="16"/>
              </w:rPr>
              <w:t xml:space="preserve">Annex T T-18 (added in v1.3)</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tcPr>
          <w:p>
            <w:pPr>
              <w:keepNext/>
              <w:spacing w:after="0"/>
              <w:rPr>
                <w:rFonts w:ascii="Calibri" w:hAnsi="Calibri" w:cs="Calibri"/>
                <w:sz w:val="16"/>
                <w:szCs w:val="16"/>
              </w:rPr>
            </w:pPr>
            <w:r>
              <w:rPr>
                <w:rFonts w:ascii="Calibri" w:hAnsi="Calibri" w:cs="Calibri"/>
                <w:sz w:val="16"/>
                <w:szCs w:val="16"/>
              </w:rPr>
              <w:t xml:space="preserve">Non-functional: disaster</w:t>
            </w:r>
          </w:p>
        </w:tc>
        <w:tc>
          <w:tcPr>
            <w:tcW w:w="4176" w:type="dxa"/>
          </w:tcPr>
          <w:p>
            <w:pPr>
              <w:keepNext/>
              <w:spacing w:after="0"/>
              <w:rPr>
                <w:rFonts w:ascii="Calibri" w:hAnsi="Calibri" w:cs="Calibri"/>
                <w:sz w:val="16"/>
                <w:szCs w:val="16"/>
              </w:rPr>
            </w:pPr>
            <w:r>
              <w:rPr>
                <w:rFonts w:ascii="Calibri" w:hAnsi="Calibri" w:cs="Calibri"/>
                <w:sz w:val="16"/>
                <w:szCs w:val="16"/>
              </w:rPr>
              <w:t xml:space="preserve">Business continuity threshold RTO 4 hours, RPO 24 hours</w:t>
            </w:r>
          </w:p>
        </w:tc>
        <w:tc>
          <w:tcPr>
            <w:tcW w:w="3168" w:type="dxa"/>
          </w:tcPr>
          <w:p>
            <w:pPr>
              <w:keepNext/>
              <w:spacing w:after="0"/>
              <w:rPr>
                <w:rFonts w:ascii="Calibri" w:hAnsi="Calibri" w:cs="Calibri"/>
                <w:sz w:val="16"/>
                <w:szCs w:val="16"/>
              </w:rPr>
            </w:pPr>
            <w:r>
              <w:rPr>
                <w:rFonts w:ascii="Calibri" w:hAnsi="Calibri" w:cs="Calibri"/>
                <w:sz w:val="16"/>
                <w:szCs w:val="16"/>
              </w:rPr>
              <w:t xml:space="preserve">Annex T T-21 (added in v1.3)</w:t>
            </w:r>
          </w:p>
        </w:tc>
        <w:tc>
          <w:tcPr>
            <w:tcW w:w="1152" w:type="dxa"/>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tcPr>
          <w:p>
            <w:pPr>
              <w:keepNext/>
              <w:spacing w:after="0"/>
              <w:rPr>
                <w:rFonts w:ascii="Calibri" w:hAnsi="Calibri" w:cs="Calibri"/>
                <w:sz w:val="16"/>
                <w:szCs w:val="16"/>
              </w:rPr>
            </w:pPr>
            <w:r>
              <w:rPr>
                <w:rFonts w:ascii="Calibri" w:hAnsi="Calibri" w:cs="Calibri"/>
                <w:sz w:val="16"/>
                <w:szCs w:val="16"/>
              </w:rPr>
              <w:t xml:space="preserve">Programme NFR 10.07</w:t>
            </w:r>
          </w:p>
        </w:tc>
        <w:tc>
          <w:tcPr>
            <w:tcW w:w="4176" w:type="dxa"/>
          </w:tcPr>
          <w:p>
            <w:pPr>
              <w:keepNext/>
              <w:spacing w:after="0"/>
              <w:rPr>
                <w:rFonts w:ascii="Calibri" w:hAnsi="Calibri" w:cs="Calibri"/>
                <w:sz w:val="16"/>
                <w:szCs w:val="16"/>
              </w:rPr>
            </w:pPr>
            <w:r>
              <w:rPr>
                <w:rFonts w:ascii="Calibri" w:hAnsi="Calibri" w:cs="Calibri"/>
                <w:sz w:val="16"/>
                <w:szCs w:val="16"/>
              </w:rPr>
              <w:t xml:space="preserve">One session per device (Collections addendum)</w:t>
            </w:r>
          </w:p>
        </w:tc>
        <w:tc>
          <w:tcPr>
            <w:tcW w:w="3168" w:type="dxa"/>
          </w:tcPr>
          <w:p>
            <w:pPr>
              <w:keepNext/>
              <w:spacing w:after="0"/>
              <w:rPr>
                <w:rFonts w:ascii="Calibri" w:hAnsi="Calibri" w:cs="Calibri"/>
                <w:sz w:val="16"/>
                <w:szCs w:val="16"/>
              </w:rPr>
            </w:pPr>
            <w:r>
              <w:rPr>
                <w:rFonts w:ascii="Calibri" w:hAnsi="Calibri" w:cs="Calibri"/>
                <w:sz w:val="16"/>
                <w:szCs w:val="16"/>
              </w:rPr>
              <w:t xml:space="preserve">Annex T T-19 (added in v1.3); User Access Maintenance FRS</w:t>
            </w:r>
          </w:p>
        </w:tc>
        <w:tc>
          <w:tcPr>
            <w:tcW w:w="1152" w:type="dxa"/>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Programme NFR 4.03</w:t>
            </w:r>
          </w:p>
        </w:tc>
        <w:tc>
          <w:tcPr>
            <w:tcW w:w="4176" w:type="dxa"/>
          </w:tcPr>
          <w:p>
            <w:pPr>
              <w:spacing w:after="0"/>
              <w:rPr>
                <w:rFonts w:ascii="Calibri" w:hAnsi="Calibri" w:cs="Calibri"/>
                <w:sz w:val="16"/>
                <w:szCs w:val="16"/>
              </w:rPr>
            </w:pPr>
            <w:r>
              <w:rPr>
                <w:rFonts w:ascii="Calibri" w:hAnsi="Calibri" w:cs="Calibri"/>
                <w:sz w:val="16"/>
                <w:szCs w:val="16"/>
              </w:rPr>
              <w:t xml:space="preserve">Source / IP address in the audit log (CLM, CLXN, RI addenda)</w:t>
            </w:r>
          </w:p>
        </w:tc>
        <w:tc>
          <w:tcPr>
            <w:tcW w:w="3168" w:type="dxa"/>
          </w:tcPr>
          <w:p>
            <w:pPr>
              <w:spacing w:after="0"/>
              <w:rPr>
                <w:rFonts w:ascii="Calibri" w:hAnsi="Calibri" w:cs="Calibri"/>
                <w:sz w:val="16"/>
                <w:szCs w:val="16"/>
              </w:rPr>
            </w:pPr>
            <w:r>
              <w:rPr>
                <w:rFonts w:ascii="Calibri" w:hAnsi="Calibri" w:cs="Calibri"/>
                <w:sz w:val="16"/>
                <w:szCs w:val="16"/>
              </w:rPr>
              <w:t xml:space="preserve">Annex T T-20 (added in v1.3); FRPM.021.01</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