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19"/>
          <w:szCs w:val="19"/>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rPr>
          <w:rFonts w:ascii="Arial" w:hAnsi="Arial" w:cs="Arial"/>
          <w:sz w:val="19"/>
          <w:szCs w:val="19"/>
        </w:rPr>
      </w:pPr>
      <w:r>
        <w:rPr>
          <w:rFonts w:ascii="Arial" w:hAnsi="Arial" w:cs="Arial"/>
          <w:sz w:val="19"/>
          <w:szCs w:val="19"/>
        </w:rPr>
        <w:t xml:space="preserve">Cover and Document Revision Log: version 1.3; the entries of versions 1.0 to 1.2 unchanged.</w:t>
      </w:r>
    </w:p>
    <w:p>
      <w:pPr>
        <w:pStyle w:val="ListParagraph"/>
        <w:numPr>
          <w:ilvl w:val="0"/>
          <w:numId w:val="153"/>
        </w:numPr>
        <w:rPr>
          <w:rFonts w:ascii="Arial" w:hAnsi="Arial" w:cs="Arial"/>
          <w:sz w:val="19"/>
          <w:szCs w:val="19"/>
        </w:rPr>
      </w:pPr>
      <w:r>
        <w:rPr>
          <w:rFonts w:ascii="Arial" w:hAnsi="Arial" w:cs="Arial"/>
          <w:sz w:val="19"/>
          <w:szCs w:val="19"/>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rPr>
          <w:rFonts w:ascii="Arial" w:hAnsi="Arial" w:cs="Arial"/>
          <w:sz w:val="19"/>
          <w:szCs w:val="19"/>
        </w:rPr>
      </w:pPr>
      <w:r>
        <w:rPr>
          <w:rFonts w:ascii="Arial" w:hAnsi="Arial" w:cs="Arial"/>
          <w:sz w:val="19"/>
          <w:szCs w:val="19"/>
        </w:rPr>
        <w:t xml:space="preserve">Process Flow: the end-to-end process flow by actor and system opens section 4 (Figure 2), with the change requests tagged; the figures after it are numbered from Figure 3.</w:t>
      </w:r>
    </w:p>
    <w:p>
      <w:pPr>
        <w:pStyle w:val="ListParagraph"/>
        <w:numPr>
          <w:ilvl w:val="0"/>
          <w:numId w:val="153"/>
        </w:numPr>
        <w:rPr>
          <w:rFonts w:ascii="Arial" w:hAnsi="Arial" w:cs="Arial"/>
          <w:sz w:val="19"/>
          <w:szCs w:val="19"/>
        </w:rPr>
      </w:pPr>
      <w:r>
        <w:rPr>
          <w:rFonts w:ascii="Arial" w:hAnsi="Arial" w:cs="Arial"/>
          <w:sz w:val="19"/>
          <w:szCs w:val="19"/>
        </w:rPr>
        <w:t xml:space="preserve">Colour of the points not in the BRD: 8 points in green (available in BIBS) and the 5 change requests in orange where they are stated (FRPM items, Annexes M, P and T).</w:t>
      </w:r>
    </w:p>
    <w:p>
      <w:pPr>
        <w:pStyle w:val="ListParagraph"/>
        <w:numPr>
          <w:ilvl w:val="0"/>
          <w:numId w:val="153"/>
        </w:numPr>
        <w:rPr>
          <w:rFonts w:ascii="Arial" w:hAnsi="Arial" w:cs="Arial"/>
          <w:sz w:val="19"/>
          <w:szCs w:val="19"/>
        </w:rPr>
      </w:pPr>
      <w:r>
        <w:rPr>
          <w:rFonts w:ascii="Arial" w:hAnsi="Arial" w:cs="Arial"/>
          <w:sz w:val="19"/>
          <w:szCs w:val="19"/>
        </w:rPr>
        <w:t xml:space="preserve">Annex T: rows T-18 to T-21 for the BRD lines and programme NFRs not yet listed (4 gaps found in the BRD check). Annex X: one checklist point for the points beyond the BRD.</w:t>
      </w:r>
    </w:p>
    <w:p>
      <w:pPr>
        <w:pStyle w:val="ListParagraph"/>
        <w:numPr>
          <w:ilvl w:val="0"/>
          <w:numId w:val="153"/>
        </w:numPr>
        <w:rPr>
          <w:rFonts w:ascii="Arial" w:hAnsi="Arial" w:cs="Arial"/>
          <w:sz w:val="19"/>
          <w:szCs w:val="19"/>
        </w:rPr>
      </w:pPr>
      <w:r>
        <w:rPr>
          <w:rFonts w:ascii="Arial" w:hAnsi="Arial" w:cs="Arial"/>
          <w:sz w:val="19"/>
          <w:szCs w:val="19"/>
        </w:rPr>
        <w:t xml:space="preserve">New Annex Y: change requests with their effort (30 man-days), points beyond the BRD available in BIBS,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65</w:t>
          </w:r>
        </w:p>
        <w:p>
          <w:pPr>
            <w:pStyle w:val="TOC1"/>
            <w:tabs>
              <w:tab w:val="right" w:leader="dot" w:pos="9630"/>
            </w:tabs>
            <w:rPr>
              <w:rStyle w:val="Hyperlink"/>
            </w:rPr>
          </w:pPr>
          <w:r>
            <w:t xml:space="preserve">End-to-End Process Flow (all actors and systems)</w:t>
          </w:r>
          <w:r>
            <w:tab/>
          </w:r>
          <w:r>
            <w:t xml:space="preserve">65</w:t>
          </w:r>
        </w:p>
        <w:p>
          <w:pPr>
            <w:pStyle w:val="TOC1"/>
            <w:tabs>
              <w:tab w:val="right" w:leader="dot" w:pos="9630"/>
            </w:tabs>
            <w:rPr>
              <w:rStyle w:val="Hyperlink"/>
            </w:rPr>
          </w:pPr>
          <w:r>
            <w:t xml:space="preserve">Non-Package Request Process Flow</w:t>
          </w:r>
          <w:r>
            <w:tab/>
          </w:r>
          <w:r>
            <w:t xml:space="preserve">66</w:t>
          </w:r>
        </w:p>
        <w:p>
          <w:pPr>
            <w:pStyle w:val="TOC1"/>
            <w:tabs>
              <w:tab w:val="right" w:leader="dot" w:pos="9630"/>
            </w:tabs>
            <w:rPr>
              <w:rStyle w:val="Hyperlink"/>
            </w:rPr>
          </w:pPr>
          <w:r>
            <w:t xml:space="preserve">New Request Process Flow</w:t>
          </w:r>
          <w:r>
            <w:tab/>
          </w:r>
          <w:r>
            <w:t xml:space="preserve">67</w:t>
          </w:r>
        </w:p>
        <w:p>
          <w:pPr>
            <w:pStyle w:val="TOC1"/>
            <w:tabs>
              <w:tab w:val="right" w:leader="dot" w:pos="9630"/>
            </w:tabs>
            <w:rPr>
              <w:rStyle w:val="Hyperlink"/>
            </w:rPr>
          </w:pPr>
          <w:r>
            <w:t xml:space="preserve">Package Set-up, Validation and Release Process Flow</w:t>
          </w:r>
          <w:r>
            <w:tab/>
          </w:r>
          <w:r>
            <w:t xml:space="preserve">68</w:t>
          </w:r>
        </w:p>
        <w:p>
          <w:pPr>
            <w:pStyle w:val="TOC1"/>
            <w:tabs>
              <w:tab w:val="right" w:leader="dot" w:pos="9630"/>
            </w:tabs>
            <w:rPr>
              <w:rStyle w:val="Hyperlink"/>
            </w:rPr>
          </w:pPr>
          <w:r>
            <w:t xml:space="preserve">Package Expiry, Renewal and Deactivation Process Flow</w:t>
          </w:r>
          <w:r>
            <w:tab/>
          </w:r>
          <w:r>
            <w:t xml:space="preserve">69</w:t>
          </w:r>
        </w:p>
        <w:p>
          <w:pPr>
            <w:pStyle w:val="TOC1"/>
            <w:tabs>
              <w:tab w:val="right" w:leader="dot" w:pos="9630"/>
            </w:tabs>
            <w:rPr>
              <w:rStyle w:val="Hyperlink"/>
            </w:rPr>
          </w:pPr>
          <w:r>
            <w:t xml:space="preserve">Rate Exception Process Flow (New Business on a Package)</w:t>
          </w:r>
          <w:r>
            <w:tab/>
          </w:r>
          <w:r>
            <w:t xml:space="preserve">70</w:t>
          </w:r>
        </w:p>
        <w:p>
          <w:pPr>
            <w:pStyle w:val="TOC1"/>
            <w:tabs>
              <w:tab w:val="right" w:leader="dot" w:pos="9630"/>
            </w:tabs>
            <w:rPr>
              <w:rStyle w:val="Hyperlink"/>
            </w:rPr>
          </w:pPr>
          <w:r>
            <w:t xml:space="preserve">Package Request and Approval Process Flow (Marketing and TSU)</w:t>
          </w:r>
          <w:r>
            <w:tab/>
          </w:r>
          <w:r>
            <w:t xml:space="preserve">71</w:t>
          </w:r>
        </w:p>
        <w:p>
          <w:pPr>
            <w:pStyle w:val="TOC1"/>
            <w:tabs>
              <w:tab w:val="right" w:leader="dot" w:pos="9630"/>
            </w:tabs>
            <w:rPr>
              <w:rStyle w:val="Hyperlink"/>
            </w:rPr>
          </w:pPr>
          <w:r>
            <w:t xml:space="preserve">Negotiation, Comparative Table and Terms Review Process Flow</w:t>
          </w:r>
          <w:r>
            <w:tab/>
          </w:r>
          <w:r>
            <w:t xml:space="preserve">72</w:t>
          </w:r>
        </w:p>
        <w:p>
          <w:pPr>
            <w:pStyle w:val="TOC1"/>
            <w:tabs>
              <w:tab w:val="right" w:leader="dot" w:pos="9630"/>
            </w:tabs>
            <w:rPr>
              <w:rStyle w:val="Hyperlink"/>
            </w:rPr>
          </w:pPr>
          <w:r>
            <w:t xml:space="preserve">Product Master Maintenance Process Flow (Maker-Checker)</w:t>
          </w:r>
          <w:r>
            <w:tab/>
          </w:r>
          <w:r>
            <w:t xml:space="preserve">73</w:t>
          </w:r>
        </w:p>
        <w:p>
          <w:pPr>
            <w:pStyle w:val="TOC1"/>
            <w:tabs>
              <w:tab w:val="right" w:leader="dot" w:pos="9630"/>
            </w:tabs>
            <w:rPr>
              <w:rStyle w:val="Hyperlink"/>
            </w:rPr>
          </w:pPr>
          <w:r>
            <w:t xml:space="preserve">Status Life-cycles</w:t>
          </w:r>
          <w:r>
            <w:tab/>
          </w:r>
          <w:r>
            <w:t xml:space="preserve">74</w:t>
          </w:r>
        </w:p>
        <w:p>
          <w:pPr>
            <w:pStyle w:val="TOC1"/>
            <w:tabs>
              <w:tab w:val="right" w:leader="dot" w:pos="9630"/>
            </w:tabs>
            <w:rPr>
              <w:rStyle w:val="Hyperlink"/>
            </w:rPr>
          </w:pPr>
          <w:r>
            <w:t xml:space="preserve">Integration Context Diagram</w:t>
          </w:r>
          <w:r>
            <w:tab/>
          </w:r>
          <w:r>
            <w:t xml:space="preserve">76</w:t>
          </w:r>
        </w:p>
        <w:p>
          <w:pPr>
            <w:pStyle w:val="TOC1"/>
            <w:tabs>
              <w:tab w:val="right" w:leader="dot" w:pos="9630"/>
            </w:tabs>
            <w:rPr>
              <w:rStyle w:val="Hyperlink"/>
            </w:rPr>
          </w:pPr>
          <w:r>
            <w:t xml:space="preserve">Signoff Sheet</w:t>
          </w:r>
          <w:r>
            <w:tab/>
          </w:r>
          <w:r>
            <w:t xml:space="preserve">77</w:t>
          </w:r>
        </w:p>
        <w:p>
          <w:pPr>
            <w:pStyle w:val="TOC1"/>
            <w:tabs>
              <w:tab w:val="right" w:leader="dot" w:pos="9630"/>
            </w:tabs>
            <w:rPr>
              <w:rStyle w:val="Hyperlink"/>
            </w:rPr>
          </w:pPr>
          <w:r>
            <w:t xml:space="preserve">Annex A – Package Product Fields</w:t>
          </w:r>
          <w:r>
            <w:tab/>
          </w:r>
          <w:r>
            <w:t xml:space="preserve">78</w:t>
          </w:r>
        </w:p>
        <w:p>
          <w:pPr>
            <w:pStyle w:val="TOC1"/>
            <w:tabs>
              <w:tab w:val="right" w:leader="dot" w:pos="9630"/>
            </w:tabs>
            <w:rPr>
              <w:rStyle w:val="Hyperlink"/>
            </w:rPr>
          </w:pPr>
          <w:r>
            <w:t xml:space="preserve">Annex B – Non-Package Product Fields</w:t>
          </w:r>
          <w:r>
            <w:tab/>
          </w:r>
          <w:r>
            <w:t xml:space="preserve">80</w:t>
          </w:r>
        </w:p>
        <w:p>
          <w:pPr>
            <w:pStyle w:val="TOC1"/>
            <w:tabs>
              <w:tab w:val="right" w:leader="dot" w:pos="9630"/>
            </w:tabs>
            <w:rPr>
              <w:rStyle w:val="Hyperlink"/>
            </w:rPr>
          </w:pPr>
          <w:r>
            <w:t xml:space="preserve">Annex C – Non-Package Quotation Request Fields</w:t>
          </w:r>
          <w:r>
            <w:tab/>
          </w:r>
          <w:r>
            <w:t xml:space="preserve">84</w:t>
          </w:r>
        </w:p>
        <w:p>
          <w:pPr>
            <w:pStyle w:val="TOC1"/>
            <w:tabs>
              <w:tab w:val="right" w:leader="dot" w:pos="9630"/>
            </w:tabs>
            <w:rPr>
              <w:rStyle w:val="Hyperlink"/>
            </w:rPr>
          </w:pPr>
          <w:r>
            <w:t xml:space="preserve">Annex D – Non-Package Quotation Slip Templates</w:t>
          </w:r>
          <w:r>
            <w:tab/>
          </w:r>
          <w:r>
            <w:t xml:space="preserve">88</w:t>
          </w:r>
        </w:p>
        <w:p>
          <w:pPr>
            <w:pStyle w:val="TOC1"/>
            <w:tabs>
              <w:tab w:val="right" w:leader="dot" w:pos="9630"/>
            </w:tabs>
            <w:rPr>
              <w:rStyle w:val="Hyperlink"/>
            </w:rPr>
          </w:pPr>
          <w:r>
            <w:t xml:space="preserve">Annex E – Package Request Fields</w:t>
          </w:r>
          <w:r>
            <w:tab/>
          </w:r>
          <w:r>
            <w:t xml:space="preserve">88</w:t>
          </w:r>
        </w:p>
        <w:p>
          <w:pPr>
            <w:pStyle w:val="TOC1"/>
            <w:tabs>
              <w:tab w:val="right" w:leader="dot" w:pos="9630"/>
            </w:tabs>
            <w:rPr>
              <w:rStyle w:val="Hyperlink"/>
            </w:rPr>
          </w:pPr>
          <w:r>
            <w:t xml:space="preserve">Annex F– Package Quotation Slip Templates</w:t>
          </w:r>
          <w:r>
            <w:tab/>
          </w:r>
          <w:r>
            <w:t xml:space="preserve">90</w:t>
          </w:r>
        </w:p>
        <w:p>
          <w:pPr>
            <w:pStyle w:val="TOC1"/>
            <w:tabs>
              <w:tab w:val="right" w:leader="dot" w:pos="9630"/>
            </w:tabs>
            <w:rPr>
              <w:rStyle w:val="Hyperlink"/>
            </w:rPr>
          </w:pPr>
          <w:r>
            <w:t xml:space="preserve">Annex G – Screen Specifications</w:t>
          </w:r>
          <w:r>
            <w:tab/>
          </w:r>
          <w:r>
            <w:t xml:space="preserve">91</w:t>
          </w:r>
        </w:p>
        <w:p>
          <w:pPr>
            <w:pStyle w:val="TOC2"/>
            <w:tabs>
              <w:tab w:val="right" w:leader="dot" w:pos="9630"/>
            </w:tabs>
            <w:rPr>
              <w:rStyle w:val="Hyperlink"/>
            </w:rPr>
          </w:pPr>
          <w:r>
            <w:t xml:space="preserve">G.1 Product Maintenance Home (SCR-PM-01)</w:t>
          </w:r>
          <w:r>
            <w:tab/>
          </w:r>
          <w:r>
            <w:t xml:space="preserve">91</w:t>
          </w:r>
        </w:p>
        <w:p>
          <w:pPr>
            <w:pStyle w:val="TOC2"/>
            <w:tabs>
              <w:tab w:val="right" w:leader="dot" w:pos="9630"/>
            </w:tabs>
            <w:rPr>
              <w:rStyle w:val="Hyperlink"/>
            </w:rPr>
          </w:pPr>
          <w:r>
            <w:t xml:space="preserve">G.2 Package Requests (SCR-PM-02)</w:t>
          </w:r>
          <w:r>
            <w:tab/>
          </w:r>
          <w:r>
            <w:t xml:space="preserve">93</w:t>
          </w:r>
        </w:p>
        <w:p>
          <w:pPr>
            <w:pStyle w:val="TOC2"/>
            <w:tabs>
              <w:tab w:val="right" w:leader="dot" w:pos="9630"/>
            </w:tabs>
            <w:rPr>
              <w:rStyle w:val="Hyperlink"/>
            </w:rPr>
          </w:pPr>
          <w:r>
            <w:t xml:space="preserve">G.3 New Package Request and Edit Package Request (SCR-PM-03)</w:t>
          </w:r>
          <w:r>
            <w:tab/>
          </w:r>
          <w:r>
            <w:t xml:space="preserve">94</w:t>
          </w:r>
        </w:p>
        <w:p>
          <w:pPr>
            <w:pStyle w:val="TOC2"/>
            <w:tabs>
              <w:tab w:val="right" w:leader="dot" w:pos="9630"/>
            </w:tabs>
            <w:rPr>
              <w:rStyle w:val="Hyperlink"/>
            </w:rPr>
          </w:pPr>
          <w:r>
            <w:t xml:space="preserve">G.4 Package Request record (SCR-PM-04)</w:t>
          </w:r>
          <w:r>
            <w:tab/>
          </w:r>
          <w:r>
            <w:t xml:space="preserve">98</w:t>
          </w:r>
        </w:p>
        <w:p>
          <w:pPr>
            <w:pStyle w:val="TOC2"/>
            <w:tabs>
              <w:tab w:val="right" w:leader="dot" w:pos="9630"/>
            </w:tabs>
            <w:rPr>
              <w:rStyle w:val="Hyperlink"/>
            </w:rPr>
          </w:pPr>
          <w:r>
            <w:t xml:space="preserve">G.5 Package Request record: Negotiation tab (SCR-PM-05)</w:t>
          </w:r>
          <w:r>
            <w:tab/>
          </w:r>
          <w:r>
            <w:t xml:space="preserve">101</w:t>
          </w:r>
        </w:p>
        <w:p>
          <w:pPr>
            <w:pStyle w:val="TOC2"/>
            <w:tabs>
              <w:tab w:val="right" w:leader="dot" w:pos="9630"/>
            </w:tabs>
            <w:rPr>
              <w:rStyle w:val="Hyperlink"/>
            </w:rPr>
          </w:pPr>
          <w:r>
            <w:t xml:space="preserve">G.6 Package Request record: Comparative tab (SCR-PM-06)</w:t>
          </w:r>
          <w:r>
            <w:tab/>
          </w:r>
          <w:r>
            <w:t xml:space="preserve">104</w:t>
          </w:r>
        </w:p>
        <w:p>
          <w:pPr>
            <w:pStyle w:val="TOC2"/>
            <w:tabs>
              <w:tab w:val="right" w:leader="dot" w:pos="9630"/>
            </w:tabs>
            <w:rPr>
              <w:rStyle w:val="Hyperlink"/>
            </w:rPr>
          </w:pPr>
          <w:r>
            <w:t xml:space="preserve">G.7 Package Request record: Requirements &amp; Sign-off tab (SCR-PM-07)</w:t>
          </w:r>
          <w:r>
            <w:tab/>
          </w:r>
          <w:r>
            <w:t xml:space="preserve">106</w:t>
          </w:r>
        </w:p>
        <w:p>
          <w:pPr>
            <w:pStyle w:val="TOC2"/>
            <w:tabs>
              <w:tab w:val="right" w:leader="dot" w:pos="9630"/>
            </w:tabs>
            <w:rPr>
              <w:rStyle w:val="Hyperlink"/>
            </w:rPr>
          </w:pPr>
          <w:r>
            <w:t xml:space="preserve">G.8 Package Request record: Set-up and Advisories tabs (SCR-PM-08)</w:t>
          </w:r>
          <w:r>
            <w:tab/>
          </w:r>
          <w:r>
            <w:t xml:space="preserve">108</w:t>
          </w:r>
        </w:p>
        <w:p>
          <w:pPr>
            <w:pStyle w:val="TOC2"/>
            <w:tabs>
              <w:tab w:val="right" w:leader="dot" w:pos="9630"/>
            </w:tabs>
            <w:rPr>
              <w:rStyle w:val="Hyperlink"/>
            </w:rPr>
          </w:pPr>
          <w:r>
            <w:t xml:space="preserve">G.9 TSU Workbench (SCR-PM-09)</w:t>
          </w:r>
          <w:r>
            <w:tab/>
          </w:r>
          <w:r>
            <w:t xml:space="preserve">110</w:t>
          </w:r>
        </w:p>
        <w:p>
          <w:pPr>
            <w:pStyle w:val="TOC2"/>
            <w:tabs>
              <w:tab w:val="right" w:leader="dot" w:pos="9630"/>
            </w:tabs>
            <w:rPr>
              <w:rStyle w:val="Hyperlink"/>
            </w:rPr>
          </w:pPr>
          <w:r>
            <w:t xml:space="preserve">G.10 Package Expiry (SCR-PM-10)</w:t>
          </w:r>
          <w:r>
            <w:tab/>
          </w:r>
          <w:r>
            <w:t xml:space="preserve">112</w:t>
          </w:r>
        </w:p>
        <w:p>
          <w:pPr>
            <w:pStyle w:val="TOC2"/>
            <w:tabs>
              <w:tab w:val="right" w:leader="dot" w:pos="9630"/>
            </w:tabs>
            <w:rPr>
              <w:rStyle w:val="Hyperlink"/>
            </w:rPr>
          </w:pPr>
          <w:r>
            <w:t xml:space="preserve">G.11 Products (SCR-PM-11)</w:t>
          </w:r>
          <w:r>
            <w:tab/>
          </w:r>
          <w:r>
            <w:t xml:space="preserve">112</w:t>
          </w:r>
        </w:p>
        <w:p>
          <w:pPr>
            <w:pStyle w:val="TOC2"/>
            <w:tabs>
              <w:tab w:val="right" w:leader="dot" w:pos="9630"/>
            </w:tabs>
            <w:rPr>
              <w:rStyle w:val="Hyperlink"/>
            </w:rPr>
          </w:pPr>
          <w:r>
            <w:t xml:space="preserve">G.12 Product record (SCR-PM-12)</w:t>
          </w:r>
          <w:r>
            <w:tab/>
          </w:r>
          <w:r>
            <w:t xml:space="preserve">116</w:t>
          </w:r>
        </w:p>
        <w:p>
          <w:pPr>
            <w:pStyle w:val="TOC2"/>
            <w:tabs>
              <w:tab w:val="right" w:leader="dot" w:pos="9630"/>
            </w:tabs>
            <w:rPr>
              <w:rStyle w:val="Hyperlink"/>
            </w:rPr>
          </w:pPr>
          <w:r>
            <w:t xml:space="preserve">G.13 Package Version (SCR-PM-13)</w:t>
          </w:r>
          <w:r>
            <w:tab/>
          </w:r>
          <w:r>
            <w:t xml:space="preserve">118</w:t>
          </w:r>
        </w:p>
        <w:p>
          <w:pPr>
            <w:pStyle w:val="TOC2"/>
            <w:tabs>
              <w:tab w:val="right" w:leader="dot" w:pos="9630"/>
            </w:tabs>
            <w:rPr>
              <w:rStyle w:val="Hyperlink"/>
            </w:rPr>
          </w:pPr>
          <w:r>
            <w:t xml:space="preserve">G.14 Validation Queue (SCR-PM-14)</w:t>
          </w:r>
          <w:r>
            <w:tab/>
          </w:r>
          <w:r>
            <w:t xml:space="preserve">121</w:t>
          </w:r>
        </w:p>
        <w:p>
          <w:pPr>
            <w:pStyle w:val="TOC2"/>
            <w:tabs>
              <w:tab w:val="right" w:leader="dot" w:pos="9630"/>
            </w:tabs>
            <w:rPr>
              <w:rStyle w:val="Hyperlink"/>
            </w:rPr>
          </w:pPr>
          <w:r>
            <w:t xml:space="preserve">G.15 Coverages &amp; Clauses (SCR-PM-15)</w:t>
          </w:r>
          <w:r>
            <w:tab/>
          </w:r>
          <w:r>
            <w:t xml:space="preserve">122</w:t>
          </w:r>
        </w:p>
        <w:p>
          <w:pPr>
            <w:pStyle w:val="TOC2"/>
            <w:tabs>
              <w:tab w:val="right" w:leader="dot" w:pos="9630"/>
            </w:tabs>
            <w:rPr>
              <w:rStyle w:val="Hyperlink"/>
            </w:rPr>
          </w:pPr>
          <w:r>
            <w:t xml:space="preserve">G.16 Incentive Criteria (SCR-PM-16)</w:t>
          </w:r>
          <w:r>
            <w:tab/>
          </w:r>
          <w:r>
            <w:t xml:space="preserve">123</w:t>
          </w:r>
        </w:p>
        <w:p>
          <w:pPr>
            <w:pStyle w:val="TOC2"/>
            <w:tabs>
              <w:tab w:val="right" w:leader="dot" w:pos="9630"/>
            </w:tabs>
            <w:rPr>
              <w:rStyle w:val="Hyperlink"/>
            </w:rPr>
          </w:pPr>
          <w:r>
            <w:t xml:space="preserve">G.17 Insurers (SCR-PM-17)</w:t>
          </w:r>
          <w:r>
            <w:tab/>
          </w:r>
          <w:r>
            <w:t xml:space="preserve">124</w:t>
          </w:r>
        </w:p>
        <w:p>
          <w:pPr>
            <w:pStyle w:val="TOC2"/>
            <w:tabs>
              <w:tab w:val="right" w:leader="dot" w:pos="9630"/>
            </w:tabs>
            <w:rPr>
              <w:rStyle w:val="Hyperlink"/>
            </w:rPr>
          </w:pPr>
          <w:r>
            <w:t xml:space="preserve">G.18 Insurer record (SCR-PM-18)</w:t>
          </w:r>
          <w:r>
            <w:tab/>
          </w:r>
          <w:r>
            <w:t xml:space="preserve">126</w:t>
          </w:r>
        </w:p>
        <w:p>
          <w:pPr>
            <w:pStyle w:val="TOC2"/>
            <w:tabs>
              <w:tab w:val="right" w:leader="dot" w:pos="9630"/>
            </w:tabs>
            <w:rPr>
              <w:rStyle w:val="Hyperlink"/>
            </w:rPr>
          </w:pPr>
          <w:r>
            <w:t xml:space="preserve">G.19 Rates &amp; Taxes (SCR-PM-19)</w:t>
          </w:r>
          <w:r>
            <w:tab/>
          </w:r>
          <w:r>
            <w:t xml:space="preserve">128</w:t>
          </w:r>
        </w:p>
        <w:p>
          <w:pPr>
            <w:pStyle w:val="TOC2"/>
            <w:tabs>
              <w:tab w:val="right" w:leader="dot" w:pos="9630"/>
            </w:tabs>
            <w:rPr>
              <w:rStyle w:val="Hyperlink"/>
            </w:rPr>
          </w:pPr>
          <w:r>
            <w:t xml:space="preserve">G.20 Sales Organisation (SCR-PM-20)</w:t>
          </w:r>
          <w:r>
            <w:tab/>
          </w:r>
          <w:r>
            <w:t xml:space="preserve">129</w:t>
          </w:r>
        </w:p>
        <w:p>
          <w:pPr>
            <w:pStyle w:val="TOC2"/>
            <w:tabs>
              <w:tab w:val="right" w:leader="dot" w:pos="9630"/>
            </w:tabs>
            <w:rPr>
              <w:rStyle w:val="Hyperlink"/>
            </w:rPr>
          </w:pPr>
          <w:r>
            <w:t xml:space="preserve">G.21 Premium Calculator (SCR-PM-21)</w:t>
          </w:r>
          <w:r>
            <w:tab/>
          </w:r>
          <w:r>
            <w:t xml:space="preserve">131</w:t>
          </w:r>
        </w:p>
        <w:p>
          <w:pPr>
            <w:pStyle w:val="TOC2"/>
            <w:tabs>
              <w:tab w:val="right" w:leader="dot" w:pos="9630"/>
            </w:tabs>
            <w:rPr>
              <w:rStyle w:val="Hyperlink"/>
            </w:rPr>
          </w:pPr>
          <w:r>
            <w:t xml:space="preserve">G.22 Quotation: package rate scheme and rate exception (SCR-PM-22)</w:t>
          </w:r>
          <w:r>
            <w:tab/>
          </w:r>
          <w:r>
            <w:t xml:space="preserve">134</w:t>
          </w:r>
        </w:p>
        <w:p>
          <w:pPr>
            <w:pStyle w:val="TOC2"/>
            <w:tabs>
              <w:tab w:val="right" w:leader="dot" w:pos="9630"/>
            </w:tabs>
            <w:rPr>
              <w:rStyle w:val="Hyperlink"/>
            </w:rPr>
          </w:pPr>
          <w:r>
            <w:t xml:space="preserve">G.23 Product Maintenance Dashboard (SCR-PM-23)</w:t>
          </w:r>
          <w:r>
            <w:tab/>
          </w:r>
          <w:r>
            <w:t xml:space="preserve">136</w:t>
          </w:r>
        </w:p>
        <w:p>
          <w:pPr>
            <w:pStyle w:val="TOC2"/>
            <w:tabs>
              <w:tab w:val="right" w:leader="dot" w:pos="9630"/>
            </w:tabs>
            <w:rPr>
              <w:rStyle w:val="Hyperlink"/>
            </w:rPr>
          </w:pPr>
          <w:r>
            <w:t xml:space="preserve">G.24 Deactivation Requests (SCR-PM-24)</w:t>
          </w:r>
          <w:r>
            <w:tab/>
          </w:r>
          <w:r>
            <w:t xml:space="preserve">138</w:t>
          </w:r>
        </w:p>
        <w:p>
          <w:pPr>
            <w:pStyle w:val="TOC2"/>
            <w:tabs>
              <w:tab w:val="right" w:leader="dot" w:pos="9630"/>
            </w:tabs>
            <w:rPr>
              <w:rStyle w:val="Hyperlink"/>
            </w:rPr>
          </w:pPr>
          <w:r>
            <w:t xml:space="preserve">G.25 Product Master Transfers (SCR-PM-25)</w:t>
          </w:r>
          <w:r>
            <w:tab/>
          </w:r>
          <w:r>
            <w:t xml:space="preserve">140</w:t>
          </w:r>
        </w:p>
        <w:p>
          <w:pPr>
            <w:pStyle w:val="TOC2"/>
            <w:tabs>
              <w:tab w:val="right" w:leader="dot" w:pos="9630"/>
            </w:tabs>
            <w:rPr>
              <w:rStyle w:val="Hyperlink"/>
            </w:rPr>
          </w:pPr>
          <w:r>
            <w:t xml:space="preserve">G.26 Placement Update Reports (SCR-PM-26)</w:t>
          </w:r>
          <w:r>
            <w:tab/>
          </w:r>
          <w:r>
            <w:t xml:space="preserve">141</w:t>
          </w:r>
        </w:p>
        <w:p>
          <w:pPr>
            <w:pStyle w:val="TOC2"/>
            <w:tabs>
              <w:tab w:val="right" w:leader="dot" w:pos="9630"/>
            </w:tabs>
            <w:rPr>
              <w:rStyle w:val="Hyperlink"/>
            </w:rPr>
          </w:pPr>
          <w:r>
            <w:t xml:space="preserve">G.27 Audit Logs (SCR-PM-27)</w:t>
          </w:r>
          <w:r>
            <w:tab/>
          </w:r>
          <w:r>
            <w:t xml:space="preserve">142</w:t>
          </w:r>
        </w:p>
        <w:p>
          <w:pPr>
            <w:pStyle w:val="TOC2"/>
            <w:tabs>
              <w:tab w:val="right" w:leader="dot" w:pos="9630"/>
            </w:tabs>
            <w:rPr>
              <w:rStyle w:val="Hyperlink"/>
            </w:rPr>
          </w:pPr>
          <w:r>
            <w:t xml:space="preserve">G.28 Proposal request: Comparative Table, proposal slips and client response (SCR-PM-28)</w:t>
          </w:r>
          <w:r>
            <w:tab/>
          </w:r>
          <w:r>
            <w:t xml:space="preserve">144</w:t>
          </w:r>
        </w:p>
        <w:p>
          <w:pPr>
            <w:pStyle w:val="TOC2"/>
            <w:tabs>
              <w:tab w:val="right" w:leader="dot" w:pos="9630"/>
            </w:tabs>
            <w:rPr>
              <w:rStyle w:val="Hyperlink"/>
            </w:rPr>
          </w:pPr>
          <w:r>
            <w:t xml:space="preserve">G.29 Package Request record: Routing &amp; Approvals tab (SCR-PM-29)</w:t>
          </w:r>
          <w:r>
            <w:tab/>
          </w:r>
          <w:r>
            <w:t xml:space="preserve">146</w:t>
          </w:r>
        </w:p>
        <w:p>
          <w:pPr>
            <w:pStyle w:val="TOC2"/>
            <w:tabs>
              <w:tab w:val="right" w:leader="dot" w:pos="9630"/>
            </w:tabs>
            <w:rPr>
              <w:rStyle w:val="Hyperlink"/>
            </w:rPr>
          </w:pPr>
          <w:r>
            <w:t xml:space="preserve">G.30 Navigation: menu by persona</w:t>
          </w:r>
          <w:r>
            <w:tab/>
          </w:r>
          <w:r>
            <w:t xml:space="preserve">149</w:t>
          </w:r>
        </w:p>
        <w:p>
          <w:pPr>
            <w:pStyle w:val="TOC1"/>
            <w:tabs>
              <w:tab w:val="right" w:leader="dot" w:pos="9630"/>
            </w:tabs>
            <w:rPr>
              <w:rStyle w:val="Hyperlink"/>
            </w:rPr>
          </w:pPr>
          <w:r>
            <w:t xml:space="preserve">Annex H – Messages and Validations</w:t>
          </w:r>
          <w:r>
            <w:tab/>
          </w:r>
          <w:r>
            <w:t xml:space="preserve">150</w:t>
          </w:r>
        </w:p>
        <w:p>
          <w:pPr>
            <w:pStyle w:val="TOC1"/>
            <w:tabs>
              <w:tab w:val="right" w:leader="dot" w:pos="9630"/>
            </w:tabs>
            <w:rPr>
              <w:rStyle w:val="Hyperlink"/>
            </w:rPr>
          </w:pPr>
          <w:r>
            <w:t xml:space="preserve">Annex I – Notifications and E-mails</w:t>
          </w:r>
          <w:r>
            <w:tab/>
          </w:r>
          <w:r>
            <w:t xml:space="preserve">164</w:t>
          </w:r>
        </w:p>
        <w:p>
          <w:pPr>
            <w:pStyle w:val="TOC1"/>
            <w:tabs>
              <w:tab w:val="right" w:leader="dot" w:pos="9630"/>
            </w:tabs>
            <w:rPr>
              <w:rStyle w:val="Hyperlink"/>
            </w:rPr>
          </w:pPr>
          <w:r>
            <w:t xml:space="preserve">Annex J – Business Rules and Configurable Parameters</w:t>
          </w:r>
          <w:r>
            <w:tab/>
          </w:r>
          <w:r>
            <w:t xml:space="preserve">166</w:t>
          </w:r>
        </w:p>
        <w:p>
          <w:pPr>
            <w:pStyle w:val="TOC2"/>
            <w:tabs>
              <w:tab w:val="right" w:leader="dot" w:pos="9630"/>
            </w:tabs>
            <w:rPr>
              <w:rStyle w:val="Hyperlink"/>
            </w:rPr>
          </w:pPr>
          <w:r>
            <w:t xml:space="preserve">J.1 Business rules</w:t>
          </w:r>
          <w:r>
            <w:tab/>
          </w:r>
          <w:r>
            <w:t xml:space="preserve">166</w:t>
          </w:r>
        </w:p>
        <w:p>
          <w:pPr>
            <w:pStyle w:val="TOC2"/>
            <w:tabs>
              <w:tab w:val="right" w:leader="dot" w:pos="9630"/>
            </w:tabs>
            <w:rPr>
              <w:rStyle w:val="Hyperlink"/>
            </w:rPr>
          </w:pPr>
          <w:r>
            <w:t xml:space="preserve">J.2 Configurable parameters</w:t>
          </w:r>
          <w:r>
            <w:tab/>
          </w:r>
          <w:r>
            <w:t xml:space="preserve">166</w:t>
          </w:r>
        </w:p>
        <w:p>
          <w:pPr>
            <w:pStyle w:val="TOC2"/>
            <w:tabs>
              <w:tab w:val="right" w:leader="dot" w:pos="9630"/>
            </w:tabs>
            <w:rPr>
              <w:rStyle w:val="Hyperlink"/>
            </w:rPr>
          </w:pPr>
          <w:r>
            <w:t xml:space="preserve">J.3 Lists of values</w:t>
          </w:r>
          <w:r>
            <w:tab/>
          </w:r>
          <w:r>
            <w:t xml:space="preserve">167</w:t>
          </w:r>
        </w:p>
        <w:p>
          <w:pPr>
            <w:pStyle w:val="TOC2"/>
            <w:tabs>
              <w:tab w:val="right" w:leader="dot" w:pos="9630"/>
            </w:tabs>
            <w:rPr>
              <w:rStyle w:val="Hyperlink"/>
            </w:rPr>
          </w:pPr>
          <w:r>
            <w:t xml:space="preserve">J.4 Workflow stages and service levels</w:t>
          </w:r>
          <w:r>
            <w:tab/>
          </w:r>
          <w:r>
            <w:t xml:space="preserve">167</w:t>
          </w:r>
        </w:p>
        <w:p>
          <w:pPr>
            <w:pStyle w:val="TOC2"/>
            <w:tabs>
              <w:tab w:val="right" w:leader="dot" w:pos="9630"/>
            </w:tabs>
            <w:rPr>
              <w:rStyle w:val="Hyperlink"/>
            </w:rPr>
          </w:pPr>
          <w:r>
            <w:t xml:space="preserve">J.5 Proposed role-to-action matrix</w:t>
          </w:r>
          <w:r>
            <w:tab/>
          </w:r>
          <w:r>
            <w:t xml:space="preserve">167</w:t>
          </w:r>
        </w:p>
        <w:p>
          <w:pPr>
            <w:pStyle w:val="TOC2"/>
            <w:tabs>
              <w:tab w:val="right" w:leader="dot" w:pos="9630"/>
            </w:tabs>
            <w:rPr>
              <w:rStyle w:val="Hyperlink"/>
            </w:rPr>
          </w:pPr>
          <w:r>
            <w:t xml:space="preserve">J.6 Masters maintained by the business</w:t>
          </w:r>
          <w:r>
            <w:tab/>
          </w:r>
          <w:r>
            <w:t xml:space="preserve">168</w:t>
          </w:r>
        </w:p>
        <w:p>
          <w:pPr>
            <w:pStyle w:val="TOC2"/>
            <w:tabs>
              <w:tab w:val="right" w:leader="dot" w:pos="9630"/>
            </w:tabs>
            <w:rPr>
              <w:rStyle w:val="Hyperlink"/>
            </w:rPr>
          </w:pPr>
          <w:r>
            <w:t xml:space="preserve">J.7 Settings for the points BDOI decides</w:t>
          </w:r>
          <w:r>
            <w:tab/>
          </w:r>
          <w:r>
            <w:t xml:space="preserve">168</w:t>
          </w:r>
        </w:p>
        <w:p>
          <w:pPr>
            <w:pStyle w:val="TOC1"/>
            <w:tabs>
              <w:tab w:val="right" w:leader="dot" w:pos="9630"/>
            </w:tabs>
            <w:rPr>
              <w:rStyle w:val="Hyperlink"/>
            </w:rPr>
          </w:pPr>
          <w:r>
            <w:t xml:space="preserve">Annex K – Process Walkthroughs</w:t>
          </w:r>
          <w:r>
            <w:tab/>
          </w:r>
          <w:r>
            <w:t xml:space="preserve">169</w:t>
          </w:r>
        </w:p>
        <w:p>
          <w:pPr>
            <w:pStyle w:val="TOC2"/>
            <w:tabs>
              <w:tab w:val="right" w:leader="dot" w:pos="9630"/>
            </w:tabs>
            <w:rPr>
              <w:rStyle w:val="Hyperlink"/>
            </w:rPr>
          </w:pPr>
          <w:r>
            <w:t xml:space="preserve">WT-A A new package from the request to its first New Business quotation</w:t>
          </w:r>
          <w:r>
            <w:tab/>
          </w:r>
          <w:r>
            <w:t xml:space="preserve">169</w:t>
          </w:r>
        </w:p>
        <w:p>
          <w:pPr>
            <w:pStyle w:val="TOC2"/>
            <w:tabs>
              <w:tab w:val="right" w:leader="dot" w:pos="9630"/>
            </w:tabs>
            <w:rPr>
              <w:rStyle w:val="Hyperlink"/>
            </w:rPr>
          </w:pPr>
          <w:r>
            <w:t xml:space="preserve">WT-B Returns and refusals, and the messages the user sees</w:t>
          </w:r>
          <w:r>
            <w:tab/>
          </w:r>
          <w:r>
            <w:t xml:space="preserve">171</w:t>
          </w:r>
        </w:p>
        <w:p>
          <w:pPr>
            <w:pStyle w:val="TOC1"/>
            <w:tabs>
              <w:tab w:val="right" w:leader="dot" w:pos="9630"/>
            </w:tabs>
            <w:rPr>
              <w:rStyle w:val="Hyperlink"/>
            </w:rPr>
          </w:pPr>
          <w:r>
            <w:t xml:space="preserve">Annex L – Requirements Traceability</w:t>
          </w:r>
          <w:r>
            <w:tab/>
          </w:r>
          <w:r>
            <w:t xml:space="preserve">172</w:t>
          </w:r>
        </w:p>
        <w:p>
          <w:pPr>
            <w:pStyle w:val="TOC2"/>
            <w:tabs>
              <w:tab w:val="right" w:leader="dot" w:pos="9630"/>
            </w:tabs>
            <w:rPr>
              <w:rStyle w:val="Hyperlink"/>
            </w:rPr>
          </w:pPr>
          <w:r>
            <w:t xml:space="preserve">L.1 BRD requirement to FRPM and test conditions</w:t>
          </w:r>
          <w:r>
            <w:tab/>
          </w:r>
          <w:r>
            <w:t xml:space="preserve">172</w:t>
          </w:r>
        </w:p>
        <w:p>
          <w:pPr>
            <w:pStyle w:val="TOC2"/>
            <w:tabs>
              <w:tab w:val="right" w:leader="dot" w:pos="9630"/>
            </w:tabs>
            <w:rPr>
              <w:rStyle w:val="Hyperlink"/>
            </w:rPr>
          </w:pPr>
          <w:r>
            <w:t xml:space="preserve">L.2 FRPM item to BRD IDs and test conditions</w:t>
          </w:r>
          <w:r>
            <w:tab/>
          </w:r>
          <w:r>
            <w:t xml:space="preserve">173</w:t>
          </w:r>
        </w:p>
        <w:p>
          <w:pPr>
            <w:pStyle w:val="TOC1"/>
            <w:tabs>
              <w:tab w:val="right" w:leader="dot" w:pos="9630"/>
            </w:tabs>
            <w:rPr>
              <w:rStyle w:val="Hyperlink"/>
            </w:rPr>
          </w:pPr>
          <w:r>
            <w:t xml:space="preserve">Annex M – Observations and Points for BDOI Decision</w:t>
          </w:r>
          <w:r>
            <w:tab/>
          </w:r>
          <w:r>
            <w:t xml:space="preserve">175</w:t>
          </w:r>
        </w:p>
        <w:p>
          <w:pPr>
            <w:pStyle w:val="TOC2"/>
            <w:tabs>
              <w:tab w:val="right" w:leader="dot" w:pos="9630"/>
            </w:tabs>
            <w:rPr>
              <w:rStyle w:val="Hyperlink"/>
            </w:rPr>
          </w:pPr>
          <w:r>
            <w:t xml:space="preserve">M.1 Points where the proposed behaviour differs from the original text of this FRS</w:t>
          </w:r>
          <w:r>
            <w:tab/>
          </w:r>
          <w:r>
            <w:t xml:space="preserve">175</w:t>
          </w:r>
        </w:p>
        <w:p>
          <w:pPr>
            <w:pStyle w:val="TOC2"/>
            <w:tabs>
              <w:tab w:val="right" w:leader="dot" w:pos="9630"/>
            </w:tabs>
            <w:rPr>
              <w:rStyle w:val="Hyperlink"/>
            </w:rPr>
          </w:pPr>
          <w:r>
            <w:t xml:space="preserve">M.2 BDOI's open item and changes to the Business Requirements Mapping</w:t>
          </w:r>
          <w:r>
            <w:tab/>
          </w:r>
          <w:r>
            <w:t xml:space="preserve">178</w:t>
          </w:r>
        </w:p>
        <w:p>
          <w:pPr>
            <w:pStyle w:val="TOC2"/>
            <w:tabs>
              <w:tab w:val="right" w:leader="dot" w:pos="9630"/>
            </w:tabs>
            <w:rPr>
              <w:rStyle w:val="Hyperlink"/>
            </w:rPr>
          </w:pPr>
          <w:r>
            <w:t xml:space="preserve">M.3 Slips noticed in BDOI's FRS (proposed corrections; the text is not changed)</w:t>
          </w:r>
          <w:r>
            <w:tab/>
          </w:r>
          <w:r>
            <w:t xml:space="preserve">182</w:t>
          </w:r>
        </w:p>
        <w:p>
          <w:pPr>
            <w:pStyle w:val="TOC2"/>
            <w:tabs>
              <w:tab w:val="right" w:leader="dot" w:pos="9630"/>
            </w:tabs>
            <w:rPr>
              <w:rStyle w:val="Hyperlink"/>
            </w:rPr>
          </w:pPr>
          <w:r>
            <w:t xml:space="preserve">M.4 Scope, added requirements and added annex rows</w:t>
          </w:r>
          <w:r>
            <w:tab/>
          </w:r>
          <w:r>
            <w:t xml:space="preserve">183</w:t>
          </w:r>
        </w:p>
        <w:p>
          <w:pPr>
            <w:pStyle w:val="TOC2"/>
            <w:tabs>
              <w:tab w:val="right" w:leader="dot" w:pos="9630"/>
            </w:tabs>
            <w:rPr>
              <w:rStyle w:val="Hyperlink"/>
            </w:rPr>
          </w:pPr>
          <w:r>
            <w:t xml:space="preserve">M.5 Observations of version 1.2</w:t>
          </w:r>
          <w:r>
            <w:tab/>
          </w:r>
          <w:r>
            <w:t xml:space="preserve">184</w:t>
          </w:r>
        </w:p>
        <w:p>
          <w:pPr>
            <w:pStyle w:val="TOC1"/>
            <w:tabs>
              <w:tab w:val="right" w:leader="dot" w:pos="9630"/>
            </w:tabs>
            <w:rPr>
              <w:rStyle w:val="Hyperlink"/>
            </w:rPr>
          </w:pPr>
          <w:r>
            <w:t xml:space="preserve">Annex N – Glossary</w:t>
          </w:r>
          <w:r>
            <w:tab/>
          </w:r>
          <w:r>
            <w:t xml:space="preserve">186</w:t>
          </w:r>
        </w:p>
        <w:p>
          <w:pPr>
            <w:pStyle w:val="TOC2"/>
            <w:tabs>
              <w:tab w:val="right" w:leader="dot" w:pos="9630"/>
            </w:tabs>
            <w:rPr>
              <w:rStyle w:val="Hyperlink"/>
            </w:rPr>
          </w:pPr>
          <w:r>
            <w:t xml:space="preserve">N.2 Terms added in version 1.2</w:t>
          </w:r>
          <w:r>
            <w:tab/>
          </w:r>
          <w:r>
            <w:t xml:space="preserve">186</w:t>
          </w:r>
        </w:p>
        <w:p>
          <w:pPr>
            <w:pStyle w:val="TOC1"/>
            <w:tabs>
              <w:tab w:val="right" w:leader="dot" w:pos="9630"/>
            </w:tabs>
            <w:rPr>
              <w:rStyle w:val="Hyperlink"/>
            </w:rPr>
          </w:pPr>
          <w:r>
            <w:t xml:space="preserve">Annex O – Workflow and Approvals</w:t>
          </w:r>
          <w:r>
            <w:tab/>
          </w:r>
          <w:r>
            <w:t xml:space="preserve">188</w:t>
          </w:r>
        </w:p>
        <w:p>
          <w:pPr>
            <w:pStyle w:val="TOC2"/>
            <w:tabs>
              <w:tab w:val="right" w:leader="dot" w:pos="9630"/>
            </w:tabs>
            <w:rPr>
              <w:rStyle w:val="Hyperlink"/>
            </w:rPr>
          </w:pPr>
          <w:r>
            <w:t xml:space="preserve">O.1 Who makes, checks and approves (picture)</w:t>
          </w:r>
          <w:r>
            <w:tab/>
          </w:r>
          <w:r>
            <w:t xml:space="preserve">188</w:t>
          </w:r>
        </w:p>
        <w:p>
          <w:pPr>
            <w:pStyle w:val="TOC2"/>
            <w:tabs>
              <w:tab w:val="right" w:leader="dot" w:pos="9630"/>
            </w:tabs>
            <w:rPr>
              <w:rStyle w:val="Hyperlink"/>
            </w:rPr>
          </w:pPr>
          <w:r>
            <w:t xml:space="preserve">O.2 Stages, approvals and service levels per process</w:t>
          </w:r>
          <w:r>
            <w:tab/>
          </w:r>
          <w:r>
            <w:t xml:space="preserve">189</w:t>
          </w:r>
        </w:p>
        <w:p>
          <w:pPr>
            <w:pStyle w:val="TOC2"/>
            <w:tabs>
              <w:tab w:val="right" w:leader="dot" w:pos="9630"/>
            </w:tabs>
            <w:rPr>
              <w:rStyle w:val="Hyperlink"/>
            </w:rPr>
          </w:pPr>
          <w:r>
            <w:t xml:space="preserve">O.3 Role-to-stage matrix (table)</w:t>
          </w:r>
          <w:r>
            <w:tab/>
          </w:r>
          <w:r>
            <w:t xml:space="preserve">192</w:t>
          </w:r>
        </w:p>
        <w:p>
          <w:pPr>
            <w:pStyle w:val="TOC2"/>
            <w:tabs>
              <w:tab w:val="right" w:leader="dot" w:pos="9630"/>
            </w:tabs>
            <w:rPr>
              <w:rStyle w:val="Hyperlink"/>
            </w:rPr>
          </w:pPr>
          <w:r>
            <w:t xml:space="preserve">O.4 Status names: BDOI's FRS and the screens</w:t>
          </w:r>
          <w:r>
            <w:tab/>
          </w:r>
          <w:r>
            <w:t xml:space="preserve">192</w:t>
          </w:r>
        </w:p>
        <w:p>
          <w:pPr>
            <w:pStyle w:val="TOC1"/>
            <w:tabs>
              <w:tab w:val="right" w:leader="dot" w:pos="9630"/>
            </w:tabs>
            <w:rPr>
              <w:rStyle w:val="Hyperlink"/>
            </w:rPr>
          </w:pPr>
          <w:r>
            <w:t xml:space="preserve">Annex P – E-mail and Notification Texts</w:t>
          </w:r>
          <w:r>
            <w:tab/>
          </w:r>
          <w:r>
            <w:t xml:space="preserve">194</w:t>
          </w:r>
        </w:p>
        <w:p>
          <w:pPr>
            <w:pStyle w:val="TOC2"/>
            <w:tabs>
              <w:tab w:val="right" w:leader="dot" w:pos="9630"/>
            </w:tabs>
            <w:rPr>
              <w:rStyle w:val="Hyperlink"/>
            </w:rPr>
          </w:pPr>
          <w:r>
            <w:t xml:space="preserve">P.1 Overview</w:t>
          </w:r>
          <w:r>
            <w:tab/>
          </w:r>
          <w:r>
            <w:t xml:space="preserve">194</w:t>
          </w:r>
        </w:p>
        <w:p>
          <w:pPr>
            <w:pStyle w:val="TOC2"/>
            <w:tabs>
              <w:tab w:val="right" w:leader="dot" w:pos="9630"/>
            </w:tabs>
            <w:rPr>
              <w:rStyle w:val="Hyperlink"/>
            </w:rPr>
          </w:pPr>
          <w:r>
            <w:t xml:space="preserve">P.2 The texts</w:t>
          </w:r>
          <w:r>
            <w:tab/>
          </w:r>
          <w:r>
            <w:t xml:space="preserve">195</w:t>
          </w:r>
        </w:p>
        <w:p>
          <w:pPr>
            <w:pStyle w:val="TOC1"/>
            <w:tabs>
              <w:tab w:val="right" w:leader="dot" w:pos="9630"/>
            </w:tabs>
            <w:rPr>
              <w:rStyle w:val="Hyperlink"/>
            </w:rPr>
          </w:pPr>
          <w:r>
            <w:t xml:space="preserve">Annex Q – Document Prints and Output Formats</w:t>
          </w:r>
          <w:r>
            <w:tab/>
          </w:r>
          <w:r>
            <w:t xml:space="preserve">202</w:t>
          </w:r>
        </w:p>
        <w:p>
          <w:pPr>
            <w:pStyle w:val="TOC2"/>
            <w:tabs>
              <w:tab w:val="right" w:leader="dot" w:pos="9630"/>
            </w:tabs>
            <w:rPr>
              <w:rStyle w:val="Hyperlink"/>
            </w:rPr>
          </w:pPr>
          <w:r>
            <w:t xml:space="preserve">Q.1 Overview</w:t>
          </w:r>
          <w:r>
            <w:tab/>
          </w:r>
          <w:r>
            <w:t xml:space="preserve">202</w:t>
          </w:r>
        </w:p>
        <w:p>
          <w:pPr>
            <w:pStyle w:val="TOC2"/>
            <w:tabs>
              <w:tab w:val="right" w:leader="dot" w:pos="9630"/>
            </w:tabs>
            <w:rPr>
              <w:rStyle w:val="Hyperlink"/>
            </w:rPr>
          </w:pPr>
          <w:r>
            <w:t xml:space="preserve">Q.2 The documents</w:t>
          </w:r>
          <w:r>
            <w:tab/>
          </w:r>
          <w:r>
            <w:t xml:space="preserve">202</w:t>
          </w:r>
        </w:p>
        <w:p>
          <w:pPr>
            <w:pStyle w:val="TOC1"/>
            <w:tabs>
              <w:tab w:val="right" w:leader="dot" w:pos="9630"/>
            </w:tabs>
            <w:rPr>
              <w:rStyle w:val="Hyperlink"/>
            </w:rPr>
          </w:pPr>
          <w:r>
            <w:t xml:space="preserve">Annex R – Reports and Schedules</w:t>
          </w:r>
          <w:r>
            <w:tab/>
          </w:r>
          <w:r>
            <w:t xml:space="preserve">212</w:t>
          </w:r>
        </w:p>
        <w:p>
          <w:pPr>
            <w:pStyle w:val="TOC2"/>
            <w:tabs>
              <w:tab w:val="right" w:leader="dot" w:pos="9630"/>
            </w:tabs>
            <w:rPr>
              <w:rStyle w:val="Hyperlink"/>
            </w:rPr>
          </w:pPr>
          <w:r>
            <w:t xml:space="preserve">R.1 Reports</w:t>
          </w:r>
          <w:r>
            <w:tab/>
          </w:r>
          <w:r>
            <w:t xml:space="preserve">212</w:t>
          </w:r>
        </w:p>
        <w:p>
          <w:pPr>
            <w:pStyle w:val="TOC2"/>
            <w:tabs>
              <w:tab w:val="right" w:leader="dot" w:pos="9630"/>
            </w:tabs>
            <w:rPr>
              <w:rStyle w:val="Hyperlink"/>
            </w:rPr>
          </w:pPr>
          <w:r>
            <w:t xml:space="preserve">R.2 Scheduled runs</w:t>
          </w:r>
          <w:r>
            <w:tab/>
          </w:r>
          <w:r>
            <w:t xml:space="preserve">212</w:t>
          </w:r>
        </w:p>
        <w:p>
          <w:pPr>
            <w:pStyle w:val="TOC1"/>
            <w:tabs>
              <w:tab w:val="right" w:leader="dot" w:pos="9630"/>
            </w:tabs>
            <w:rPr>
              <w:rStyle w:val="Hyperlink"/>
            </w:rPr>
          </w:pPr>
          <w:r>
            <w:t xml:space="preserve">Annex S – Integrations</w:t>
          </w:r>
          <w:r>
            <w:tab/>
          </w:r>
          <w:r>
            <w:t xml:space="preserve">214</w:t>
          </w:r>
        </w:p>
        <w:p>
          <w:pPr>
            <w:pStyle w:val="TOC1"/>
            <w:tabs>
              <w:tab w:val="right" w:leader="dot" w:pos="9630"/>
            </w:tabs>
            <w:rPr>
              <w:rStyle w:val="Hyperlink"/>
            </w:rPr>
          </w:pPr>
          <w:r>
            <w:t xml:space="preserve">Annex T – Non-functional Requirements</w:t>
          </w:r>
          <w:r>
            <w:tab/>
          </w:r>
          <w:r>
            <w:t xml:space="preserve">216</w:t>
          </w:r>
        </w:p>
        <w:p>
          <w:pPr>
            <w:pStyle w:val="TOC1"/>
            <w:tabs>
              <w:tab w:val="right" w:leader="dot" w:pos="9630"/>
            </w:tabs>
            <w:rPr>
              <w:rStyle w:val="Hyperlink"/>
            </w:rPr>
          </w:pPr>
          <w:r>
            <w:t xml:space="preserve">Annex U – Data Set-up and Migration at Go-live</w:t>
          </w:r>
          <w:r>
            <w:tab/>
          </w:r>
          <w:r>
            <w:t xml:space="preserve">218</w:t>
          </w:r>
        </w:p>
        <w:p>
          <w:pPr>
            <w:pStyle w:val="TOC1"/>
            <w:tabs>
              <w:tab w:val="right" w:leader="dot" w:pos="9630"/>
            </w:tabs>
            <w:rPr>
              <w:rStyle w:val="Hyperlink"/>
            </w:rPr>
          </w:pPr>
          <w:r>
            <w:t xml:space="preserve">Annex V – Assumptions, Dependencies and Open Questions</w:t>
          </w:r>
          <w:r>
            <w:tab/>
          </w:r>
          <w:r>
            <w:t xml:space="preserve">219</w:t>
          </w:r>
        </w:p>
        <w:p>
          <w:pPr>
            <w:pStyle w:val="TOC2"/>
            <w:tabs>
              <w:tab w:val="right" w:leader="dot" w:pos="9630"/>
            </w:tabs>
            <w:rPr>
              <w:rStyle w:val="Hyperlink"/>
            </w:rPr>
          </w:pPr>
          <w:r>
            <w:t xml:space="preserve">V.1 Assumptions</w:t>
          </w:r>
          <w:r>
            <w:tab/>
          </w:r>
          <w:r>
            <w:t xml:space="preserve">219</w:t>
          </w:r>
        </w:p>
        <w:p>
          <w:pPr>
            <w:pStyle w:val="TOC2"/>
            <w:tabs>
              <w:tab w:val="right" w:leader="dot" w:pos="9630"/>
            </w:tabs>
            <w:rPr>
              <w:rStyle w:val="Hyperlink"/>
            </w:rPr>
          </w:pPr>
          <w:r>
            <w:t xml:space="preserve">V.2 Dependencies</w:t>
          </w:r>
          <w:r>
            <w:tab/>
          </w:r>
          <w:r>
            <w:t xml:space="preserve">219</w:t>
          </w:r>
        </w:p>
        <w:p>
          <w:pPr>
            <w:pStyle w:val="TOC2"/>
            <w:tabs>
              <w:tab w:val="right" w:leader="dot" w:pos="9630"/>
            </w:tabs>
            <w:rPr>
              <w:rStyle w:val="Hyperlink"/>
            </w:rPr>
          </w:pPr>
          <w:r>
            <w:t xml:space="preserve">V.3 Open questions</w:t>
          </w:r>
          <w:r>
            <w:tab/>
          </w:r>
          <w:r>
            <w:t xml:space="preserve">220</w:t>
          </w:r>
        </w:p>
        <w:p>
          <w:pPr>
            <w:pStyle w:val="TOC2"/>
            <w:tabs>
              <w:tab w:val="right" w:leader="dot" w:pos="9630"/>
            </w:tabs>
            <w:rPr>
              <w:rStyle w:val="Hyperlink"/>
            </w:rPr>
          </w:pPr>
          <w:r>
            <w:t xml:space="preserve">V.4 Proposed rules to confirm</w:t>
          </w:r>
          <w:r>
            <w:tab/>
          </w:r>
          <w:r>
            <w:t xml:space="preserve">220</w:t>
          </w:r>
        </w:p>
        <w:p>
          <w:pPr>
            <w:pStyle w:val="TOC1"/>
            <w:tabs>
              <w:tab w:val="right" w:leader="dot" w:pos="9630"/>
            </w:tabs>
            <w:rPr>
              <w:rStyle w:val="Hyperlink"/>
            </w:rPr>
          </w:pPr>
          <w:r>
            <w:t xml:space="preserve">Annex W – Change Control after Sign-off</w:t>
          </w:r>
          <w:r>
            <w:tab/>
          </w:r>
          <w:r>
            <w:t xml:space="preserve">222</w:t>
          </w:r>
        </w:p>
        <w:p>
          <w:pPr>
            <w:pStyle w:val="TOC2"/>
            <w:tabs>
              <w:tab w:val="right" w:leader="dot" w:pos="9630"/>
            </w:tabs>
            <w:rPr>
              <w:rStyle w:val="Hyperlink"/>
            </w:rPr>
          </w:pPr>
          <w:r>
            <w:t xml:space="preserve">W.1 What signing freezes</w:t>
          </w:r>
          <w:r>
            <w:tab/>
          </w:r>
          <w:r>
            <w:t xml:space="preserve">222</w:t>
          </w:r>
        </w:p>
        <w:p>
          <w:pPr>
            <w:pStyle w:val="TOC2"/>
            <w:tabs>
              <w:tab w:val="right" w:leader="dot" w:pos="9630"/>
            </w:tabs>
            <w:rPr>
              <w:rStyle w:val="Hyperlink"/>
            </w:rPr>
          </w:pPr>
          <w:r>
            <w:t xml:space="preserve">W.2 How a change is raised, assessed and approved</w:t>
          </w:r>
          <w:r>
            <w:tab/>
          </w:r>
          <w:r>
            <w:t xml:space="preserve">222</w:t>
          </w:r>
        </w:p>
        <w:p>
          <w:pPr>
            <w:pStyle w:val="TOC1"/>
            <w:tabs>
              <w:tab w:val="right" w:leader="dot" w:pos="9630"/>
            </w:tabs>
            <w:rPr>
              <w:rStyle w:val="Hyperlink"/>
            </w:rPr>
          </w:pPr>
          <w:r>
            <w:t xml:space="preserve">Annex X – Business Unit Review Checklist</w:t>
          </w:r>
          <w:r>
            <w:tab/>
          </w:r>
          <w:r>
            <w:t xml:space="preserve">223</w:t>
          </w:r>
        </w:p>
        <w:p>
          <w:pPr>
            <w:pStyle w:val="TOC1"/>
            <w:tabs>
              <w:tab w:val="right" w:leader="dot" w:pos="9630"/>
            </w:tabs>
            <w:rPr>
              <w:rStyle w:val="Hyperlink"/>
            </w:rPr>
          </w:pPr>
          <w:r>
            <w:t xml:space="preserve">Annex Y – Points beyond the BRD and Change Requests</w:t>
          </w:r>
          <w:r>
            <w:tab/>
          </w:r>
          <w:r>
            <w:t xml:space="preserve">224</w:t>
          </w:r>
        </w:p>
        <w:p>
          <w:pPr>
            <w:pStyle w:val="TOC2"/>
            <w:tabs>
              <w:tab w:val="right" w:leader="dot" w:pos="9630"/>
            </w:tabs>
            <w:rPr>
              <w:rStyle w:val="Hyperlink"/>
            </w:rPr>
          </w:pPr>
          <w:r>
            <w:t xml:space="preserve">Y.1 How the points were classified</w:t>
          </w:r>
          <w:r>
            <w:tab/>
          </w:r>
          <w:r>
            <w:t xml:space="preserve">224</w:t>
          </w:r>
        </w:p>
        <w:p>
          <w:pPr>
            <w:pStyle w:val="TOC2"/>
            <w:tabs>
              <w:tab w:val="right" w:leader="dot" w:pos="9630"/>
            </w:tabs>
            <w:rPr>
              <w:rStyle w:val="Hyperlink"/>
            </w:rPr>
          </w:pPr>
          <w:r>
            <w:t xml:space="preserve">Y.2 Change requests (orange)</w:t>
          </w:r>
          <w:r>
            <w:tab/>
          </w:r>
          <w:r>
            <w:t xml:space="preserve">224</w:t>
          </w:r>
        </w:p>
        <w:p>
          <w:pPr>
            <w:pStyle w:val="TOC2"/>
            <w:tabs>
              <w:tab w:val="right" w:leader="dot" w:pos="9630"/>
            </w:tabs>
            <w:rPr>
              <w:rStyle w:val="Hyperlink"/>
            </w:rPr>
          </w:pPr>
          <w:r>
            <w:t xml:space="preserve">Y.3 Points beyond the BRD available in BIBS (green)</w:t>
          </w:r>
          <w:r>
            <w:tab/>
          </w:r>
          <w:r>
            <w:t xml:space="preserve">224</w:t>
          </w:r>
        </w:p>
        <w:p>
          <w:pPr>
            <w:pStyle w:val="TOC2"/>
            <w:tabs>
              <w:tab w:val="right" w:leader="dot" w:pos="9630"/>
            </w:tabs>
            <w:rPr>
              <w:rStyle w:val="Hyperlink"/>
            </w:rPr>
          </w:pPr>
          <w:r>
            <w:t xml:space="preserve">Y.4 Check of the BRD lines outside the requirement table</w:t>
          </w:r>
          <w:r>
            <w:tab/>
          </w:r>
          <w:r>
            <w:t xml:space="preserve">225</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rPr>
                <w:rFonts w:ascii="Arial" w:hAnsi="Arial" w:cs="Arial"/>
              </w:rPr>
            </w:pPr>
          </w:p>
        </w:tc>
        <w:tc>
          <w:tcPr>
            <w:tcW w:w="2733" w:type="dxa"/>
          </w:tcPr>
          <w:p w:rsidRPr="00BB7915" w:rsidR="002F3073" w:rsidP="00301633" w:rsidRDefault="002F3073" w14:paraId="47A4B64F" w14:textId="77777777">
            <w:pPr>
              <w:keepNext/>
              <w:jc w:val="center"/>
              <w:rPr>
                <w:rFonts w:ascii="Arial" w:hAnsi="Arial" w:cs="Arial"/>
              </w:rPr>
            </w:pPr>
          </w:p>
        </w:tc>
      </w:tr>
      <w:tr>
        <w:trPr>
          <w:cantSplit/>
          <w:trHeight w:val="169"/>
          <w:jc w:val="center"/>
        </w:trPr>
        <w:tc>
          <w:tcPr>
            <w:tcW w:w="1896" w:type="dxa"/>
          </w:tcPr>
          <w:p>
            <w:pPr>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BIBS; orange: change request); Annex Y with the change requests and their effort, the points beyond the BRD available in BIBS and the check of every BRD line; BRD non-functional lines and programme NFRs 10.07 and 4.03 added to Annex T</w:t>
            </w:r>
          </w:p>
        </w:tc>
        <w:tc>
          <w:tcPr>
            <w:tcW w:w="2733" w:type="dxa"/>
          </w:tcPr>
          <w:p>
            <w:pPr>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BIBS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 simplified process flow (swimlanes by actor, stages across)</w:t>
      </w:r>
    </w:p>
    <w:p>
      <w:pPr>
        <w:pStyle w:val="Heading3"/>
        <w:keepNext/>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16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16</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21</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keepNext/>
              <w:spacing w:after="0"/>
              <w:rPr>
                <w:rFonts w:ascii="Calibri" w:hAnsi="Calibri" w:cs="Calibri"/>
                <w:sz w:val="17"/>
                <w:szCs w:val="17"/>
              </w:rPr>
            </w:pPr>
            <w:r>
              <w:rPr>
                <w:rFonts w:ascii="Calibri" w:hAnsi="Calibri" w:cs="Calibri"/>
                <w:sz w:val="17"/>
                <w:szCs w:val="17"/>
              </w:rPr>
              <w:t xml:space="preserve">78</w:t>
            </w:r>
          </w:p>
        </w:tc>
        <w:tc>
          <w:tcPr>
            <w:tcW w:w="3024" w:type="dxa"/>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keepNext/>
              <w:spacing w:after="0"/>
              <w:rPr>
                <w:rFonts w:ascii="Calibri" w:hAnsi="Calibri" w:cs="Calibri"/>
                <w:sz w:val="17"/>
                <w:szCs w:val="17"/>
              </w:rPr>
            </w:pPr>
            <w:r>
              <w:rPr>
                <w:rFonts w:ascii="Calibri" w:hAnsi="Calibri" w:cs="Calibri"/>
                <w:sz w:val="17"/>
                <w:szCs w:val="17"/>
              </w:rPr>
              <w:t xml:space="preserve">472</w:t>
            </w:r>
          </w:p>
        </w:tc>
        <w:tc>
          <w:tcPr>
            <w:tcW w:w="3024" w:type="dxa"/>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28</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8</w:t>
            </w:r>
          </w:p>
        </w:tc>
        <w:tc>
          <w:tcPr>
            <w:tcW w:w="3384" w:type="dxa"/>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9</w:t>
            </w:r>
          </w:p>
        </w:tc>
        <w:tc>
          <w:tcPr>
            <w:tcW w:w="3384" w:type="dxa"/>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Colour</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Cost</w:t>
            </w:r>
          </w:p>
        </w:tc>
      </w:tr>
      <w:tr>
        <w:trPr>
          <w:cantSplit/>
        </w:trPr>
        <w:tc>
          <w:tcPr>
            <w:tcW w:w="172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Black text</w:t>
            </w:r>
          </w:p>
        </w:tc>
        <w:tc>
          <w:tcPr>
            <w:tcW w:w="61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A BRD requirement, BDOI's own FRS text, or the detail needed to meet a BRD requirement.</w:t>
            </w:r>
          </w:p>
        </w:tc>
        <w:tc>
          <w:tcPr>
            <w:tcW w:w="2015" w:type="dxa"/>
            <w:shd w:val="clear" w:color="auto" w:fill="FFF59D"/>
          </w:tcPr>
          <w:p>
            <w:pPr>
              <w:keepNext/>
              <w:spacing w:after="0"/>
              <w:rPr>
                <w:rFonts w:ascii="Calibri" w:hAnsi="Calibri" w:cs="Calibri"/>
                <w:sz w:val="17"/>
                <w:szCs w:val="17"/>
              </w:rPr>
            </w:pPr>
            <w:r>
              <w:rPr>
                <w:rFonts w:ascii="Calibri" w:hAnsi="Calibri" w:cs="Calibri"/>
                <w:sz w:val="17"/>
                <w:szCs w:val="17"/>
              </w:rPr>
              <w:t xml:space="preserve">In scope</w:t>
            </w:r>
          </w:p>
        </w:tc>
      </w:tr>
      <w:tr>
        <w:trPr>
          <w:cantSplit/>
        </w:trPr>
        <w:tc>
          <w:tcPr>
            <w:tcW w:w="1728" w:type="dxa"/>
            <w:shd w:val="clear" w:color="auto" w:fill="FFF59D"/>
          </w:tcPr>
          <w:p>
            <w:pPr>
              <w:keepNext/>
              <w:spacing w:after="0"/>
              <w:rPr>
                <w:rFonts w:ascii="Calibri" w:hAnsi="Calibri" w:cs="Calibri"/>
                <w:sz w:val="17"/>
                <w:szCs w:val="17"/>
              </w:rPr>
            </w:pPr>
            <w:r>
              <w:rPr>
                <w:rFonts w:ascii="Calibri" w:hAnsi="Calibri" w:cs="Calibri"/>
                <w:b/>
                <w:color w:val="2E7D32"/>
                <w:sz w:val="17"/>
                <w:szCs w:val="17"/>
              </w:rPr>
              <w:t xml:space="preserve">Green text</w:t>
            </w:r>
          </w:p>
        </w:tc>
        <w:tc>
          <w:tcPr>
            <w:tcW w:w="61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Not in the BRD, and already available in BIBS (out of the box). No development needed; the Business Unit may keep or drop it.</w:t>
            </w:r>
          </w:p>
        </w:tc>
        <w:tc>
          <w:tcPr>
            <w:tcW w:w="2015" w:type="dxa"/>
            <w:shd w:val="clear" w:color="auto" w:fill="FFF59D"/>
          </w:tcPr>
          <w:p>
            <w:pPr>
              <w:keepNext/>
              <w:spacing w:after="0"/>
              <w:rPr>
                <w:rFonts w:ascii="Calibri" w:hAnsi="Calibri" w:cs="Calibri"/>
                <w:sz w:val="17"/>
                <w:szCs w:val="17"/>
              </w:rPr>
            </w:pPr>
            <w:r>
              <w:rPr>
                <w:rFonts w:ascii="Calibri" w:hAnsi="Calibri" w:cs="Calibri"/>
                <w:sz w:val="17"/>
                <w:szCs w:val="17"/>
              </w:rPr>
              <w:t xml:space="preserve">No cost; listed in Annex Y.3</w:t>
            </w:r>
          </w:p>
        </w:tc>
      </w:tr>
      <w:tr>
        <w:trPr>
          <w:cantSplit/>
        </w:trPr>
        <w:tc>
          <w:tcPr>
            <w:tcW w:w="1728" w:type="dxa"/>
            <w:shd w:val="clear" w:color="auto" w:fill="FFF59D"/>
          </w:tcPr>
          <w:p>
            <w:pPr>
              <w:spacing w:after="0"/>
              <w:rPr>
                <w:rFonts w:ascii="Calibri" w:hAnsi="Calibri" w:cs="Calibri"/>
                <w:sz w:val="17"/>
                <w:szCs w:val="17"/>
              </w:rPr>
            </w:pPr>
            <w:r>
              <w:rPr>
                <w:rFonts w:ascii="Calibri" w:hAnsi="Calibri" w:cs="Calibri"/>
                <w:b/>
                <w:color w:val="E65100"/>
                <w:sz w:val="17"/>
                <w:szCs w:val="17"/>
              </w:rPr>
              <w:t xml:space="preserve">Orange text</w:t>
            </w:r>
          </w:p>
        </w:tc>
        <w:tc>
          <w:tcPr>
            <w:tcW w:w="6192" w:type="dxa"/>
            <w:shd w:val="clear" w:color="auto" w:fill="FFF59D"/>
          </w:tcPr>
          <w:p>
            <w:pPr>
              <w:spacing w:after="0"/>
              <w:rPr>
                <w:rFonts w:ascii="Calibri" w:hAnsi="Calibri" w:cs="Calibri"/>
                <w:sz w:val="17"/>
                <w:szCs w:val="17"/>
              </w:rPr>
            </w:pPr>
            <w:r>
              <w:rPr>
                <w:rFonts w:ascii="Calibri" w:hAnsi="Calibri" w:cs="Calibri"/>
                <w:sz w:val="17"/>
                <w:szCs w:val="17"/>
              </w:rPr>
              <w:t xml:space="preserve">Not in the BRD and not yet available in BIBS: a change request (CR-PM-1nn). It is delivered only if the Business Unit approves it.</w:t>
            </w:r>
          </w:p>
        </w:tc>
        <w:tc>
          <w:tcPr>
            <w:tcW w:w="2015" w:type="dxa"/>
            <w:shd w:val="clear" w:color="auto" w:fill="FFF59D"/>
          </w:tcPr>
          <w:p>
            <w:pPr>
              <w:spacing w:after="0"/>
              <w:rPr>
                <w:rFonts w:ascii="Calibri" w:hAnsi="Calibri" w:cs="Calibri"/>
                <w:sz w:val="17"/>
                <w:szCs w:val="17"/>
              </w:rPr>
            </w:pPr>
            <w:r>
              <w:rPr>
                <w:rFonts w:ascii="Calibri" w:hAnsi="Calibri" w:cs="Calibri"/>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shd w:val="clear" w:color="auto" w:fill="FFF59D"/>
        </w:rPr>
        <w:t xml:space="preserve">In this version: 5 change requests (30 man-days in all) and 8 points available in BIBS beyond the BRD; every line of the BRD is covered (Annex Y.4).</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color w:val="2E7D32"/>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color w:val="2E7D32"/>
              </w:rPr>
              <w:t xml:space="preserve">Advisories drafted and not yet sent</w:t>
            </w:r>
          </w:p>
          <w:p>
            <w:pPr>
              <w:pStyle w:val="ListParagraph"/>
              <w:numPr>
                <w:ilvl w:val="1"/>
                <w:numId w:val="2"/>
              </w:numPr>
              <w:rPr>
                <w:rFonts w:ascii="Arial" w:hAnsi="Arial" w:cs="Arial"/>
              </w:rPr>
            </w:pPr>
            <w:r>
              <w:rPr>
                <w:rFonts w:ascii="Arial" w:hAnsi="Arial" w:cs="Arial"/>
                <w:color w:val="2E7D32"/>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color w:val="E65100"/>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color w:val="2E7D32"/>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color w:val="2E7D32"/>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color w:val="2E7D32"/>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color w:val="2E7D32"/>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color w:val="2E7D32"/>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pPr>
        <w:pStyle w:val="Heading1"/>
        <w:keepNext/>
        <w:spacing w:line="259" w:lineRule="auto"/>
      </w:pPr>
      <w:r>
        <w:rPr>
          <w:rFonts w:ascii="Arial" w:hAnsi="Arial" w:cs="Arial"/>
          <w:shd w:val="clear" w:color="auto" w:fill="FFF59D"/>
        </w:rPr>
        <w:t xml:space="preserve">End-to-End Process Flow (all actors and systems)</w:t>
      </w:r>
    </w:p>
    <w:p>
      <w:pPr>
        <w:keepNext/>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pageBreakBefore/>
        <w:spacing w:line="259" w:lineRule="auto"/>
      </w:pPr>
      <w:r>
        <w:rPr>
          <w:rFonts w:ascii="Arial" w:hAnsi="Arial" w:cs="Arial"/>
        </w:rPr>
        <w:t xml:space="preserve">Package Request and Approval Process Flow (Marketing and TSU)</w:t>
      </w:r>
    </w:p>
    <w:p>
      <w:pPr>
        <w:keepNext/>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pageBreakBefore/>
        <w:spacing w:line="259" w:lineRule="auto"/>
      </w:pPr>
      <w:r>
        <w:rPr>
          <w:rFonts w:ascii="Arial" w:hAnsi="Arial" w:cs="Arial"/>
        </w:rPr>
        <w:t xml:space="preserve">Negotiation, Comparative Table and Terms Review Process Flow</w:t>
      </w:r>
    </w:p>
    <w:p>
      <w:pPr>
        <w:keepNext/>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pageBreakBefore/>
        <w:spacing w:line="259" w:lineRule="auto"/>
      </w:pPr>
      <w:r>
        <w:rPr>
          <w:rFonts w:ascii="Arial" w:hAnsi="Arial" w:cs="Arial"/>
        </w:rPr>
        <w:t xml:space="preserve">Product Master Maintenance Process Flow (Maker-Checker)</w:t>
      </w:r>
    </w:p>
    <w:p>
      <w:pPr>
        <w:keepNext/>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package version</w:t>
      </w:r>
    </w:p>
    <w:p>
      <w:pPr>
        <w:keepNext/>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rate exception</w:t>
      </w:r>
    </w:p>
    <w:p>
      <w:pPr>
        <w:keepNext/>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tcPr>
          <w:p>
            <w:pPr>
              <w:spacing w:after="0"/>
              <w:rPr>
                <w:rFonts w:ascii="Calibri" w:hAnsi="Calibri" w:cs="Calibri"/>
                <w:sz w:val="16"/>
                <w:szCs w:val="16"/>
              </w:rPr>
            </w:pPr>
            <w:r>
              <w:rPr>
                <w:rFonts w:ascii="Calibri" w:hAnsi="Calibri" w:cs="Calibri"/>
                <w:sz w:val="16"/>
                <w:szCs w:val="16"/>
              </w:rPr>
              <w:t xml:space="preserve">C02</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tcPr>
          <w:p>
            <w:pPr>
              <w:spacing w:after="0"/>
              <w:rPr>
                <w:rFonts w:ascii="Calibri" w:hAnsi="Calibri" w:cs="Calibri"/>
                <w:sz w:val="16"/>
                <w:szCs w:val="16"/>
              </w:rPr>
            </w:pPr>
            <w:r>
              <w:rPr>
                <w:rFonts w:ascii="Calibri" w:hAnsi="Calibri" w:cs="Calibri"/>
                <w:sz w:val="16"/>
                <w:szCs w:val="16"/>
              </w:rPr>
              <w:t xml:space="preserve">C03</w:t>
            </w:r>
          </w:p>
        </w:tc>
        <w:tc>
          <w:tcPr>
            <w:tcW w:w="1421"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tcPr>
          <w:p>
            <w:pPr>
              <w:spacing w:after="0"/>
              <w:rPr>
                <w:rFonts w:ascii="Calibri" w:hAnsi="Calibri" w:cs="Calibri"/>
                <w:sz w:val="16"/>
                <w:szCs w:val="16"/>
              </w:rPr>
            </w:pPr>
            <w:r>
              <w:rPr>
                <w:rFonts w:ascii="Calibri" w:hAnsi="Calibri" w:cs="Calibri"/>
                <w:sz w:val="16"/>
                <w:szCs w:val="16"/>
              </w:rPr>
              <w:t xml:space="preserve">C05</w:t>
            </w:r>
          </w:p>
        </w:tc>
        <w:tc>
          <w:tcPr>
            <w:tcW w:w="1421"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On (BDOI's FRS)</w:t>
            </w:r>
          </w:p>
        </w:tc>
        <w:tc>
          <w:tcPr>
            <w:tcW w:w="993" w:type="dxa"/>
          </w:tcPr>
          <w:p>
            <w:pPr>
              <w:spacing w:after="0"/>
              <w:rPr>
                <w:rFonts w:ascii="Calibri" w:hAnsi="Calibri" w:cs="Calibri"/>
                <w:sz w:val="16"/>
                <w:szCs w:val="16"/>
              </w:rPr>
            </w:pPr>
            <w:r>
              <w:rPr>
                <w:rFonts w:ascii="Calibri" w:hAnsi="Calibri" w:cs="Calibri"/>
                <w:sz w:val="16"/>
                <w:szCs w:val="16"/>
              </w:rPr>
              <w:t xml:space="preserve">C09</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tcPr>
          <w:p>
            <w:pPr>
              <w:spacing w:after="0"/>
              <w:rPr>
                <w:rFonts w:ascii="Calibri" w:hAnsi="Calibri" w:cs="Calibri"/>
                <w:sz w:val="16"/>
                <w:szCs w:val="16"/>
              </w:rPr>
            </w:pPr>
            <w:r>
              <w:rPr>
                <w:rFonts w:ascii="Calibri" w:hAnsi="Calibri" w:cs="Calibri"/>
                <w:sz w:val="16"/>
                <w:szCs w:val="16"/>
              </w:rPr>
              <w:t xml:space="preserve">C10</w:t>
            </w:r>
          </w:p>
        </w:tc>
        <w:tc>
          <w:tcPr>
            <w:tcW w:w="1421" w:type="dxa"/>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tcPr>
          <w:p>
            <w:pPr>
              <w:spacing w:after="0"/>
              <w:rPr>
                <w:rFonts w:ascii="Calibri" w:hAnsi="Calibri" w:cs="Calibri"/>
                <w:sz w:val="16"/>
                <w:szCs w:val="16"/>
              </w:rPr>
            </w:pPr>
            <w:r>
              <w:rPr>
                <w:rFonts w:ascii="Calibri" w:hAnsi="Calibri" w:cs="Calibri"/>
                <w:sz w:val="16"/>
                <w:szCs w:val="16"/>
              </w:rPr>
              <w:t xml:space="preserve">C17</w:t>
            </w:r>
          </w:p>
        </w:tc>
        <w:tc>
          <w:tcPr>
            <w:tcW w:w="1421"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tcPr>
          <w:p>
            <w:pPr>
              <w:spacing w:after="0"/>
              <w:rPr>
                <w:rFonts w:ascii="Calibri" w:hAnsi="Calibri" w:cs="Calibri"/>
                <w:sz w:val="16"/>
                <w:szCs w:val="16"/>
              </w:rPr>
            </w:pPr>
            <w:r>
              <w:rPr>
                <w:rFonts w:ascii="Calibri" w:hAnsi="Calibri" w:cs="Calibri"/>
                <w:sz w:val="16"/>
                <w:szCs w:val="16"/>
              </w:rPr>
              <w:t xml:space="preserve">C20</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tcPr>
          <w:p>
            <w:pPr>
              <w:keepNext/>
              <w:spacing w:after="0"/>
              <w:rPr>
                <w:rFonts w:ascii="Calibri" w:hAnsi="Calibri" w:cs="Calibri"/>
                <w:sz w:val="16"/>
                <w:szCs w:val="16"/>
              </w:rPr>
            </w:pPr>
            <w:r>
              <w:rPr>
                <w:rFonts w:ascii="Calibri" w:hAnsi="Calibri" w:cs="Calibri"/>
                <w:sz w:val="16"/>
                <w:szCs w:val="16"/>
              </w:rPr>
              <w:t xml:space="preserve">C23</w:t>
            </w:r>
          </w:p>
        </w:tc>
        <w:tc>
          <w:tcPr>
            <w:tcW w:w="1421" w:type="dxa"/>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tcPr>
          <w:p>
            <w:pPr>
              <w:keepNext/>
              <w:spacing w:after="0"/>
              <w:rPr>
                <w:rFonts w:ascii="Calibri" w:hAnsi="Calibri" w:cs="Calibri"/>
                <w:sz w:val="16"/>
                <w:szCs w:val="16"/>
              </w:rPr>
            </w:pPr>
            <w:r>
              <w:rPr>
                <w:rFonts w:ascii="Calibri" w:hAnsi="Calibri" w:cs="Calibri"/>
                <w:sz w:val="16"/>
                <w:szCs w:val="16"/>
              </w:rPr>
              <w:t xml:space="preserve">-</w:t>
            </w:r>
          </w:p>
        </w:tc>
        <w:tc>
          <w:tcPr>
            <w:tcW w:w="1421" w:type="dxa"/>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tcPr>
          <w:p>
            <w:pPr>
              <w:spacing w:after="0"/>
              <w:rPr>
                <w:rFonts w:ascii="Calibri" w:hAnsi="Calibri" w:cs="Calibri"/>
                <w:sz w:val="16"/>
                <w:szCs w:val="16"/>
              </w:rPr>
            </w:pPr>
            <w:r>
              <w:rPr>
                <w:rFonts w:ascii="Calibri" w:hAnsi="Calibri" w:cs="Calibri"/>
                <w:sz w:val="16"/>
                <w:szCs w:val="16"/>
              </w:rPr>
              <w:t xml:space="preserve">PKD-; PDR-</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color w:val="E65100"/>
                <w:sz w:val="14"/>
                <w:szCs w:val="14"/>
              </w:rPr>
              <w:t xml:space="preserve">M-75</w:t>
            </w:r>
          </w:p>
        </w:tc>
        <w:tc>
          <w:tcPr>
            <w:tcW w:w="720" w:type="dxa"/>
          </w:tcPr>
          <w:p>
            <w:pPr>
              <w:spacing w:after="0"/>
              <w:rPr>
                <w:rFonts w:ascii="Calibri" w:hAnsi="Calibri" w:cs="Calibri"/>
                <w:sz w:val="14"/>
                <w:szCs w:val="14"/>
              </w:rPr>
            </w:pPr>
            <w:r>
              <w:rPr>
                <w:rFonts w:ascii="Calibri" w:hAnsi="Calibri" w:cs="Calibri"/>
                <w:color w:val="E65100"/>
                <w:sz w:val="14"/>
                <w:szCs w:val="14"/>
              </w:rPr>
              <w:t xml:space="preserve">FRPM.021.01</w:t>
            </w:r>
          </w:p>
        </w:tc>
        <w:tc>
          <w:tcPr>
            <w:tcW w:w="1368" w:type="dxa"/>
          </w:tcPr>
          <w:p>
            <w:pPr>
              <w:spacing w:after="0"/>
              <w:rPr>
                <w:rFonts w:ascii="Calibri" w:hAnsi="Calibri" w:cs="Calibri"/>
                <w:sz w:val="14"/>
                <w:szCs w:val="14"/>
              </w:rPr>
            </w:pPr>
            <w:r>
              <w:rPr>
                <w:rFonts w:ascii="Calibri" w:hAnsi="Calibri" w:cs="Calibri"/>
                <w:color w:val="E65100"/>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color w:val="E65100"/>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color w:val="E65100"/>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color w:val="E65100"/>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color w:val="E65100"/>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color w:val="E65100"/>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color w:val="E65100"/>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M-77</w:t>
            </w:r>
          </w:p>
        </w:tc>
        <w:tc>
          <w:tcPr>
            <w:tcW w:w="720" w:type="dxa"/>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NFR</w:t>
            </w:r>
          </w:p>
        </w:tc>
        <w:tc>
          <w:tcPr>
            <w:tcW w:w="7776" w:type="dxa"/>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DEV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keepNext/>
              <w:spacing w:after="0"/>
              <w:rPr>
                <w:rFonts w:ascii="Calibri" w:hAnsi="Calibri" w:cs="Calibri"/>
                <w:sz w:val="15"/>
                <w:szCs w:val="15"/>
              </w:rPr>
            </w:pPr>
            <w:r>
              <w:rPr>
                <w:rFonts w:ascii="Calibri" w:hAnsi="Calibri" w:cs="Calibri"/>
                <w:sz w:val="15"/>
                <w:szCs w:val="15"/>
              </w:rPr>
              <w:t xml:space="preserve">MBS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NT-13</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NT-14</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President</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NT-16</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FRPM.006.01, FRPM.012.01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tcPr>
          <w:p>
            <w:pPr>
              <w:keepNext/>
              <w:spacing w:after="0"/>
              <w:rPr>
                <w:rFonts w:ascii="Calibri" w:hAnsi="Calibri" w:cs="Calibri"/>
                <w:sz w:val="15"/>
                <w:szCs w:val="15"/>
              </w:rPr>
            </w:pPr>
            <w:r>
              <w:rPr>
                <w:rFonts w:ascii="Calibri" w:hAnsi="Calibri" w:cs="Calibri"/>
                <w:sz w:val="15"/>
                <w:szCs w:val="15"/>
              </w:rPr>
              <w:t xml:space="preserve">TSU</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color w:val="E65100"/>
                <w:sz w:val="16"/>
                <w:szCs w:val="16"/>
              </w:rPr>
              <w:t xml:space="preserve">T-15</w:t>
            </w:r>
          </w:p>
        </w:tc>
        <w:tc>
          <w:tcPr>
            <w:tcW w:w="1440" w:type="dxa"/>
          </w:tcPr>
          <w:p>
            <w:pPr>
              <w:spacing w:after="0"/>
              <w:rPr>
                <w:rFonts w:ascii="Calibri" w:hAnsi="Calibri" w:cs="Calibri"/>
                <w:sz w:val="16"/>
                <w:szCs w:val="16"/>
              </w:rPr>
            </w:pPr>
            <w:r>
              <w:rPr>
                <w:rFonts w:ascii="Calibri" w:hAnsi="Calibri" w:cs="Calibri"/>
                <w:color w:val="E65100"/>
                <w:sz w:val="16"/>
                <w:szCs w:val="16"/>
              </w:rPr>
              <w:t xml:space="preserve">Accessibility</w:t>
            </w:r>
          </w:p>
        </w:tc>
        <w:tc>
          <w:tcPr>
            <w:tcW w:w="3311" w:type="dxa"/>
          </w:tcPr>
          <w:p>
            <w:pPr>
              <w:spacing w:after="0"/>
              <w:rPr>
                <w:rFonts w:ascii="Calibri" w:hAnsi="Calibri" w:cs="Calibri"/>
                <w:sz w:val="16"/>
                <w:szCs w:val="16"/>
              </w:rPr>
            </w:pPr>
            <w:r>
              <w:rPr>
                <w:rFonts w:ascii="Calibri" w:hAnsi="Calibri" w:cs="Calibri"/>
                <w:color w:val="E65100"/>
                <w:sz w:val="16"/>
                <w:szCs w:val="16"/>
              </w:rPr>
              <w:t xml:space="preserve">Every screen</w:t>
            </w:r>
          </w:p>
        </w:tc>
        <w:tc>
          <w:tcPr>
            <w:tcW w:w="3744" w:type="dxa"/>
          </w:tcPr>
          <w:p>
            <w:pPr>
              <w:spacing w:after="0"/>
              <w:rPr>
                <w:rFonts w:ascii="Calibri" w:hAnsi="Calibri" w:cs="Calibri"/>
                <w:sz w:val="16"/>
                <w:szCs w:val="16"/>
              </w:rPr>
            </w:pPr>
            <w:r>
              <w:rPr>
                <w:rFonts w:ascii="Calibri" w:hAnsi="Calibri" w:cs="Calibri"/>
                <w:color w:val="E65100"/>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color w:val="E65100"/>
                <w:sz w:val="16"/>
                <w:szCs w:val="16"/>
              </w:rPr>
              <w:t xml:space="preserve">BRD (all users)</w:t>
            </w:r>
          </w:p>
        </w:tc>
        <w:tc>
          <w:tcPr>
            <w:tcW w:w="1655" w:type="dxa"/>
          </w:tcPr>
          <w:p>
            <w:pPr>
              <w:spacing w:after="0"/>
              <w:rPr>
                <w:rFonts w:ascii="Calibri" w:hAnsi="Calibri" w:cs="Calibri"/>
                <w:sz w:val="16"/>
                <w:szCs w:val="16"/>
              </w:rPr>
            </w:pPr>
            <w:r>
              <w:rPr>
                <w:rFonts w:ascii="Calibri" w:hAnsi="Calibri" w:cs="Calibri"/>
                <w:color w:val="E65100"/>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color w:val="E65100"/>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T-18</w:t>
            </w:r>
          </w:p>
        </w:tc>
        <w:tc>
          <w:tcPr>
            <w:tcW w:w="1440" w:type="dxa"/>
          </w:tcPr>
          <w:p>
            <w:pPr>
              <w:spacing w:after="0"/>
              <w:rPr>
                <w:rFonts w:ascii="Calibri" w:hAnsi="Calibri" w:cs="Calibri"/>
                <w:sz w:val="16"/>
                <w:szCs w:val="16"/>
              </w:rPr>
            </w:pPr>
            <w:r>
              <w:rPr>
                <w:rFonts w:ascii="Calibri" w:hAnsi="Calibri" w:cs="Calibri"/>
                <w:sz w:val="16"/>
                <w:szCs w:val="16"/>
              </w:rPr>
              <w:t xml:space="preserve">Maintenance</w:t>
            </w:r>
          </w:p>
        </w:tc>
        <w:tc>
          <w:tcPr>
            <w:tcW w:w="3311" w:type="dxa"/>
          </w:tcPr>
          <w:p>
            <w:pPr>
              <w:spacing w:after="0"/>
              <w:rPr>
                <w:rFonts w:ascii="Calibri" w:hAnsi="Calibri" w:cs="Calibri"/>
                <w:sz w:val="16"/>
                <w:szCs w:val="16"/>
              </w:rPr>
            </w:pPr>
            <w:r>
              <w:rPr>
                <w:rFonts w:ascii="Calibri" w:hAnsi="Calibri" w:cs="Calibri"/>
                <w:sz w:val="16"/>
                <w:szCs w:val="16"/>
              </w:rPr>
              <w:t xml:space="preserve">Planned maintenance of the system</w:t>
            </w:r>
          </w:p>
        </w:tc>
        <w:tc>
          <w:tcPr>
            <w:tcW w:w="3744" w:type="dxa"/>
          </w:tcPr>
          <w:p>
            <w:pPr>
              <w:spacing w:after="0"/>
              <w:rPr>
                <w:rFonts w:ascii="Calibri" w:hAnsi="Calibri" w:cs="Calibri"/>
                <w:sz w:val="16"/>
                <w:szCs w:val="16"/>
              </w:rPr>
            </w:pPr>
            <w:r>
              <w:rPr>
                <w:rFonts w:ascii="Calibri" w:hAnsi="Calibri" w:cs="Calibri"/>
                <w:sz w:val="16"/>
                <w:szCs w:val="16"/>
              </w:rPr>
              <w:t xml:space="preserve">Within the maintenance windows of the bank standard; users told in advance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(maintenance: as per bank standard)</w:t>
            </w:r>
          </w:p>
        </w:tc>
        <w:tc>
          <w:tcPr>
            <w:tcW w:w="1655" w:type="dxa"/>
          </w:tcPr>
          <w:p>
            <w:pPr>
              <w:spacing w:after="0"/>
              <w:rPr>
                <w:rFonts w:ascii="Calibri" w:hAnsi="Calibri" w:cs="Calibri"/>
                <w:sz w:val="16"/>
                <w:szCs w:val="16"/>
              </w:rPr>
            </w:pPr>
            <w:r>
              <w:rPr>
                <w:rFonts w:ascii="Calibri" w:hAnsi="Calibri" w:cs="Calibri"/>
                <w:sz w:val="16"/>
                <w:szCs w:val="16"/>
              </w:rPr>
              <w:t xml:space="preserve">NFR-AVL-03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T-19</w:t>
            </w:r>
          </w:p>
        </w:tc>
        <w:tc>
          <w:tcPr>
            <w:tcW w:w="1440" w:type="dxa"/>
          </w:tcPr>
          <w:p>
            <w:pPr>
              <w:keepNext/>
              <w:spacing w:after="0"/>
              <w:rPr>
                <w:rFonts w:ascii="Calibri" w:hAnsi="Calibri" w:cs="Calibri"/>
                <w:sz w:val="16"/>
                <w:szCs w:val="16"/>
              </w:rPr>
            </w:pPr>
            <w:r>
              <w:rPr>
                <w:rFonts w:ascii="Calibri" w:hAnsi="Calibri" w:cs="Calibri"/>
                <w:sz w:val="16"/>
                <w:szCs w:val="16"/>
              </w:rPr>
              <w:t xml:space="preserve">Sessions</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user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One session per device; a second sign-in on another device ends the first (User Access Maintenance FRS)</w:t>
            </w:r>
          </w:p>
        </w:tc>
        <w:tc>
          <w:tcPr>
            <w:tcW w:w="2160" w:type="dxa"/>
          </w:tcPr>
          <w:p>
            <w:pPr>
              <w:keepNext/>
              <w:spacing w:after="0"/>
              <w:rPr>
                <w:rFonts w:ascii="Calibri" w:hAnsi="Calibri" w:cs="Calibri"/>
                <w:sz w:val="16"/>
                <w:szCs w:val="16"/>
              </w:rPr>
            </w:pPr>
            <w:r>
              <w:rPr>
                <w:rFonts w:ascii="Calibri" w:hAnsi="Calibri" w:cs="Calibri"/>
                <w:sz w:val="16"/>
                <w:szCs w:val="16"/>
              </w:rPr>
              <w:t xml:space="preserve">Collections addendum NFR 10.07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10.07</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T-20</w:t>
            </w:r>
          </w:p>
        </w:tc>
        <w:tc>
          <w:tcPr>
            <w:tcW w:w="1440" w:type="dxa"/>
          </w:tcPr>
          <w:p>
            <w:pPr>
              <w:keepNext/>
              <w:spacing w:after="0"/>
              <w:rPr>
                <w:rFonts w:ascii="Calibri" w:hAnsi="Calibri" w:cs="Calibri"/>
                <w:sz w:val="16"/>
                <w:szCs w:val="16"/>
              </w:rPr>
            </w:pPr>
            <w:r>
              <w:rPr>
                <w:rFonts w:ascii="Calibri" w:hAnsi="Calibri" w:cs="Calibri"/>
                <w:sz w:val="16"/>
                <w:szCs w:val="16"/>
              </w:rPr>
              <w:t xml:space="preserve">Audit source</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audit log entry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The audit log records the source (workstation / IP address) of every action</w:t>
            </w:r>
          </w:p>
        </w:tc>
        <w:tc>
          <w:tcPr>
            <w:tcW w:w="2160" w:type="dxa"/>
          </w:tcPr>
          <w:p>
            <w:pPr>
              <w:keepNext/>
              <w:spacing w:after="0"/>
              <w:rPr>
                <w:rFonts w:ascii="Calibri" w:hAnsi="Calibri" w:cs="Calibri"/>
                <w:sz w:val="16"/>
                <w:szCs w:val="16"/>
              </w:rPr>
            </w:pPr>
            <w:r>
              <w:rPr>
                <w:rFonts w:ascii="Calibri" w:hAnsi="Calibri" w:cs="Calibri"/>
                <w:sz w:val="16"/>
                <w:szCs w:val="16"/>
              </w:rPr>
              <w:t xml:space="preserve">CLM, CLXN and RI addenda NFR 4.03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4.03</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T-21</w:t>
            </w:r>
          </w:p>
        </w:tc>
        <w:tc>
          <w:tcPr>
            <w:tcW w:w="1440" w:type="dxa"/>
          </w:tcPr>
          <w:p>
            <w:pPr>
              <w:spacing w:after="0"/>
              <w:rPr>
                <w:rFonts w:ascii="Calibri" w:hAnsi="Calibri" w:cs="Calibri"/>
                <w:sz w:val="16"/>
                <w:szCs w:val="16"/>
              </w:rPr>
            </w:pPr>
            <w:r>
              <w:rPr>
                <w:rFonts w:ascii="Calibri" w:hAnsi="Calibri" w:cs="Calibri"/>
                <w:sz w:val="16"/>
                <w:szCs w:val="16"/>
              </w:rPr>
              <w:t xml:space="preserve">Disaster recovery</w:t>
            </w:r>
          </w:p>
        </w:tc>
        <w:tc>
          <w:tcPr>
            <w:tcW w:w="3311" w:type="dxa"/>
          </w:tcPr>
          <w:p>
            <w:pPr>
              <w:spacing w:after="0"/>
              <w:rPr>
                <w:rFonts w:ascii="Calibri" w:hAnsi="Calibri" w:cs="Calibri"/>
                <w:sz w:val="16"/>
                <w:szCs w:val="16"/>
              </w:rPr>
            </w:pPr>
            <w:r>
              <w:rPr>
                <w:rFonts w:ascii="Calibri" w:hAnsi="Calibri" w:cs="Calibri"/>
                <w:sz w:val="16"/>
                <w:szCs w:val="16"/>
              </w:rPr>
              <w:t xml:space="preserve">Major disaster</w:t>
            </w:r>
          </w:p>
        </w:tc>
        <w:tc>
          <w:tcPr>
            <w:tcW w:w="3744" w:type="dxa"/>
          </w:tcPr>
          <w:p>
            <w:pPr>
              <w:spacing w:after="0"/>
              <w:rPr>
                <w:rFonts w:ascii="Calibri" w:hAnsi="Calibri" w:cs="Calibri"/>
                <w:sz w:val="16"/>
                <w:szCs w:val="16"/>
              </w:rPr>
            </w:pPr>
            <w:r>
              <w:rPr>
                <w:rFonts w:ascii="Calibri" w:hAnsi="Calibri" w:cs="Calibri"/>
                <w:sz w:val="16"/>
                <w:szCs w:val="16"/>
              </w:rPr>
              <w:t xml:space="preserve">Business continuity threshold: recovery within 4 hours, data loss of at most 24 hours (BRD); the programme target of T-08 is stricter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(major disaster)</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U-10</w:t>
            </w:r>
          </w:p>
        </w:tc>
        <w:tc>
          <w:tcPr>
            <w:tcW w:w="3384" w:type="dxa"/>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U-11</w:t>
            </w:r>
          </w:p>
        </w:tc>
        <w:tc>
          <w:tcPr>
            <w:tcW w:w="3384" w:type="dxa"/>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V-01</w:t>
            </w:r>
          </w:p>
        </w:tc>
        <w:tc>
          <w:tcPr>
            <w:tcW w:w="1224" w:type="dxa"/>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V-06</w:t>
            </w:r>
          </w:p>
        </w:tc>
        <w:tc>
          <w:tcPr>
            <w:tcW w:w="1224" w:type="dxa"/>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V-07</w:t>
            </w:r>
          </w:p>
        </w:tc>
        <w:tc>
          <w:tcPr>
            <w:tcW w:w="1224" w:type="dxa"/>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V-21</w:t>
            </w:r>
          </w:p>
        </w:tc>
        <w:tc>
          <w:tcPr>
            <w:tcW w:w="1224" w:type="dxa"/>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V-22</w:t>
            </w:r>
          </w:p>
        </w:tc>
        <w:tc>
          <w:tcPr>
            <w:tcW w:w="1224" w:type="dxa"/>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V-36</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V-37</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736" w:type="dxa"/>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27</w:t>
            </w:r>
          </w:p>
        </w:tc>
        <w:tc>
          <w:tcPr>
            <w:tcW w:w="2736" w:type="dxa"/>
          </w:tcPr>
          <w:p>
            <w:pPr>
              <w:keepNext/>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keepNext/>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keepNext/>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28</w:t>
            </w:r>
          </w:p>
        </w:tc>
        <w:tc>
          <w:tcPr>
            <w:tcW w:w="2736" w:type="dxa"/>
          </w:tcPr>
          <w:p>
            <w:pPr>
              <w:spacing w:after="0"/>
              <w:rPr>
                <w:rFonts w:ascii="Calibri" w:hAnsi="Calibri" w:cs="Calibri"/>
                <w:sz w:val="16"/>
                <w:szCs w:val="16"/>
              </w:rPr>
            </w:pPr>
            <w:r>
              <w:rPr>
                <w:rFonts w:ascii="Calibri" w:hAnsi="Calibri" w:cs="Calibri"/>
                <w:sz w:val="16"/>
                <w:szCs w:val="16"/>
              </w:rPr>
              <w:t xml:space="preserve">Points beyond the BRD and change requests</w:t>
            </w:r>
          </w:p>
        </w:tc>
        <w:tc>
          <w:tcPr>
            <w:tcW w:w="2304" w:type="dxa"/>
          </w:tcPr>
          <w:p>
            <w:pPr>
              <w:spacing w:after="0"/>
              <w:rPr>
                <w:rFonts w:ascii="Calibri" w:hAnsi="Calibri" w:cs="Calibri"/>
                <w:sz w:val="16"/>
                <w:szCs w:val="16"/>
              </w:rPr>
            </w:pPr>
            <w:r>
              <w:rPr>
                <w:rFonts w:ascii="Calibri" w:hAnsi="Calibri" w:cs="Calibri"/>
                <w:sz w:val="16"/>
                <w:szCs w:val="16"/>
              </w:rPr>
              <w:t xml:space="preserve">Section 1.5; Annex Y</w:t>
            </w:r>
          </w:p>
        </w:tc>
        <w:tc>
          <w:tcPr>
            <w:tcW w:w="2664" w:type="dxa"/>
          </w:tcPr>
          <w:p>
            <w:pPr>
              <w:spacing w:after="0"/>
              <w:rPr>
                <w:rFonts w:ascii="Calibri" w:hAnsi="Calibri" w:cs="Calibri"/>
                <w:sz w:val="16"/>
                <w:szCs w:val="16"/>
              </w:rPr>
            </w:pPr>
            <w:r>
              <w:rPr>
                <w:rFonts w:ascii="Calibri" w:hAnsi="Calibri" w:cs="Calibri"/>
                <w:sz w:val="16"/>
                <w:szCs w:val="16"/>
              </w:rPr>
              <w:t xml:space="preserve">Keep or drop each green point; approve, defer or reject each orange change request</w:t>
            </w:r>
          </w:p>
        </w:tc>
        <w:tc>
          <w:tcPr>
            <w:tcW w:w="1872" w:type="dxa"/>
          </w:tcPr>
          <w:p>
            <w:pPr>
              <w:spacing w:after="0"/>
              <w:rPr>
                <w:rFonts w:ascii="Calibri" w:hAnsi="Calibri" w:cs="Calibri"/>
                <w:sz w:val="16"/>
                <w:szCs w:val="16"/>
              </w:rPr>
            </w:pPr>
            <w:r>
              <w:rPr>
                <w:rFonts w:ascii="Calibri" w:hAnsi="Calibri" w:cs="Calibri"/>
                <w:sz w:val="16"/>
                <w:szCs w:val="16"/>
              </w:rPr>
              <w:t xml:space="preserve">Product Owner; 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BIBS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numPr>
          <w:ilvl w:val="0"/>
          <w:numId w:val="0"/>
        </w:numPr>
        <w:rPr>
          <w:rFonts w:ascii="Arial" w:hAnsi="Arial" w:cs="Arial"/>
        </w:rPr>
      </w:pPr>
      <w:r>
        <w:rPr>
          <w:rFonts w:ascii="Arial" w:hAnsi="Arial" w:cs="Arial"/>
          <w:shd w:val="clear" w:color="auto" w:fill="FFF59D"/>
        </w:rPr>
        <w:t xml:space="preserve">Y.1 How the points were classified</w:t>
      </w:r>
    </w:p>
    <w:p>
      <w:pPr>
        <w:pStyle w:val="ListParagraph"/>
        <w:numPr>
          <w:ilvl w:val="0"/>
          <w:numId w:val="152"/>
        </w:numPr>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rPr>
          <w:rFonts w:ascii="Arial" w:hAnsi="Arial" w:cs="Arial"/>
        </w:rPr>
      </w:pPr>
      <w:r>
        <w:rPr>
          <w:rFonts w:ascii="Arial" w:hAnsi="Arial" w:cs="Arial"/>
          <w:shd w:val="clear" w:color="auto" w:fill="FFF59D"/>
        </w:rPr>
        <w:t xml:space="preserve">A point not in the BRD was checked in the BIBS platform (screens, services and scheduled runs) and in the pack fit-gap workbook: available = green; not available, or available only in part = orange (change request).</w:t>
      </w:r>
    </w:p>
    <w:p>
      <w:pPr>
        <w:pStyle w:val="ListParagraph"/>
        <w:numPr>
          <w:ilvl w:val="0"/>
          <w:numId w:val="152"/>
        </w:numPr>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numPr>
          <w:ilvl w:val="0"/>
          <w:numId w:val="0"/>
        </w:numPr>
        <w:rPr>
          <w:rFonts w:ascii="Arial" w:hAnsi="Arial" w:cs="Arial"/>
        </w:rPr>
      </w:pPr>
      <w:r>
        <w:rPr>
          <w:rFonts w:ascii="Arial" w:hAnsi="Arial" w:cs="Arial"/>
          <w:shd w:val="clear" w:color="auto" w:fill="FFF59D"/>
        </w:rPr>
        <w:t xml:space="preserve">Y.2 Change requests (orange)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2033"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14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119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reference</w:t>
            </w:r>
          </w:p>
        </w:tc>
        <w:tc>
          <w:tcPr>
            <w:tcW w:w="2594" w:type="dxa"/>
            <w:shd w:val="clear" w:color="auto" w:fill="D9E1F2"/>
          </w:tcPr>
          <w:p>
            <w:pPr>
              <w:spacing w:after="0"/>
              <w:rPr>
                <w:rFonts w:ascii="Calibri" w:hAnsi="Calibri" w:cs="Calibri"/>
                <w:sz w:val="15"/>
                <w:szCs w:val="15"/>
              </w:rPr>
            </w:pPr>
            <w:r>
              <w:rPr>
                <w:rFonts w:ascii="Calibri" w:hAnsi="Calibri" w:cs="Calibri"/>
                <w:b/>
                <w:bCs/>
                <w:sz w:val="15"/>
                <w:szCs w:val="15"/>
              </w:rPr>
              <w:t xml:space="preserve">In BIBS today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911"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Complexity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CR-PM-101</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Quotation Slip decision notice to the preparer</w:t>
            </w:r>
          </w:p>
        </w:tc>
        <w:tc>
          <w:tcPr>
            <w:tcW w:w="147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FRPM.006.01, FRPM.012.01; Annex P NT-16</w:t>
            </w:r>
          </w:p>
        </w:tc>
        <w:tc>
          <w:tcPr>
            <w:tcW w:w="119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BRPM.012 (extends)</w:t>
            </w:r>
          </w:p>
        </w:tc>
        <w:tc>
          <w:tcPr>
            <w:tcW w:w="259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Not available: the slip approval (negotiation service) sends the slip to the insurers but no notice to the preparer; the notice service of the platform is available and is reused.</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3.5</w:t>
            </w:r>
          </w:p>
        </w:tc>
        <w:tc>
          <w:tcPr>
            <w:tcW w:w="91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CR-PM-102</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ManCom e-mails in BDOI's wording, with the President's text</w:t>
            </w:r>
          </w:p>
        </w:tc>
        <w:tc>
          <w:tcPr>
            <w:tcW w:w="147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FRPM.014.01; Annex P NT-13, NT-14</w:t>
            </w:r>
          </w:p>
        </w:tc>
        <w:tc>
          <w:tcPr>
            <w:tcW w:w="119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BRPM.015 (extends)</w:t>
            </w:r>
          </w:p>
        </w:tc>
        <w:tc>
          <w:tcPr>
            <w:tcW w:w="259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Partly available: each ManCom approver is told in the system with an e-mail copy, in one standard text; the two BDOI texts are to be added.</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2.5</w:t>
            </w:r>
          </w:p>
        </w:tc>
        <w:tc>
          <w:tcPr>
            <w:tcW w:w="91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CR-PM-103</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Old and new field values of product master changes in the audit log</w:t>
            </w:r>
          </w:p>
        </w:tc>
        <w:tc>
          <w:tcPr>
            <w:tcW w:w="147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FRPM.021.01, FRPM.021.02; Annex M.5</w:t>
            </w:r>
          </w:p>
        </w:tc>
        <w:tc>
          <w:tcPr>
            <w:tcW w:w="119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BRPM.024 (extends)</w:t>
            </w:r>
          </w:p>
        </w:tc>
        <w:tc>
          <w:tcPr>
            <w:tcW w:w="259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Partly available: every create, change and authorize of a product master is in the audit log with user and time; the field-by-field old and new values are kept today for package terms only.</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9</w:t>
            </w:r>
          </w:p>
        </w:tc>
        <w:tc>
          <w:tcPr>
            <w:tcW w:w="91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High</w:t>
            </w:r>
          </w:p>
        </w:tc>
      </w:tr>
      <w:tr>
        <w:trPr>
          <w:cantSplit/>
        </w:trPr>
        <w:tc>
          <w:tcPr>
            <w:tcW w:w="105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CR-PM-104</w:t>
            </w:r>
          </w:p>
        </w:tc>
        <w:tc>
          <w:tcPr>
            <w:tcW w:w="2033"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Accessibility of the Product Maintenance screens (WCAG 2.2 level AA)</w:t>
            </w:r>
          </w:p>
        </w:tc>
        <w:tc>
          <w:tcPr>
            <w:tcW w:w="147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Annex T, T-15</w:t>
            </w:r>
          </w:p>
        </w:tc>
        <w:tc>
          <w:tcPr>
            <w:tcW w:w="119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Partly available: the screens use the platform components and are usable with the keyboard; no WCAG 2.2 AA conformance check has been made on the module (about 8 of 35 screen files carry accessibility labels).</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11.5</w:t>
            </w:r>
          </w:p>
        </w:tc>
        <w:tc>
          <w:tcPr>
            <w:tcW w:w="91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Medium</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CR-PM-105</w:t>
            </w:r>
          </w:p>
        </w:tc>
        <w:tc>
          <w:tcPr>
            <w:tcW w:w="2033"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'Due soon' marker at 80% of the stage service level</w:t>
            </w:r>
          </w:p>
        </w:tc>
        <w:tc>
          <w:tcPr>
            <w:tcW w:w="147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FRPM.001.01</w:t>
            </w:r>
          </w:p>
        </w:tc>
        <w:tc>
          <w:tcPr>
            <w:tcW w:w="119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BRPM.021 (extends)</w:t>
            </w:r>
          </w:p>
        </w:tc>
        <w:tc>
          <w:tcPr>
            <w:tcW w:w="2594"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Partly available: a request is marked 'due soon' when it is due within 8 hours, whatever the service level of the stage; overdue (red) is available.</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3.5</w:t>
            </w:r>
          </w:p>
        </w:tc>
        <w:tc>
          <w:tcPr>
            <w:tcW w:w="91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Total</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5 change requests</w:t>
            </w:r>
          </w:p>
        </w:tc>
        <w:tc>
          <w:tcPr>
            <w:tcW w:w="1472" w:type="dxa"/>
            <w:shd w:val="clear" w:color="auto" w:fill="FFF59D"/>
          </w:tcPr>
          <w:p>
            <w:pPr>
              <w:spacing w:after="0"/>
              <w:rPr>
                <w:rFonts w:ascii="Calibri" w:hAnsi="Calibri" w:cs="Calibri"/>
                <w:sz w:val="15"/>
                <w:szCs w:val="15"/>
              </w:rPr>
            </w:pPr>
          </w:p>
        </w:tc>
        <w:tc>
          <w:tcPr>
            <w:tcW w:w="1192" w:type="dxa"/>
            <w:shd w:val="clear" w:color="auto" w:fill="FFF59D"/>
          </w:tcPr>
          <w:p>
            <w:pPr>
              <w:spacing w:after="0"/>
              <w:rPr>
                <w:rFonts w:ascii="Calibri" w:hAnsi="Calibri" w:cs="Calibri"/>
                <w:sz w:val="15"/>
                <w:szCs w:val="15"/>
              </w:rPr>
            </w:pPr>
          </w:p>
        </w:tc>
        <w:tc>
          <w:tcPr>
            <w:tcW w:w="2594" w:type="dxa"/>
            <w:shd w:val="clear" w:color="auto" w:fill="FFF59D"/>
          </w:tcPr>
          <w:p>
            <w:pPr>
              <w:spacing w:after="0"/>
              <w:rPr>
                <w:rFonts w:ascii="Calibri" w:hAnsi="Calibri" w:cs="Calibri"/>
                <w:sz w:val="15"/>
                <w:szCs w:val="15"/>
              </w:rPr>
            </w:pP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30</w:t>
            </w:r>
          </w:p>
        </w:tc>
        <w:tc>
          <w:tcPr>
            <w:tcW w:w="911" w:type="dxa"/>
            <w:shd w:val="clear" w:color="auto" w:fill="FFF59D"/>
          </w:tcPr>
          <w:p>
            <w:pPr>
              <w:spacing w:after="0"/>
              <w:rPr>
                <w:rFonts w:ascii="Calibri" w:hAnsi="Calibri" w:cs="Calibri"/>
                <w:sz w:val="15"/>
                <w:szCs w:val="15"/>
              </w:rPr>
            </w:pPr>
          </w:p>
        </w:tc>
        <w:tc>
          <w:tcPr>
            <w:tcW w:w="771" w:type="dxa"/>
            <w:shd w:val="clear" w:color="auto" w:fill="FFF59D"/>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Y.3 Points beyond the BRD available in BIBS (green)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FRS reference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BIBS</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G-01</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Excel export of the list behind each dashboard tile</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Product Maintenance dashboard, export buttons</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G-02</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Dashboard tiles of packages ending within 30, 60 and 90 days</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Dashboard stage tiles</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G-03</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Dashboard tile of advisories drafted and not sent</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Dashboard stage tiles</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G-04</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Dashboard tile of the comparative outputs of the week</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FRPM.001.01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Dashboard stage tiles</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G-05</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TSU Workbench with the TSU queues by stage</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FRPM.002.01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TSU Workbench screen</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G-06</w:t>
            </w:r>
          </w:p>
        </w:tc>
        <w:tc>
          <w:tcPr>
            <w:tcW w:w="3744"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Premium Calculator on the package rate scheme</w:t>
            </w:r>
          </w:p>
        </w:tc>
        <w:tc>
          <w:tcPr>
            <w:tcW w:w="144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FRPM.002.01</w:t>
            </w:r>
          </w:p>
        </w:tc>
        <w:tc>
          <w:tcPr>
            <w:tcW w:w="2736"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Premium Calculator screen</w:t>
            </w:r>
          </w:p>
        </w:tc>
        <w:tc>
          <w:tcPr>
            <w:tcW w:w="1728"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G-07</w:t>
            </w:r>
          </w:p>
        </w:tc>
        <w:tc>
          <w:tcPr>
            <w:tcW w:w="3744"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Renewal Request Report exported to PDF, Excel and CSV, every run logged</w:t>
            </w:r>
          </w:p>
        </w:tc>
        <w:tc>
          <w:tcPr>
            <w:tcW w:w="144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FRPM.019.01</w:t>
            </w:r>
          </w:p>
        </w:tc>
        <w:tc>
          <w:tcPr>
            <w:tcW w:w="2736"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Report engine of the platform</w:t>
            </w:r>
          </w:p>
        </w:tc>
        <w:tc>
          <w:tcPr>
            <w:tcW w:w="1728"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G-08</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E-mail log with recipient, time, subject and attachment fingerprint</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FRPM.021.01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Message log of the platform</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part</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line</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this FRS</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Direct management and update capability for Package Products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FRPM.003, FRPM.022 to FRPM.024</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Automatic audit tracking for compliance</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 Annex T T-13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Synchronization of updates across all relevant systems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FRPM.029.01; Annex S IN-01 to IN-11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Streamlined approval, validation, and reporting processes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FRPM.011, FRPM.014, FRPM.016.02, FRPM.019, FRPM.020, FRPM.028.01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Benefits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Files can be password-protected or encrypted; only authorized users access sensitive documents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FRPM.027.01; Annex T T-10, T-11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1-2</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Requests logged in the system; reference numbers generated and tracked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FRPM.011.01, FRPM.011.02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3</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Proposal and quotation workflows systematized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FRPM.012.01 to FRPM.013.02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4</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tables and reports generated and shared via a secure dashboard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FRPM.012.04, FRPM.001.01, FRPM.020.01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5</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Dashboard with real-time tracking, reporting and user-specific access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FRPM.001.01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6</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Documents shared securely (password protection / encryption)</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7</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Validation and approval steps enforced within the system</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FRPM.028.01, FRPM.016.02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8-9</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expiring packages; automated renewal workflow before expiry</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FRPM.004.01, FRPM.026.01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10</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records and history archived for audit</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FRPM.024.01, FRPM.019.03, FRPM.021.01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Key capabilities 1-9</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FRPM.001 to FRPM.030 (Business Requirements Mapping)</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Key capabilities 10-13</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Expiring packages monitoring; renewal workflow automation, negotiation and documentation; renewal reporting</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FRPM.004.01, FRPM.026.01, FRPM.012.03, FRPM.019.01, FRPM.019.02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users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Marketing 485 (145 concurrent), MBS 5 (5), TSU 13 (13)</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response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Expected response time under 5 seconds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peak</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Highest demand on the 15th and 30th; peak 08:00 to 17:30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T-06</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devices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Same speed on mobile and desktop</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T-09</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availability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99.9%; used 07:00 to 18:30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T-07</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downtime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RTO 4 hours, RPO 24 hours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T-08</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maintenance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Maintenance times as per bank standard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T-18 (added in v1.3)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Non-functional: disaster</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Business continuity threshold RTO 4 hours, RPO 24 hours</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T T-21 (added in v1.3)</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Programme NFR 10.07</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One session per device (Collections addendum)</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T T-19 (added in v1.3); User Access Maintenance FRS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Programme NFR 4.03</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Source / IP address in the audit log (CLM, CLXN, RI addenda)</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T-20 (added in v1.3); FRPM.021.01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Gap fixed</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