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194</w:t>
          </w:r>
        </w:p>
        <w:p>
          <w:pPr>
            <w:pStyle w:val="TOC2"/>
            <w:tabs>
              <w:tab w:val="right" w:leader="dot" w:pos="9630"/>
            </w:tabs>
          </w:pPr>
          <w:r>
            <w:t xml:space="preserve">I. Corporate</w:t>
          </w:r>
          <w:r>
            <w:tab/>
          </w:r>
          <w:r>
            <w:t xml:space="preserve">194</w:t>
          </w:r>
        </w:p>
        <w:p>
          <w:pPr>
            <w:pStyle w:val="TOC2"/>
            <w:tabs>
              <w:tab w:val="right" w:leader="dot" w:pos="9630"/>
            </w:tabs>
          </w:pPr>
          <w:r>
            <w:t xml:space="preserve">II. Retail</w:t>
          </w:r>
          <w:r>
            <w:tab/>
          </w:r>
          <w:r>
            <w:t xml:space="preserve">194</w:t>
          </w:r>
        </w:p>
        <w:p>
          <w:pPr>
            <w:pStyle w:val="TOC2"/>
            <w:tabs>
              <w:tab w:val="right" w:leader="dot" w:pos="9630"/>
            </w:tabs>
          </w:pPr>
          <w:r>
            <w:t xml:space="preserve">III. CBG Motor</w:t>
          </w:r>
          <w:r>
            <w:tab/>
          </w:r>
          <w:r>
            <w:t xml:space="preserve">195</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196</w:t>
          </w:r>
        </w:p>
        <w:p>
          <w:pPr>
            <w:pStyle w:val="TOC2"/>
            <w:tabs>
              <w:tab w:val="right" w:leader="dot" w:pos="9630"/>
            </w:tabs>
          </w:pPr>
          <w:r>
            <w:t xml:space="preserve">I. CBG Loans excluding Personal</w:t>
          </w:r>
          <w:r>
            <w:tab/>
          </w:r>
          <w:r>
            <w:t xml:space="preserve">196</w:t>
          </w:r>
        </w:p>
        <w:p>
          <w:pPr>
            <w:pStyle w:val="TOC2"/>
            <w:tabs>
              <w:tab w:val="right" w:leader="dot" w:pos="9630"/>
            </w:tabs>
          </w:pPr>
          <w:r>
            <w:t xml:space="preserve">II. List of Paid Off Accounts</w:t>
          </w:r>
          <w:r>
            <w:tab/>
          </w:r>
          <w:r>
            <w:t xml:space="preserve">198</w:t>
          </w:r>
        </w:p>
        <w:p>
          <w:pPr>
            <w:pStyle w:val="TOC1"/>
            <w:tabs>
              <w:tab w:val="right" w:leader="dot" w:pos="9630"/>
            </w:tabs>
          </w:pPr>
          <w:r>
            <w:t xml:space="preserve">Annex H – Insurer Disposition Upload Details (CBG)</w:t>
          </w:r>
          <w:r>
            <w:tab/>
          </w:r>
          <w:r>
            <w:t xml:space="preserve">199</w:t>
          </w:r>
        </w:p>
        <w:p>
          <w:pPr>
            <w:pStyle w:val="TOC1"/>
            <w:tabs>
              <w:tab w:val="right" w:leader="dot" w:pos="9630"/>
            </w:tabs>
          </w:pPr>
          <w:r>
            <w:t xml:space="preserve">Annex I – Quick Proposal Template</w:t>
          </w:r>
          <w:r>
            <w:tab/>
          </w:r>
          <w:r>
            <w:t xml:space="preserve">199</w:t>
          </w:r>
        </w:p>
        <w:p>
          <w:pPr>
            <w:pStyle w:val="TOC1"/>
            <w:tabs>
              <w:tab w:val="right" w:leader="dot" w:pos="9630"/>
            </w:tabs>
          </w:pPr>
          <w:r>
            <w:t xml:space="preserve">Annex J – Full Proposal Template</w:t>
          </w:r>
          <w:r>
            <w:tab/>
          </w:r>
          <w:r>
            <w:t xml:space="preserve">199</w:t>
          </w:r>
        </w:p>
        <w:p>
          <w:pPr>
            <w:pStyle w:val="TOC1"/>
            <w:tabs>
              <w:tab w:val="right" w:leader="dot" w:pos="9630"/>
            </w:tabs>
          </w:pPr>
          <w:r>
            <w:t xml:space="preserve">Annex K - Non –Package Quotation Request Details</w:t>
          </w:r>
          <w:r>
            <w:tab/>
          </w:r>
          <w:r>
            <w:t xml:space="preserve">199</w:t>
          </w:r>
        </w:p>
        <w:p>
          <w:pPr>
            <w:pStyle w:val="TOC1"/>
            <w:tabs>
              <w:tab w:val="right" w:leader="dot" w:pos="9630"/>
            </w:tabs>
          </w:pPr>
          <w:r>
            <w:t xml:space="preserve">Annex L – Renewal Advice Template</w:t>
          </w:r>
          <w:r>
            <w:tab/>
          </w:r>
          <w:r>
            <w:t xml:space="preserve">200</w:t>
          </w:r>
        </w:p>
        <w:p>
          <w:pPr>
            <w:pStyle w:val="TOC1"/>
            <w:tabs>
              <w:tab w:val="right" w:leader="dot" w:pos="9630"/>
            </w:tabs>
          </w:pPr>
          <w:r>
            <w:t xml:space="preserve">Annex M - Letter Eligibility Matrix</w:t>
          </w:r>
          <w:r>
            <w:tab/>
          </w:r>
          <w:r>
            <w:t xml:space="preserve">200</w:t>
          </w:r>
        </w:p>
        <w:p>
          <w:pPr>
            <w:pStyle w:val="TOC1"/>
            <w:tabs>
              <w:tab w:val="right" w:leader="dot" w:pos="9630"/>
            </w:tabs>
          </w:pPr>
          <w:r>
            <w:t xml:space="preserve">Annex N – NRNS Reminder Letter Template</w:t>
          </w:r>
          <w:r>
            <w:tab/>
          </w:r>
          <w:r>
            <w:t xml:space="preserve">201</w:t>
          </w:r>
        </w:p>
        <w:p>
          <w:pPr>
            <w:pStyle w:val="TOC1"/>
            <w:tabs>
              <w:tab w:val="right" w:leader="dot" w:pos="9630"/>
            </w:tabs>
          </w:pPr>
          <w:r>
            <w:t xml:space="preserve">Annex O – No Advice Letter Template</w:t>
          </w:r>
          <w:r>
            <w:tab/>
          </w:r>
          <w:r>
            <w:t xml:space="preserve">201</w:t>
          </w:r>
        </w:p>
        <w:p>
          <w:pPr>
            <w:pStyle w:val="TOC1"/>
            <w:tabs>
              <w:tab w:val="right" w:leader="dot" w:pos="9630"/>
            </w:tabs>
          </w:pPr>
          <w:r>
            <w:t xml:space="preserve">Annex P – Non-Renewal Letter Template</w:t>
          </w:r>
          <w:r>
            <w:tab/>
          </w:r>
          <w:r>
            <w:t xml:space="preserve">201</w:t>
          </w:r>
        </w:p>
        <w:p>
          <w:pPr>
            <w:pStyle w:val="TOC1"/>
            <w:tabs>
              <w:tab w:val="right" w:leader="dot" w:pos="9630"/>
            </w:tabs>
          </w:pPr>
          <w:r>
            <w:t xml:space="preserve">Annex Q – SFU Letter Template</w:t>
          </w:r>
          <w:r>
            <w:tab/>
          </w:r>
          <w:r>
            <w:t xml:space="preserve">201</w:t>
          </w:r>
        </w:p>
        <w:p>
          <w:pPr>
            <w:pStyle w:val="TOC1"/>
            <w:tabs>
              <w:tab w:val="right" w:leader="dot" w:pos="9630"/>
            </w:tabs>
          </w:pPr>
          <w:r>
            <w:t xml:space="preserve">Annex R – FFY Reminder Letter Template</w:t>
          </w:r>
          <w:r>
            <w:tab/>
          </w:r>
          <w:r>
            <w:t xml:space="preserve">201</w:t>
          </w:r>
        </w:p>
        <w:p>
          <w:pPr>
            <w:pStyle w:val="TOC1"/>
            <w:tabs>
              <w:tab w:val="right" w:leader="dot" w:pos="9630"/>
            </w:tabs>
          </w:pPr>
          <w:r>
            <w:t xml:space="preserve">Annex S - Billing File Email and Attachment Template</w:t>
          </w:r>
          <w:r>
            <w:tab/>
          </w:r>
          <w:r>
            <w:t xml:space="preserve">201</w:t>
          </w:r>
        </w:p>
        <w:p>
          <w:pPr>
            <w:pStyle w:val="TOC2"/>
            <w:tabs>
              <w:tab w:val="right" w:leader="dot" w:pos="9630"/>
            </w:tabs>
          </w:pPr>
          <w:r>
            <w:t xml:space="preserve">I. Attachment Details</w:t>
          </w:r>
          <w:r>
            <w:tab/>
          </w:r>
          <w:r>
            <w:t xml:space="preserve">201</w:t>
          </w:r>
        </w:p>
        <w:p>
          <w:pPr>
            <w:pStyle w:val="TOC2"/>
            <w:tabs>
              <w:tab w:val="right" w:leader="dot" w:pos="9630"/>
            </w:tabs>
          </w:pPr>
          <w:r>
            <w:t xml:space="preserve">II. Email Template</w:t>
          </w:r>
          <w:r>
            <w:tab/>
          </w:r>
          <w:r>
            <w:t xml:space="preserve">202</w:t>
          </w:r>
        </w:p>
        <w:p>
          <w:pPr>
            <w:pStyle w:val="TOC1"/>
            <w:tabs>
              <w:tab w:val="right" w:leader="dot" w:pos="9630"/>
            </w:tabs>
          </w:pPr>
          <w:r>
            <w:t xml:space="preserve">Annex T - Placement Slip Template</w:t>
          </w:r>
          <w:r>
            <w:tab/>
          </w:r>
          <w:r>
            <w:t xml:space="preserve">203</w:t>
          </w:r>
        </w:p>
        <w:p>
          <w:pPr>
            <w:pStyle w:val="TOC1"/>
            <w:tabs>
              <w:tab w:val="right" w:leader="dot" w:pos="9630"/>
            </w:tabs>
          </w:pPr>
          <w:r>
            <w:t xml:space="preserve">Annex U – Placement File Field Details</w:t>
          </w:r>
          <w:r>
            <w:tab/>
          </w:r>
          <w:r>
            <w:t xml:space="preserve">203</w:t>
          </w:r>
        </w:p>
        <w:p>
          <w:pPr>
            <w:pStyle w:val="TOC2"/>
            <w:tabs>
              <w:tab w:val="right" w:leader="dot" w:pos="9630"/>
            </w:tabs>
          </w:pPr>
          <w:r>
            <w:t xml:space="preserve">I. Package Risk Description</w:t>
          </w:r>
          <w:r>
            <w:tab/>
          </w:r>
          <w:r>
            <w:t xml:space="preserve">204</w:t>
          </w:r>
        </w:p>
        <w:p>
          <w:pPr>
            <w:pStyle w:val="TOC2"/>
            <w:tabs>
              <w:tab w:val="right" w:leader="dot" w:pos="9630"/>
            </w:tabs>
          </w:pPr>
          <w:r>
            <w:t xml:space="preserve">II. Non-Package Risk Description</w:t>
          </w:r>
          <w:r>
            <w:tab/>
          </w:r>
          <w:r>
            <w:t xml:space="preserve">205</w:t>
          </w:r>
        </w:p>
        <w:p>
          <w:pPr>
            <w:pStyle w:val="TOC1"/>
            <w:tabs>
              <w:tab w:val="right" w:leader="dot" w:pos="9630"/>
            </w:tabs>
          </w:pPr>
          <w:r>
            <w:t xml:space="preserve">Annex V – Return Reasons</w:t>
          </w:r>
          <w:r>
            <w:tab/>
          </w:r>
          <w:r>
            <w:t xml:space="preserve">209</w:t>
          </w:r>
        </w:p>
        <w:p>
          <w:pPr>
            <w:pStyle w:val="TOC1"/>
            <w:tabs>
              <w:tab w:val="right" w:leader="dot" w:pos="9630"/>
            </w:tabs>
          </w:pPr>
          <w:r>
            <w:t xml:space="preserve">Annex W – Insurance Advice Template</w:t>
          </w:r>
          <w:r>
            <w:tab/>
          </w:r>
          <w:r>
            <w:t xml:space="preserve">210</w:t>
          </w:r>
        </w:p>
        <w:p>
          <w:pPr>
            <w:pStyle w:val="TOC1"/>
            <w:tabs>
              <w:tab w:val="right" w:leader="dot" w:pos="9630"/>
            </w:tabs>
          </w:pPr>
          <w:r>
            <w:t xml:space="preserve">Annex X – E-Policy Email Template</w:t>
          </w:r>
          <w:r>
            <w:tab/>
          </w:r>
          <w:r>
            <w:t xml:space="preserve">210</w:t>
          </w:r>
        </w:p>
        <w:p>
          <w:pPr>
            <w:pStyle w:val="TOC1"/>
            <w:tabs>
              <w:tab w:val="right" w:leader="dot" w:pos="9630"/>
            </w:tabs>
          </w:pPr>
          <w:r>
            <w:t xml:space="preserve">Annex Y – Service Invoice Template</w:t>
          </w:r>
          <w:r>
            <w:tab/>
          </w:r>
          <w:r>
            <w:t xml:space="preserve">210</w:t>
          </w:r>
        </w:p>
        <w:p>
          <w:pPr>
            <w:pStyle w:val="TOC1"/>
            <w:tabs>
              <w:tab w:val="right" w:leader="dot" w:pos="9630"/>
            </w:tabs>
          </w:pPr>
          <w:r>
            <w:t xml:space="preserve">Annex Z – Hold Cover Template</w:t>
          </w:r>
          <w:r>
            <w:tab/>
          </w:r>
          <w:r>
            <w:t xml:space="preserve">211</w:t>
          </w:r>
        </w:p>
        <w:p>
          <w:pPr>
            <w:pStyle w:val="TOC1"/>
            <w:tabs>
              <w:tab w:val="right" w:leader="dot" w:pos="9630"/>
            </w:tabs>
          </w:pPr>
          <w:r>
            <w:t xml:space="preserve">Annex AA – Screen Specifications</w:t>
          </w:r>
          <w:r>
            <w:tab/>
          </w:r>
          <w:r>
            <w:t xml:space="preserve">212</w:t>
          </w:r>
        </w:p>
        <w:p>
          <w:pPr>
            <w:pStyle w:val="TOC1"/>
            <w:tabs>
              <w:tab w:val="right" w:leader="dot" w:pos="9630"/>
            </w:tabs>
          </w:pPr>
          <w:r>
            <w:t xml:space="preserve">Annex AB – Messages and Validations</w:t>
          </w:r>
          <w:r>
            <w:tab/>
          </w:r>
          <w:r>
            <w:t xml:space="preserve">258</w:t>
          </w:r>
        </w:p>
        <w:p>
          <w:pPr>
            <w:pStyle w:val="TOC1"/>
            <w:tabs>
              <w:tab w:val="right" w:leader="dot" w:pos="9630"/>
            </w:tabs>
          </w:pPr>
          <w:r>
            <w:t xml:space="preserve">Annex AC – Business Rules and Configurable Parameters</w:t>
          </w:r>
          <w:r>
            <w:tab/>
          </w:r>
          <w:r>
            <w:t xml:space="preserve">268</w:t>
          </w:r>
        </w:p>
        <w:p>
          <w:pPr>
            <w:pStyle w:val="TOC1"/>
            <w:tabs>
              <w:tab w:val="right" w:leader="dot" w:pos="9630"/>
            </w:tabs>
          </w:pPr>
          <w:r>
            <w:t xml:space="preserve">Annex AD – Workflow and Approvals</w:t>
          </w:r>
          <w:r>
            <w:tab/>
          </w:r>
          <w:r>
            <w:t xml:space="preserve">273</w:t>
          </w:r>
        </w:p>
        <w:p>
          <w:pPr>
            <w:pStyle w:val="TOC1"/>
            <w:tabs>
              <w:tab w:val="right" w:leader="dot" w:pos="9630"/>
            </w:tabs>
          </w:pPr>
          <w:r>
            <w:t xml:space="preserve">Annex AE – E-mail and Notification Texts</w:t>
          </w:r>
          <w:r>
            <w:tab/>
          </w:r>
          <w:r>
            <w:t xml:space="preserve">275</w:t>
          </w:r>
        </w:p>
        <w:p>
          <w:pPr>
            <w:pStyle w:val="TOC1"/>
            <w:tabs>
              <w:tab w:val="right" w:leader="dot" w:pos="9630"/>
            </w:tabs>
          </w:pPr>
          <w:r>
            <w:t xml:space="preserve">Annex AF – Document Prints and Output Formats</w:t>
          </w:r>
          <w:r>
            <w:tab/>
          </w:r>
          <w:r>
            <w:t xml:space="preserve">292</w:t>
          </w:r>
        </w:p>
        <w:p>
          <w:pPr>
            <w:pStyle w:val="TOC1"/>
            <w:tabs>
              <w:tab w:val="right" w:leader="dot" w:pos="9630"/>
            </w:tabs>
          </w:pPr>
          <w:r>
            <w:t xml:space="preserve">Annex AG – Reports and Schedules</w:t>
          </w:r>
          <w:r>
            <w:tab/>
          </w:r>
          <w:r>
            <w:t xml:space="preserve">301</w:t>
          </w:r>
        </w:p>
        <w:p>
          <w:pPr>
            <w:pStyle w:val="TOC1"/>
            <w:tabs>
              <w:tab w:val="right" w:leader="dot" w:pos="9630"/>
            </w:tabs>
          </w:pPr>
          <w:r>
            <w:t xml:space="preserve">Annex AH – Integrations</w:t>
          </w:r>
          <w:r>
            <w:tab/>
          </w:r>
          <w:r>
            <w:t xml:space="preserve">303</w:t>
          </w:r>
        </w:p>
        <w:p>
          <w:pPr>
            <w:pStyle w:val="TOC1"/>
            <w:tabs>
              <w:tab w:val="right" w:leader="dot" w:pos="9630"/>
            </w:tabs>
          </w:pPr>
          <w:r>
            <w:t xml:space="preserve">Annex AJ – Non-functional Requirements</w:t>
          </w:r>
          <w:r>
            <w:tab/>
          </w:r>
          <w:r>
            <w:t xml:space="preserve">305</w:t>
          </w:r>
        </w:p>
        <w:p>
          <w:pPr>
            <w:pStyle w:val="TOC1"/>
            <w:tabs>
              <w:tab w:val="right" w:leader="dot" w:pos="9630"/>
            </w:tabs>
          </w:pPr>
          <w:r>
            <w:t xml:space="preserve">Annex AK – Data Set-up and Migration at Go-live</w:t>
          </w:r>
          <w:r>
            <w:tab/>
          </w:r>
          <w:r>
            <w:t xml:space="preserve">306</w:t>
          </w:r>
        </w:p>
        <w:p>
          <w:pPr>
            <w:pStyle w:val="TOC1"/>
            <w:tabs>
              <w:tab w:val="right" w:leader="dot" w:pos="9630"/>
            </w:tabs>
          </w:pPr>
          <w:r>
            <w:t xml:space="preserve">Annex AL – Process Walkthroughs</w:t>
          </w:r>
          <w:r>
            <w:tab/>
          </w:r>
          <w:r>
            <w:t xml:space="preserve">307</w:t>
          </w:r>
        </w:p>
        <w:p>
          <w:pPr>
            <w:pStyle w:val="TOC1"/>
            <w:tabs>
              <w:tab w:val="right" w:leader="dot" w:pos="9630"/>
            </w:tabs>
          </w:pPr>
          <w:r>
            <w:t xml:space="preserve">Annex AM – Requirements Traceability</w:t>
          </w:r>
          <w:r>
            <w:tab/>
          </w:r>
          <w:r>
            <w:t xml:space="preserve">310</w:t>
          </w:r>
        </w:p>
        <w:p>
          <w:pPr>
            <w:pStyle w:val="TOC1"/>
            <w:tabs>
              <w:tab w:val="right" w:leader="dot" w:pos="9630"/>
            </w:tabs>
          </w:pPr>
          <w:r>
            <w:t xml:space="preserve">Annex AN – Assumptions, Dependencies and Open Questions</w:t>
          </w:r>
          <w:r>
            <w:tab/>
          </w:r>
          <w:r>
            <w:t xml:space="preserve">320</w:t>
          </w:r>
        </w:p>
        <w:p>
          <w:pPr>
            <w:pStyle w:val="TOC1"/>
            <w:tabs>
              <w:tab w:val="right" w:leader="dot" w:pos="9630"/>
            </w:tabs>
          </w:pPr>
          <w:r>
            <w:t xml:space="preserve">Annex AO – Observations and Points for BDOI Decision</w:t>
          </w:r>
          <w:r>
            <w:tab/>
          </w:r>
          <w:r>
            <w:t xml:space="preserve">323</w:t>
          </w:r>
        </w:p>
        <w:p>
          <w:pPr>
            <w:pStyle w:val="TOC1"/>
            <w:tabs>
              <w:tab w:val="right" w:leader="dot" w:pos="9630"/>
            </w:tabs>
          </w:pPr>
          <w:r>
            <w:t xml:space="preserve">Annex AP – Change Control after Sign-off</w:t>
          </w:r>
          <w:r>
            <w:tab/>
          </w:r>
          <w:r>
            <w:t xml:space="preserve">335</w:t>
          </w:r>
        </w:p>
        <w:p>
          <w:pPr>
            <w:pStyle w:val="TOC1"/>
            <w:tabs>
              <w:tab w:val="right" w:leader="dot" w:pos="9630"/>
            </w:tabs>
          </w:pPr>
          <w:r>
            <w:t xml:space="preserve">Annex AQ – Business Unit Review Checklist</w:t>
          </w:r>
          <w:r>
            <w:tab/>
          </w:r>
          <w:r>
            <w:t xml:space="preserve">339</w:t>
          </w:r>
        </w:p>
        <w:p>
          <w:pPr>
            <w:pStyle w:val="TOC1"/>
            <w:tabs>
              <w:tab w:val="right" w:leader="dot" w:pos="9630"/>
            </w:tabs>
          </w:pPr>
          <w:r>
            <w:t xml:space="preserve">Annex AR – Glossary</w:t>
          </w:r>
          <w:r>
            <w:tab/>
          </w:r>
          <w:r>
            <w:t xml:space="preserve">340</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rPr>
        <w:t xml:space="preserve"/>
      </w:r>
      <w:r>
        <w:rPr>
          <w:rFonts w:ascii="Arial" w:hAnsi="Arial" w:cs="Arial"/>
          <w:b/>
          <w:bCs/>
          <w:color w:val="014EA9"/>
        </w:rPr>
        <w:t xml:space="preserve">How to read this document</w:t>
      </w:r>
    </w:p>
    <w:p>
      <w:pPr>
        <w:pStyle w:val="BodyText"/>
        <w:keepNext/>
        <w:ind w:left="360" w:right="270"/>
        <w:jc w:val="both"/>
        <w:rPr>
          <w:rFonts w:cs="Arial"/>
        </w:rPr>
      </w:pPr>
      <w:r>
        <w:rPr>
          <w:rFonts w:cs="Arial"/>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rPr>
        <w:t xml:space="preserve">Black:</w:t>
      </w:r>
      <w:r>
        <w:rPr>
          <w:rFonts w:ascii="Arial" w:hAnsi="Arial" w:cs="Arial"/>
          <w:color w:val="000000"/>
          <w:sz w:val="20"/>
          <w:szCs w:val="20"/>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rPr>
        <w:t xml:space="preserve">[Integration scope] / [Data Migration scope]:</w:t>
      </w:r>
      <w:r>
        <w:rPr>
          <w:rFonts w:ascii="Arial" w:hAnsi="Arial" w:cs="Arial"/>
          <w:color w:val="616161"/>
          <w:sz w:val="20"/>
          <w:szCs w:val="20"/>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rPr>
        <w:t xml:space="preserve">Blue:</w:t>
      </w:r>
      <w:r>
        <w:rPr>
          <w:rFonts w:ascii="Arial" w:hAnsi="Arial" w:cs="Arial"/>
          <w:color w:val="1565C0"/>
          <w:sz w:val="20"/>
          <w:szCs w:val="20"/>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rPr>
        <w:t xml:space="preserve">Out of the box means the iNXT BrokerVerse platform edition (its code and manual), cross-checked with the Feature List vs OOTB workbook; the work prepared for BIBS in this project is not out of the box.</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1193"/>
        <w:gridCol w:w="1117"/>
        <w:gridCol w:w="957"/>
        <w:gridCol w:w="798"/>
        <w:gridCol w:w="1028"/>
        <w:gridCol w:w="960"/>
        <w:gridCol w:w="1638"/>
        <w:gridCol w:w="900"/>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RN-NFR-18</w:t>
            </w:r>
          </w:p>
        </w:tc>
        <w:tc>
          <w:tcPr>
            <w:tcW w:w="1152" w:type="dxa"/>
          </w:tcPr>
          <w:p>
            <w:pPr>
              <w:spacing w:after="20" w:before="20"/>
              <w:rPr>
                <w:rFonts w:ascii="Arial" w:hAnsi="Arial" w:cs="Arial"/>
                <w:sz w:val="14"/>
                <w:szCs w:val="14"/>
              </w:rPr>
            </w:pPr>
            <w:r>
              <w:rPr>
                <w:rFonts w:ascii="Arial" w:hAnsi="Arial" w:cs="Arial"/>
                <w:sz w:val="14"/>
                <w:szCs w:val="14"/>
              </w:rPr>
              <w:t xml:space="preserve">Audit source</w:t>
            </w:r>
          </w:p>
        </w:tc>
        <w:tc>
          <w:tcPr>
            <w:tcW w:w="3024" w:type="dxa"/>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the work prepared for BIBS in this project is not out of the box.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also where the point is already prepared for BIBS.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720" w:type="dxa"/>
          </w:tcPr>
          <w:p>
            <w:pPr>
              <w:keepNext/>
              <w:spacing w:after="20" w:before="20"/>
              <w:rPr>
                <w:rFonts w:ascii="Arial" w:hAnsi="Arial" w:cs="Arial"/>
                <w:sz w:val="15"/>
                <w:szCs w:val="15"/>
              </w:rPr>
            </w:pPr>
            <w:r>
              <w:rPr>
                <w:rFonts w:ascii="Arial" w:hAnsi="Arial" w:cs="Arial"/>
                <w:color w:val="2E7D32"/>
                <w:sz w:val="15"/>
                <w:szCs w:val="15"/>
              </w:rPr>
              <w:t xml:space="preserve">G-09</w:t>
            </w:r>
          </w:p>
        </w:tc>
        <w:tc>
          <w:tcPr>
            <w:tcW w:w="1130" w:type="dxa"/>
          </w:tcPr>
          <w:p>
            <w:pPr>
              <w:keepNext/>
              <w:spacing w:after="20" w:before="20"/>
              <w:rPr>
                <w:rFonts w:ascii="Arial" w:hAnsi="Arial" w:cs="Arial"/>
                <w:sz w:val="15"/>
                <w:szCs w:val="15"/>
              </w:rPr>
            </w:pPr>
            <w:r>
              <w:rPr>
                <w:rFonts w:ascii="Arial" w:hAnsi="Arial" w:cs="Arial"/>
                <w:color w:val="2E7D32"/>
                <w:sz w:val="15"/>
                <w:szCs w:val="15"/>
              </w:rPr>
              <w:t xml:space="preserve">FRRN.014.03</w:t>
            </w:r>
          </w:p>
        </w:tc>
        <w:tc>
          <w:tcPr>
            <w:tcW w:w="2148" w:type="dxa"/>
          </w:tcPr>
          <w:p>
            <w:pPr>
              <w:keepNext/>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57" w:type="dxa"/>
          </w:tcPr>
          <w:p>
            <w:pPr>
              <w:keepNext/>
              <w:spacing w:after="20" w:before="20"/>
              <w:rPr>
                <w:rFonts w:ascii="Arial" w:hAnsi="Arial" w:cs="Arial"/>
                <w:sz w:val="15"/>
                <w:szCs w:val="15"/>
              </w:rPr>
            </w:pPr>
            <w:r>
              <w:rPr>
                <w:rFonts w:ascii="Arial" w:hAnsi="Arial" w:cs="Arial"/>
                <w:color w:val="2E7D32"/>
                <w:sz w:val="15"/>
                <w:szCs w:val="15"/>
              </w:rPr>
              <w:t xml:space="preserve">QPL-016: Available</w:t>
            </w:r>
          </w:p>
        </w:tc>
        <w:tc>
          <w:tcPr>
            <w:tcW w:w="1582" w:type="dxa"/>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2940" w:type="dxa"/>
          </w:tcPr>
          <w:p>
            <w:pPr>
              <w:keepNext/>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20" w:type="dxa"/>
          </w:tcPr>
          <w:p>
            <w:pPr>
              <w:keepNext/>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720" w:type="dxa"/>
          </w:tcPr>
          <w:p>
            <w:pPr>
              <w:keepNext/>
              <w:spacing w:after="20" w:before="20"/>
              <w:rPr>
                <w:rFonts w:ascii="Arial" w:hAnsi="Arial" w:cs="Arial"/>
                <w:sz w:val="15"/>
                <w:szCs w:val="15"/>
              </w:rPr>
            </w:pPr>
            <w:r>
              <w:rPr>
                <w:rFonts w:ascii="Arial" w:hAnsi="Arial" w:cs="Arial"/>
                <w:color w:val="2E7D32"/>
                <w:sz w:val="15"/>
                <w:szCs w:val="15"/>
              </w:rPr>
              <w:t xml:space="preserve">G-19</w:t>
            </w:r>
          </w:p>
        </w:tc>
        <w:tc>
          <w:tcPr>
            <w:tcW w:w="1130" w:type="dxa"/>
          </w:tcPr>
          <w:p>
            <w:pPr>
              <w:keepNext/>
              <w:spacing w:after="20" w:before="20"/>
              <w:rPr>
                <w:rFonts w:ascii="Arial" w:hAnsi="Arial" w:cs="Arial"/>
                <w:sz w:val="15"/>
                <w:szCs w:val="15"/>
              </w:rPr>
            </w:pPr>
            <w:r>
              <w:rPr>
                <w:rFonts w:ascii="Arial" w:hAnsi="Arial" w:cs="Arial"/>
                <w:color w:val="2E7D32"/>
                <w:sz w:val="15"/>
                <w:szCs w:val="15"/>
              </w:rPr>
              <w:t xml:space="preserve">FRRN.022.01</w:t>
            </w:r>
          </w:p>
        </w:tc>
        <w:tc>
          <w:tcPr>
            <w:tcW w:w="2148" w:type="dxa"/>
          </w:tcPr>
          <w:p>
            <w:pPr>
              <w:keepNext/>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357" w:type="dxa"/>
          </w:tcPr>
          <w:p>
            <w:pPr>
              <w:keepNext/>
              <w:spacing w:after="20" w:before="20"/>
              <w:rPr>
                <w:rFonts w:ascii="Arial" w:hAnsi="Arial" w:cs="Arial"/>
                <w:sz w:val="15"/>
                <w:szCs w:val="15"/>
              </w:rPr>
            </w:pPr>
            <w:r>
              <w:rPr>
                <w:rFonts w:ascii="Arial" w:hAnsi="Arial" w:cs="Arial"/>
                <w:color w:val="2E7D32"/>
                <w:sz w:val="15"/>
                <w:szCs w:val="15"/>
              </w:rPr>
              <w:t xml:space="preserve">RNW-022: Available</w:t>
            </w:r>
          </w:p>
        </w:tc>
        <w:tc>
          <w:tcPr>
            <w:tcW w:w="1582" w:type="dxa"/>
          </w:tcPr>
          <w:p>
            <w:pPr>
              <w:keepNext/>
              <w:spacing w:after="20" w:before="20"/>
              <w:rPr>
                <w:rFonts w:ascii="Arial" w:hAnsi="Arial" w:cs="Arial"/>
                <w:sz w:val="15"/>
                <w:szCs w:val="15"/>
              </w:rPr>
            </w:pPr>
            <w:r>
              <w:rPr>
                <w:rFonts w:ascii="Arial" w:hAnsi="Arial" w:cs="Arial"/>
                <w:color w:val="2E7D32"/>
                <w:sz w:val="15"/>
                <w:szCs w:val="15"/>
              </w:rPr>
              <w:t xml:space="preserve">BRRN.010</w:t>
            </w:r>
          </w:p>
        </w:tc>
        <w:tc>
          <w:tcPr>
            <w:tcW w:w="2940" w:type="dxa"/>
          </w:tcPr>
          <w:p>
            <w:pPr>
              <w:keepNext/>
              <w:spacing w:after="20" w:before="20"/>
              <w:rPr>
                <w:rFonts w:ascii="Arial" w:hAnsi="Arial" w:cs="Arial"/>
                <w:sz w:val="15"/>
                <w:szCs w:val="15"/>
              </w:rPr>
            </w:pPr>
            <w:r>
              <w:rPr>
                <w:rFonts w:ascii="Arial" w:hAnsi="Arial" w:cs="Arial"/>
                <w:color w:val="2E7D32"/>
                <w:sz w:val="15"/>
                <w:szCs w:val="15"/>
              </w:rPr>
              <w:t xml:space="preserve">Renewal Batch with first, second and final notices from templates (Operations &gt; Renewals)</w:t>
            </w:r>
          </w:p>
        </w:tc>
        <w:tc>
          <w:tcPr>
            <w:tcW w:w="920" w:type="dxa"/>
          </w:tcPr>
          <w:p>
            <w:pPr>
              <w:keepNext/>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720" w:type="dxa"/>
          </w:tcPr>
          <w:p>
            <w:pPr>
              <w:spacing w:after="20" w:before="20"/>
              <w:rPr>
                <w:rFonts w:ascii="Arial" w:hAnsi="Arial" w:cs="Arial"/>
                <w:sz w:val="15"/>
                <w:szCs w:val="15"/>
              </w:rPr>
            </w:pPr>
            <w:r>
              <w:rPr>
                <w:rFonts w:ascii="Arial" w:hAnsi="Arial" w:cs="Arial"/>
                <w:color w:val="2E7D32"/>
                <w:sz w:val="15"/>
                <w:szCs w:val="15"/>
              </w:rPr>
              <w:t xml:space="preserve">G-23</w:t>
            </w:r>
          </w:p>
        </w:tc>
        <w:tc>
          <w:tcPr>
            <w:tcW w:w="1130" w:type="dxa"/>
          </w:tcPr>
          <w:p>
            <w:pPr>
              <w:spacing w:after="20" w:before="20"/>
              <w:rPr>
                <w:rFonts w:ascii="Arial" w:hAnsi="Arial" w:cs="Arial"/>
                <w:sz w:val="15"/>
                <w:szCs w:val="15"/>
              </w:rPr>
            </w:pPr>
            <w:r>
              <w:rPr>
                <w:rFonts w:ascii="Arial" w:hAnsi="Arial" w:cs="Arial"/>
                <w:color w:val="2E7D32"/>
                <w:sz w:val="15"/>
                <w:szCs w:val="15"/>
              </w:rPr>
              <w:t xml:space="preserve">FRRN.043.01</w:t>
            </w:r>
          </w:p>
        </w:tc>
        <w:tc>
          <w:tcPr>
            <w:tcW w:w="2148" w:type="dxa"/>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357" w:type="dxa"/>
          </w:tcPr>
          <w:p>
            <w:pPr>
              <w:spacing w:after="20" w:before="20"/>
              <w:rPr>
                <w:rFonts w:ascii="Arial" w:hAnsi="Arial" w:cs="Arial"/>
                <w:sz w:val="15"/>
                <w:szCs w:val="15"/>
              </w:rPr>
            </w:pPr>
            <w:r>
              <w:rPr>
                <w:rFonts w:ascii="Arial" w:hAnsi="Arial" w:cs="Arial"/>
                <w:color w:val="2E7D32"/>
                <w:sz w:val="15"/>
                <w:szCs w:val="15"/>
              </w:rPr>
              <w:t xml:space="preserve">RNW-037: Available</w:t>
            </w:r>
          </w:p>
        </w:tc>
        <w:tc>
          <w:tcPr>
            <w:tcW w:w="1582" w:type="dxa"/>
          </w:tcPr>
          <w:p>
            <w:pPr>
              <w:spacing w:after="20" w:before="20"/>
              <w:rPr>
                <w:rFonts w:ascii="Arial" w:hAnsi="Arial" w:cs="Arial"/>
                <w:sz w:val="15"/>
                <w:szCs w:val="15"/>
              </w:rPr>
            </w:pPr>
            <w:r>
              <w:rPr>
                <w:rFonts w:ascii="Arial" w:hAnsi="Arial" w:cs="Arial"/>
                <w:color w:val="2E7D32"/>
                <w:sz w:val="15"/>
                <w:szCs w:val="15"/>
              </w:rPr>
              <w:t xml:space="preserve">BRRN.021</w:t>
            </w:r>
          </w:p>
        </w:tc>
        <w:tc>
          <w:tcPr>
            <w:tcW w:w="2940" w:type="dxa"/>
          </w:tcPr>
          <w:p>
            <w:pPr>
              <w:spacing w:after="20" w:before="20"/>
              <w:rPr>
                <w:rFonts w:ascii="Arial" w:hAnsi="Arial" w:cs="Arial"/>
                <w:sz w:val="15"/>
                <w:szCs w:val="15"/>
              </w:rPr>
            </w:pPr>
            <w:r>
              <w:rPr>
                <w:rFonts w:ascii="Arial" w:hAnsi="Arial" w:cs="Arial"/>
                <w:color w:val="2E7D32"/>
                <w:sz w:val="15"/>
                <w:szCs w:val="15"/>
              </w:rPr>
              <w:t xml:space="preserve">Audit trail module with filters (Administration &gt; Audit)</w:t>
            </w:r>
          </w:p>
        </w:tc>
        <w:tc>
          <w:tcPr>
            <w:tcW w:w="920" w:type="dxa"/>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33"/>
        <w:gridCol w:w="1963"/>
        <w:gridCol w:w="1343"/>
        <w:gridCol w:w="2892"/>
        <w:gridCol w:w="920"/>
        <w:gridCol w:w="864"/>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96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4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8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CR-RN-005</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FRRN.042.01</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11.0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5"/>
                <w:szCs w:val="15"/>
              </w:rPr>
              <w:t xml:space="preserve">CR-RN-008</w:t>
            </w:r>
          </w:p>
        </w:tc>
        <w:tc>
          <w:tcPr>
            <w:tcW w:w="1033" w:type="dxa"/>
          </w:tcPr>
          <w:p>
            <w:pPr>
              <w:keepNext/>
              <w:spacing w:after="20" w:before="20"/>
              <w:rPr>
                <w:rFonts w:ascii="Arial" w:hAnsi="Arial" w:cs="Arial"/>
                <w:sz w:val="15"/>
                <w:szCs w:val="15"/>
              </w:rPr>
            </w:pPr>
            <w:r>
              <w:rPr>
                <w:rFonts w:ascii="Arial" w:hAnsi="Arial" w:cs="Arial"/>
                <w:color w:val="E65100"/>
                <w:sz w:val="15"/>
                <w:szCs w:val="15"/>
              </w:rPr>
              <w:t xml:space="preserve">FRRN.009.01</w:t>
            </w:r>
          </w:p>
        </w:tc>
        <w:tc>
          <w:tcPr>
            <w:tcW w:w="1963" w:type="dxa"/>
          </w:tcPr>
          <w:p>
            <w:pPr>
              <w:keepNext/>
              <w:spacing w:after="20" w:before="20"/>
              <w:rPr>
                <w:rFonts w:ascii="Arial" w:hAnsi="Arial" w:cs="Arial"/>
                <w:sz w:val="15"/>
                <w:szCs w:val="15"/>
              </w:rPr>
            </w:pPr>
            <w:r>
              <w:rPr>
                <w:rFonts w:ascii="Arial" w:hAnsi="Arial" w:cs="Arial"/>
                <w:color w:val="E65100"/>
                <w:sz w:val="15"/>
                <w:szCs w:val="15"/>
              </w:rPr>
              <w:t xml:space="preserve">CBG Motor rules of Annexes D and E only: depreciation schedule of the sum insured, BI / PD tier table and the Auto Promo to Regular conversion</w:t>
            </w:r>
          </w:p>
        </w:tc>
        <w:tc>
          <w:tcPr>
            <w:tcW w:w="1343" w:type="dxa"/>
          </w:tcPr>
          <w:p>
            <w:pPr>
              <w:keepNext/>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2892" w:type="dxa"/>
          </w:tcPr>
          <w:p>
            <w:pPr>
              <w:keepNext/>
              <w:spacing w:after="20" w:before="20"/>
              <w:rPr>
                <w:rFonts w:ascii="Arial" w:hAnsi="Arial" w:cs="Arial"/>
                <w:sz w:val="15"/>
                <w:szCs w:val="15"/>
              </w:rPr>
            </w:pPr>
            <w:r>
              <w:rPr>
                <w:rFonts w:ascii="Arial" w:hAnsi="Arial" w:cs="Arial"/>
                <w:color w:val="E65100"/>
                <w:sz w:val="15"/>
                <w:szCs w:val="15"/>
              </w:rPr>
              <w:t xml:space="preserve">BDOI-specific: no depreciation schedule, BI / PD tier table or Auto Promo to Regular rule (Annexes D, E); the field update itself is a BRD item to deliver.</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5"/>
                <w:szCs w:val="15"/>
              </w:rPr>
              <w:t xml:space="preserve">CR-RN-015</w:t>
            </w:r>
          </w:p>
        </w:tc>
        <w:tc>
          <w:tcPr>
            <w:tcW w:w="1033" w:type="dxa"/>
          </w:tcPr>
          <w:p>
            <w:pPr>
              <w:keepNext/>
              <w:spacing w:after="20" w:before="20"/>
              <w:rPr>
                <w:rFonts w:ascii="Arial" w:hAnsi="Arial" w:cs="Arial"/>
                <w:sz w:val="15"/>
                <w:szCs w:val="15"/>
              </w:rPr>
            </w:pPr>
            <w:r>
              <w:rPr>
                <w:rFonts w:ascii="Arial" w:hAnsi="Arial" w:cs="Arial"/>
                <w:color w:val="E65100"/>
                <w:sz w:val="15"/>
                <w:szCs w:val="15"/>
              </w:rPr>
              <w:t xml:space="preserve">FRRN.29.05</w:t>
            </w:r>
          </w:p>
        </w:tc>
        <w:tc>
          <w:tcPr>
            <w:tcW w:w="1963" w:type="dxa"/>
          </w:tcPr>
          <w:p>
            <w:pPr>
              <w:keepNext/>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343" w:type="dxa"/>
          </w:tcPr>
          <w:p>
            <w:pPr>
              <w:keepNext/>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2892" w:type="dxa"/>
          </w:tcPr>
          <w:p>
            <w:pPr>
              <w:keepNext/>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8.0</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CR-RN-024</w:t>
            </w:r>
          </w:p>
        </w:tc>
        <w:tc>
          <w:tcPr>
            <w:tcW w:w="1033" w:type="dxa"/>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1963" w:type="dxa"/>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343" w:type="dxa"/>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2892" w:type="dxa"/>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920" w:type="dxa"/>
          </w:tcPr>
          <w:p>
            <w:pPr>
              <w:spacing w:after="20" w:before="20"/>
              <w:rPr>
                <w:rFonts w:ascii="Arial" w:hAnsi="Arial" w:cs="Arial"/>
                <w:sz w:val="15"/>
                <w:szCs w:val="15"/>
              </w:rPr>
            </w:pPr>
            <w:r>
              <w:rPr>
                <w:rFonts w:ascii="Arial" w:hAnsi="Arial" w:cs="Arial"/>
                <w:color w:val="E65100"/>
                <w:sz w:val="15"/>
                <w:szCs w:val="15"/>
              </w:rPr>
              <w:t xml:space="preserve">No</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rPr>
        <w:t xml:space="preserve">Black - BRD requirements to deliver (first listed as change requests; not change requests)</w:t>
      </w:r>
    </w:p>
    <w:p>
      <w:pPr>
        <w:rPr>
          <w:rFonts w:ascii="Arial" w:hAnsi="Arial" w:cs="Arial"/>
          <w:sz w:val="18"/>
          <w:szCs w:val="18"/>
        </w:rPr>
      </w:pPr>
      <w:r>
        <w:rPr>
          <w:rFonts w:ascii="Arial" w:hAnsi="Arial" w:cs="Arial"/>
          <w:sz w:val="18"/>
          <w:szCs w:val="18"/>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349"/>
        <w:gridCol w:w="2791"/>
        <w:gridCol w:w="864"/>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3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Gap against the platform edition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CR-RN-008 (BRD part)</w:t>
            </w:r>
          </w:p>
        </w:tc>
        <w:tc>
          <w:tcPr>
            <w:tcW w:w="1004" w:type="dxa"/>
          </w:tcPr>
          <w:p>
            <w:pPr>
              <w:spacing w:after="20" w:before="20"/>
              <w:rPr>
                <w:rFonts w:ascii="Arial" w:hAnsi="Arial" w:cs="Arial"/>
                <w:sz w:val="15"/>
                <w:szCs w:val="15"/>
              </w:rPr>
            </w:pPr>
            <w:r>
              <w:rPr>
                <w:rFonts w:ascii="Arial" w:hAnsi="Arial" w:cs="Arial"/>
                <w:sz w:val="15"/>
                <w:szCs w:val="15"/>
              </w:rPr>
              <w:t xml:space="preserve">FRRN.009.01</w:t>
            </w:r>
          </w:p>
        </w:tc>
        <w:tc>
          <w:tcPr>
            <w:tcW w:w="1786" w:type="dxa"/>
          </w:tcPr>
          <w:p>
            <w:pPr>
              <w:spacing w:after="20" w:before="20"/>
              <w:rPr>
                <w:rFonts w:ascii="Arial" w:hAnsi="Arial" w:cs="Arial"/>
                <w:sz w:val="15"/>
                <w:szCs w:val="15"/>
              </w:rPr>
            </w:pPr>
            <w:r>
              <w:rPr>
                <w:rFonts w:ascii="Arial" w:hAnsi="Arial" w:cs="Arial"/>
                <w:sz w:val="15"/>
                <w:szCs w:val="15"/>
              </w:rPr>
              <w:t xml:space="preserve">Automatic update of the CBG Motor renewal account fields (straight-through renewal)</w:t>
            </w:r>
          </w:p>
        </w:tc>
        <w:tc>
          <w:tcPr>
            <w:tcW w:w="3349" w:type="dxa"/>
          </w:tcPr>
          <w:p>
            <w:pPr>
              <w:spacing w:after="20" w:before="20"/>
              <w:rPr>
                <w:rFonts w:ascii="Arial" w:hAnsi="Arial" w:cs="Arial"/>
                <w:sz w:val="15"/>
                <w:szCs w:val="15"/>
              </w:rPr>
            </w:pPr>
            <w:r>
              <w:rPr>
                <w:rFonts w:ascii="Arial" w:hAnsi="Arial" w:cs="Arial"/>
                <w:sz w:val="15"/>
                <w:szCs w:val="15"/>
              </w:rPr>
              <w:t xml:space="preserve">BRRN.039 "support LAMD-driven matching and categorization for CBG Motor and Fire renewals, including straight-through processing"; BRD 3.009.1.4.24 "Bodily Injury and Property Damage for Motor Accounts value"</w:t>
            </w:r>
          </w:p>
        </w:tc>
        <w:tc>
          <w:tcPr>
            <w:tcW w:w="2791" w:type="dxa"/>
          </w:tcPr>
          <w:p>
            <w:pPr>
              <w:spacing w:after="20" w:before="20"/>
              <w:rPr>
                <w:rFonts w:ascii="Arial" w:hAnsi="Arial" w:cs="Arial"/>
                <w:sz w:val="15"/>
                <w:szCs w:val="15"/>
              </w:rPr>
            </w:pPr>
            <w:r>
              <w:rPr>
                <w:rFonts w:ascii="Arial" w:hAnsi="Arial" w:cs="Arial"/>
                <w:sz w:val="15"/>
                <w:szCs w:val="15"/>
              </w:rPr>
              <w:t xml:space="preserve">Not available: the renewal account fields of FRRN.009.01 (risk code and rate, insurer, dates, OD / theft, BI and PD coverages and premiums, taxes, total premium) are not set by the system for a straight-through CBG Motor renewal.</w:t>
            </w:r>
          </w:p>
        </w:tc>
        <w:tc>
          <w:tcPr>
            <w:tcW w:w="864" w:type="dxa"/>
          </w:tcPr>
          <w:p>
            <w:pPr>
              <w:spacing w:after="20" w:before="20"/>
              <w:rPr>
                <w:rFonts w:ascii="Arial" w:hAnsi="Arial" w:cs="Arial"/>
                <w:sz w:val="15"/>
                <w:szCs w:val="15"/>
              </w:rPr>
            </w:pPr>
            <w:r>
              <w:rPr>
                <w:rFonts w:ascii="Arial" w:hAnsi="Arial" w:cs="Arial"/>
                <w:sz w:val="15"/>
                <w:szCs w:val="15"/>
              </w:rPr>
              <w:t xml:space="preserve">5.0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CR-RN-001</w:t>
            </w:r>
          </w:p>
        </w:tc>
        <w:tc>
          <w:tcPr>
            <w:tcW w:w="1004" w:type="dxa"/>
          </w:tcPr>
          <w:p>
            <w:pPr>
              <w:spacing w:after="20" w:before="20"/>
              <w:rPr>
                <w:rFonts w:ascii="Arial" w:hAnsi="Arial" w:cs="Arial"/>
                <w:sz w:val="15"/>
                <w:szCs w:val="15"/>
              </w:rPr>
            </w:pPr>
            <w:r>
              <w:rPr>
                <w:rFonts w:ascii="Arial" w:hAnsi="Arial" w:cs="Arial"/>
                <w:sz w:val="15"/>
                <w:szCs w:val="15"/>
              </w:rPr>
              <w:t xml:space="preserve">FRRN.010.01</w:t>
            </w:r>
          </w:p>
        </w:tc>
        <w:tc>
          <w:tcPr>
            <w:tcW w:w="1786" w:type="dxa"/>
          </w:tcPr>
          <w:p>
            <w:pPr>
              <w:spacing w:after="20" w:before="20"/>
              <w:rPr>
                <w:rFonts w:ascii="Arial" w:hAnsi="Arial" w:cs="Arial"/>
                <w:sz w:val="15"/>
                <w:szCs w:val="15"/>
              </w:rPr>
            </w:pPr>
            <w:r>
              <w:rPr>
                <w:rFonts w:ascii="Arial" w:hAnsi="Arial" w:cs="Arial"/>
                <w:sz w:val="15"/>
                <w:szCs w:val="15"/>
              </w:rPr>
              <w:t xml:space="preserve">Automatic assignment by team and sub-team (Annex F)</w:t>
            </w:r>
          </w:p>
        </w:tc>
        <w:tc>
          <w:tcPr>
            <w:tcW w:w="3349" w:type="dxa"/>
          </w:tcPr>
          <w:p>
            <w:pPr>
              <w:spacing w:after="20" w:before="20"/>
              <w:rPr>
                <w:rFonts w:ascii="Arial" w:hAnsi="Arial" w:cs="Arial"/>
                <w:sz w:val="15"/>
                <w:szCs w:val="15"/>
              </w:rPr>
            </w:pPr>
            <w:r>
              <w:rPr>
                <w:rFonts w:ascii="Arial" w:hAnsi="Arial" w:cs="Arial"/>
                <w:sz w:val="15"/>
                <w:szCs w:val="15"/>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tcPr>
          <w:p>
            <w:pPr>
              <w:spacing w:after="20" w:before="20"/>
              <w:rPr>
                <w:rFonts w:ascii="Arial" w:hAnsi="Arial" w:cs="Arial"/>
                <w:sz w:val="15"/>
                <w:szCs w:val="15"/>
              </w:rPr>
            </w:pPr>
            <w:r>
              <w:rPr>
                <w:rFonts w:ascii="Arial" w:hAnsi="Arial" w:cs="Arial"/>
                <w:sz w:val="15"/>
                <w:szCs w:val="15"/>
              </w:rPr>
              <w:t xml:space="preserve">Partial: Assignment and reassignment exist; automatic round-robin assignment of renewals by team and sub-team (Annex F) is the missing part.</w:t>
            </w:r>
          </w:p>
        </w:tc>
        <w:tc>
          <w:tcPr>
            <w:tcW w:w="864" w:type="dxa"/>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CR-RN-002</w:t>
            </w:r>
          </w:p>
        </w:tc>
        <w:tc>
          <w:tcPr>
            <w:tcW w:w="1004" w:type="dxa"/>
          </w:tcPr>
          <w:p>
            <w:pPr>
              <w:spacing w:after="20" w:before="20"/>
              <w:rPr>
                <w:rFonts w:ascii="Arial" w:hAnsi="Arial" w:cs="Arial"/>
                <w:sz w:val="15"/>
                <w:szCs w:val="15"/>
              </w:rPr>
            </w:pPr>
            <w:r>
              <w:rPr>
                <w:rFonts w:ascii="Arial" w:hAnsi="Arial" w:cs="Arial"/>
                <w:sz w:val="15"/>
                <w:szCs w:val="15"/>
              </w:rPr>
              <w:t xml:space="preserve">FRRN.011.03</w:t>
            </w:r>
          </w:p>
        </w:tc>
        <w:tc>
          <w:tcPr>
            <w:tcW w:w="1786" w:type="dxa"/>
          </w:tcPr>
          <w:p>
            <w:pPr>
              <w:spacing w:after="20" w:before="20"/>
              <w:rPr>
                <w:rFonts w:ascii="Arial" w:hAnsi="Arial" w:cs="Arial"/>
                <w:sz w:val="15"/>
                <w:szCs w:val="15"/>
              </w:rPr>
            </w:pPr>
            <w:r>
              <w:rPr>
                <w:rFonts w:ascii="Arial" w:hAnsi="Arial" w:cs="Arial"/>
                <w:sz w:val="15"/>
                <w:szCs w:val="15"/>
              </w:rPr>
              <w:t xml:space="preserve">New Business account from an accepted referral</w:t>
            </w:r>
          </w:p>
        </w:tc>
        <w:tc>
          <w:tcPr>
            <w:tcW w:w="3349" w:type="dxa"/>
          </w:tcPr>
          <w:p>
            <w:pPr>
              <w:spacing w:after="20" w:before="20"/>
              <w:rPr>
                <w:rFonts w:ascii="Arial" w:hAnsi="Arial" w:cs="Arial"/>
                <w:sz w:val="15"/>
                <w:szCs w:val="15"/>
              </w:rPr>
            </w:pPr>
            <w:r>
              <w:rPr>
                <w:rFonts w:ascii="Arial" w:hAnsi="Arial" w:cs="Arial"/>
                <w:sz w:val="15"/>
                <w:szCs w:val="15"/>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tcPr>
          <w:p>
            <w:pPr>
              <w:spacing w:after="20" w:before="20"/>
              <w:rPr>
                <w:rFonts w:ascii="Arial" w:hAnsi="Arial" w:cs="Arial"/>
                <w:sz w:val="15"/>
                <w:szCs w:val="15"/>
              </w:rPr>
            </w:pPr>
            <w:r>
              <w:rPr>
                <w:rFonts w:ascii="Arial" w:hAnsi="Arial" w:cs="Arial"/>
                <w:sz w:val="15"/>
                <w:szCs w:val="15"/>
              </w:rPr>
              <w:t xml:space="preserve">Not available: No transfer or referral of renewal accounts between units with acceptance.</w:t>
            </w:r>
          </w:p>
        </w:tc>
        <w:tc>
          <w:tcPr>
            <w:tcW w:w="864" w:type="dxa"/>
          </w:tcPr>
          <w:p>
            <w:pPr>
              <w:spacing w:after="20" w:before="20"/>
              <w:rPr>
                <w:rFonts w:ascii="Arial" w:hAnsi="Arial" w:cs="Arial"/>
                <w:sz w:val="15"/>
                <w:szCs w:val="15"/>
              </w:rPr>
            </w:pPr>
            <w:r>
              <w:rPr>
                <w:rFonts w:ascii="Arial" w:hAnsi="Arial" w:cs="Arial"/>
                <w:sz w:val="15"/>
                <w:szCs w:val="15"/>
              </w:rPr>
              <w:t xml:space="preserve">10.0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CR-RN-003</w:t>
            </w:r>
          </w:p>
        </w:tc>
        <w:tc>
          <w:tcPr>
            <w:tcW w:w="1004" w:type="dxa"/>
          </w:tcPr>
          <w:p>
            <w:pPr>
              <w:spacing w:after="20" w:before="20"/>
              <w:rPr>
                <w:rFonts w:ascii="Arial" w:hAnsi="Arial" w:cs="Arial"/>
                <w:sz w:val="15"/>
                <w:szCs w:val="15"/>
              </w:rPr>
            </w:pPr>
            <w:r>
              <w:rPr>
                <w:rFonts w:ascii="Arial" w:hAnsi="Arial" w:cs="Arial"/>
                <w:sz w:val="15"/>
                <w:szCs w:val="15"/>
              </w:rPr>
              <w:t xml:space="preserve">FRRN.002.02.01</w:t>
            </w:r>
          </w:p>
        </w:tc>
        <w:tc>
          <w:tcPr>
            <w:tcW w:w="1786" w:type="dxa"/>
          </w:tcPr>
          <w:p>
            <w:pPr>
              <w:spacing w:after="20" w:before="20"/>
              <w:rPr>
                <w:rFonts w:ascii="Arial" w:hAnsi="Arial" w:cs="Arial"/>
                <w:sz w:val="15"/>
                <w:szCs w:val="15"/>
              </w:rPr>
            </w:pPr>
            <w:r>
              <w:rPr>
                <w:rFonts w:ascii="Arial" w:hAnsi="Arial" w:cs="Arial"/>
                <w:sz w:val="15"/>
                <w:szCs w:val="15"/>
              </w:rPr>
              <w:t xml:space="preserve">Marketing dashboard metrics (budget, pipeline, closing ratio, top deals, persistency, product mix)</w:t>
            </w:r>
          </w:p>
        </w:tc>
        <w:tc>
          <w:tcPr>
            <w:tcW w:w="3349" w:type="dxa"/>
          </w:tcPr>
          <w:p>
            <w:pPr>
              <w:spacing w:after="20" w:before="20"/>
              <w:rPr>
                <w:rFonts w:ascii="Arial" w:hAnsi="Arial" w:cs="Arial"/>
                <w:sz w:val="15"/>
                <w:szCs w:val="15"/>
              </w:rPr>
            </w:pPr>
            <w:r>
              <w:rPr>
                <w:rFonts w:ascii="Arial" w:hAnsi="Arial" w:cs="Arial"/>
                <w:sz w:val="15"/>
                <w:szCs w:val="15"/>
              </w:rPr>
              <w:t xml:space="preserve">BRD 1.009.7 "g. View the assigned accounts per Marketing AO in a dashboard"; BRRN.021 "displayed on the screen/dashboard";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5"/>
                <w:szCs w:val="15"/>
              </w:rPr>
              <w:t xml:space="preserve">Partial: Renewal dashboards are standard; the budget, closing ratio, top deals, persistency and product mix metrics of BDOI are not.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CR-RN-004</w:t>
            </w:r>
          </w:p>
        </w:tc>
        <w:tc>
          <w:tcPr>
            <w:tcW w:w="1004" w:type="dxa"/>
          </w:tcPr>
          <w:p>
            <w:pPr>
              <w:spacing w:after="20" w:before="20"/>
              <w:rPr>
                <w:rFonts w:ascii="Arial" w:hAnsi="Arial" w:cs="Arial"/>
                <w:sz w:val="15"/>
                <w:szCs w:val="15"/>
              </w:rPr>
            </w:pPr>
            <w:r>
              <w:rPr>
                <w:rFonts w:ascii="Arial" w:hAnsi="Arial" w:cs="Arial"/>
                <w:sz w:val="15"/>
                <w:szCs w:val="15"/>
              </w:rPr>
              <w:t xml:space="preserve">FRRN.003.02</w:t>
            </w:r>
          </w:p>
        </w:tc>
        <w:tc>
          <w:tcPr>
            <w:tcW w:w="1786" w:type="dxa"/>
          </w:tcPr>
          <w:p>
            <w:pPr>
              <w:spacing w:after="20" w:before="20"/>
              <w:rPr>
                <w:rFonts w:ascii="Arial" w:hAnsi="Arial" w:cs="Arial"/>
                <w:sz w:val="15"/>
                <w:szCs w:val="15"/>
              </w:rPr>
            </w:pPr>
            <w:r>
              <w:rPr>
                <w:rFonts w:ascii="Arial" w:hAnsi="Arial" w:cs="Arial"/>
                <w:sz w:val="15"/>
                <w:szCs w:val="15"/>
              </w:rPr>
              <w:t xml:space="preserve">Processing dashboard cards and drill-downs</w:t>
            </w:r>
          </w:p>
        </w:tc>
        <w:tc>
          <w:tcPr>
            <w:tcW w:w="3349" w:type="dxa"/>
          </w:tcPr>
          <w:p>
            <w:pPr>
              <w:spacing w:after="20" w:before="20"/>
              <w:rPr>
                <w:rFonts w:ascii="Arial" w:hAnsi="Arial" w:cs="Arial"/>
                <w:sz w:val="15"/>
                <w:szCs w:val="15"/>
              </w:rPr>
            </w:pPr>
            <w:r>
              <w:rPr>
                <w:rFonts w:ascii="Arial" w:hAnsi="Arial" w:cs="Arial"/>
                <w:sz w:val="15"/>
                <w:szCs w:val="15"/>
              </w:rPr>
              <w:t xml:space="preserve">BRD 3.010.7 "g. View the assigned accounts per Processing Officer in a 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5"/>
                <w:szCs w:val="15"/>
              </w:rPr>
              <w:t xml:space="preserve">Partial: Placement reports exist; the processing cards and drill-downs of BDOI are not.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CR-RN-006</w:t>
            </w:r>
          </w:p>
        </w:tc>
        <w:tc>
          <w:tcPr>
            <w:tcW w:w="1004" w:type="dxa"/>
          </w:tcPr>
          <w:p>
            <w:pPr>
              <w:spacing w:after="20" w:before="20"/>
              <w:rPr>
                <w:rFonts w:ascii="Arial" w:hAnsi="Arial" w:cs="Arial"/>
                <w:sz w:val="15"/>
                <w:szCs w:val="15"/>
              </w:rPr>
            </w:pPr>
            <w:r>
              <w:rPr>
                <w:rFonts w:ascii="Arial" w:hAnsi="Arial" w:cs="Arial"/>
                <w:sz w:val="15"/>
                <w:szCs w:val="15"/>
              </w:rPr>
              <w:t xml:space="preserve">FRRN.039.02</w:t>
            </w:r>
          </w:p>
        </w:tc>
        <w:tc>
          <w:tcPr>
            <w:tcW w:w="1786" w:type="dxa"/>
          </w:tcPr>
          <w:p>
            <w:pPr>
              <w:spacing w:after="20" w:before="20"/>
              <w:rPr>
                <w:rFonts w:ascii="Arial" w:hAnsi="Arial" w:cs="Arial"/>
                <w:sz w:val="15"/>
                <w:szCs w:val="15"/>
              </w:rPr>
            </w:pPr>
            <w:r>
              <w:rPr>
                <w:rFonts w:ascii="Arial" w:hAnsi="Arial" w:cs="Arial"/>
                <w:sz w:val="15"/>
                <w:szCs w:val="15"/>
              </w:rPr>
              <w:t xml:space="preserve">KYC monitoring statuses, history and dashboard</w:t>
            </w:r>
          </w:p>
        </w:tc>
        <w:tc>
          <w:tcPr>
            <w:tcW w:w="3349" w:type="dxa"/>
          </w:tcPr>
          <w:p>
            <w:pPr>
              <w:spacing w:after="20" w:before="20"/>
              <w:rPr>
                <w:rFonts w:ascii="Arial" w:hAnsi="Arial" w:cs="Arial"/>
                <w:sz w:val="15"/>
                <w:szCs w:val="15"/>
              </w:rPr>
            </w:pPr>
            <w:r>
              <w:rPr>
                <w:rFonts w:ascii="Arial" w:hAnsi="Arial" w:cs="Arial"/>
                <w:sz w:val="15"/>
                <w:szCs w:val="15"/>
              </w:rPr>
              <w:t xml:space="preserve">BRRN.028 "I want the system to identify and view accounts that are due or upcoming for KYC review, so that compliance monitoring and follow up can be performed without blocking or interrupting the renewal process"</w:t>
            </w:r>
          </w:p>
        </w:tc>
        <w:tc>
          <w:tcPr>
            <w:tcW w:w="2791" w:type="dxa"/>
          </w:tcPr>
          <w:p>
            <w:pPr>
              <w:spacing w:after="20" w:before="20"/>
              <w:rPr>
                <w:rFonts w:ascii="Arial" w:hAnsi="Arial" w:cs="Arial"/>
                <w:sz w:val="15"/>
                <w:szCs w:val="15"/>
              </w:rPr>
            </w:pPr>
            <w:r>
              <w:rPr>
                <w:rFonts w:ascii="Arial" w:hAnsi="Arial" w:cs="Arial"/>
                <w:sz w:val="15"/>
                <w:szCs w:val="15"/>
              </w:rPr>
              <w:t xml:space="preserve">Partial: A periodic KYC review list is standard; the KYC monitoring statuses, history and dashboard of Renewal are not.</w:t>
            </w:r>
          </w:p>
        </w:tc>
        <w:tc>
          <w:tcPr>
            <w:tcW w:w="864" w:type="dxa"/>
          </w:tcPr>
          <w:p>
            <w:pPr>
              <w:spacing w:after="20" w:before="20"/>
              <w:rPr>
                <w:rFonts w:ascii="Arial" w:hAnsi="Arial" w:cs="Arial"/>
                <w:sz w:val="15"/>
                <w:szCs w:val="15"/>
              </w:rPr>
            </w:pPr>
            <w:r>
              <w:rPr>
                <w:rFonts w:ascii="Arial" w:hAnsi="Arial" w:cs="Arial"/>
                <w:sz w:val="15"/>
                <w:szCs w:val="15"/>
              </w:rPr>
              <w:t xml:space="preserve">8.5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CR-RN-010</w:t>
            </w:r>
          </w:p>
        </w:tc>
        <w:tc>
          <w:tcPr>
            <w:tcW w:w="1004" w:type="dxa"/>
          </w:tcPr>
          <w:p>
            <w:pPr>
              <w:spacing w:after="20" w:before="20"/>
              <w:rPr>
                <w:rFonts w:ascii="Arial" w:hAnsi="Arial" w:cs="Arial"/>
                <w:sz w:val="15"/>
                <w:szCs w:val="15"/>
              </w:rPr>
            </w:pPr>
            <w:r>
              <w:rPr>
                <w:rFonts w:ascii="Arial" w:hAnsi="Arial" w:cs="Arial"/>
                <w:sz w:val="15"/>
                <w:szCs w:val="15"/>
              </w:rPr>
              <w:t xml:space="preserve">FRRN.014.05</w:t>
            </w:r>
          </w:p>
        </w:tc>
        <w:tc>
          <w:tcPr>
            <w:tcW w:w="1786" w:type="dxa"/>
          </w:tcPr>
          <w:p>
            <w:pPr>
              <w:spacing w:after="20" w:before="20"/>
              <w:rPr>
                <w:rFonts w:ascii="Arial" w:hAnsi="Arial" w:cs="Arial"/>
                <w:sz w:val="15"/>
                <w:szCs w:val="15"/>
              </w:rPr>
            </w:pPr>
            <w:r>
              <w:rPr>
                <w:rFonts w:ascii="Arial" w:hAnsi="Arial" w:cs="Arial"/>
                <w:sz w:val="15"/>
                <w:szCs w:val="15"/>
              </w:rPr>
              <w:t xml:space="preserve">Direct-to-Insurer Payment approval (blanket or Unit Head)</w:t>
            </w:r>
          </w:p>
        </w:tc>
        <w:tc>
          <w:tcPr>
            <w:tcW w:w="3349" w:type="dxa"/>
          </w:tcPr>
          <w:p>
            <w:pPr>
              <w:spacing w:after="20" w:before="20"/>
              <w:rPr>
                <w:rFonts w:ascii="Arial" w:hAnsi="Arial" w:cs="Arial"/>
                <w:sz w:val="15"/>
                <w:szCs w:val="15"/>
              </w:rPr>
            </w:pPr>
            <w:r>
              <w:rPr>
                <w:rFonts w:ascii="Arial" w:hAnsi="Arial" w:cs="Arial"/>
                <w:sz w:val="15"/>
                <w:szCs w:val="15"/>
              </w:rPr>
              <w:t xml:space="preserve">BRD 2.004.4.4 "4. Direct to Insurer" (reason for non-renewal); BRD-00 BR-035 "allow user to tag of Direct Payment (DP)"</w:t>
            </w:r>
          </w:p>
        </w:tc>
        <w:tc>
          <w:tcPr>
            <w:tcW w:w="2791" w:type="dxa"/>
          </w:tcPr>
          <w:p>
            <w:pPr>
              <w:spacing w:after="20" w:before="20"/>
              <w:rPr>
                <w:rFonts w:ascii="Arial" w:hAnsi="Arial" w:cs="Arial"/>
                <w:sz w:val="15"/>
                <w:szCs w:val="15"/>
              </w:rPr>
            </w:pPr>
            <w:r>
              <w:rPr>
                <w:rFonts w:ascii="Arial" w:hAnsi="Arial" w:cs="Arial"/>
                <w:sz w:val="15"/>
                <w:szCs w:val="15"/>
              </w:rPr>
              <w:t xml:space="preserve">Partial: Direct-payment accounts are standard; the blanket or Unit Head approval of the renewal is not.</w:t>
            </w:r>
          </w:p>
        </w:tc>
        <w:tc>
          <w:tcPr>
            <w:tcW w:w="864" w:type="dxa"/>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CR-RN-011</w:t>
            </w:r>
          </w:p>
        </w:tc>
        <w:tc>
          <w:tcPr>
            <w:tcW w:w="1004" w:type="dxa"/>
          </w:tcPr>
          <w:p>
            <w:pPr>
              <w:spacing w:after="20" w:before="20"/>
              <w:rPr>
                <w:rFonts w:ascii="Arial" w:hAnsi="Arial" w:cs="Arial"/>
                <w:sz w:val="15"/>
                <w:szCs w:val="15"/>
              </w:rPr>
            </w:pPr>
            <w:r>
              <w:rPr>
                <w:rFonts w:ascii="Arial" w:hAnsi="Arial" w:cs="Arial"/>
                <w:sz w:val="15"/>
                <w:szCs w:val="15"/>
              </w:rPr>
              <w:t xml:space="preserve">FRRN.036.03</w:t>
            </w:r>
          </w:p>
        </w:tc>
        <w:tc>
          <w:tcPr>
            <w:tcW w:w="1786" w:type="dxa"/>
          </w:tcPr>
          <w:p>
            <w:pPr>
              <w:spacing w:after="20" w:before="20"/>
              <w:rPr>
                <w:rFonts w:ascii="Arial" w:hAnsi="Arial" w:cs="Arial"/>
                <w:sz w:val="15"/>
                <w:szCs w:val="15"/>
              </w:rPr>
            </w:pPr>
            <w:r>
              <w:rPr>
                <w:rFonts w:ascii="Arial" w:hAnsi="Arial" w:cs="Arial"/>
                <w:sz w:val="15"/>
                <w:szCs w:val="15"/>
              </w:rPr>
              <w:t xml:space="preserve">Hold cover automation (CBG at 75 days, extensions, CBG Home on the 15th)</w:t>
            </w:r>
          </w:p>
        </w:tc>
        <w:tc>
          <w:tcPr>
            <w:tcW w:w="3349" w:type="dxa"/>
          </w:tcPr>
          <w:p>
            <w:pPr>
              <w:spacing w:after="20" w:before="20"/>
              <w:rPr>
                <w:rFonts w:ascii="Arial" w:hAnsi="Arial" w:cs="Arial"/>
                <w:sz w:val="15"/>
                <w:szCs w:val="15"/>
              </w:rPr>
            </w:pPr>
            <w:r>
              <w:rPr>
                <w:rFonts w:ascii="Arial" w:hAnsi="Arial" w:cs="Arial"/>
                <w:sz w:val="15"/>
                <w:szCs w:val="15"/>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tcPr>
          <w:p>
            <w:pPr>
              <w:spacing w:after="20" w:before="20"/>
              <w:rPr>
                <w:rFonts w:ascii="Arial" w:hAnsi="Arial" w:cs="Arial"/>
                <w:sz w:val="15"/>
                <w:szCs w:val="15"/>
              </w:rPr>
            </w:pPr>
            <w:r>
              <w:rPr>
                <w:rFonts w:ascii="Arial" w:hAnsi="Arial" w:cs="Arial"/>
                <w:sz w:val="15"/>
                <w:szCs w:val="15"/>
              </w:rPr>
              <w:t xml:space="preserve">Partial: Cover notes of 30 days are standard; automatic CBG requests at 75 days, extensions and insurer batches are not.</w:t>
            </w:r>
          </w:p>
        </w:tc>
        <w:tc>
          <w:tcPr>
            <w:tcW w:w="864" w:type="dxa"/>
          </w:tcPr>
          <w:p>
            <w:pPr>
              <w:spacing w:after="20" w:before="20"/>
              <w:rPr>
                <w:rFonts w:ascii="Arial" w:hAnsi="Arial" w:cs="Arial"/>
                <w:sz w:val="15"/>
                <w:szCs w:val="15"/>
              </w:rPr>
            </w:pPr>
            <w:r>
              <w:rPr>
                <w:rFonts w:ascii="Arial" w:hAnsi="Arial" w:cs="Arial"/>
                <w:sz w:val="15"/>
                <w:szCs w:val="15"/>
              </w:rPr>
              <w:t xml:space="preserve">15.0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CR-RN-014</w:t>
            </w:r>
          </w:p>
        </w:tc>
        <w:tc>
          <w:tcPr>
            <w:tcW w:w="1004" w:type="dxa"/>
          </w:tcPr>
          <w:p>
            <w:pPr>
              <w:spacing w:after="20" w:before="20"/>
              <w:rPr>
                <w:rFonts w:ascii="Arial" w:hAnsi="Arial" w:cs="Arial"/>
                <w:sz w:val="15"/>
                <w:szCs w:val="15"/>
              </w:rPr>
            </w:pPr>
            <w:r>
              <w:rPr>
                <w:rFonts w:ascii="Arial" w:hAnsi="Arial" w:cs="Arial"/>
                <w:sz w:val="15"/>
                <w:szCs w:val="15"/>
              </w:rPr>
              <w:t xml:space="preserve">FRRN.033.01</w:t>
            </w:r>
          </w:p>
        </w:tc>
        <w:tc>
          <w:tcPr>
            <w:tcW w:w="1786" w:type="dxa"/>
          </w:tcPr>
          <w:p>
            <w:pPr>
              <w:spacing w:after="20" w:before="20"/>
              <w:rPr>
                <w:rFonts w:ascii="Arial" w:hAnsi="Arial" w:cs="Arial"/>
                <w:sz w:val="15"/>
                <w:szCs w:val="15"/>
              </w:rPr>
            </w:pPr>
            <w:r>
              <w:rPr>
                <w:rFonts w:ascii="Arial" w:hAnsi="Arial" w:cs="Arial"/>
                <w:sz w:val="15"/>
                <w:szCs w:val="15"/>
              </w:rPr>
              <w:t xml:space="preserve">E-policy batch processing (summary file and ZIP)</w:t>
            </w:r>
          </w:p>
        </w:tc>
        <w:tc>
          <w:tcPr>
            <w:tcW w:w="3349" w:type="dxa"/>
          </w:tcPr>
          <w:p>
            <w:pPr>
              <w:spacing w:after="20" w:before="20"/>
              <w:rPr>
                <w:rFonts w:ascii="Arial" w:hAnsi="Arial" w:cs="Arial"/>
                <w:sz w:val="15"/>
                <w:szCs w:val="15"/>
              </w:rPr>
            </w:pPr>
            <w:r>
              <w:rPr>
                <w:rFonts w:ascii="Arial" w:hAnsi="Arial" w:cs="Arial"/>
                <w:sz w:val="15"/>
                <w:szCs w:val="15"/>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tcPr>
          <w:p>
            <w:pPr>
              <w:spacing w:after="20" w:before="20"/>
              <w:rPr>
                <w:rFonts w:ascii="Arial" w:hAnsi="Arial" w:cs="Arial"/>
                <w:sz w:val="15"/>
                <w:szCs w:val="15"/>
              </w:rPr>
            </w:pPr>
            <w:r>
              <w:rPr>
                <w:rFonts w:ascii="Arial" w:hAnsi="Arial" w:cs="Arial"/>
                <w:sz w:val="15"/>
                <w:szCs w:val="15"/>
              </w:rPr>
              <w:t xml:space="preserve">Partial: Protected e-policy dispatch is partly standard; the summary file and ZIP receipt, matching and batch sending are not.</w:t>
            </w:r>
          </w:p>
        </w:tc>
        <w:tc>
          <w:tcPr>
            <w:tcW w:w="864" w:type="dxa"/>
          </w:tcPr>
          <w:p>
            <w:pPr>
              <w:spacing w:after="20" w:before="20"/>
              <w:rPr>
                <w:rFonts w:ascii="Arial" w:hAnsi="Arial" w:cs="Arial"/>
                <w:sz w:val="15"/>
                <w:szCs w:val="15"/>
              </w:rPr>
            </w:pPr>
            <w:r>
              <w:rPr>
                <w:rFonts w:ascii="Arial" w:hAnsi="Arial" w:cs="Arial"/>
                <w:sz w:val="15"/>
                <w:szCs w:val="15"/>
              </w:rPr>
              <w:t xml:space="preserve">10.5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CR-RN-016</w:t>
            </w:r>
          </w:p>
        </w:tc>
        <w:tc>
          <w:tcPr>
            <w:tcW w:w="1004" w:type="dxa"/>
          </w:tcPr>
          <w:p>
            <w:pPr>
              <w:spacing w:after="20" w:before="20"/>
              <w:rPr>
                <w:rFonts w:ascii="Arial" w:hAnsi="Arial" w:cs="Arial"/>
                <w:sz w:val="15"/>
                <w:szCs w:val="15"/>
              </w:rPr>
            </w:pPr>
            <w:r>
              <w:rPr>
                <w:rFonts w:ascii="Arial" w:hAnsi="Arial" w:cs="Arial"/>
                <w:sz w:val="15"/>
                <w:szCs w:val="15"/>
              </w:rPr>
              <w:t xml:space="preserve">FRRN.26.01</w:t>
            </w:r>
          </w:p>
        </w:tc>
        <w:tc>
          <w:tcPr>
            <w:tcW w:w="1786"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3349" w:type="dxa"/>
          </w:tcPr>
          <w:p>
            <w:pPr>
              <w:spacing w:after="20" w:before="20"/>
              <w:rPr>
                <w:rFonts w:ascii="Arial" w:hAnsi="Arial" w:cs="Arial"/>
                <w:sz w:val="15"/>
                <w:szCs w:val="15"/>
              </w:rPr>
            </w:pPr>
            <w:r>
              <w:rPr>
                <w:rFonts w:ascii="Arial" w:hAnsi="Arial" w:cs="Arial"/>
                <w:sz w:val="15"/>
                <w:szCs w:val="15"/>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tcPr>
          <w:p>
            <w:pPr>
              <w:spacing w:after="20" w:before="20"/>
              <w:rPr>
                <w:rFonts w:ascii="Arial" w:hAnsi="Arial" w:cs="Arial"/>
                <w:sz w:val="15"/>
                <w:szCs w:val="15"/>
              </w:rPr>
            </w:pPr>
            <w:r>
              <w:rPr>
                <w:rFonts w:ascii="Arial" w:hAnsi="Arial" w:cs="Arial"/>
                <w:sz w:val="15"/>
                <w:szCs w:val="15"/>
              </w:rPr>
              <w:t xml:space="preserve">Partial: Maker-checker on renewal terms is standard; Submitted for Approval after acceptance is not.</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CR-RN-017</w:t>
            </w:r>
          </w:p>
        </w:tc>
        <w:tc>
          <w:tcPr>
            <w:tcW w:w="1004" w:type="dxa"/>
          </w:tcPr>
          <w:p>
            <w:pPr>
              <w:spacing w:after="20" w:before="20"/>
              <w:rPr>
                <w:rFonts w:ascii="Arial" w:hAnsi="Arial" w:cs="Arial"/>
                <w:sz w:val="15"/>
                <w:szCs w:val="15"/>
              </w:rPr>
            </w:pPr>
            <w:r>
              <w:rPr>
                <w:rFonts w:ascii="Arial" w:hAnsi="Arial" w:cs="Arial"/>
                <w:sz w:val="15"/>
                <w:szCs w:val="15"/>
              </w:rPr>
              <w:t xml:space="preserve">FRRN.013.02</w:t>
            </w:r>
          </w:p>
        </w:tc>
        <w:tc>
          <w:tcPr>
            <w:tcW w:w="1786" w:type="dxa"/>
          </w:tcPr>
          <w:p>
            <w:pPr>
              <w:spacing w:after="20" w:before="20"/>
              <w:rPr>
                <w:rFonts w:ascii="Arial" w:hAnsi="Arial" w:cs="Arial"/>
                <w:sz w:val="15"/>
                <w:szCs w:val="15"/>
              </w:rPr>
            </w:pPr>
            <w:r>
              <w:rPr>
                <w:rFonts w:ascii="Arial" w:hAnsi="Arial" w:cs="Arial"/>
                <w:sz w:val="15"/>
                <w:szCs w:val="15"/>
              </w:rPr>
              <w:t xml:space="preserve">Nine insurer disposition values</w:t>
            </w:r>
          </w:p>
        </w:tc>
        <w:tc>
          <w:tcPr>
            <w:tcW w:w="3349" w:type="dxa"/>
          </w:tcPr>
          <w:p>
            <w:pPr>
              <w:spacing w:after="20" w:before="20"/>
              <w:rPr>
                <w:rFonts w:ascii="Arial" w:hAnsi="Arial" w:cs="Arial"/>
                <w:sz w:val="15"/>
                <w:szCs w:val="15"/>
              </w:rPr>
            </w:pPr>
            <w:r>
              <w:rPr>
                <w:rFonts w:ascii="Arial" w:hAnsi="Arial" w:cs="Arial"/>
                <w:sz w:val="15"/>
                <w:szCs w:val="15"/>
              </w:rPr>
              <w:t xml:space="preserve">BRRN.035 "capture insurer responses (e.g., Approve/ Renew As-Is, Reject, Revise) and automatically apply them to the renewal workflow"</w:t>
            </w:r>
          </w:p>
        </w:tc>
        <w:tc>
          <w:tcPr>
            <w:tcW w:w="2791" w:type="dxa"/>
          </w:tcPr>
          <w:p>
            <w:pPr>
              <w:spacing w:after="20" w:before="20"/>
              <w:rPr>
                <w:rFonts w:ascii="Arial" w:hAnsi="Arial" w:cs="Arial"/>
                <w:sz w:val="15"/>
                <w:szCs w:val="15"/>
              </w:rPr>
            </w:pPr>
            <w:r>
              <w:rPr>
                <w:rFonts w:ascii="Arial" w:hAnsi="Arial" w:cs="Arial"/>
                <w:sz w:val="15"/>
                <w:szCs w:val="15"/>
              </w:rPr>
              <w:t xml:space="preserve">BDOI-specific: BDOI's nine insurer values and their mapping to the BRD outcomes.</w:t>
            </w:r>
          </w:p>
        </w:tc>
        <w:tc>
          <w:tcPr>
            <w:tcW w:w="864" w:type="dxa"/>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tcPr>
          <w:p>
            <w:pPr>
              <w:keepNext/>
              <w:spacing w:after="20" w:before="20"/>
              <w:rPr>
                <w:rFonts w:ascii="Arial" w:hAnsi="Arial" w:cs="Arial"/>
                <w:sz w:val="15"/>
                <w:szCs w:val="15"/>
              </w:rPr>
            </w:pPr>
            <w:r>
              <w:rPr>
                <w:rFonts w:ascii="Arial" w:hAnsi="Arial" w:cs="Arial"/>
                <w:sz w:val="15"/>
                <w:szCs w:val="15"/>
              </w:rPr>
              <w:t xml:space="preserve">CR-RN-018</w:t>
            </w:r>
          </w:p>
        </w:tc>
        <w:tc>
          <w:tcPr>
            <w:tcW w:w="1004" w:type="dxa"/>
          </w:tcPr>
          <w:p>
            <w:pPr>
              <w:keepNext/>
              <w:spacing w:after="20" w:before="20"/>
              <w:rPr>
                <w:rFonts w:ascii="Arial" w:hAnsi="Arial" w:cs="Arial"/>
                <w:sz w:val="15"/>
                <w:szCs w:val="15"/>
              </w:rPr>
            </w:pPr>
            <w:r>
              <w:rPr>
                <w:rFonts w:ascii="Arial" w:hAnsi="Arial" w:cs="Arial"/>
                <w:sz w:val="15"/>
                <w:szCs w:val="15"/>
              </w:rPr>
              <w:t xml:space="preserve">FRRN.006.01</w:t>
            </w:r>
          </w:p>
        </w:tc>
        <w:tc>
          <w:tcPr>
            <w:tcW w:w="1786" w:type="dxa"/>
          </w:tcPr>
          <w:p>
            <w:pPr>
              <w:keepNext/>
              <w:spacing w:after="20" w:before="20"/>
              <w:rPr>
                <w:rFonts w:ascii="Arial" w:hAnsi="Arial" w:cs="Arial"/>
                <w:sz w:val="15"/>
                <w:szCs w:val="15"/>
              </w:rPr>
            </w:pPr>
            <w:r>
              <w:rPr>
                <w:rFonts w:ascii="Arial" w:hAnsi="Arial" w:cs="Arial"/>
                <w:sz w:val="15"/>
                <w:szCs w:val="15"/>
              </w:rPr>
              <w:t xml:space="preserve">Duplicate criteria per line and segment (Annex B)</w:t>
            </w:r>
          </w:p>
        </w:tc>
        <w:tc>
          <w:tcPr>
            <w:tcW w:w="3349" w:type="dxa"/>
          </w:tcPr>
          <w:p>
            <w:pPr>
              <w:keepNext/>
              <w:spacing w:after="20" w:before="20"/>
              <w:rPr>
                <w:rFonts w:ascii="Arial" w:hAnsi="Arial" w:cs="Arial"/>
                <w:sz w:val="15"/>
                <w:szCs w:val="15"/>
              </w:rPr>
            </w:pPr>
            <w:r>
              <w:rPr>
                <w:rFonts w:ascii="Arial" w:hAnsi="Arial" w:cs="Arial"/>
                <w:sz w:val="15"/>
                <w:szCs w:val="15"/>
              </w:rPr>
              <w:t xml:space="preserve">BRRN.005 negative scenario "List contains duplicate or irrelevant accounts"; BRD-00 BR-026 "sanitize ... based on configurable business rules ... such as duplicate detection"</w:t>
            </w:r>
          </w:p>
        </w:tc>
        <w:tc>
          <w:tcPr>
            <w:tcW w:w="2791" w:type="dxa"/>
          </w:tcPr>
          <w:p>
            <w:pPr>
              <w:keepNext/>
              <w:spacing w:after="20" w:before="20"/>
              <w:rPr>
                <w:rFonts w:ascii="Arial" w:hAnsi="Arial" w:cs="Arial"/>
                <w:sz w:val="15"/>
                <w:szCs w:val="15"/>
              </w:rPr>
            </w:pPr>
            <w:r>
              <w:rPr>
                <w:rFonts w:ascii="Arial" w:hAnsi="Arial" w:cs="Arial"/>
                <w:sz w:val="15"/>
                <w:szCs w:val="15"/>
              </w:rPr>
              <w:t xml:space="preserve">Partial: Duplicate account prevention is partly standard; criteria per line and segment (Annex B) are not.</w:t>
            </w:r>
          </w:p>
        </w:tc>
        <w:tc>
          <w:tcPr>
            <w:tcW w:w="864" w:type="dxa"/>
          </w:tcPr>
          <w:p>
            <w:pPr>
              <w:keepNext/>
              <w:spacing w:after="20" w:before="20"/>
              <w:rPr>
                <w:rFonts w:ascii="Arial" w:hAnsi="Arial" w:cs="Arial"/>
                <w:sz w:val="15"/>
                <w:szCs w:val="15"/>
              </w:rPr>
            </w:pPr>
            <w:r>
              <w:rPr>
                <w:rFonts w:ascii="Arial" w:hAnsi="Arial" w:cs="Arial"/>
                <w:sz w:val="15"/>
                <w:szCs w:val="15"/>
              </w:rPr>
              <w:t xml:space="preserve">5.5</w:t>
            </w:r>
          </w:p>
        </w:tc>
      </w:tr>
      <w:tr>
        <w:trPr>
          <w:cantSplit/>
        </w:trPr>
        <w:tc>
          <w:tcPr>
            <w:tcW w:w="1004" w:type="dxa"/>
          </w:tcPr>
          <w:p>
            <w:pPr>
              <w:keepNext/>
              <w:spacing w:after="20" w:before="20"/>
              <w:rPr>
                <w:rFonts w:ascii="Arial" w:hAnsi="Arial" w:cs="Arial"/>
                <w:sz w:val="15"/>
                <w:szCs w:val="15"/>
              </w:rPr>
            </w:pPr>
            <w:r>
              <w:rPr>
                <w:rFonts w:ascii="Arial" w:hAnsi="Arial" w:cs="Arial"/>
                <w:sz w:val="15"/>
                <w:szCs w:val="15"/>
              </w:rPr>
              <w:t xml:space="preserve">CR-RN-020</w:t>
            </w:r>
          </w:p>
        </w:tc>
        <w:tc>
          <w:tcPr>
            <w:tcW w:w="1004" w:type="dxa"/>
          </w:tcPr>
          <w:p>
            <w:pPr>
              <w:keepNext/>
              <w:spacing w:after="20" w:before="20"/>
              <w:rPr>
                <w:rFonts w:ascii="Arial" w:hAnsi="Arial" w:cs="Arial"/>
                <w:sz w:val="15"/>
                <w:szCs w:val="15"/>
              </w:rPr>
            </w:pPr>
            <w:r>
              <w:rPr>
                <w:rFonts w:ascii="Arial" w:hAnsi="Arial" w:cs="Arial"/>
                <w:sz w:val="15"/>
                <w:szCs w:val="15"/>
              </w:rPr>
              <w:t xml:space="preserve">FRRN.024.01</w:t>
            </w:r>
          </w:p>
        </w:tc>
        <w:tc>
          <w:tcPr>
            <w:tcW w:w="1786" w:type="dxa"/>
          </w:tcPr>
          <w:p>
            <w:pPr>
              <w:keepNext/>
              <w:spacing w:after="20" w:before="20"/>
              <w:rPr>
                <w:rFonts w:ascii="Arial" w:hAnsi="Arial" w:cs="Arial"/>
                <w:sz w:val="15"/>
                <w:szCs w:val="15"/>
              </w:rPr>
            </w:pPr>
            <w:r>
              <w:rPr>
                <w:rFonts w:ascii="Arial" w:hAnsi="Arial" w:cs="Arial"/>
                <w:sz w:val="15"/>
                <w:szCs w:val="15"/>
              </w:rPr>
              <w:t xml:space="preserve">Password convention of protected files</w:t>
            </w:r>
          </w:p>
        </w:tc>
        <w:tc>
          <w:tcPr>
            <w:tcW w:w="3349" w:type="dxa"/>
          </w:tcPr>
          <w:p>
            <w:pPr>
              <w:keepNext/>
              <w:spacing w:after="20" w:before="20"/>
              <w:rPr>
                <w:rFonts w:ascii="Arial" w:hAnsi="Arial" w:cs="Arial"/>
                <w:sz w:val="15"/>
                <w:szCs w:val="15"/>
              </w:rPr>
            </w:pPr>
            <w:r>
              <w:rPr>
                <w:rFonts w:ascii="Arial" w:hAnsi="Arial" w:cs="Arial"/>
                <w:sz w:val="15"/>
                <w:szCs w:val="15"/>
              </w:rPr>
              <w:t xml:space="preserve">BRRN.010 "Send RA in batch, with encryption and password protection"; BRD 1.010.7.1 "1. Encrypt and add password prior to sending"</w:t>
            </w:r>
          </w:p>
        </w:tc>
        <w:tc>
          <w:tcPr>
            <w:tcW w:w="2791" w:type="dxa"/>
          </w:tcPr>
          <w:p>
            <w:pPr>
              <w:keepNext/>
              <w:spacing w:after="20" w:before="20"/>
              <w:rPr>
                <w:rFonts w:ascii="Arial" w:hAnsi="Arial" w:cs="Arial"/>
                <w:sz w:val="15"/>
                <w:szCs w:val="15"/>
              </w:rPr>
            </w:pPr>
            <w:r>
              <w:rPr>
                <w:rFonts w:ascii="Arial" w:hAnsi="Arial" w:cs="Arial"/>
                <w:sz w:val="15"/>
                <w:szCs w:val="15"/>
              </w:rPr>
              <w:t xml:space="preserve">Not available: Documents are sent as plain PDF; no password convention.</w:t>
            </w:r>
          </w:p>
        </w:tc>
        <w:tc>
          <w:tcPr>
            <w:tcW w:w="864" w:type="dxa"/>
          </w:tcPr>
          <w:p>
            <w:pPr>
              <w:keepNext/>
              <w:spacing w:after="20" w:before="20"/>
              <w:rPr>
                <w:rFonts w:ascii="Arial" w:hAnsi="Arial" w:cs="Arial"/>
                <w:sz w:val="15"/>
                <w:szCs w:val="15"/>
              </w:rPr>
            </w:pPr>
            <w:r>
              <w:rPr>
                <w:rFonts w:ascii="Arial" w:hAnsi="Arial" w:cs="Arial"/>
                <w:sz w:val="15"/>
                <w:szCs w:val="15"/>
              </w:rPr>
              <w:t xml:space="preserve">4.5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CR-RN-022</w:t>
            </w:r>
          </w:p>
        </w:tc>
        <w:tc>
          <w:tcPr>
            <w:tcW w:w="1004" w:type="dxa"/>
          </w:tcPr>
          <w:p>
            <w:pPr>
              <w:spacing w:after="20" w:before="20"/>
              <w:rPr>
                <w:rFonts w:ascii="Arial" w:hAnsi="Arial" w:cs="Arial"/>
                <w:sz w:val="15"/>
                <w:szCs w:val="15"/>
              </w:rPr>
            </w:pPr>
            <w:r>
              <w:rPr>
                <w:rFonts w:ascii="Arial" w:hAnsi="Arial" w:cs="Arial"/>
                <w:sz w:val="15"/>
                <w:szCs w:val="15"/>
              </w:rPr>
              <w:t xml:space="preserve">FRRN.041.01</w:t>
            </w:r>
          </w:p>
        </w:tc>
        <w:tc>
          <w:tcPr>
            <w:tcW w:w="1786" w:type="dxa"/>
          </w:tcPr>
          <w:p>
            <w:pPr>
              <w:spacing w:after="20" w:before="20"/>
              <w:rPr>
                <w:rFonts w:ascii="Arial" w:hAnsi="Arial" w:cs="Arial"/>
                <w:sz w:val="15"/>
                <w:szCs w:val="15"/>
              </w:rPr>
            </w:pPr>
            <w:r>
              <w:rPr>
                <w:rFonts w:ascii="Arial" w:hAnsi="Arial" w:cs="Arial"/>
                <w:sz w:val="15"/>
                <w:szCs w:val="15"/>
              </w:rPr>
              <w:t xml:space="preserve">RMU Account Officer maintenance</w:t>
            </w:r>
          </w:p>
        </w:tc>
        <w:tc>
          <w:tcPr>
            <w:tcW w:w="3349" w:type="dxa"/>
          </w:tcPr>
          <w:p>
            <w:pPr>
              <w:spacing w:after="20" w:before="20"/>
              <w:rPr>
                <w:rFonts w:ascii="Arial" w:hAnsi="Arial" w:cs="Arial"/>
                <w:sz w:val="15"/>
                <w:szCs w:val="15"/>
              </w:rPr>
            </w:pPr>
            <w:r>
              <w:rPr>
                <w:rFonts w:ascii="Arial" w:hAnsi="Arial" w:cs="Arial"/>
                <w:sz w:val="15"/>
                <w:szCs w:val="15"/>
              </w:rPr>
              <w:t xml:space="preserve">BRD 2.004.4.1 "1. Remedial Management Unit (RMU)"; BRRN.029 "ingest LAMD-provided reports and match paid-off loan records ... to determine renewal eligibility and proper routing"</w:t>
            </w:r>
          </w:p>
        </w:tc>
        <w:tc>
          <w:tcPr>
            <w:tcW w:w="2791" w:type="dxa"/>
          </w:tcPr>
          <w:p>
            <w:pPr>
              <w:spacing w:after="20" w:before="20"/>
              <w:rPr>
                <w:rFonts w:ascii="Arial" w:hAnsi="Arial" w:cs="Arial"/>
                <w:sz w:val="15"/>
                <w:szCs w:val="15"/>
              </w:rPr>
            </w:pPr>
            <w:r>
              <w:rPr>
                <w:rFonts w:ascii="Arial" w:hAnsi="Arial" w:cs="Arial"/>
                <w:sz w:val="15"/>
                <w:szCs w:val="15"/>
              </w:rPr>
              <w:t xml:space="preserve">BDOI-specific: Bank-specific RMU Account Officer codes.</w:t>
            </w:r>
          </w:p>
        </w:tc>
        <w:tc>
          <w:tcPr>
            <w:tcW w:w="864" w:type="dxa"/>
          </w:tcPr>
          <w:p>
            <w:pPr>
              <w:spacing w:after="20" w:before="20"/>
              <w:rPr>
                <w:rFonts w:ascii="Arial" w:hAnsi="Arial" w:cs="Arial"/>
                <w:sz w:val="15"/>
                <w:szCs w:val="15"/>
              </w:rPr>
            </w:pPr>
            <w:r>
              <w:rPr>
                <w:rFonts w:ascii="Arial" w:hAnsi="Arial" w:cs="Arial"/>
                <w:sz w:val="15"/>
                <w:szCs w:val="15"/>
              </w:rPr>
              <w:t xml:space="preserve">5.0</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planning effort of these BRD items: 107.5 man-days (14 items); not in the change request total.</w:t>
      </w:r>
    </w:p>
    <w:p>
      <w:pPr>
        <w:keepNext/>
        <w:rPr>
          <w:rFonts w:ascii="Arial" w:hAnsi="Arial" w:cs="Arial"/>
        </w:rPr>
      </w:pPr>
      <w:r>
        <w:rPr>
          <w:rFonts w:ascii="Arial" w:hAnsi="Arial" w:cs="Arial"/>
          <w:b/>
          <w:bCs/>
          <w:color w:val="616161"/>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CR-RN-007</w:t>
            </w:r>
          </w:p>
        </w:tc>
        <w:tc>
          <w:tcPr>
            <w:tcW w:w="1213" w:type="dxa"/>
          </w:tcPr>
          <w:p>
            <w:pPr>
              <w:spacing w:after="20" w:before="20"/>
              <w:rPr>
                <w:rFonts w:ascii="Arial" w:hAnsi="Arial" w:cs="Arial"/>
                <w:sz w:val="15"/>
                <w:szCs w:val="15"/>
              </w:rPr>
            </w:pPr>
            <w:r>
              <w:rPr>
                <w:rFonts w:ascii="Arial" w:hAnsi="Arial" w:cs="Arial"/>
                <w:sz w:val="15"/>
                <w:szCs w:val="15"/>
              </w:rPr>
              <w:t xml:space="preserve">FRRN.012.06</w:t>
            </w:r>
          </w:p>
        </w:tc>
        <w:tc>
          <w:tcPr>
            <w:tcW w:w="3155" w:type="dxa"/>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CR-RN-021</w:t>
            </w:r>
          </w:p>
        </w:tc>
        <w:tc>
          <w:tcPr>
            <w:tcW w:w="1213" w:type="dxa"/>
          </w:tcPr>
          <w:p>
            <w:pPr>
              <w:spacing w:after="20" w:before="20"/>
              <w:rPr>
                <w:rFonts w:ascii="Arial" w:hAnsi="Arial" w:cs="Arial"/>
                <w:sz w:val="15"/>
                <w:szCs w:val="15"/>
              </w:rPr>
            </w:pPr>
            <w:r>
              <w:rPr>
                <w:rFonts w:ascii="Arial" w:hAnsi="Arial" w:cs="Arial"/>
                <w:sz w:val="15"/>
                <w:szCs w:val="15"/>
              </w:rPr>
              <w:t xml:space="preserve">FRRN.27.01</w:t>
            </w:r>
          </w:p>
        </w:tc>
        <w:tc>
          <w:tcPr>
            <w:tcW w:w="3155" w:type="dxa"/>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AP.2 Best-practice recommendations (not in the BRD, this FRS or the platform)</w:t>
      </w:r>
    </w:p>
    <w:p>
      <w:pPr>
        <w:rPr>
          <w:rFonts w:ascii="Arial" w:hAnsi="Arial" w:cs="Arial"/>
        </w:rPr>
      </w:pPr>
      <w:r>
        <w:rPr>
          <w:rFonts w:ascii="Arial" w:hAnsi="Arial" w:cs="Arial"/>
          <w:color w:val="1565C0"/>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135"/>
        <w:gridCol w:w="103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High</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Medium</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5" w:type="dxa"/>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5" w:type="dxa"/>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Low</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