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Program Manager, Business Project Services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Business owner of BRD-13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Sign-off; owner of the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tcPr>
          <w:p>
            <w:pPr>
              <w:pStyle w:val="BDOITable"/>
            </w:pPr>
            <w:r>
              <w:rPr>
                <w:sz w:val="18"/>
              </w:rPr>
              <w:t>Head, Renewal processing team</w:t>
            </w:r>
          </w:p>
        </w:tc>
        <w:tc>
          <w:tcPr>
            <w:tcW w:type="dxa" w:w="2266"/>
            <w:tcMar>
              <w:top w:w="50" w:type="dxa"/>
              <w:bottom w:w="50" w:type="dxa"/>
              <w:left w:w="90" w:type="dxa"/>
              <w:right w:w="90" w:type="dxa"/>
            </w:tcMar>
          </w:tcPr>
          <w:p>
            <w:pPr>
              <w:pStyle w:val="BDOITable"/>
            </w:pPr>
            <w:r>
              <w:rPr>
                <w:sz w:val="18"/>
              </w:rPr>
              <w:t>Data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Unit Head, Analytics and Risk Management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tcPr>
          <w:p>
            <w:pPr>
              <w:pStyle w:val="BDOITable"/>
            </w:pPr>
            <w:r>
              <w:rPr>
                <w:sz w:val="18"/>
              </w:rPr>
              <w:t>BDOI IT (legacy EBIX, QPS, ISYS, CMS)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12</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4" w:history="1">
        <w:r>
          <w:t xml:space="preserve">22 Notifications and alerts</w:t>
        </w:r>
        <w:r>
          <w:t xml:space="preserve">	</w:t>
        </w:r>
        <w:r>
          <w:t xml:space="preserve">219</w:t>
        </w:r>
      </w:hyperlink>
    </w:p>
    <w:p>
      <w:pPr>
        <w:pStyle w:val="toc1"/>
      </w:pPr>
      <w:hyperlink w:anchor="_Toc000295" w:history="1">
        <w:r>
          <w:t xml:space="preserve">23 Reports</w:t>
        </w:r>
        <w:r>
          <w:t xml:space="preserve">	</w:t>
        </w:r>
        <w:r>
          <w:t xml:space="preserve">220</w:t>
        </w:r>
      </w:hyperlink>
    </w:p>
    <w:p>
      <w:pPr>
        <w:pStyle w:val="toc1"/>
      </w:pPr>
      <w:hyperlink w:anchor="_Toc000296" w:history="1">
        <w:r>
          <w:t xml:space="preserve">24 Workflow and status model</w:t>
        </w:r>
        <w:r>
          <w:t xml:space="preserve">	</w:t>
        </w:r>
        <w:r>
          <w:t xml:space="preserve">221</w:t>
        </w:r>
      </w:hyperlink>
    </w:p>
    <w:p>
      <w:pPr>
        <w:pStyle w:val="toc2"/>
      </w:pPr>
      <w:hyperlink w:anchor="_Toc000297" w:history="1">
        <w:r>
          <w:t xml:space="preserve">24.1 Data object and batch states</w:t>
        </w:r>
        <w:r>
          <w:t xml:space="preserve">	</w:t>
        </w:r>
        <w:r>
          <w:t xml:space="preserve">221</w:t>
        </w:r>
      </w:hyperlink>
    </w:p>
    <w:p>
      <w:pPr>
        <w:pStyle w:val="toc2"/>
      </w:pPr>
      <w:hyperlink w:anchor="_Toc000298" w:history="1">
        <w:r>
          <w:t xml:space="preserve">24.2 Approval workflows</w:t>
        </w:r>
        <w:r>
          <w:t xml:space="preserve">	</w:t>
        </w:r>
        <w:r>
          <w:t xml:space="preserve">221</w:t>
        </w:r>
      </w:hyperlink>
    </w:p>
    <w:p>
      <w:pPr>
        <w:pStyle w:val="toc2"/>
      </w:pPr>
      <w:hyperlink w:anchor="_Toc000299" w:history="1">
        <w:r>
          <w:t xml:space="preserve">24.3 Sign-off gates</w:t>
        </w:r>
        <w:r>
          <w:t xml:space="preserve">	</w:t>
        </w:r>
        <w:r>
          <w:t xml:space="preserve">222</w:t>
        </w:r>
      </w:hyperlink>
    </w:p>
    <w:p>
      <w:pPr>
        <w:pStyle w:val="toc2"/>
      </w:pPr>
      <w:hyperlink w:anchor="_Toc000300" w:history="1">
        <w:r>
          <w:t xml:space="preserve">24.4 Documents</w:t>
        </w:r>
        <w:r>
          <w:t xml:space="preserve">	</w:t>
        </w:r>
        <w:r>
          <w:t xml:space="preserve">222</w:t>
        </w:r>
      </w:hyperlink>
    </w:p>
    <w:p>
      <w:pPr>
        <w:pStyle w:val="toc1"/>
      </w:pPr>
      <w:hyperlink w:anchor="_Toc000301" w:history="1">
        <w:r>
          <w:t xml:space="preserve">25 Interfaces and integration</w:t>
        </w:r>
        <w:r>
          <w:t xml:space="preserve">	</w:t>
        </w:r>
        <w:r>
          <w:t xml:space="preserve">223</w:t>
        </w:r>
      </w:hyperlink>
    </w:p>
    <w:p>
      <w:pPr>
        <w:pStyle w:val="toc1"/>
      </w:pPr>
      <w:hyperlink w:anchor="_Toc000302" w:history="1">
        <w:r>
          <w:t xml:space="preserve">26 Non-functional requirements</w:t>
        </w:r>
        <w:r>
          <w:t xml:space="preserve">	</w:t>
        </w:r>
        <w:r>
          <w:t xml:space="preserve">225</w:t>
        </w:r>
      </w:hyperlink>
    </w:p>
    <w:p>
      <w:pPr>
        <w:pStyle w:val="toc1"/>
      </w:pPr>
      <w:hyperlink w:anchor="_Toc000303" w:history="1">
        <w:r>
          <w:t xml:space="preserve">27 Configuration items</w:t>
        </w:r>
        <w:r>
          <w:t xml:space="preserve">	</w:t>
        </w:r>
        <w:r>
          <w:t xml:space="preserve">226</w:t>
        </w:r>
      </w:hyperlink>
    </w:p>
    <w:p>
      <w:pPr>
        <w:pStyle w:val="toc2"/>
      </w:pPr>
      <w:hyperlink w:anchor="_Toc000304" w:history="1">
        <w:r>
          <w:t xml:space="preserve">27.1 Parameters</w:t>
        </w:r>
        <w:r>
          <w:t xml:space="preserve">	</w:t>
        </w:r>
        <w:r>
          <w:t xml:space="preserve">226</w:t>
        </w:r>
      </w:hyperlink>
    </w:p>
    <w:p>
      <w:pPr>
        <w:pStyle w:val="toc2"/>
      </w:pPr>
      <w:hyperlink w:anchor="_Toc000305" w:history="1">
        <w:r>
          <w:t xml:space="preserve">27.2 Lists of values</w:t>
        </w:r>
        <w:r>
          <w:t xml:space="preserve">	</w:t>
        </w:r>
        <w:r>
          <w:t xml:space="preserve">227</w:t>
        </w:r>
      </w:hyperlink>
    </w:p>
    <w:p>
      <w:pPr>
        <w:pStyle w:val="toc2"/>
      </w:pPr>
      <w:hyperlink w:anchor="_Toc000306" w:history="1">
        <w:r>
          <w:t xml:space="preserve">27.3 Masters and rules maintained by the business</w:t>
        </w:r>
        <w:r>
          <w:t xml:space="preserve">	</w:t>
        </w:r>
        <w:r>
          <w:t xml:space="preserve">227</w:t>
        </w:r>
      </w:hyperlink>
    </w:p>
    <w:p>
      <w:pPr>
        <w:pStyle w:val="toc1"/>
      </w:pPr>
      <w:hyperlink w:anchor="_Toc000307" w:history="1">
        <w:r>
          <w:t xml:space="preserve">28 Cross-BRD interface contract</w:t>
        </w:r>
        <w:r>
          <w:t xml:space="preserve">	</w:t>
        </w:r>
        <w:r>
          <w:t xml:space="preserve">228</w:t>
        </w:r>
      </w:hyperlink>
    </w:p>
    <w:p>
      <w:pPr>
        <w:pStyle w:val="toc1"/>
      </w:pPr>
      <w:hyperlink w:anchor="_Toc000308" w:history="1">
        <w:r>
          <w:t xml:space="preserve">Part C - Reconciliation and the sign-off gates per object</w:t>
        </w:r>
        <w:r>
          <w:t xml:space="preserve">	</w:t>
        </w:r>
        <w:r>
          <w:t xml:space="preserve">230</w:t>
        </w:r>
      </w:hyperlink>
    </w:p>
    <w:p>
      <w:pPr>
        <w:pStyle w:val="toc1"/>
      </w:pPr>
      <w:hyperlink w:anchor="_Toc000309" w:history="1">
        <w:r>
          <w:t xml:space="preserve">29 Purpose and scope</w:t>
        </w:r>
        <w:r>
          <w:t xml:space="preserve">	</w:t>
        </w:r>
        <w:r>
          <w:t xml:space="preserve">231</w:t>
        </w:r>
      </w:hyperlink>
    </w:p>
    <w:p>
      <w:pPr>
        <w:pStyle w:val="toc1"/>
      </w:pPr>
      <w:hyperlink w:anchor="_Toc000310" w:history="1">
        <w:r>
          <w:t xml:space="preserve">30 Reconciliation levels</w:t>
        </w:r>
        <w:r>
          <w:t xml:space="preserve">	</w:t>
        </w:r>
        <w:r>
          <w:t xml:space="preserve">232</w:t>
        </w:r>
      </w:hyperlink>
    </w:p>
    <w:p>
      <w:pPr>
        <w:pStyle w:val="toc1"/>
      </w:pPr>
      <w:hyperlink w:anchor="_Toc000311" w:history="1">
        <w:r>
          <w:t xml:space="preserve">31 Control totals BDOI sends</w:t>
        </w:r>
        <w:r>
          <w:t xml:space="preserve">	</w:t>
        </w:r>
        <w:r>
          <w:t xml:space="preserve">233</w:t>
        </w:r>
      </w:hyperlink>
    </w:p>
    <w:p>
      <w:pPr>
        <w:pStyle w:val="toc1"/>
      </w:pPr>
      <w:hyperlink w:anchor="_Toc000312" w:history="1">
        <w:r>
          <w:t xml:space="preserve">32 Reconciliation per data object</w:t>
        </w:r>
        <w:r>
          <w:t xml:space="preserve">	</w:t>
        </w:r>
        <w:r>
          <w:t xml:space="preserve">235</w:t>
        </w:r>
      </w:hyperlink>
    </w:p>
    <w:p>
      <w:pPr>
        <w:pStyle w:val="toc1"/>
      </w:pPr>
      <w:hyperlink w:anchor="_Toc000313" w:history="1">
        <w:r>
          <w:t xml:space="preserve">33 GL reconciliation: Migration Clearing</w:t>
        </w:r>
        <w:r>
          <w:t xml:space="preserve">	</w:t>
        </w:r>
        <w:r>
          <w:t xml:space="preserve">236</w:t>
        </w:r>
      </w:hyperlink>
    </w:p>
    <w:p>
      <w:pPr>
        <w:pStyle w:val="toc2"/>
      </w:pPr>
      <w:hyperlink w:anchor="_Toc000314" w:history="1">
        <w:r>
          <w:t xml:space="preserve">33.1 True-up reconciliation (FY2027 closing and audit adjustments)</w:t>
        </w:r>
        <w:r>
          <w:t xml:space="preserve">	</w:t>
        </w:r>
        <w:r>
          <w:t xml:space="preserve">237</w:t>
        </w:r>
      </w:hyperlink>
    </w:p>
    <w:p>
      <w:pPr>
        <w:pStyle w:val="toc1"/>
      </w:pPr>
      <w:hyperlink w:anchor="_Toc000315" w:history="1">
        <w:r>
          <w:t xml:space="preserve">34 Business verification on screen (gate G6)</w:t>
        </w:r>
        <w:r>
          <w:t xml:space="preserve">	</w:t>
        </w:r>
        <w:r>
          <w:t xml:space="preserve">239</w:t>
        </w:r>
      </w:hyperlink>
    </w:p>
    <w:p>
      <w:pPr>
        <w:pStyle w:val="toc2"/>
      </w:pPr>
      <w:hyperlink w:anchor="_Toc000316" w:history="1">
        <w:r>
          <w:t xml:space="preserve">34.1 Sample plan</w:t>
        </w:r>
        <w:r>
          <w:t xml:space="preserve">	</w:t>
        </w:r>
        <w:r>
          <w:t xml:space="preserve">239</w:t>
        </w:r>
      </w:hyperlink>
    </w:p>
    <w:p>
      <w:pPr>
        <w:pStyle w:val="toc2"/>
      </w:pPr>
      <w:hyperlink w:anchor="_Toc000317" w:history="1">
        <w:r>
          <w:t xml:space="preserve">34.2 Acceptance rule</w:t>
        </w:r>
        <w:r>
          <w:t xml:space="preserve">	</w:t>
        </w:r>
        <w:r>
          <w:t xml:space="preserve">239</w:t>
        </w:r>
      </w:hyperlink>
    </w:p>
    <w:p>
      <w:pPr>
        <w:pStyle w:val="toc1"/>
      </w:pPr>
      <w:hyperlink w:anchor="_Toc000318" w:history="1">
        <w:r>
          <w:t xml:space="preserve">35 Breaks, waivers and exclusions</w:t>
        </w:r>
        <w:r>
          <w:t xml:space="preserve">	</w:t>
        </w:r>
        <w:r>
          <w:t xml:space="preserve">241</w:t>
        </w:r>
      </w:hyperlink>
    </w:p>
    <w:p>
      <w:pPr>
        <w:pStyle w:val="toc1"/>
      </w:pPr>
      <w:hyperlink w:anchor="_Toc000319" w:history="1">
        <w:r>
          <w:t xml:space="preserve">36 Evidence and retention</w:t>
        </w:r>
        <w:r>
          <w:t xml:space="preserve">	</w:t>
        </w:r>
        <w:r>
          <w:t xml:space="preserve">242</w:t>
        </w:r>
      </w:hyperlink>
    </w:p>
    <w:p>
      <w:pPr>
        <w:pStyle w:val="toc1"/>
      </w:pPr>
      <w:hyperlink w:anchor="_Toc000320" w:history="1">
        <w:r>
          <w:t xml:space="preserve">37 Sign-off forms</w:t>
        </w:r>
        <w:r>
          <w:t xml:space="preserve">	</w:t>
        </w:r>
        <w:r>
          <w:t xml:space="preserve">243</w:t>
        </w:r>
      </w:hyperlink>
    </w:p>
    <w:p>
      <w:pPr>
        <w:pStyle w:val="toc2"/>
      </w:pPr>
      <w:hyperlink w:anchor="_Toc000321" w:history="1">
        <w:r>
          <w:t xml:space="preserve">37.1 Object reconciliation and acceptance (G5 and G6)</w:t>
        </w:r>
        <w:r>
          <w:t xml:space="preserve">	</w:t>
        </w:r>
        <w:r>
          <w:t xml:space="preserve">244</w:t>
        </w:r>
      </w:hyperlink>
    </w:p>
    <w:p>
      <w:pPr>
        <w:pStyle w:val="toc2"/>
      </w:pPr>
      <w:hyperlink w:anchor="_Toc000322" w:history="1">
        <w:r>
          <w:t xml:space="preserve">37.2 Cutover reconciliation summary (go / no-go GNG-3)</w:t>
        </w:r>
        <w:r>
          <w:t xml:space="preserve">	</w:t>
        </w:r>
        <w:r>
          <w:t xml:space="preserve">245</w:t>
        </w:r>
      </w:hyperlink>
    </w:p>
    <w:p>
      <w:pPr>
        <w:pStyle w:val="toc2"/>
      </w:pPr>
      <w:hyperlink w:anchor="_Toc000323" w:history="1">
        <w:r>
          <w:t xml:space="preserve">37.3 True-up reconciliation and sign-off (FY2027)</w:t>
        </w:r>
        <w:r>
          <w:t xml:space="preserve">	</w:t>
        </w:r>
        <w:r>
          <w:t xml:space="preserve">246</w:t>
        </w:r>
      </w:hyperlink>
    </w:p>
    <w:p>
      <w:pPr>
        <w:pStyle w:val="toc2"/>
      </w:pPr>
      <w:hyperlink w:anchor="_Toc000324" w:history="1">
        <w:r>
          <w:t xml:space="preserve">37.4 Archive reconciliation (before decommissioning)</w:t>
        </w:r>
        <w:r>
          <w:t xml:space="preserve">	</w:t>
        </w:r>
        <w:r>
          <w:t xml:space="preserve">247</w:t>
        </w:r>
      </w:hyperlink>
    </w:p>
    <w:p>
      <w:pPr>
        <w:pStyle w:val="toc1"/>
      </w:pPr>
      <w:hyperlink w:anchor="_Toc000325" w:history="1">
        <w:r>
          <w:t xml:space="preserve">Part D - Cut-over runbook, run-off and decommissioning</w:t>
        </w:r>
        <w:r>
          <w:t xml:space="preserve">	</w:t>
        </w:r>
        <w:r>
          <w:t xml:space="preserve">248</w:t>
        </w:r>
      </w:hyperlink>
    </w:p>
    <w:p>
      <w:pPr>
        <w:pStyle w:val="toc1"/>
      </w:pPr>
      <w:hyperlink w:anchor="_Toc000326" w:history="1">
        <w:r>
          <w:t xml:space="preserve">38 Purpose and use</w:t>
        </w:r>
        <w:r>
          <w:t xml:space="preserve">	</w:t>
        </w:r>
        <w:r>
          <w:t xml:space="preserve">249</w:t>
        </w:r>
      </w:hyperlink>
    </w:p>
    <w:p>
      <w:pPr>
        <w:pStyle w:val="toc1"/>
      </w:pPr>
      <w:hyperlink w:anchor="_Toc000327" w:history="1">
        <w:r>
          <w:t xml:space="preserve">39 Cutover organisation</w:t>
        </w:r>
        <w:r>
          <w:t xml:space="preserve">	</w:t>
        </w:r>
        <w:r>
          <w:t xml:space="preserve">250</w:t>
        </w:r>
      </w:hyperlink>
    </w:p>
    <w:p>
      <w:pPr>
        <w:pStyle w:val="toc2"/>
      </w:pPr>
      <w:hyperlink w:anchor="_Toc000328" w:history="1">
        <w:r>
          <w:t xml:space="preserve">39.1 Command centre</w:t>
        </w:r>
        <w:r>
          <w:t xml:space="preserve">	</w:t>
        </w:r>
        <w:r>
          <w:t xml:space="preserve">250</w:t>
        </w:r>
      </w:hyperlink>
    </w:p>
    <w:p>
      <w:pPr>
        <w:pStyle w:val="toc2"/>
      </w:pPr>
      <w:hyperlink w:anchor="_Toc000329" w:history="1">
        <w:r>
          <w:t xml:space="preserve">39.2 Roles</w:t>
        </w:r>
        <w:r>
          <w:t xml:space="preserve">	</w:t>
        </w:r>
        <w:r>
          <w:t xml:space="preserve">250</w:t>
        </w:r>
      </w:hyperlink>
    </w:p>
    <w:p>
      <w:pPr>
        <w:pStyle w:val="toc1"/>
      </w:pPr>
      <w:hyperlink w:anchor="_Toc000330" w:history="1">
        <w:r>
          <w:t xml:space="preserve">40 Timeline</w:t>
        </w:r>
        <w:r>
          <w:t xml:space="preserve">	</w:t>
        </w:r>
        <w:r>
          <w:t xml:space="preserve">251</w:t>
        </w:r>
      </w:hyperlink>
    </w:p>
    <w:p>
      <w:pPr>
        <w:pStyle w:val="toc2"/>
      </w:pPr>
      <w:hyperlink w:anchor="_Toc000331" w:history="1">
        <w:r>
          <w:t xml:space="preserve">40.1 Calendar</w:t>
        </w:r>
        <w:r>
          <w:t xml:space="preserve">	</w:t>
        </w:r>
        <w:r>
          <w:t xml:space="preserve">251</w:t>
        </w:r>
      </w:hyperlink>
    </w:p>
    <w:p>
      <w:pPr>
        <w:pStyle w:val="toc2"/>
      </w:pPr>
      <w:hyperlink w:anchor="_Toc000332" w:history="1">
        <w:r>
          <w:t xml:space="preserve">40.2 Freeze windows</w:t>
        </w:r>
        <w:r>
          <w:t xml:space="preserve">	</w:t>
        </w:r>
        <w:r>
          <w:t xml:space="preserve">252</w:t>
        </w:r>
      </w:hyperlink>
    </w:p>
    <w:p>
      <w:pPr>
        <w:pStyle w:val="toc1"/>
      </w:pPr>
      <w:hyperlink w:anchor="_Toc000333" w:history="1">
        <w:r>
          <w:t xml:space="preserve">41 Go / no-go checkpoints</w:t>
        </w:r>
        <w:r>
          <w:t xml:space="preserve">	</w:t>
        </w:r>
        <w:r>
          <w:t xml:space="preserve">254</w:t>
        </w:r>
      </w:hyperlink>
    </w:p>
    <w:p>
      <w:pPr>
        <w:pStyle w:val="toc1"/>
      </w:pPr>
      <w:hyperlink w:anchor="_Toc000334" w:history="1">
        <w:r>
          <w:t xml:space="preserve">42 Task list</w:t>
        </w:r>
        <w:r>
          <w:t xml:space="preserve">	</w:t>
        </w:r>
        <w:r>
          <w:t xml:space="preserve">256</w:t>
        </w:r>
      </w:hyperlink>
    </w:p>
    <w:p>
      <w:pPr>
        <w:pStyle w:val="toc2"/>
      </w:pPr>
      <w:hyperlink w:anchor="_Toc000335" w:history="1">
        <w:r>
          <w:t xml:space="preserve">42.1 Phase A - Readiness</w:t>
        </w:r>
        <w:r>
          <w:t xml:space="preserve">	</w:t>
        </w:r>
        <w:r>
          <w:t xml:space="preserve">256</w:t>
        </w:r>
      </w:hyperlink>
    </w:p>
    <w:p>
      <w:pPr>
        <w:pStyle w:val="toc2"/>
      </w:pPr>
      <w:hyperlink w:anchor="_Toc000336" w:history="1">
        <w:r>
          <w:t xml:space="preserve">42.2 Phase B - Pre-load and daily deltas</w:t>
        </w:r>
        <w:r>
          <w:t xml:space="preserve">	</w:t>
        </w:r>
        <w:r>
          <w:t xml:space="preserve">257</w:t>
        </w:r>
      </w:hyperlink>
    </w:p>
    <w:p>
      <w:pPr>
        <w:pStyle w:val="toc2"/>
      </w:pPr>
      <w:hyperlink w:anchor="_Toc000337" w:history="1">
        <w:r>
          <w:t xml:space="preserve">42.3 Phase C - Legacy freeze and final extracts</w:t>
        </w:r>
        <w:r>
          <w:t xml:space="preserve">	</w:t>
        </w:r>
        <w:r>
          <w:t xml:space="preserve">258</w:t>
        </w:r>
      </w:hyperlink>
    </w:p>
    <w:p>
      <w:pPr>
        <w:pStyle w:val="toc2"/>
      </w:pPr>
      <w:hyperlink w:anchor="_Toc000338" w:history="1">
        <w:r>
          <w:t xml:space="preserve">42.4 Phase D - Production load</w:t>
        </w:r>
        <w:r>
          <w:t xml:space="preserve">	</w:t>
        </w:r>
        <w:r>
          <w:t xml:space="preserve">259</w:t>
        </w:r>
      </w:hyperlink>
    </w:p>
    <w:p>
      <w:pPr>
        <w:pStyle w:val="toc2"/>
      </w:pPr>
      <w:hyperlink w:anchor="_Toc000339" w:history="1">
        <w:r>
          <w:t xml:space="preserve">42.5 Phase E - Reconciliation, verification and go / no-go</w:t>
        </w:r>
        <w:r>
          <w:t xml:space="preserve">	</w:t>
        </w:r>
        <w:r>
          <w:t xml:space="preserve">260</w:t>
        </w:r>
      </w:hyperlink>
    </w:p>
    <w:p>
      <w:pPr>
        <w:pStyle w:val="toc2"/>
      </w:pPr>
      <w:hyperlink w:anchor="_Toc000340" w:history="1">
        <w:r>
          <w:t xml:space="preserve">42.6 Phase F - Go-live</w:t>
        </w:r>
        <w:r>
          <w:t xml:space="preserve">	</w:t>
        </w:r>
        <w:r>
          <w:t xml:space="preserve">261</w:t>
        </w:r>
      </w:hyperlink>
    </w:p>
    <w:p>
      <w:pPr>
        <w:pStyle w:val="toc2"/>
      </w:pPr>
      <w:hyperlink w:anchor="_Toc000341" w:history="1">
        <w:r>
          <w:t xml:space="preserve">42.7 Phase G - Hypercare</w:t>
        </w:r>
        <w:r>
          <w:t xml:space="preserve">	</w:t>
        </w:r>
        <w:r>
          <w:t xml:space="preserve">261</w:t>
        </w:r>
      </w:hyperlink>
    </w:p>
    <w:p>
      <w:pPr>
        <w:pStyle w:val="toc2"/>
      </w:pPr>
      <w:hyperlink w:anchor="_Toc000342" w:history="1">
        <w:r>
          <w:t xml:space="preserve">42.8 Phase H - Final true-up and legacy GL close</w:t>
        </w:r>
        <w:r>
          <w:t xml:space="preserve">	</w:t>
        </w:r>
        <w:r>
          <w:t xml:space="preserve">263</w:t>
        </w:r>
      </w:hyperlink>
    </w:p>
    <w:p>
      <w:pPr>
        <w:pStyle w:val="toc1"/>
      </w:pPr>
      <w:hyperlink w:anchor="_Toc000343" w:history="1">
        <w:r>
          <w:t xml:space="preserve">43 Rollback</w:t>
        </w:r>
        <w:r>
          <w:t xml:space="preserve">	</w:t>
        </w:r>
        <w:r>
          <w:t xml:space="preserve">264</w:t>
        </w:r>
      </w:hyperlink>
    </w:p>
    <w:p>
      <w:pPr>
        <w:pStyle w:val="toc1"/>
      </w:pPr>
      <w:hyperlink w:anchor="_Toc000344" w:history="1">
        <w:r>
          <w:t xml:space="preserve">44 Year-end cut-over and FY2027 true-ups</w:t>
        </w:r>
        <w:r>
          <w:t xml:space="preserve">	</w:t>
        </w:r>
        <w:r>
          <w:t xml:space="preserve">265</w:t>
        </w:r>
      </w:hyperlink>
    </w:p>
    <w:p>
      <w:pPr>
        <w:pStyle w:val="toc1"/>
      </w:pPr>
      <w:hyperlink w:anchor="_Toc000345" w:history="1">
        <w:r>
          <w:t xml:space="preserve">45 Communication plan</w:t>
        </w:r>
        <w:r>
          <w:t xml:space="preserve">	</w:t>
        </w:r>
        <w:r>
          <w:t xml:space="preserve">266</w:t>
        </w:r>
      </w:hyperlink>
    </w:p>
    <w:p>
      <w:pPr>
        <w:pStyle w:val="toc1"/>
      </w:pPr>
      <w:hyperlink w:anchor="_Toc000346" w:history="1">
        <w:r>
          <w:t xml:space="preserve">46 Hypercare</w:t>
        </w:r>
        <w:r>
          <w:t xml:space="preserve">	</w:t>
        </w:r>
        <w:r>
          <w:t xml:space="preserve">267</w:t>
        </w:r>
      </w:hyperlink>
    </w:p>
    <w:p>
      <w:pPr>
        <w:pStyle w:val="toc2"/>
      </w:pPr>
      <w:hyperlink w:anchor="_Toc000347" w:history="1">
        <w:r>
          <w:t xml:space="preserve">46.1 Roster</w:t>
        </w:r>
        <w:r>
          <w:t xml:space="preserve">	</w:t>
        </w:r>
        <w:r>
          <w:t xml:space="preserve">267</w:t>
        </w:r>
      </w:hyperlink>
    </w:p>
    <w:p>
      <w:pPr>
        <w:pStyle w:val="toc2"/>
      </w:pPr>
      <w:hyperlink w:anchor="_Toc000348" w:history="1">
        <w:r>
          <w:t xml:space="preserve">46.2 Exit criteria</w:t>
        </w:r>
        <w:r>
          <w:t xml:space="preserve">	</w:t>
        </w:r>
        <w:r>
          <w:t xml:space="preserve">267</w:t>
        </w:r>
      </w:hyperlink>
    </w:p>
    <w:p>
      <w:pPr>
        <w:pStyle w:val="toc1"/>
      </w:pPr>
      <w:hyperlink w:anchor="_Toc000349" w:history="1">
        <w:r>
          <w:t xml:space="preserve">47 Decommissioning checklists</w:t>
        </w:r>
        <w:r>
          <w:t xml:space="preserve">	</w:t>
        </w:r>
        <w:r>
          <w:t xml:space="preserve">269</w:t>
        </w:r>
      </w:hyperlink>
    </w:p>
    <w:p>
      <w:pPr>
        <w:pStyle w:val="toc1"/>
      </w:pPr>
      <w:hyperlink w:anchor="_Toc000350" w:history="1">
        <w:r>
          <w:t xml:space="preserve">Decisions for BDOI and traceability</w:t>
        </w:r>
        <w:r>
          <w:t xml:space="preserve">	</w:t>
        </w:r>
        <w:r>
          <w:t xml:space="preserve">271</w:t>
        </w:r>
      </w:hyperlink>
    </w:p>
    <w:p>
      <w:pPr>
        <w:pStyle w:val="toc1"/>
      </w:pPr>
      <w:hyperlink w:anchor="_Toc000351" w:history="1">
        <w:r>
          <w:t xml:space="preserve">48 Proposed business rules and clarifications for confirmation</w:t>
        </w:r>
        <w:r>
          <w:t xml:space="preserve">	</w:t>
        </w:r>
        <w:r>
          <w:t xml:space="preserve">272</w:t>
        </w:r>
      </w:hyperlink>
    </w:p>
    <w:p>
      <w:pPr>
        <w:pStyle w:val="toc2"/>
      </w:pPr>
      <w:hyperlink w:anchor="_Toc000352" w:history="1">
        <w:r>
          <w:t xml:space="preserve">48.1 Open decisions and the date each is needed by</w:t>
        </w:r>
        <w:r>
          <w:t xml:space="preserve">	</w:t>
        </w:r>
        <w:r>
          <w:t xml:space="preserve">275</w:t>
        </w:r>
      </w:hyperlink>
    </w:p>
    <w:p>
      <w:pPr>
        <w:pStyle w:val="toc2"/>
      </w:pPr>
      <w:hyperlink w:anchor="_Toc000353" w:history="1">
        <w:r>
          <w:t xml:space="preserve">48.2 Assumptions</w:t>
        </w:r>
        <w:r>
          <w:t xml:space="preserve">	</w:t>
        </w:r>
        <w:r>
          <w:t xml:space="preserve">277</w:t>
        </w:r>
      </w:hyperlink>
    </w:p>
    <w:p>
      <w:pPr>
        <w:pStyle w:val="toc1"/>
      </w:pPr>
      <w:hyperlink w:anchor="_Toc000354" w:history="1">
        <w:r>
          <w:t xml:space="preserve">49 Traceability</w:t>
        </w:r>
        <w:r>
          <w:t xml:space="preserve">	</w:t>
        </w:r>
        <w:r>
          <w:t xml:space="preserve">278</w:t>
        </w:r>
      </w:hyperlink>
    </w:p>
    <w:p>
      <w:pPr>
        <w:pStyle w:val="toc1"/>
      </w:pPr>
      <w:hyperlink w:anchor="_Toc000355"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Staging payloads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How to fill sheet of the console workbook):</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&lt;LAYOUT&gt;_&lt;SOURCE&gt;_&lt;yyyyMMdd&gt;_&lt;nn&gt;.csv or .xlsx, for example F01C_EBIX_20271231_01.csv: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CSV</w:t>
            </w:r>
          </w:p>
        </w:tc>
        <w:tc>
          <w:tcPr>
            <w:tcW w:type="dxa" w:w="8050"/>
            <w:tcMar>
              <w:top w:w="50" w:type="dxa"/>
              <w:bottom w:w="50" w:type="dxa"/>
              <w:left w:w="90" w:type="dxa"/>
              <w:right w:w="90" w:type="dxa"/>
            </w:tcMar>
          </w:tcPr>
          <w:p>
            <w:pPr>
              <w:pStyle w:val="BDOITable"/>
            </w:pPr>
            <w:r>
              <w:rPr>
                <w:sz w:val="17"/>
              </w:rPr>
              <w:t>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shd w:val="clear" w:color="auto" w:fill="E5F5FF"/>
          </w:tcPr>
          <w:p>
            <w:pPr>
              <w:pStyle w:val="BDOITable"/>
            </w:pPr>
            <w:r>
              <w:rPr>
                <w:b/>
                <w:sz w:val="17"/>
              </w:rPr>
              <w:t>Excel</w:t>
            </w:r>
          </w:p>
        </w:tc>
        <w:tc>
          <w:tcPr>
            <w:tcW w:type="dxa" w:w="8050"/>
            <w:tcMar>
              <w:top w:w="50" w:type="dxa"/>
              <w:bottom w:w="50" w:type="dxa"/>
              <w:left w:w="90" w:type="dxa"/>
              <w:right w:w="90" w:type="dxa"/>
            </w:tcMar>
            <w:shd w:val="clear" w:color="auto" w:fill="E5F5FF"/>
          </w:tcPr>
          <w:p>
            <w:pPr>
              <w:pStyle w:val="BDOITable"/>
            </w:pPr>
            <w:r>
              <w:rPr>
                <w:sz w:val="17"/>
              </w:rPr>
              <w:t>First sheet, header in row 1, no merged cells, no formulas</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partitions in parallel, one transaction per chunk;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database snapshot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database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Staging payloads and extract files are deleted within 5 days of the batch sign-off or rollback, or of an extract rejection (daily staging purge and a lifecycle rule on the intake bucket); an alert is raised when a signed-off batch still has payloads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staging and the intake bucket are reachable only by migration roles and only from the Philippines (network allow-list and VPN at the infrastructure layer)</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(TLS) or the secure file drop; at rest they are encrypted with managed keys;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append-only legacy access log</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00504" cy="6693682"/>
            <wp:docPr id="10" name="Picture 10"/>
            <wp:cNvGraphicFramePr>
              <a:graphicFrameLocks noChangeAspect="1"/>
            </wp:cNvGraphicFramePr>
            <a:graphic>
              <a:graphicData uri="http://schemas.openxmlformats.org/drawingml/2006/picture">
                <pic:pic>
                  <pic:nvPicPr>
                    <pic:cNvPr id="0" name="scr-dm-02-02-object_1421s.png"/>
                    <pic:cNvPicPr/>
                  </pic:nvPicPr>
                  <pic:blipFill>
                    <a:blip r:embed="rId38"/>
                    <a:stretch>
                      <a:fillRect/>
                    </a:stretch>
                  </pic:blipFill>
                  <pic:spPr>
                    <a:xfrm>
                      <a:off x="0" y="0"/>
                      <a:ext cx="5200504" cy="6693682"/>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37209"/>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25471" cy="6694528"/>
            <wp:docPr id="12" name="Picture 12"/>
            <wp:cNvGraphicFramePr>
              <a:graphicFrameLocks noChangeAspect="1"/>
            </wp:cNvGraphicFramePr>
            <a:graphic>
              <a:graphicData uri="http://schemas.openxmlformats.org/drawingml/2006/picture">
                <pic:pic>
                  <pic:nvPicPr>
                    <pic:cNvPr id="0" name="scr-dm-03-02-set_1373s.png"/>
                    <pic:cNvPicPr/>
                  </pic:nvPicPr>
                  <pic:blipFill>
                    <a:blip r:embed="rId52"/>
                    <a:stretch>
                      <a:fillRect/>
                    </a:stretch>
                  </pic:blipFill>
                  <pic:spPr>
                    <a:xfrm>
                      <a:off x="0" y="0"/>
                      <a:ext cx="5025471" cy="6694528"/>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33032"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33032"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30043"/>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30043"/>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15" name="Picture 15"/>
            <wp:cNvGraphicFramePr>
              <a:graphicFrameLocks noChangeAspect="1"/>
            </wp:cNvGraphicFramePr>
            <a:graphic>
              <a:graphicData uri="http://schemas.openxmlformats.org/drawingml/2006/picture">
                <pic:pic>
                  <pic:nvPicPr>
                    <pic:cNvPr id="0" name="scr-dm-04-01-list_1349s.png"/>
                    <pic:cNvPicPr/>
                  </pic:nvPicPr>
                  <pic:blipFill>
                    <a:blip r:embed="rId59"/>
                    <a:stretch>
                      <a:fillRect/>
                    </a:stretch>
                  </pic:blipFill>
                  <pic:spPr>
                    <a:xfrm>
                      <a:off x="0" y="0"/>
                      <a:ext cx="4937496" cy="3769919"/>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52239" cy="6694840"/>
            <wp:docPr id="16" name="Picture 16"/>
            <wp:cNvGraphicFramePr>
              <a:graphicFrameLocks noChangeAspect="1"/>
            </wp:cNvGraphicFramePr>
            <a:graphic>
              <a:graphicData uri="http://schemas.openxmlformats.org/drawingml/2006/picture">
                <pic:pic>
                  <pic:nvPicPr>
                    <pic:cNvPr id="0" name="scr-dm-04-02-columns_1299s.png"/>
                    <pic:cNvPicPr/>
                  </pic:nvPicPr>
                  <pic:blipFill>
                    <a:blip r:embed="rId64"/>
                    <a:stretch>
                      <a:fillRect/>
                    </a:stretch>
                  </pic:blipFill>
                  <pic:spPr>
                    <a:xfrm>
                      <a:off x="0" y="0"/>
                      <a:ext cx="4752239" cy="6694840"/>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53809" cy="3771121"/>
            <wp:docPr id="17" name="Picture 17"/>
            <wp:cNvGraphicFramePr>
              <a:graphicFrameLocks noChangeAspect="1"/>
            </wp:cNvGraphicFramePr>
            <a:graphic>
              <a:graphicData uri="http://schemas.openxmlformats.org/drawingml/2006/picture">
                <pic:pic>
                  <pic:nvPicPr>
                    <pic:cNvPr id="0" name="scr-dm-04-03-rules_1327s.png"/>
                    <pic:cNvPicPr/>
                  </pic:nvPicPr>
                  <pic:blipFill>
                    <a:blip r:embed="rId69"/>
                    <a:stretch>
                      <a:fillRect/>
                    </a:stretch>
                  </pic:blipFill>
                  <pic:spPr>
                    <a:xfrm>
                      <a:off x="0" y="0"/>
                      <a:ext cx="4853809" cy="3771121"/>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53809" cy="3771121"/>
            <wp:docPr id="18" name="Picture 18"/>
            <wp:cNvGraphicFramePr>
              <a:graphicFrameLocks noChangeAspect="1"/>
            </wp:cNvGraphicFramePr>
            <a:graphic>
              <a:graphicData uri="http://schemas.openxmlformats.org/drawingml/2006/picture">
                <pic:pic>
                  <pic:nvPicPr>
                    <pic:cNvPr id="0" name="scr-dm-04-04-masking_1327s.png"/>
                    <pic:cNvPicPr/>
                  </pic:nvPicPr>
                  <pic:blipFill>
                    <a:blip r:embed="rId70"/>
                    <a:stretch>
                      <a:fillRect/>
                    </a:stretch>
                  </pic:blipFill>
                  <pic:spPr>
                    <a:xfrm>
                      <a:off x="0" y="0"/>
                      <a:ext cx="4853809" cy="3771121"/>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sheet per layout, the Columns sheet, the Control file sheet and the How to fill rules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the reason. The list shows every extract with its layout, source, as-of date, rows,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7115" cy="6694602"/>
            <wp:docPr id="19" name="Picture 19"/>
            <wp:cNvGraphicFramePr>
              <a:graphicFrameLocks noChangeAspect="1"/>
            </wp:cNvGraphicFramePr>
            <a:graphic>
              <a:graphicData uri="http://schemas.openxmlformats.org/drawingml/2006/picture">
                <pic:pic>
                  <pic:nvPicPr>
                    <pic:cNvPr id="0" name="scr-dm-05-01-list_1571s.png"/>
                    <pic:cNvPicPr/>
                  </pic:nvPicPr>
                  <pic:blipFill>
                    <a:blip r:embed="rId75"/>
                    <a:stretch>
                      <a:fillRect/>
                    </a:stretch>
                  </pic:blipFill>
                  <pic:spPr>
                    <a:xfrm>
                      <a:off x="0" y="0"/>
                      <a:ext cx="5747115" cy="6694602"/>
                    </a:xfrm>
                    <a:prstGeom prst="rect"/>
                  </pic:spPr>
                </pic:pic>
              </a:graphicData>
            </a:graphic>
          </wp:inline>
        </w:drawing>
      </w:r>
    </w:p>
    <w:p>
      <w:pPr>
        <w:pStyle w:val="Caption"/>
        <w:jc w:val="center"/>
      </w:pPr>
      <w:r>
        <w:rPr>
          <w:b/>
          <w:i w:val="0"/>
        </w:rPr>
        <w:t xml:space="preserve">Figure 17: </w:t>
      </w:r>
      <w:r>
        <w:rPr/>
        <w:t>SCR-DM-05 Extracts with the upload card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Masked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Received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6750" cy="6693902"/>
            <wp:docPr id="20" name="Picture 20"/>
            <wp:cNvGraphicFramePr>
              <a:graphicFrameLocks noChangeAspect="1"/>
            </wp:cNvGraphicFramePr>
            <a:graphic>
              <a:graphicData uri="http://schemas.openxmlformats.org/drawingml/2006/picture">
                <pic:pic>
                  <pic:nvPicPr>
                    <pic:cNvPr id="0" name="scr-dm-05-02-rejected_1582s.png"/>
                    <pic:cNvPicPr/>
                  </pic:nvPicPr>
                  <pic:blipFill>
                    <a:blip r:embed="rId80"/>
                    <a:stretch>
                      <a:fillRect/>
                    </a:stretch>
                  </pic:blipFill>
                  <pic:spPr>
                    <a:xfrm>
                      <a:off x="0" y="0"/>
                      <a:ext cx="5786750" cy="6693902"/>
                    </a:xfrm>
                    <a:prstGeom prst="rect"/>
                  </pic:spPr>
                </pic:pic>
              </a:graphicData>
            </a:graphic>
          </wp:inline>
        </w:drawing>
      </w:r>
    </w:p>
    <w:p>
      <w:pPr>
        <w:pStyle w:val="Caption"/>
        <w:jc w:val="center"/>
      </w:pPr>
      <w:r>
        <w:rPr>
          <w:b/>
          <w:i w:val="0"/>
        </w:rPr>
        <w:t xml:space="preserve">Figure 18: </w:t>
      </w:r>
      <w:r>
        <w:rPr/>
        <w:t>SCR-DM-05 An extract rejected at intake with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Staged / declared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Masked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or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Environment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user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Rejection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Received, Checked, Staged, Rejected, Purged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w:t>
            </w:r>
          </w:p>
        </w:tc>
        <w:tc>
          <w:tcPr>
            <w:tcW w:type="dxa" w:w="4324"/>
            <w:tcMar>
              <w:top w:w="50" w:type="dxa"/>
              <w:bottom w:w="50" w:type="dxa"/>
              <w:left w:w="90" w:type="dxa"/>
              <w:right w:w="90" w:type="dxa"/>
            </w:tcMar>
          </w:tcPr>
          <w:p>
            <w:pPr>
              <w:pStyle w:val="BDOITable"/>
            </w:pPr>
            <w:r>
              <w:rPr>
                <w:sz w:val="15"/>
              </w:rPr>
              <w:t>Receives the files and runs the intake checks; the message gives the extract number and the staged rows, or the rejection</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75021"/>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60946"/>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91810" cy="3770071"/>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95"/>
                    <a:stretch>
                      <a:fillRect/>
                    </a:stretch>
                  </pic:blipFill>
                  <pic:spPr>
                    <a:xfrm>
                      <a:off x="0" y="0"/>
                      <a:ext cx="8491810" cy="3770071"/>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174920"/>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96610" cy="6694095"/>
            <wp:docPr id="25" name="Picture 25"/>
            <wp:cNvGraphicFramePr>
              <a:graphicFrameLocks noChangeAspect="1"/>
            </wp:cNvGraphicFramePr>
            <a:graphic>
              <a:graphicData uri="http://schemas.openxmlformats.org/drawingml/2006/picture">
                <pic:pic>
                  <pic:nvPicPr>
                    <pic:cNvPr id="0" name="scr-dm-07-02-rows_1694s.png"/>
                    <pic:cNvPicPr/>
                  </pic:nvPicPr>
                  <pic:blipFill>
                    <a:blip r:embed="rId105"/>
                    <a:stretch>
                      <a:fillRect/>
                    </a:stretch>
                  </pic:blipFill>
                  <pic:spPr>
                    <a:xfrm>
                      <a:off x="0" y="0"/>
                      <a:ext cx="6196610" cy="6694095"/>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02234" cy="6693609"/>
            <wp:docPr id="27" name="Picture 27"/>
            <wp:cNvGraphicFramePr>
              <a:graphicFrameLocks noChangeAspect="1"/>
            </wp:cNvGraphicFramePr>
            <a:graphic>
              <a:graphicData uri="http://schemas.openxmlformats.org/drawingml/2006/picture">
                <pic:pic>
                  <pic:nvPicPr>
                    <pic:cNvPr id="0" name="scr-dm-07-04-signoffs_1723s.png"/>
                    <pic:cNvPicPr/>
                  </pic:nvPicPr>
                  <pic:blipFill>
                    <a:blip r:embed="rId115"/>
                    <a:stretch>
                      <a:fillRect/>
                    </a:stretch>
                  </pic:blipFill>
                  <pic:spPr>
                    <a:xfrm>
                      <a:off x="0" y="0"/>
                      <a:ext cx="6302234" cy="6693609"/>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21605" cy="6694669"/>
            <wp:docPr id="28" name="Picture 28"/>
            <wp:cNvGraphicFramePr>
              <a:graphicFrameLocks noChangeAspect="1"/>
            </wp:cNvGraphicFramePr>
            <a:graphic>
              <a:graphicData uri="http://schemas.openxmlformats.org/drawingml/2006/picture">
                <pic:pic>
                  <pic:nvPicPr>
                    <pic:cNvPr id="0" name="scr-dm-07-05-log_1400s.png"/>
                    <pic:cNvPicPr/>
                  </pic:nvPicPr>
                  <pic:blipFill>
                    <a:blip r:embed="rId120"/>
                    <a:stretch>
                      <a:fillRect/>
                    </a:stretch>
                  </pic:blipFill>
                  <pic:spPr>
                    <a:xfrm>
                      <a:off x="0" y="0"/>
                      <a:ext cx="5121605" cy="6694669"/>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1" name="Picture 31"/>
            <wp:cNvGraphicFramePr>
              <a:graphicFrameLocks noChangeAspect="1"/>
            </wp:cNvGraphicFramePr>
            <a:graphic>
              <a:graphicData uri="http://schemas.openxmlformats.org/drawingml/2006/picture">
                <pic:pic>
                  <pic:nvPicPr>
                    <pic:cNvPr id="0" name="scr-dm-09-01-list_1491s.png"/>
                    <pic:cNvPicPr/>
                  </pic:nvPicPr>
                  <pic:blipFill>
                    <a:blip r:embed="rId139"/>
                    <a:stretch>
                      <a:fillRect/>
                    </a:stretch>
                  </pic:blipFill>
                  <pic:spPr>
                    <a:xfrm>
                      <a:off x="0" y="0"/>
                      <a:ext cx="5456326" cy="6693240"/>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Downloads the runbook workbook of the plan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Measure Criteria</w:t>
            </w:r>
          </w:p>
        </w:tc>
        <w:tc>
          <w:tcPr>
            <w:tcW w:type="dxa" w:w="1802"/>
            <w:tcMar>
              <w:top w:w="50" w:type="dxa"/>
              <w:bottom w:w="50" w:type="dxa"/>
              <w:left w:w="90" w:type="dxa"/>
              <w:right w:w="90" w:type="dxa"/>
            </w:tcMar>
          </w:tcPr>
          <w:p>
            <w:pPr>
              <w:pStyle w:val="BDOITable"/>
            </w:pPr>
            <w:r>
              <w:rPr>
                <w:sz w:val="15"/>
              </w:rPr>
              <w:t>Data Migration Lead or the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Start, Done, Block</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Task not started, in progress or blocked</w:t>
            </w:r>
          </w:p>
        </w:tc>
        <w:tc>
          <w:tcPr>
            <w:tcW w:type="dxa" w:w="4324"/>
            <w:tcMar>
              <w:top w:w="50" w:type="dxa"/>
              <w:bottom w:w="50" w:type="dxa"/>
              <w:left w:w="90" w:type="dxa"/>
              <w:right w:w="90" w:type="dxa"/>
            </w:tcMar>
            <w:shd w:val="clear" w:color="auto" w:fill="E5F5FF"/>
          </w:tcPr>
          <w:p>
            <w:pPr>
              <w:pStyle w:val="BDOITable"/>
            </w:pPr>
            <w:r>
              <w:rPr>
                <w:sz w:val="15"/>
              </w:rPr>
              <w:t>Records the actual start or end; a block needs its reason</w:t>
            </w:r>
          </w:p>
        </w:tc>
        <w:tc>
          <w:tcPr>
            <w:tcW w:type="dxa" w:w="1561"/>
            <w:tcMar>
              <w:top w:w="50" w:type="dxa"/>
              <w:bottom w:w="50" w:type="dxa"/>
              <w:left w:w="90" w:type="dxa"/>
              <w:right w:w="90" w:type="dxa"/>
            </w:tcMar>
            <w:shd w:val="clear" w:color="auto" w:fill="E5F5FF"/>
          </w:tcPr>
          <w:p>
            <w:pPr>
              <w:pStyle w:val="BDOITable"/>
            </w:pPr>
            <w:r>
              <w:rPr>
                <w:sz w:val="15"/>
              </w:rPr>
              <w:t>In progress, Done, Blocked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Not met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Recorded criterion</w:t>
            </w:r>
          </w:p>
        </w:tc>
        <w:tc>
          <w:tcPr>
            <w:tcW w:type="dxa" w:w="4324"/>
            <w:tcMar>
              <w:top w:w="50" w:type="dxa"/>
              <w:bottom w:w="50" w:type="dxa"/>
              <w:left w:w="90" w:type="dxa"/>
              <w:right w:w="90" w:type="dxa"/>
            </w:tcMar>
          </w:tcPr>
          <w:p>
            <w:pPr>
              <w:pStyle w:val="BDOITable"/>
            </w:pPr>
            <w:r>
              <w:rPr>
                <w:sz w:val="15"/>
              </w:rPr>
              <w:t>Records a criterion that BIBS does not measure, with its evidence</w:t>
            </w:r>
          </w:p>
        </w:tc>
        <w:tc>
          <w:tcPr>
            <w:tcW w:type="dxa" w:w="1561"/>
            <w:tcMar>
              <w:top w:w="50" w:type="dxa"/>
              <w:bottom w:w="50" w:type="dxa"/>
              <w:left w:w="90" w:type="dxa"/>
              <w:right w:w="90" w:type="dxa"/>
            </w:tcMar>
          </w:tcPr>
          <w:p>
            <w:pPr>
              <w:pStyle w:val="BDOITable"/>
            </w:pPr>
            <w:r>
              <w:rPr>
                <w:sz w:val="15"/>
              </w:rPr>
              <w:t>Met or Not met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shd w:val="clear" w:color="auto" w:fill="E5F5FF"/>
          </w:tcPr>
          <w:p>
            <w:pPr>
              <w:pStyle w:val="BDOITable"/>
            </w:pPr>
            <w:r>
              <w:rPr>
                <w:sz w:val="15"/>
              </w:rPr>
              <w:t>GO</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NO-GO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tcPr>
          <w:p>
            <w:pPr>
              <w:pStyle w:val="BDOITable"/>
            </w:pPr>
            <w:r>
              <w:rPr>
                <w:sz w:val="15"/>
              </w:rPr>
              <w:t>NO-GO</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77840" cy="6693408"/>
            <wp:docPr id="42" name="Picture 42"/>
            <wp:cNvGraphicFramePr>
              <a:graphicFrameLocks noChangeAspect="1"/>
            </wp:cNvGraphicFramePr>
            <a:graphic>
              <a:graphicData uri="http://schemas.openxmlformats.org/drawingml/2006/picture">
                <pic:pic>
                  <pic:nvPicPr>
                    <pic:cNvPr id="0" name="scr-dm-14-03-record_1525s.png"/>
                    <pic:cNvPicPr/>
                  </pic:nvPicPr>
                  <pic:blipFill>
                    <a:blip r:embed="rId178"/>
                    <a:stretch>
                      <a:fillRect/>
                    </a:stretch>
                  </pic:blipFill>
                  <pic:spPr>
                    <a:xfrm>
                      <a:off x="0" y="0"/>
                      <a:ext cx="5577840" cy="6693408"/>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access log is append-only: no entry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6247546" cy="3771206"/>
            <wp:docPr id="44" name="Picture 44"/>
            <wp:cNvGraphicFramePr>
              <a:graphicFrameLocks noChangeAspect="1"/>
            </wp:cNvGraphicFramePr>
            <a:graphic>
              <a:graphicData uri="http://schemas.openxmlformats.org/drawingml/2006/picture">
                <pic:pic>
                  <pic:nvPicPr>
                    <pic:cNvPr id="0" name="scr-dm-16-01-clients_1708s.png"/>
                    <pic:cNvPicPr/>
                  </pic:nvPicPr>
                  <pic:blipFill>
                    <a:blip r:embed="rId184"/>
                    <a:stretch>
                      <a:fillRect/>
                    </a:stretch>
                  </pic:blipFill>
                  <pic:spPr>
                    <a:xfrm>
                      <a:off x="0" y="0"/>
                      <a:ext cx="6247546" cy="3771206"/>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458960" cy="3768481"/>
            <wp:docPr id="45" name="Picture 45"/>
            <wp:cNvGraphicFramePr>
              <a:graphicFrameLocks noChangeAspect="1"/>
            </wp:cNvGraphicFramePr>
            <a:graphic>
              <a:graphicData uri="http://schemas.openxmlformats.org/drawingml/2006/picture">
                <pic:pic>
                  <pic:nvPicPr>
                    <pic:cNvPr id="0" name="scr-dm-16-02-unapplied_2312s.png"/>
                    <pic:cNvPicPr/>
                  </pic:nvPicPr>
                  <pic:blipFill>
                    <a:blip r:embed="rId185"/>
                    <a:stretch>
                      <a:fillRect/>
                    </a:stretch>
                  </pic:blipFill>
                  <pic:spPr>
                    <a:xfrm>
                      <a:off x="0" y="0"/>
                      <a:ext cx="8458960" cy="3768481"/>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07844"/>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207844"/>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9859"/>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29859"/>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91810"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491810"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47152" cy="3768910"/>
            <wp:docPr id="50" name="Picture 50"/>
            <wp:cNvGraphicFramePr>
              <a:graphicFrameLocks noChangeAspect="1"/>
            </wp:cNvGraphicFramePr>
            <a:graphic>
              <a:graphicData uri="http://schemas.openxmlformats.org/drawingml/2006/picture">
                <pic:pic>
                  <pic:nvPicPr>
                    <pic:cNvPr id="0" name="scr-dm-19-01-draft_1352s.png"/>
                    <pic:cNvPicPr/>
                  </pic:nvPicPr>
                  <pic:blipFill>
                    <a:blip r:embed="rId206"/>
                    <a:stretch>
                      <a:fillRect/>
                    </a:stretch>
                  </pic:blipFill>
                  <pic:spPr>
                    <a:xfrm>
                      <a:off x="0" y="0"/>
                      <a:ext cx="4947152" cy="3768910"/>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68835"/>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68835"/>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partitions in parallel,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log is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the database is restored to the rollback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&lt;reject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reason, correct the extract or its control file and upload it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legacy details are not valid JSON: &lt;original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MIG_ARCHIVE_DETAIL</w:t>
            </w:r>
          </w:p>
        </w:tc>
        <w:tc>
          <w:tcPr>
            <w:tcW w:type="dxa" w:w="3663"/>
            <w:tcMar>
              <w:top w:w="50" w:type="dxa"/>
              <w:bottom w:w="50" w:type="dxa"/>
              <w:left w:w="90" w:type="dxa"/>
              <w:right w:w="90" w:type="dxa"/>
            </w:tcMar>
            <w:shd w:val="clear" w:color="auto" w:fill="E5F5FF"/>
          </w:tcPr>
          <w:p>
            <w:pPr>
              <w:pStyle w:val="BDOITable"/>
            </w:pPr>
            <w:r>
              <w:rPr>
                <w:sz w:val="14"/>
              </w:rPr>
              <w:t>The legacy details must be an object of label and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MIG_C01_NOT_LOADED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MIG_CLIENT_NOT_LOADED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MIG_CODE_NOT_MAPPED</w:t>
            </w:r>
          </w:p>
        </w:tc>
        <w:tc>
          <w:tcPr>
            <w:tcW w:type="dxa" w:w="3663"/>
            <w:tcMar>
              <w:top w:w="50" w:type="dxa"/>
              <w:bottom w:w="50" w:type="dxa"/>
              <w:left w:w="90" w:type="dxa"/>
              <w:right w:w="90" w:type="dxa"/>
            </w:tcMar>
          </w:tcPr>
          <w:p>
            <w:pPr>
              <w:pStyle w:val="BDOITable"/>
            </w:pPr>
            <w:r>
              <w:rPr>
                <w:sz w:val="14"/>
              </w:rPr>
              <w:t>Legacy code &lt;legacy&gt; is not in the approved &lt;set&gt;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legacy code to the code map named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MIG_CODE_REQUIRED</w:t>
            </w:r>
          </w:p>
        </w:tc>
        <w:tc>
          <w:tcPr>
            <w:tcW w:type="dxa" w:w="3663"/>
            <w:tcMar>
              <w:top w:w="50" w:type="dxa"/>
              <w:bottom w:w="50" w:type="dxa"/>
              <w:left w:w="90" w:type="dxa"/>
              <w:right w:w="90" w:type="dxa"/>
            </w:tcMar>
            <w:shd w:val="clear" w:color="auto" w:fill="E5F5FF"/>
          </w:tcPr>
          <w:p>
            <w:pPr>
              <w:pStyle w:val="BDOITable"/>
            </w:pPr>
            <w:r>
              <w:rPr>
                <w:sz w:val="14"/>
              </w:rPr>
              <w:t>The legacy code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legacy code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rate has no effective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record has no document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MIG_DOCUMENT_SIZE</w:t>
            </w:r>
          </w:p>
        </w:tc>
        <w:tc>
          <w:tcPr>
            <w:tcW w:type="dxa" w:w="3663"/>
            <w:tcMar>
              <w:top w:w="50" w:type="dxa"/>
              <w:bottom w:w="50" w:type="dxa"/>
              <w:left w:w="90" w:type="dxa"/>
              <w:right w:w="90" w:type="dxa"/>
            </w:tcMar>
          </w:tcPr>
          <w:p>
            <w:pPr>
              <w:pStyle w:val="BDOITable"/>
            </w:pPr>
            <w:r>
              <w:rPr>
                <w:sz w:val="14"/>
              </w:rPr>
              <w:t>The file size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MIG_F01_NOT_LOADED</w:t>
            </w:r>
          </w:p>
        </w:tc>
        <w:tc>
          <w:tcPr>
            <w:tcW w:type="dxa" w:w="3663"/>
            <w:tcMar>
              <w:top w:w="50" w:type="dxa"/>
              <w:bottom w:w="50" w:type="dxa"/>
              <w:left w:w="90" w:type="dxa"/>
              <w:right w:w="90" w:type="dxa"/>
            </w:tcMar>
            <w:shd w:val="clear" w:color="auto" w:fill="E5F5FF"/>
          </w:tcPr>
          <w:p>
            <w:pPr>
              <w:pStyle w:val="BDOITable"/>
            </w:pPr>
            <w:r>
              <w:rPr>
                <w:sz w:val="14"/>
              </w:rPr>
              <w:t>Legacy invoice &lt;legacy no&gt;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invoice (F01) first, or remove the row.</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MIG_HEADER_NOT_LOADED</w:t>
            </w:r>
          </w:p>
        </w:tc>
        <w:tc>
          <w:tcPr>
            <w:tcW w:type="dxa" w:w="3663"/>
            <w:tcMar>
              <w:top w:w="50" w:type="dxa"/>
              <w:bottom w:w="50" w:type="dxa"/>
              <w:left w:w="90" w:type="dxa"/>
              <w:right w:w="90" w:type="dxa"/>
            </w:tcMar>
          </w:tcPr>
          <w:p>
            <w:pPr>
              <w:pStyle w:val="BDOITable"/>
            </w:pPr>
            <w:r>
              <w:rPr>
                <w:sz w:val="14"/>
              </w:rPr>
              <w:t>Policy &lt;legacy key&gt; is not among the migrated headers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policy reference, or load its policy header first.</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MIG_INSURER_NOT_MAPPED</w:t>
            </w:r>
          </w:p>
        </w:tc>
        <w:tc>
          <w:tcPr>
            <w:tcW w:type="dxa" w:w="3663"/>
            <w:tcMar>
              <w:top w:w="50" w:type="dxa"/>
              <w:bottom w:w="50" w:type="dxa"/>
              <w:left w:w="90" w:type="dxa"/>
              <w:right w:w="90" w:type="dxa"/>
            </w:tcMar>
            <w:shd w:val="clear" w:color="auto" w:fill="E5F5FF"/>
          </w:tcPr>
          <w:p>
            <w:pPr>
              <w:pStyle w:val="BDOITable"/>
            </w:pPr>
            <w:r>
              <w:rPr>
                <w:sz w:val="14"/>
              </w:rPr>
              <w:t>Insurer &lt;legacy&gt; is not in the approved INSURER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insurer to the insurer code map and have it approved.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MIG_INVOICE_MISSING</w:t>
            </w:r>
          </w:p>
        </w:tc>
        <w:tc>
          <w:tcPr>
            <w:tcW w:type="dxa" w:w="3663"/>
            <w:tcMar>
              <w:top w:w="50" w:type="dxa"/>
              <w:bottom w:w="50" w:type="dxa"/>
              <w:left w:w="90" w:type="dxa"/>
              <w:right w:w="90" w:type="dxa"/>
            </w:tcMar>
          </w:tcPr>
          <w:p>
            <w:pPr>
              <w:pStyle w:val="BDOITable"/>
            </w:pPr>
            <w:r>
              <w:rPr>
                <w:sz w:val="14"/>
              </w:rPr>
              <w:t>Invoice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invoice of the row was not created.</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MIG_MAP_TARGET</w:t>
            </w:r>
          </w:p>
        </w:tc>
        <w:tc>
          <w:tcPr>
            <w:tcW w:type="dxa" w:w="3663"/>
            <w:tcMar>
              <w:top w:w="50" w:type="dxa"/>
              <w:bottom w:w="50" w:type="dxa"/>
              <w:left w:w="90" w:type="dxa"/>
              <w:right w:w="90" w:type="dxa"/>
            </w:tcMar>
            <w:shd w:val="clear" w:color="auto" w:fill="E5F5FF"/>
          </w:tcPr>
          <w:p>
            <w:pPr>
              <w:pStyle w:val="BDOITable"/>
            </w:pPr>
            <w:r>
              <w:rPr>
                <w:sz w:val="14"/>
              </w:rPr>
              <w:t>Code map &lt;set code&gt; names no BIBS list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Data Steward to name the BIBS list of the code map.</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MIG_NO_INSURER</w:t>
            </w:r>
          </w:p>
        </w:tc>
        <w:tc>
          <w:tcPr>
            <w:tcW w:type="dxa" w:w="3663"/>
            <w:tcMar>
              <w:top w:w="50" w:type="dxa"/>
              <w:bottom w:w="50" w:type="dxa"/>
              <w:left w:w="90" w:type="dxa"/>
              <w:right w:w="90" w:type="dxa"/>
            </w:tcMar>
          </w:tcPr>
          <w:p>
            <w:pPr>
              <w:pStyle w:val="BDOITable"/>
            </w:pPr>
            <w:r>
              <w:rPr>
                <w:sz w:val="14"/>
              </w:rPr>
              <w:t>Invoice &lt;legacy key&gt; has no insurer share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insurer share of the invoice (F01S).</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MIG_NUMBER_REQUIRED</w:t>
            </w:r>
          </w:p>
        </w:tc>
        <w:tc>
          <w:tcPr>
            <w:tcW w:type="dxa" w:w="3663"/>
            <w:tcMar>
              <w:top w:w="50" w:type="dxa"/>
              <w:bottom w:w="50" w:type="dxa"/>
              <w:left w:w="90" w:type="dxa"/>
              <w:right w:w="90" w:type="dxa"/>
            </w:tcMar>
            <w:shd w:val="clear" w:color="auto" w:fill="E5F5FF"/>
          </w:tcPr>
          <w:p>
            <w:pPr>
              <w:pStyle w:val="BDOITable"/>
            </w:pPr>
            <w:r>
              <w:rPr>
                <w:sz w:val="14"/>
              </w:rPr>
              <w:t>The &lt;column&gt;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number is mandatory.</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MIG_OFFICER_UNKNOWN</w:t>
            </w:r>
          </w:p>
        </w:tc>
        <w:tc>
          <w:tcPr>
            <w:tcW w:type="dxa" w:w="3663"/>
            <w:tcMar>
              <w:top w:w="50" w:type="dxa"/>
              <w:bottom w:w="50" w:type="dxa"/>
              <w:left w:w="90" w:type="dxa"/>
              <w:right w:w="90" w:type="dxa"/>
            </w:tcMar>
          </w:tcPr>
          <w:p>
            <w:pPr>
              <w:pStyle w:val="BDOITable"/>
            </w:pPr>
            <w:r>
              <w:rPr>
                <w:sz w:val="14"/>
              </w:rPr>
              <w:t>Account officer &lt;user&gt; is not in the sales organisation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MIG_PARENT_NOT_LOADED</w:t>
            </w:r>
          </w:p>
        </w:tc>
        <w:tc>
          <w:tcPr>
            <w:tcW w:type="dxa" w:w="3663"/>
            <w:tcMar>
              <w:top w:w="50" w:type="dxa"/>
              <w:bottom w:w="50" w:type="dxa"/>
              <w:left w:w="90" w:type="dxa"/>
              <w:right w:w="90" w:type="dxa"/>
            </w:tcMar>
            <w:shd w:val="clear" w:color="auto" w:fill="E5F5FF"/>
          </w:tcPr>
          <w:p>
            <w:pPr>
              <w:pStyle w:val="BDOITable"/>
            </w:pPr>
            <w:r>
              <w:rPr>
                <w:sz w:val="14"/>
              </w:rPr>
              <w:t>Original invoice &lt;legacy parent&gt;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MIG_PRODUCT_NOT_MAPPED</w:t>
            </w:r>
          </w:p>
        </w:tc>
        <w:tc>
          <w:tcPr>
            <w:tcW w:type="dxa" w:w="3663"/>
            <w:tcMar>
              <w:top w:w="50" w:type="dxa"/>
              <w:bottom w:w="50" w:type="dxa"/>
              <w:left w:w="90" w:type="dxa"/>
              <w:right w:w="90" w:type="dxa"/>
            </w:tcMar>
          </w:tcPr>
          <w:p>
            <w:pPr>
              <w:pStyle w:val="BDOITable"/>
            </w:pPr>
            <w:r>
              <w:rPr>
                <w:sz w:val="14"/>
              </w:rPr>
              <w:t>Risk code &lt;legacy code&gt; is not in the approved PRODUCT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risk code to the product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MIG_RA_DUPLICATE</w:t>
            </w:r>
          </w:p>
        </w:tc>
        <w:tc>
          <w:tcPr>
            <w:tcW w:type="dxa" w:w="3663"/>
            <w:tcMar>
              <w:top w:w="50" w:type="dxa"/>
              <w:bottom w:w="50" w:type="dxa"/>
              <w:left w:w="90" w:type="dxa"/>
              <w:right w:w="90" w:type="dxa"/>
            </w:tcMar>
            <w:shd w:val="clear" w:color="auto" w:fill="E5F5FF"/>
          </w:tcPr>
          <w:p>
            <w:pPr>
              <w:pStyle w:val="BDOITable"/>
            </w:pPr>
            <w:r>
              <w:rPr>
                <w:sz w:val="14"/>
              </w:rPr>
              <w:t>An advice of &lt;ref&gt;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Keep one renewal advice per expiring policy term.</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MIG_SI_BAND</w:t>
            </w:r>
          </w:p>
        </w:tc>
        <w:tc>
          <w:tcPr>
            <w:tcW w:type="dxa" w:w="3663"/>
            <w:tcMar>
              <w:top w:w="50" w:type="dxa"/>
              <w:bottom w:w="50" w:type="dxa"/>
              <w:left w:w="90" w:type="dxa"/>
              <w:right w:w="90" w:type="dxa"/>
            </w:tcMar>
          </w:tcPr>
          <w:p>
            <w:pPr>
              <w:pStyle w:val="BDOITable"/>
            </w:pPr>
            <w:r>
              <w:rPr>
                <w:sz w:val="14"/>
              </w:rPr>
              <w:t>The sum-insured band &lt;value&gt; is not from-to amounts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Write the sum-insured band as from-to amounts.</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MIG_SNAPSHOT_MISSING</w:t>
            </w:r>
          </w:p>
        </w:tc>
        <w:tc>
          <w:tcPr>
            <w:tcW w:type="dxa" w:w="3663"/>
            <w:tcMar>
              <w:top w:w="50" w:type="dxa"/>
              <w:bottom w:w="50" w:type="dxa"/>
              <w:left w:w="90" w:type="dxa"/>
              <w:right w:w="90" w:type="dxa"/>
            </w:tcMar>
            <w:shd w:val="clear" w:color="auto" w:fill="E5F5FF"/>
          </w:tcPr>
          <w:p>
            <w:pPr>
              <w:pStyle w:val="BDOITable"/>
            </w:pPr>
            <w:r>
              <w:rPr>
                <w:sz w:val="14"/>
              </w:rPr>
              <w:t>Invoice &lt;invoice no&gt; has no snapshot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MIG_TARGET_MISSING</w:t>
            </w:r>
          </w:p>
        </w:tc>
        <w:tc>
          <w:tcPr>
            <w:tcW w:type="dxa" w:w="3663"/>
            <w:tcMar>
              <w:top w:w="50" w:type="dxa"/>
              <w:bottom w:w="50" w:type="dxa"/>
              <w:left w:w="90" w:type="dxa"/>
              <w:right w:w="90" w:type="dxa"/>
            </w:tcMar>
          </w:tcPr>
          <w:p>
            <w:pPr>
              <w:pStyle w:val="BDOITable"/>
            </w:pPr>
            <w:r>
              <w:rPr>
                <w:sz w:val="14"/>
              </w:rPr>
              <w:t>Value &lt;code&gt; of list &lt;type&gt;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MIG_TRUEUP_ITEM_KIND</w:t>
            </w:r>
          </w:p>
        </w:tc>
        <w:tc>
          <w:tcPr>
            <w:tcW w:type="dxa" w:w="3663"/>
            <w:tcMar>
              <w:top w:w="50" w:type="dxa"/>
              <w:bottom w:w="50" w:type="dxa"/>
              <w:left w:w="90" w:type="dxa"/>
              <w:right w:w="90" w:type="dxa"/>
            </w:tcMar>
            <w:shd w:val="clear" w:color="auto" w:fill="E5F5FF"/>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MIG_TRUEUP_ITEM_MISSING</w:t>
            </w:r>
          </w:p>
        </w:tc>
        <w:tc>
          <w:tcPr>
            <w:tcW w:type="dxa" w:w="3663"/>
            <w:tcMar>
              <w:top w:w="50" w:type="dxa"/>
              <w:bottom w:w="50" w:type="dxa"/>
              <w:left w:w="90" w:type="dxa"/>
              <w:right w:w="90" w:type="dxa"/>
            </w:tcMar>
          </w:tcPr>
          <w:p>
            <w:pPr>
              <w:pStyle w:val="BDOITable"/>
            </w:pPr>
            <w:r>
              <w:rPr>
                <w:sz w:val="14"/>
              </w:rPr>
              <w:t>Legacy invoice &lt;ref&gt;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MIG_TRUEUP_NOT_APPROVED</w:t>
            </w:r>
          </w:p>
        </w:tc>
        <w:tc>
          <w:tcPr>
            <w:tcW w:type="dxa" w:w="3663"/>
            <w:tcMar>
              <w:top w:w="50" w:type="dxa"/>
              <w:bottom w:w="50" w:type="dxa"/>
              <w:left w:w="90" w:type="dxa"/>
              <w:right w:w="90" w:type="dxa"/>
            </w:tcMar>
            <w:shd w:val="clear" w:color="auto" w:fill="E5F5FF"/>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Head of Comptrollership to approve the adjustment first.</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MIG_TRUEUP_OUT_OF_RANGE</w:t>
            </w:r>
          </w:p>
        </w:tc>
        <w:tc>
          <w:tcPr>
            <w:tcW w:type="dxa" w:w="3663"/>
            <w:tcMar>
              <w:top w:w="50" w:type="dxa"/>
              <w:bottom w:w="50" w:type="dxa"/>
              <w:left w:w="90" w:type="dxa"/>
              <w:right w:w="90" w:type="dxa"/>
            </w:tcMar>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MIG_UNIT_UNKNOWN</w:t>
            </w:r>
          </w:p>
        </w:tc>
        <w:tc>
          <w:tcPr>
            <w:tcW w:type="dxa" w:w="3663"/>
            <w:tcMar>
              <w:top w:w="50" w:type="dxa"/>
              <w:bottom w:w="50" w:type="dxa"/>
              <w:left w:w="90" w:type="dxa"/>
              <w:right w:w="90" w:type="dxa"/>
            </w:tcMar>
            <w:shd w:val="clear" w:color="auto" w:fill="E5F5FF"/>
          </w:tcPr>
          <w:p>
            <w:pPr>
              <w:pStyle w:val="BDOITable"/>
            </w:pPr>
            <w:r>
              <w:rPr>
                <w:sz w:val="14"/>
              </w:rPr>
              <w:t>Sales unit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unit in the sales unit code map.</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MIG_UPP_MISSING</w:t>
            </w:r>
          </w:p>
        </w:tc>
        <w:tc>
          <w:tcPr>
            <w:tcW w:type="dxa" w:w="3663"/>
            <w:tcMar>
              <w:top w:w="50" w:type="dxa"/>
              <w:bottom w:w="50" w:type="dxa"/>
              <w:left w:w="90" w:type="dxa"/>
              <w:right w:w="90" w:type="dxa"/>
            </w:tcMar>
          </w:tcPr>
          <w:p>
            <w:pPr>
              <w:pStyle w:val="BDOITable"/>
            </w:pPr>
            <w:r>
              <w:rPr>
                <w:sz w:val="14"/>
              </w:rPr>
              <w:t>Unapplied item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MSG-DM-154</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MSG-DM-155</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MSG-DM-163</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MSG-DM-164</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MSG-DM-165</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MSG-DM-166</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MSG-DM-167</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MSG-DM-170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MSG-DM-177</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MSG-DM-178</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MSG-DM-179</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MSG-DM-180</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MSG-DM-181</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MSG-DM-185</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MSG-DM-189</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MSG-DM-190</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MSG-DM-191</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MSG-DM-192</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MSG-DM-193</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MSG-DM-194</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MSG-DM-195</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MSG-DM-196</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MSG-DM-197</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MSG-DM-198</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94" w:name="_Toc000294"/>
      <w:r>
        <w:rPr/>
        <w:t>22 Notifications and alerts</w:t>
      </w:r>
      <w:bookmarkEnd w:id="294"/>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5" w:name="_Toc000295"/>
      <w:r>
        <w:rPr/>
        <w:t>23 Reports</w:t>
      </w:r>
      <w:bookmarkEnd w:id="295"/>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6" w:name="_Toc000296"/>
      <w:r>
        <w:rPr/>
        <w:t>24 Workflow and status model</w:t>
      </w:r>
      <w:bookmarkEnd w:id="296"/>
    </w:p>
    <w:p>
      <w:pPr>
        <w:pStyle w:val="Heading2"/>
      </w:pPr>
      <w:bookmarkStart w:id="297" w:name="_Toc000297"/>
      <w:r>
        <w:rPr/>
        <w:t>24.1 Data object and batch states</w:t>
      </w:r>
      <w:bookmarkEnd w:id="297"/>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8" w:name="_Toc000298"/>
      <w:r>
        <w:rPr/>
        <w:t>24.2 Approval workflows</w:t>
      </w:r>
      <w:bookmarkEnd w:id="298"/>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299" w:name="_Toc000299"/>
      <w:r>
        <w:rPr/>
        <w:t>24.3 Sign-off gates</w:t>
      </w:r>
      <w:bookmarkEnd w:id="299"/>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0" w:name="_Toc000300"/>
      <w:r>
        <w:rPr/>
        <w:t>24.4 Documents</w:t>
      </w:r>
      <w:bookmarkEnd w:id="300"/>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1" w:name="_Toc000301"/>
      <w:r>
        <w:rPr/>
        <w:t>25 Interfaces and integration</w:t>
      </w:r>
      <w:bookmarkEnd w:id="301"/>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2" w:name="_Toc000302"/>
      <w:r>
        <w:rPr/>
        <w:t>26 Non-functional requirements</w:t>
      </w:r>
      <w:bookmarkEnd w:id="302"/>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database snapshot before each production load gate</w:t>
            </w:r>
          </w:p>
        </w:tc>
      </w:tr>
    </w:tbl>
    <w:p>
      <w:pPr>
        <w:pStyle w:val="BDOISpacer"/>
      </w:pPr>
    </w:p>
    <w:p>
      <w:pPr>
        <w:pStyle w:val="Heading1"/>
        <w:pageBreakBefore/>
        <w:pBdr>
          <w:bottom w:val="single" w:sz="4" w:space="4" w:color="99C1E7"/>
        </w:pBdr>
      </w:pPr>
      <w:bookmarkStart w:id="303" w:name="_Toc000303"/>
      <w:r>
        <w:rPr/>
        <w:t>27 Configuration items</w:t>
      </w:r>
      <w:bookmarkEnd w:id="303"/>
    </w:p>
    <w:p>
      <w:pPr>
        <w:pStyle w:val="Heading2"/>
      </w:pPr>
      <w:bookmarkStart w:id="304" w:name="_Toc000304"/>
      <w:r>
        <w:rPr/>
        <w:t>27.1 Parameters</w:t>
      </w:r>
      <w:bookmarkEnd w:id="304"/>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5" w:name="_Toc000305"/>
      <w:r>
        <w:rPr/>
        <w:t>27.2 Lists of values</w:t>
      </w:r>
      <w:bookmarkEnd w:id="305"/>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6" w:name="_Toc000306"/>
      <w:r>
        <w:rPr/>
        <w:t>27.3 Masters and rules maintained by the business</w:t>
      </w:r>
      <w:bookmarkEnd w:id="306"/>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7" w:name="_Toc000307"/>
      <w:r>
        <w:rPr/>
        <w:t>28 Cross-BRD interface contract</w:t>
      </w:r>
      <w:bookmarkEnd w:id="307"/>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8" w:name="_Toc000308"/>
      <w:r>
        <w:rPr/>
        <w:t>Part C - Reconciliation and the sign-off gates per object</w:t>
      </w:r>
      <w:bookmarkEnd w:id="308"/>
    </w:p>
    <w:p>
      <w:pPr>
        <w:pStyle w:val="Heading1"/>
        <w:pageBreakBefore/>
        <w:pBdr>
          <w:bottom w:val="single" w:sz="4" w:space="4" w:color="99C1E7"/>
        </w:pBdr>
      </w:pPr>
      <w:bookmarkStart w:id="309" w:name="_Toc000309"/>
      <w:r>
        <w:rPr/>
        <w:t>29 Purpose and scope</w:t>
      </w:r>
      <w:bookmarkEnd w:id="309"/>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0" w:name="_Toc000310"/>
      <w:r>
        <w:rPr/>
        <w:t>30 Reconciliation levels</w:t>
      </w:r>
      <w:bookmarkEnd w:id="310"/>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1" w:name="_Toc000311"/>
      <w:r>
        <w:rPr/>
        <w:t>31 Control totals BDOI sends</w:t>
      </w:r>
      <w:bookmarkEnd w:id="311"/>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2" w:name="_Toc000312"/>
      <w:r>
        <w:rPr/>
        <w:t>32 Reconciliation per data object</w:t>
      </w:r>
      <w:bookmarkEnd w:id="312"/>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3" w:name="_Toc000313"/>
      <w:r>
        <w:rPr/>
        <w:t>33 GL reconciliation: Migration Clearing</w:t>
      </w:r>
      <w:bookmarkEnd w:id="313"/>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4" w:name="_Toc000314"/>
      <w:r>
        <w:rPr/>
        <w:t>33.1 True-up reconciliation (FY2027 closing and audit adjustments)</w:t>
      </w:r>
      <w:bookmarkEnd w:id="314"/>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5" w:name="_Toc000315"/>
      <w:r>
        <w:rPr/>
        <w:t>34 Business verification on screen (gate G6)</w:t>
      </w:r>
      <w:bookmarkEnd w:id="315"/>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6" w:name="_Toc000316"/>
      <w:r>
        <w:rPr/>
        <w:t>34.1 Sample plan</w:t>
      </w:r>
      <w:bookmarkEnd w:id="316"/>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7" w:name="_Toc000317"/>
      <w:r>
        <w:rPr/>
        <w:t>34.2 Acceptance rule</w:t>
      </w:r>
      <w:bookmarkEnd w:id="317"/>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8" w:name="_Toc000318"/>
      <w:r>
        <w:rPr/>
        <w:t>35 Breaks, waivers and exclusions</w:t>
      </w:r>
      <w:bookmarkEnd w:id="318"/>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19" w:name="_Toc000319"/>
      <w:r>
        <w:rPr/>
        <w:t>36 Evidence and retention</w:t>
      </w:r>
      <w:bookmarkEnd w:id="319"/>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0" w:name="_Toc000320"/>
      <w:r>
        <w:rPr/>
        <w:t>37 Sign-off forms</w:t>
      </w:r>
      <w:bookmarkEnd w:id="320"/>
    </w:p>
    <w:p>
      <w:r>
        <w:rPr/>
        <w:t>The forms below are signed in the Migration Console (gates G5 and G6) and printed for the project file. One form per object and cycle.</w:t>
      </w:r>
    </w:p>
    <w:p>
      <w:pPr>
        <w:spacing w:after="0"/>
      </w:pPr>
      <w:r>
        <w:br w:type="page"/>
      </w:r>
    </w:p>
    <w:p>
      <w:pPr>
        <w:pStyle w:val="Heading2"/>
      </w:pPr>
      <w:bookmarkStart w:id="321" w:name="_Toc000321"/>
      <w:r>
        <w:rPr/>
        <w:t>37.1 Object reconciliation and acceptance (G5 and G6)</w:t>
      </w:r>
      <w:bookmarkEnd w:id="3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2" w:name="_Toc000322"/>
      <w:r>
        <w:rPr/>
        <w:t>37.2 Cutover reconciliation summary (go / no-go GNG-3)</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37.3 True-up reconciliation and sign-off (FY2027)</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4" w:name="_Toc000324"/>
      <w:r>
        <w:rPr/>
        <w:t>37.4 Archive reconciliation (before decommissioning)</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5" w:name="_Toc000325"/>
      <w:r>
        <w:rPr/>
        <w:t>Part D - Cut-over runbook, run-off and decommissioning</w:t>
      </w:r>
      <w:bookmarkEnd w:id="325"/>
    </w:p>
    <w:p>
      <w:pPr>
        <w:pStyle w:val="Heading1"/>
        <w:pageBreakBefore/>
        <w:pBdr>
          <w:bottom w:val="single" w:sz="4" w:space="4" w:color="99C1E7"/>
        </w:pBdr>
      </w:pPr>
      <w:bookmarkStart w:id="326" w:name="_Toc000326"/>
      <w:r>
        <w:rPr/>
        <w:t>38 Purpose and use</w:t>
      </w:r>
      <w:bookmarkEnd w:id="326"/>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7" w:name="_Toc000327"/>
      <w:r>
        <w:rPr/>
        <w:t>39 Cutover organisation</w:t>
      </w:r>
      <w:bookmarkEnd w:id="327"/>
    </w:p>
    <w:p>
      <w:pPr>
        <w:pStyle w:val="Heading2"/>
      </w:pPr>
      <w:bookmarkStart w:id="328" w:name="_Toc000328"/>
      <w:r>
        <w:rPr/>
        <w:t>39.1 Command centre</w:t>
      </w:r>
      <w:bookmarkEnd w:id="328"/>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29" w:name="_Toc000329"/>
      <w:r>
        <w:rPr/>
        <w:t>39.2 Roles</w:t>
      </w:r>
      <w:bookmarkEnd w:id="329"/>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SFTP)</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0" w:name="_Toc000330"/>
      <w:r>
        <w:rPr/>
        <w:t>40 Timeline</w:t>
      </w:r>
      <w:bookmarkEnd w:id="330"/>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1" w:name="_Toc000331"/>
      <w:r>
        <w:rPr/>
        <w:t>40.1 Calendar</w:t>
      </w:r>
      <w:bookmarkEnd w:id="331"/>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2" w:name="_Toc000332"/>
      <w:r>
        <w:rPr/>
        <w:t>40.2 Freeze windows</w:t>
      </w:r>
      <w:bookmarkEnd w:id="332"/>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3" w:name="_Toc000333"/>
      <w:r>
        <w:rPr/>
        <w:t>41 Go / no-go checkpoints</w:t>
      </w:r>
      <w:bookmarkEnd w:id="333"/>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(SFTP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4" w:name="_Toc000334"/>
      <w:r>
        <w:rPr/>
        <w:t>42 Task list</w:t>
      </w:r>
      <w:bookmarkEnd w:id="334"/>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5" w:name="_Toc000335"/>
      <w:r>
        <w:rPr/>
        <w:t>42.1 Phase A - Readiness</w:t>
      </w:r>
      <w:bookmarkEnd w:id="335"/>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SFTP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6" w:name="_Toc000336"/>
      <w:r>
        <w:rPr/>
        <w:t>42.2 Phase B - Pre-load and daily deltas</w:t>
      </w:r>
      <w:bookmarkEnd w:id="336"/>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production database snapshot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7" w:name="_Toc000337"/>
      <w:r>
        <w:rPr/>
        <w:t>42.3 Phase C - Legacy freeze and final extracts</w:t>
      </w:r>
      <w:bookmarkEnd w:id="337"/>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8" w:name="_Toc000338"/>
      <w:r>
        <w:rPr/>
        <w:t>42.4 Phase D - Production load</w:t>
      </w:r>
      <w:bookmarkEnd w:id="338"/>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production database snapshot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39" w:name="_Toc000339"/>
      <w:r>
        <w:rPr/>
        <w:t>42.5 Phase E - Reconciliation, verification and go / no-go</w:t>
      </w:r>
      <w:bookmarkEnd w:id="339"/>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0" w:name="_Toc000340"/>
      <w:r>
        <w:rPr/>
        <w:t>42.6 Phase F - Go-live</w:t>
      </w:r>
      <w:bookmarkEnd w:id="340"/>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1" w:name="_Toc000341"/>
      <w:r>
        <w:rPr/>
        <w:t>42.7 Phase G - Hypercare</w:t>
      </w:r>
      <w:bookmarkEnd w:id="341"/>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payloads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staging payload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2" w:name="_Toc000342"/>
      <w:r>
        <w:rPr/>
        <w:t>42.8 Phase H - Final true-up and legacy GL close</w:t>
      </w:r>
      <w:bookmarkEnd w:id="342"/>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3" w:name="_Toc000343"/>
      <w:r>
        <w:rPr/>
        <w:t>43 Rollback</w:t>
      </w:r>
      <w:bookmarkEnd w:id="343"/>
    </w:p>
    <w:p>
      <w:r>
        <w:rPr/>
        <w:t>The rollback returns BDOI to legacy with no loss of data. It is available until the point of no return, the end-of-day review on T at 18:00 (DMQ32). The rollback point is the production database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the production database to the rollback-point snapshot (CT-037); restore the object store for attachments of the same time; verify the restore (row counts of key tables,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4" w:name="_Toc000344"/>
      <w:r>
        <w:rPr/>
        <w:t>44 Year-end cut-over and FY2027 true-ups</w:t>
      </w:r>
      <w:bookmarkEnd w:id="344"/>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5" w:name="_Toc000345"/>
      <w:r>
        <w:rPr/>
        <w:t>45 Communication plan</w:t>
      </w:r>
      <w:bookmarkEnd w:id="345"/>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6" w:name="_Toc000346"/>
      <w:r>
        <w:rPr/>
        <w:t>46 Hypercare</w:t>
      </w:r>
      <w:bookmarkEnd w:id="346"/>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7" w:name="_Toc000347"/>
      <w:r>
        <w:rPr/>
        <w:t>46.1 Roster</w:t>
      </w:r>
      <w:bookmarkEnd w:id="347"/>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8" w:name="_Toc000348"/>
      <w:r>
        <w:rPr/>
        <w:t>46.2 Exit criteria</w:t>
      </w:r>
      <w:bookmarkEnd w:id="348"/>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49" w:name="_Toc000349"/>
      <w:r>
        <w:rPr/>
        <w:t>47 Decommissioning checklists</w:t>
      </w:r>
      <w:bookmarkEnd w:id="349"/>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database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database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0" w:name="_Toc000350"/>
      <w:r>
        <w:rPr/>
        <w:t>Decisions for BDOI and traceability</w:t>
      </w:r>
      <w:bookmarkEnd w:id="350"/>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1" w:name="_Toc000351"/>
      <w:r>
        <w:rPr/>
        <w:t>48 Proposed business rules and clarifications for confirmation</w:t>
      </w:r>
      <w:bookmarkEnd w:id="351"/>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(SFTP)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2" w:name="_Toc000352"/>
      <w:r>
        <w:rPr/>
        <w:t>48.1 Open decisions and the date each is needed by</w:t>
      </w:r>
      <w:bookmarkEnd w:id="352"/>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3" w:name="_Toc000353"/>
      <w:r>
        <w:rPr/>
        <w:t>48.2 Assumptions</w:t>
      </w:r>
      <w:bookmarkEnd w:id="353"/>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4" w:name="_Toc000354"/>
      <w:r>
        <w:rPr/>
        <w:t>49 Traceability</w:t>
      </w:r>
      <w:bookmarkEnd w:id="354"/>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5" w:name="_Toc000355"/>
      <w:r>
        <w:rPr/>
        <w:t>Sign-off</w:t>
      </w:r>
      <w:bookmarkEnd w:id="355"/>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