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SYSTEM REQUIREMENTS SPECIFICATION</w:t>
      </w:r>
    </w:p>
    <w:p>
      <w:pPr>
        <w:spacing w:after="80" w:line="240" w:lineRule="auto"/>
      </w:pPr>
      <w:r>
        <w:rPr>
          <w:b/>
          <w:color w:val="004EA8"/>
          <w:sz w:val="56"/>
        </w:rPr>
        <w:t>System Requirements Extract</w:t>
      </w:r>
    </w:p>
    <w:p>
      <w:pPr>
        <w:spacing w:after="40"/>
      </w:pPr>
      <w:r>
        <w:rPr>
          <w:color w:val="2E2E2E"/>
          <w:sz w:val="28"/>
        </w:rPr>
        <w:t>User Access Maintenance (BRD-11) - the chapter of the BIBS System Requirements Specification v1.2 for this pack</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BIBS-SRS-BRD-11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17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1.2</w:t>
            </w:r>
          </w:p>
        </w:tc>
        <w:tc>
          <w:tcPr>
            <w:tcW w:type="dxa" w:w="1360"/>
            <w:tcMar>
              <w:top w:w="50" w:type="dxa"/>
              <w:bottom w:w="50" w:type="dxa"/>
              <w:left w:w="90" w:type="dxa"/>
              <w:right w:w="90" w:type="dxa"/>
            </w:tcMar>
          </w:tcPr>
          <w:p>
            <w:pPr>
              <w:pStyle w:val="BDOITable"/>
            </w:pPr>
            <w:r>
              <w:rPr>
                <w:sz w:val="18"/>
              </w:rPr>
              <w:t>17 Oct 2026</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iorta TechNXT Solution Architect; iorta TechNXT QA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extract of the System Requirements Specification v1.2 for the pack of BRD-11</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of BRD-11</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System requirements of the module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 BDOI Information Security</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Common requirements, access and interfaces</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Specification, test and acceptance</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1 Purpose</w:t>
        </w:r>
        <w:r>
          <w:t xml:space="preserve">	</w:t>
        </w:r>
        <w:r>
          <w:t xml:space="preserve">4</w:t>
        </w:r>
      </w:hyperlink>
    </w:p>
    <w:p>
      <w:pPr>
        <w:pStyle w:val="toc1"/>
      </w:pPr>
      <w:hyperlink w:anchor="_Toc000102" w:history="1">
        <w:r>
          <w:t xml:space="preserve">2 Scope and baseline</w:t>
        </w:r>
        <w:r>
          <w:t xml:space="preserve">	</w:t>
        </w:r>
        <w:r>
          <w:t xml:space="preserve">4</w:t>
        </w:r>
      </w:hyperlink>
    </w:p>
    <w:p>
      <w:pPr>
        <w:pStyle w:val="toc1"/>
      </w:pPr>
      <w:hyperlink w:anchor="_Toc000103" w:history="1">
        <w:r>
          <w:t xml:space="preserve">3 System requirements of the module</w:t>
        </w:r>
        <w:r>
          <w:t xml:space="preserve">	</w:t>
        </w:r>
        <w:r>
          <w:t xml:space="preserve">4</w:t>
        </w:r>
      </w:hyperlink>
    </w:p>
    <w:p>
      <w:pPr>
        <w:pStyle w:val="toc1"/>
      </w:pPr>
      <w:hyperlink w:anchor="_Toc000104" w:history="1">
        <w:r>
          <w:t xml:space="preserve">4 Common requirements</w:t>
        </w:r>
        <w:r>
          <w:t xml:space="preserve">	</w:t>
        </w:r>
        <w:r>
          <w:t xml:space="preserve">5</w:t>
        </w:r>
      </w:hyperlink>
    </w:p>
    <w:p>
      <w:pPr>
        <w:pStyle w:val="toc1"/>
      </w:pPr>
      <w:hyperlink w:anchor="_Toc000105" w:history="1">
        <w:r>
          <w:t xml:space="preserve">5 Access</w:t>
        </w:r>
        <w:r>
          <w:t xml:space="preserve">	</w:t>
        </w:r>
        <w:r>
          <w:t xml:space="preserve">6</w:t>
        </w:r>
      </w:hyperlink>
    </w:p>
    <w:p>
      <w:pPr>
        <w:pStyle w:val="toc1"/>
      </w:pPr>
      <w:hyperlink w:anchor="_Toc000106" w:history="1">
        <w:r>
          <w:t xml:space="preserve">6 Interfaces, reports and non-functional requirements</w:t>
        </w:r>
        <w:r>
          <w:t xml:space="preserve">	</w:t>
        </w:r>
        <w:r>
          <w:t xml:space="preserve">6</w:t>
        </w:r>
      </w:hyperlink>
    </w:p>
    <w:p>
      <w:pPr>
        <w:pStyle w:val="toc1"/>
      </w:pPr>
      <w:hyperlink w:anchor="_Toc000107" w:history="1">
        <w:r>
          <w:t xml:space="preserve">7 Acceptance</w:t>
        </w:r>
        <w:r>
          <w:t xml:space="preserve">	</w:t>
        </w:r>
        <w:r>
          <w:t xml:space="preserve">7</w:t>
        </w:r>
      </w:hyperlink>
      <w:r>
        <w:fldChar w:fldCharType="end"/>
      </w:r>
    </w:p>
    <w:p>
      <w:pPr>
        <w:pStyle w:val="Heading1"/>
        <w:pageBreakBefore/>
        <w:pBdr>
          <w:bottom w:val="single" w:sz="4" w:space="4" w:color="99C1E7"/>
        </w:pBdr>
      </w:pPr>
      <w:bookmarkStart w:id="101" w:name="_Toc000101"/>
      <w:r>
        <w:rPr/>
        <w:t>1 Purpose</w:t>
      </w:r>
      <w:bookmarkEnd w:id="101"/>
    </w:p>
    <w:p>
      <w:r>
        <w:rPr/>
        <w:t>This extract gives the system requirements of User Access Maintenance from the BIBS System Requirements Specification (SRS) v1.2: the requirements of the module, each tagged with its BRD and traced to the IDs of its FRS, and the common requirements of the platform that apply to it. The SRS holds the programme context, the data, compliance and acceptance chapters; the FRS of the pack holds the rules, fields, messages and acceptance criteria and governs where the two differ.</w:t>
      </w:r>
    </w:p>
    <w:p>
      <w:pPr>
        <w:pStyle w:val="Heading1"/>
        <w:pBdr>
          <w:bottom w:val="single" w:sz="4" w:space="4" w:color="99C1E7"/>
        </w:pBdr>
      </w:pPr>
      <w:bookmarkStart w:id="102" w:name="_Toc000102"/>
      <w:r>
        <w:rPr/>
        <w:t>2 Scope and baseline</w:t>
      </w:r>
      <w:bookmarkEnd w:id="102"/>
    </w:p>
    <w:p>
      <w:r>
        <w:rPr/>
        <w:t>Sign-in through Microsoft Entra ID; users and their group-profile membership orchestrated by UIDM-ISC; in BIBS the group-profile definitions under maker-checker, data scope, unlock and session end, segregation-of-duties rules, identity reconciliation, access reports and logs.</w:t>
      </w:r>
    </w:p>
    <w:p>
      <w:r>
        <w:rPr>
          <w:b/>
        </w:rPr>
        <w:t>Requirement baseline.</w:t>
      </w:r>
      <w:r>
        <w:rPr/>
        <w:t xml:space="preserve"> User Access Maintenance FRS v1.6 (BDOI's format). 12 system requirements.</w:t>
      </w:r>
    </w:p>
    <w:p>
      <w:r>
        <w:rPr>
          <w:b/>
        </w:rPr>
        <w:t>Phase 2.</w:t>
      </w:r>
      <w:r>
        <w:rPr/>
        <w:t xml:space="preserve"> By the client decisions of 17 October 2026, reinsurance and the Employee Benefits partner portal are deferred to Phase 2; co-insurance stays in the current phase.</w:t>
      </w:r>
    </w:p>
    <w:p>
      <w:pPr>
        <w:pStyle w:val="Heading1"/>
        <w:pBdr>
          <w:bottom w:val="single" w:sz="4" w:space="4" w:color="99C1E7"/>
        </w:pBdr>
      </w:pPr>
      <w:bookmarkStart w:id="103" w:name="_Toc000103"/>
      <w:r>
        <w:rPr/>
        <w:t>3 System requirements of the module</w:t>
      </w:r>
      <w:bookmarkEnd w:id="103"/>
    </w:p>
    <w:p>
      <w:pPr>
        <w:pStyle w:val="Caption"/>
        <w:keepNext/>
        <w:spacing w:after="60"/>
      </w:pPr>
      <w:r>
        <w:rPr>
          <w:b/>
          <w:i w:val="0"/>
        </w:rPr>
        <w:t xml:space="preserve">Table 1: </w:t>
      </w:r>
      <w:r>
        <w:rPr/>
        <w:t>System requirements of User Access Maintenance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SR-BRD11-001</w:t>
            </w:r>
          </w:p>
        </w:tc>
        <w:tc>
          <w:tcPr>
            <w:tcW w:type="dxa" w:w="776"/>
            <w:tcMar>
              <w:top w:w="50" w:type="dxa"/>
              <w:bottom w:w="50" w:type="dxa"/>
              <w:left w:w="90" w:type="dxa"/>
              <w:right w:w="90" w:type="dxa"/>
            </w:tcMar>
          </w:tcPr>
          <w:p>
            <w:pPr>
              <w:pStyle w:val="BDOITable"/>
            </w:pPr>
            <w:r>
              <w:rPr>
                <w:sz w:val="15"/>
              </w:rPr>
              <w:t>BRD-11</w:t>
            </w:r>
          </w:p>
        </w:tc>
        <w:tc>
          <w:tcPr>
            <w:tcW w:type="dxa" w:w="3822"/>
            <w:tcMar>
              <w:top w:w="50" w:type="dxa"/>
              <w:bottom w:w="50" w:type="dxa"/>
              <w:left w:w="90" w:type="dxa"/>
              <w:right w:w="90" w:type="dxa"/>
            </w:tcMar>
          </w:tcPr>
          <w:p>
            <w:pPr>
              <w:pStyle w:val="BDOITable"/>
            </w:pPr>
            <w:r>
              <w:rPr>
                <w:sz w:val="15"/>
              </w:rPr>
              <w:t>Sign-in, inactivity warning and time-out</w:t>
            </w:r>
          </w:p>
        </w:tc>
        <w:tc>
          <w:tcPr>
            <w:tcW w:type="dxa" w:w="1433"/>
            <w:tcMar>
              <w:top w:w="50" w:type="dxa"/>
              <w:bottom w:w="50" w:type="dxa"/>
              <w:left w:w="90" w:type="dxa"/>
              <w:right w:w="90" w:type="dxa"/>
            </w:tcMar>
          </w:tcPr>
          <w:p>
            <w:pPr>
              <w:pStyle w:val="BDOITable"/>
            </w:pPr>
            <w:r>
              <w:rPr>
                <w:sz w:val="15"/>
              </w:rPr>
              <w:t>FRUM.001</w:t>
            </w:r>
          </w:p>
        </w:tc>
        <w:tc>
          <w:tcPr>
            <w:tcW w:type="dxa" w:w="1791"/>
            <w:tcMar>
              <w:top w:w="50" w:type="dxa"/>
              <w:bottom w:w="50" w:type="dxa"/>
              <w:left w:w="90" w:type="dxa"/>
              <w:right w:w="90" w:type="dxa"/>
            </w:tcMar>
          </w:tcPr>
          <w:p>
            <w:pPr>
              <w:pStyle w:val="BDOITable"/>
            </w:pPr>
            <w:r>
              <w:rPr>
                <w:sz w:val="15"/>
              </w:rPr>
              <w:t>FRUM.001.01 to FRUM.001.06 (6)</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SR-BRD11-002</w:t>
            </w:r>
          </w:p>
        </w:tc>
        <w:tc>
          <w:tcPr>
            <w:tcW w:type="dxa" w:w="776"/>
            <w:tcMar>
              <w:top w:w="50" w:type="dxa"/>
              <w:bottom w:w="50" w:type="dxa"/>
              <w:left w:w="90" w:type="dxa"/>
              <w:right w:w="90" w:type="dxa"/>
            </w:tcMar>
            <w:shd w:val="clear" w:color="auto" w:fill="E5F5FF"/>
          </w:tcPr>
          <w:p>
            <w:pPr>
              <w:pStyle w:val="BDOITable"/>
            </w:pPr>
            <w:r>
              <w:rPr>
                <w:sz w:val="15"/>
              </w:rPr>
              <w:t>BRD-11</w:t>
            </w:r>
          </w:p>
        </w:tc>
        <w:tc>
          <w:tcPr>
            <w:tcW w:type="dxa" w:w="3822"/>
            <w:tcMar>
              <w:top w:w="50" w:type="dxa"/>
              <w:bottom w:w="50" w:type="dxa"/>
              <w:left w:w="90" w:type="dxa"/>
              <w:right w:w="90" w:type="dxa"/>
            </w:tcMar>
            <w:shd w:val="clear" w:color="auto" w:fill="E5F5FF"/>
          </w:tcPr>
          <w:p>
            <w:pPr>
              <w:pStyle w:val="BDOITable"/>
            </w:pPr>
            <w:r>
              <w:rPr>
                <w:sz w:val="15"/>
              </w:rPr>
              <w:t>User creation (joiner)</w:t>
            </w:r>
          </w:p>
        </w:tc>
        <w:tc>
          <w:tcPr>
            <w:tcW w:type="dxa" w:w="1433"/>
            <w:tcMar>
              <w:top w:w="50" w:type="dxa"/>
              <w:bottom w:w="50" w:type="dxa"/>
              <w:left w:w="90" w:type="dxa"/>
              <w:right w:w="90" w:type="dxa"/>
            </w:tcMar>
            <w:shd w:val="clear" w:color="auto" w:fill="E5F5FF"/>
          </w:tcPr>
          <w:p>
            <w:pPr>
              <w:pStyle w:val="BDOITable"/>
            </w:pPr>
            <w:r>
              <w:rPr>
                <w:sz w:val="15"/>
              </w:rPr>
              <w:t>FRUM.002</w:t>
            </w:r>
          </w:p>
        </w:tc>
        <w:tc>
          <w:tcPr>
            <w:tcW w:type="dxa" w:w="1791"/>
            <w:tcMar>
              <w:top w:w="50" w:type="dxa"/>
              <w:bottom w:w="50" w:type="dxa"/>
              <w:left w:w="90" w:type="dxa"/>
              <w:right w:w="90" w:type="dxa"/>
            </w:tcMar>
            <w:shd w:val="clear" w:color="auto" w:fill="E5F5FF"/>
          </w:tcPr>
          <w:p>
            <w:pPr>
              <w:pStyle w:val="BDOITable"/>
            </w:pPr>
            <w:r>
              <w:rPr>
                <w:sz w:val="15"/>
              </w:rPr>
              <w:t>FRUM.002.01 to FRUM.002.03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SR-BRD11-003</w:t>
            </w:r>
          </w:p>
        </w:tc>
        <w:tc>
          <w:tcPr>
            <w:tcW w:type="dxa" w:w="776"/>
            <w:tcMar>
              <w:top w:w="50" w:type="dxa"/>
              <w:bottom w:w="50" w:type="dxa"/>
              <w:left w:w="90" w:type="dxa"/>
              <w:right w:w="90" w:type="dxa"/>
            </w:tcMar>
          </w:tcPr>
          <w:p>
            <w:pPr>
              <w:pStyle w:val="BDOITable"/>
            </w:pPr>
            <w:r>
              <w:rPr>
                <w:sz w:val="15"/>
              </w:rPr>
              <w:t>BRD-11</w:t>
            </w:r>
          </w:p>
        </w:tc>
        <w:tc>
          <w:tcPr>
            <w:tcW w:type="dxa" w:w="3822"/>
            <w:tcMar>
              <w:top w:w="50" w:type="dxa"/>
              <w:bottom w:w="50" w:type="dxa"/>
              <w:left w:w="90" w:type="dxa"/>
              <w:right w:w="90" w:type="dxa"/>
            </w:tcMar>
          </w:tcPr>
          <w:p>
            <w:pPr>
              <w:pStyle w:val="BDOITable"/>
            </w:pPr>
            <w:r>
              <w:rPr>
                <w:sz w:val="15"/>
              </w:rPr>
              <w:t>User details update (mover, leaver, rehire); data access; unlock; sessions</w:t>
            </w:r>
          </w:p>
        </w:tc>
        <w:tc>
          <w:tcPr>
            <w:tcW w:type="dxa" w:w="1433"/>
            <w:tcMar>
              <w:top w:w="50" w:type="dxa"/>
              <w:bottom w:w="50" w:type="dxa"/>
              <w:left w:w="90" w:type="dxa"/>
              <w:right w:w="90" w:type="dxa"/>
            </w:tcMar>
          </w:tcPr>
          <w:p>
            <w:pPr>
              <w:pStyle w:val="BDOITable"/>
            </w:pPr>
            <w:r>
              <w:rPr>
                <w:sz w:val="15"/>
              </w:rPr>
              <w:t>FRUM.003</w:t>
            </w:r>
          </w:p>
        </w:tc>
        <w:tc>
          <w:tcPr>
            <w:tcW w:type="dxa" w:w="1791"/>
            <w:tcMar>
              <w:top w:w="50" w:type="dxa"/>
              <w:bottom w:w="50" w:type="dxa"/>
              <w:left w:w="90" w:type="dxa"/>
              <w:right w:w="90" w:type="dxa"/>
            </w:tcMar>
          </w:tcPr>
          <w:p>
            <w:pPr>
              <w:pStyle w:val="BDOITable"/>
            </w:pPr>
            <w:r>
              <w:rPr>
                <w:sz w:val="15"/>
              </w:rPr>
              <w:t>FRUM.003.01 to FRUM.003.06 (6)</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SR-BRD11-004</w:t>
            </w:r>
          </w:p>
        </w:tc>
        <w:tc>
          <w:tcPr>
            <w:tcW w:type="dxa" w:w="776"/>
            <w:tcMar>
              <w:top w:w="50" w:type="dxa"/>
              <w:bottom w:w="50" w:type="dxa"/>
              <w:left w:w="90" w:type="dxa"/>
              <w:right w:w="90" w:type="dxa"/>
            </w:tcMar>
            <w:shd w:val="clear" w:color="auto" w:fill="E5F5FF"/>
          </w:tcPr>
          <w:p>
            <w:pPr>
              <w:pStyle w:val="BDOITable"/>
            </w:pPr>
            <w:r>
              <w:rPr>
                <w:sz w:val="15"/>
              </w:rPr>
              <w:t>BRD-11</w:t>
            </w:r>
          </w:p>
        </w:tc>
        <w:tc>
          <w:tcPr>
            <w:tcW w:type="dxa" w:w="3822"/>
            <w:tcMar>
              <w:top w:w="50" w:type="dxa"/>
              <w:bottom w:w="50" w:type="dxa"/>
              <w:left w:w="90" w:type="dxa"/>
              <w:right w:w="90" w:type="dxa"/>
            </w:tcMar>
            <w:shd w:val="clear" w:color="auto" w:fill="E5F5FF"/>
          </w:tcPr>
          <w:p>
            <w:pPr>
              <w:pStyle w:val="BDOITable"/>
            </w:pPr>
            <w:r>
              <w:rPr>
                <w:sz w:val="15"/>
              </w:rPr>
              <w:t>Password maintenance</w:t>
            </w:r>
          </w:p>
        </w:tc>
        <w:tc>
          <w:tcPr>
            <w:tcW w:type="dxa" w:w="1433"/>
            <w:tcMar>
              <w:top w:w="50" w:type="dxa"/>
              <w:bottom w:w="50" w:type="dxa"/>
              <w:left w:w="90" w:type="dxa"/>
              <w:right w:w="90" w:type="dxa"/>
            </w:tcMar>
            <w:shd w:val="clear" w:color="auto" w:fill="E5F5FF"/>
          </w:tcPr>
          <w:p>
            <w:pPr>
              <w:pStyle w:val="BDOITable"/>
            </w:pPr>
            <w:r>
              <w:rPr>
                <w:sz w:val="15"/>
              </w:rPr>
              <w:t>FRUM-004</w:t>
            </w:r>
          </w:p>
        </w:tc>
        <w:tc>
          <w:tcPr>
            <w:tcW w:type="dxa" w:w="1791"/>
            <w:tcMar>
              <w:top w:w="50" w:type="dxa"/>
              <w:bottom w:w="50" w:type="dxa"/>
              <w:left w:w="90" w:type="dxa"/>
              <w:right w:w="90" w:type="dxa"/>
            </w:tcMar>
            <w:shd w:val="clear" w:color="auto" w:fill="E5F5FF"/>
          </w:tcPr>
          <w:p>
            <w:pPr>
              <w:pStyle w:val="BDOITable"/>
            </w:pPr>
            <w:r>
              <w:rPr>
                <w:sz w:val="15"/>
              </w:rPr>
              <w:t>FRUM-004.01 to FRUM-004.03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SR-BRD11-005</w:t>
            </w:r>
          </w:p>
        </w:tc>
        <w:tc>
          <w:tcPr>
            <w:tcW w:type="dxa" w:w="776"/>
            <w:tcMar>
              <w:top w:w="50" w:type="dxa"/>
              <w:bottom w:w="50" w:type="dxa"/>
              <w:left w:w="90" w:type="dxa"/>
              <w:right w:w="90" w:type="dxa"/>
            </w:tcMar>
          </w:tcPr>
          <w:p>
            <w:pPr>
              <w:pStyle w:val="BDOITable"/>
            </w:pPr>
            <w:r>
              <w:rPr>
                <w:sz w:val="15"/>
              </w:rPr>
              <w:t>BRD-11</w:t>
            </w:r>
          </w:p>
        </w:tc>
        <w:tc>
          <w:tcPr>
            <w:tcW w:type="dxa" w:w="3822"/>
            <w:tcMar>
              <w:top w:w="50" w:type="dxa"/>
              <w:bottom w:w="50" w:type="dxa"/>
              <w:left w:w="90" w:type="dxa"/>
              <w:right w:w="90" w:type="dxa"/>
            </w:tcMar>
          </w:tcPr>
          <w:p>
            <w:pPr>
              <w:pStyle w:val="BDOITable"/>
            </w:pPr>
            <w:r>
              <w:rPr>
                <w:sz w:val="15"/>
              </w:rPr>
              <w:t>Group-profile creation</w:t>
            </w:r>
          </w:p>
        </w:tc>
        <w:tc>
          <w:tcPr>
            <w:tcW w:type="dxa" w:w="1433"/>
            <w:tcMar>
              <w:top w:w="50" w:type="dxa"/>
              <w:bottom w:w="50" w:type="dxa"/>
              <w:left w:w="90" w:type="dxa"/>
              <w:right w:w="90" w:type="dxa"/>
            </w:tcMar>
          </w:tcPr>
          <w:p>
            <w:pPr>
              <w:pStyle w:val="BDOITable"/>
            </w:pPr>
            <w:r>
              <w:rPr>
                <w:sz w:val="15"/>
              </w:rPr>
              <w:t>FRUM.005</w:t>
            </w:r>
          </w:p>
        </w:tc>
        <w:tc>
          <w:tcPr>
            <w:tcW w:type="dxa" w:w="1791"/>
            <w:tcMar>
              <w:top w:w="50" w:type="dxa"/>
              <w:bottom w:w="50" w:type="dxa"/>
              <w:left w:w="90" w:type="dxa"/>
              <w:right w:w="90" w:type="dxa"/>
            </w:tcMar>
          </w:tcPr>
          <w:p>
            <w:pPr>
              <w:pStyle w:val="BDOITable"/>
            </w:pPr>
            <w:r>
              <w:rPr>
                <w:sz w:val="15"/>
              </w:rPr>
              <w:t>FRUM.005.01 to FRUM.005.02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SR-BRD11-006</w:t>
            </w:r>
          </w:p>
        </w:tc>
        <w:tc>
          <w:tcPr>
            <w:tcW w:type="dxa" w:w="776"/>
            <w:tcMar>
              <w:top w:w="50" w:type="dxa"/>
              <w:bottom w:w="50" w:type="dxa"/>
              <w:left w:w="90" w:type="dxa"/>
              <w:right w:w="90" w:type="dxa"/>
            </w:tcMar>
            <w:shd w:val="clear" w:color="auto" w:fill="E5F5FF"/>
          </w:tcPr>
          <w:p>
            <w:pPr>
              <w:pStyle w:val="BDOITable"/>
            </w:pPr>
            <w:r>
              <w:rPr>
                <w:sz w:val="15"/>
              </w:rPr>
              <w:t>BRD-11</w:t>
            </w:r>
          </w:p>
        </w:tc>
        <w:tc>
          <w:tcPr>
            <w:tcW w:type="dxa" w:w="3822"/>
            <w:tcMar>
              <w:top w:w="50" w:type="dxa"/>
              <w:bottom w:w="50" w:type="dxa"/>
              <w:left w:w="90" w:type="dxa"/>
              <w:right w:w="90" w:type="dxa"/>
            </w:tcMar>
            <w:shd w:val="clear" w:color="auto" w:fill="E5F5FF"/>
          </w:tcPr>
          <w:p>
            <w:pPr>
              <w:pStyle w:val="BDOITable"/>
            </w:pPr>
            <w:r>
              <w:rPr>
                <w:sz w:val="15"/>
              </w:rPr>
              <w:t>Group-profile change, deactivation and reactivation</w:t>
            </w:r>
          </w:p>
        </w:tc>
        <w:tc>
          <w:tcPr>
            <w:tcW w:type="dxa" w:w="1433"/>
            <w:tcMar>
              <w:top w:w="50" w:type="dxa"/>
              <w:bottom w:w="50" w:type="dxa"/>
              <w:left w:w="90" w:type="dxa"/>
              <w:right w:w="90" w:type="dxa"/>
            </w:tcMar>
            <w:shd w:val="clear" w:color="auto" w:fill="E5F5FF"/>
          </w:tcPr>
          <w:p>
            <w:pPr>
              <w:pStyle w:val="BDOITable"/>
            </w:pPr>
            <w:r>
              <w:rPr>
                <w:sz w:val="15"/>
              </w:rPr>
              <w:t>FRUM.006</w:t>
            </w:r>
          </w:p>
        </w:tc>
        <w:tc>
          <w:tcPr>
            <w:tcW w:type="dxa" w:w="1791"/>
            <w:tcMar>
              <w:top w:w="50" w:type="dxa"/>
              <w:bottom w:w="50" w:type="dxa"/>
              <w:left w:w="90" w:type="dxa"/>
              <w:right w:w="90" w:type="dxa"/>
            </w:tcMar>
            <w:shd w:val="clear" w:color="auto" w:fill="E5F5FF"/>
          </w:tcPr>
          <w:p>
            <w:pPr>
              <w:pStyle w:val="BDOITable"/>
            </w:pPr>
            <w:r>
              <w:rPr>
                <w:sz w:val="15"/>
              </w:rPr>
              <w:t>FRUM.006.01 to FRUM.006.03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SR-BRD11-007</w:t>
            </w:r>
          </w:p>
        </w:tc>
        <w:tc>
          <w:tcPr>
            <w:tcW w:type="dxa" w:w="776"/>
            <w:tcMar>
              <w:top w:w="50" w:type="dxa"/>
              <w:bottom w:w="50" w:type="dxa"/>
              <w:left w:w="90" w:type="dxa"/>
              <w:right w:w="90" w:type="dxa"/>
            </w:tcMar>
          </w:tcPr>
          <w:p>
            <w:pPr>
              <w:pStyle w:val="BDOITable"/>
            </w:pPr>
            <w:r>
              <w:rPr>
                <w:sz w:val="15"/>
              </w:rPr>
              <w:t>BRD-11</w:t>
            </w:r>
          </w:p>
        </w:tc>
        <w:tc>
          <w:tcPr>
            <w:tcW w:type="dxa" w:w="3822"/>
            <w:tcMar>
              <w:top w:w="50" w:type="dxa"/>
              <w:bottom w:w="50" w:type="dxa"/>
              <w:left w:w="90" w:type="dxa"/>
              <w:right w:w="90" w:type="dxa"/>
            </w:tcMar>
          </w:tcPr>
          <w:p>
            <w:pPr>
              <w:pStyle w:val="BDOITable"/>
            </w:pPr>
            <w:r>
              <w:rPr>
                <w:sz w:val="15"/>
              </w:rPr>
              <w:t>Reports, access matrix and certification extract</w:t>
            </w:r>
          </w:p>
        </w:tc>
        <w:tc>
          <w:tcPr>
            <w:tcW w:type="dxa" w:w="1433"/>
            <w:tcMar>
              <w:top w:w="50" w:type="dxa"/>
              <w:bottom w:w="50" w:type="dxa"/>
              <w:left w:w="90" w:type="dxa"/>
              <w:right w:w="90" w:type="dxa"/>
            </w:tcMar>
          </w:tcPr>
          <w:p>
            <w:pPr>
              <w:pStyle w:val="BDOITable"/>
            </w:pPr>
            <w:r>
              <w:rPr>
                <w:sz w:val="15"/>
              </w:rPr>
              <w:t>FRUM.007</w:t>
            </w:r>
          </w:p>
        </w:tc>
        <w:tc>
          <w:tcPr>
            <w:tcW w:type="dxa" w:w="1791"/>
            <w:tcMar>
              <w:top w:w="50" w:type="dxa"/>
              <w:bottom w:w="50" w:type="dxa"/>
              <w:left w:w="90" w:type="dxa"/>
              <w:right w:w="90" w:type="dxa"/>
            </w:tcMar>
          </w:tcPr>
          <w:p>
            <w:pPr>
              <w:pStyle w:val="BDOITable"/>
            </w:pPr>
            <w:r>
              <w:rPr>
                <w:sz w:val="15"/>
              </w:rPr>
              <w:t>FRUM.007.01 to FRUM.007.03 (3)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SR-BRD11-008</w:t>
            </w:r>
          </w:p>
        </w:tc>
        <w:tc>
          <w:tcPr>
            <w:tcW w:type="dxa" w:w="776"/>
            <w:tcMar>
              <w:top w:w="50" w:type="dxa"/>
              <w:bottom w:w="50" w:type="dxa"/>
              <w:left w:w="90" w:type="dxa"/>
              <w:right w:w="90" w:type="dxa"/>
            </w:tcMar>
            <w:shd w:val="clear" w:color="auto" w:fill="E5F5FF"/>
          </w:tcPr>
          <w:p>
            <w:pPr>
              <w:pStyle w:val="BDOITable"/>
            </w:pPr>
            <w:r>
              <w:rPr>
                <w:sz w:val="15"/>
              </w:rPr>
              <w:t>BRD-11</w:t>
            </w:r>
          </w:p>
        </w:tc>
        <w:tc>
          <w:tcPr>
            <w:tcW w:type="dxa" w:w="3822"/>
            <w:tcMar>
              <w:top w:w="50" w:type="dxa"/>
              <w:bottom w:w="50" w:type="dxa"/>
              <w:left w:w="90" w:type="dxa"/>
              <w:right w:w="90" w:type="dxa"/>
            </w:tcMar>
            <w:shd w:val="clear" w:color="auto" w:fill="E5F5FF"/>
          </w:tcPr>
          <w:p>
            <w:pPr>
              <w:pStyle w:val="BDOITable"/>
            </w:pPr>
            <w:r>
              <w:rPr>
                <w:sz w:val="15"/>
              </w:rPr>
              <w:t>Audit trail</w:t>
            </w:r>
          </w:p>
        </w:tc>
        <w:tc>
          <w:tcPr>
            <w:tcW w:type="dxa" w:w="1433"/>
            <w:tcMar>
              <w:top w:w="50" w:type="dxa"/>
              <w:bottom w:w="50" w:type="dxa"/>
              <w:left w:w="90" w:type="dxa"/>
              <w:right w:w="90" w:type="dxa"/>
            </w:tcMar>
            <w:shd w:val="clear" w:color="auto" w:fill="E5F5FF"/>
          </w:tcPr>
          <w:p>
            <w:pPr>
              <w:pStyle w:val="BDOITable"/>
            </w:pPr>
            <w:r>
              <w:rPr>
                <w:sz w:val="15"/>
              </w:rPr>
              <w:t>FRUM-008</w:t>
            </w:r>
          </w:p>
        </w:tc>
        <w:tc>
          <w:tcPr>
            <w:tcW w:type="dxa" w:w="1791"/>
            <w:tcMar>
              <w:top w:w="50" w:type="dxa"/>
              <w:bottom w:w="50" w:type="dxa"/>
              <w:left w:w="90" w:type="dxa"/>
              <w:right w:w="90" w:type="dxa"/>
            </w:tcMar>
            <w:shd w:val="clear" w:color="auto" w:fill="E5F5FF"/>
          </w:tcPr>
          <w:p>
            <w:pPr>
              <w:pStyle w:val="BDOITable"/>
            </w:pPr>
            <w:r>
              <w:rPr>
                <w:sz w:val="15"/>
              </w:rPr>
              <w:t>FRUM-008.01 to FRUM-008.02 (2)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SR-BRD11-009</w:t>
            </w:r>
          </w:p>
        </w:tc>
        <w:tc>
          <w:tcPr>
            <w:tcW w:type="dxa" w:w="776"/>
            <w:tcMar>
              <w:top w:w="50" w:type="dxa"/>
              <w:bottom w:w="50" w:type="dxa"/>
              <w:left w:w="90" w:type="dxa"/>
              <w:right w:w="90" w:type="dxa"/>
            </w:tcMar>
          </w:tcPr>
          <w:p>
            <w:pPr>
              <w:pStyle w:val="BDOITable"/>
            </w:pPr>
            <w:r>
              <w:rPr>
                <w:sz w:val="15"/>
              </w:rPr>
              <w:t>BRD-11</w:t>
            </w:r>
          </w:p>
        </w:tc>
        <w:tc>
          <w:tcPr>
            <w:tcW w:type="dxa" w:w="3822"/>
            <w:tcMar>
              <w:top w:w="50" w:type="dxa"/>
              <w:bottom w:w="50" w:type="dxa"/>
              <w:left w:w="90" w:type="dxa"/>
              <w:right w:w="90" w:type="dxa"/>
            </w:tcMar>
          </w:tcPr>
          <w:p>
            <w:pPr>
              <w:pStyle w:val="BDOITable"/>
            </w:pPr>
            <w:r>
              <w:rPr>
                <w:sz w:val="15"/>
              </w:rPr>
              <w:t>Decision on group-profile changes (Checker)</w:t>
            </w:r>
          </w:p>
        </w:tc>
        <w:tc>
          <w:tcPr>
            <w:tcW w:type="dxa" w:w="1433"/>
            <w:tcMar>
              <w:top w:w="50" w:type="dxa"/>
              <w:bottom w:w="50" w:type="dxa"/>
              <w:left w:w="90" w:type="dxa"/>
              <w:right w:w="90" w:type="dxa"/>
            </w:tcMar>
          </w:tcPr>
          <w:p>
            <w:pPr>
              <w:pStyle w:val="BDOITable"/>
            </w:pPr>
            <w:r>
              <w:rPr>
                <w:sz w:val="15"/>
              </w:rPr>
              <w:t>FRUM.010</w:t>
            </w:r>
          </w:p>
        </w:tc>
        <w:tc>
          <w:tcPr>
            <w:tcW w:type="dxa" w:w="1791"/>
            <w:tcMar>
              <w:top w:w="50" w:type="dxa"/>
              <w:bottom w:w="50" w:type="dxa"/>
              <w:left w:w="90" w:type="dxa"/>
              <w:right w:w="90" w:type="dxa"/>
            </w:tcMar>
          </w:tcPr>
          <w:p>
            <w:pPr>
              <w:pStyle w:val="BDOITable"/>
            </w:pPr>
            <w:r>
              <w:rPr>
                <w:sz w:val="15"/>
              </w:rPr>
              <w:t>FRUM.010.01 to FRUM.010.05 (5)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SR-BRD11-010</w:t>
            </w:r>
          </w:p>
        </w:tc>
        <w:tc>
          <w:tcPr>
            <w:tcW w:type="dxa" w:w="776"/>
            <w:tcMar>
              <w:top w:w="50" w:type="dxa"/>
              <w:bottom w:w="50" w:type="dxa"/>
              <w:left w:w="90" w:type="dxa"/>
              <w:right w:w="90" w:type="dxa"/>
            </w:tcMar>
            <w:shd w:val="clear" w:color="auto" w:fill="E5F5FF"/>
          </w:tcPr>
          <w:p>
            <w:pPr>
              <w:pStyle w:val="BDOITable"/>
            </w:pPr>
            <w:r>
              <w:rPr>
                <w:sz w:val="15"/>
              </w:rPr>
              <w:t>BRD-11</w:t>
            </w:r>
          </w:p>
        </w:tc>
        <w:tc>
          <w:tcPr>
            <w:tcW w:type="dxa" w:w="3822"/>
            <w:tcMar>
              <w:top w:w="50" w:type="dxa"/>
              <w:bottom w:w="50" w:type="dxa"/>
              <w:left w:w="90" w:type="dxa"/>
              <w:right w:w="90" w:type="dxa"/>
            </w:tcMar>
            <w:shd w:val="clear" w:color="auto" w:fill="E5F5FF"/>
          </w:tcPr>
          <w:p>
            <w:pPr>
              <w:pStyle w:val="BDOITable"/>
            </w:pPr>
            <w:r>
              <w:rPr>
                <w:sz w:val="15"/>
              </w:rPr>
              <w:t>Separation of duties and UAM settings</w:t>
            </w:r>
          </w:p>
        </w:tc>
        <w:tc>
          <w:tcPr>
            <w:tcW w:type="dxa" w:w="1433"/>
            <w:tcMar>
              <w:top w:w="50" w:type="dxa"/>
              <w:bottom w:w="50" w:type="dxa"/>
              <w:left w:w="90" w:type="dxa"/>
              <w:right w:w="90" w:type="dxa"/>
            </w:tcMar>
            <w:shd w:val="clear" w:color="auto" w:fill="E5F5FF"/>
          </w:tcPr>
          <w:p>
            <w:pPr>
              <w:pStyle w:val="BDOITable"/>
            </w:pPr>
            <w:r>
              <w:rPr>
                <w:sz w:val="15"/>
              </w:rPr>
              <w:t>FRUM.012</w:t>
            </w:r>
          </w:p>
        </w:tc>
        <w:tc>
          <w:tcPr>
            <w:tcW w:type="dxa" w:w="1791"/>
            <w:tcMar>
              <w:top w:w="50" w:type="dxa"/>
              <w:bottom w:w="50" w:type="dxa"/>
              <w:left w:w="90" w:type="dxa"/>
              <w:right w:w="90" w:type="dxa"/>
            </w:tcMar>
            <w:shd w:val="clear" w:color="auto" w:fill="E5F5FF"/>
          </w:tcPr>
          <w:p>
            <w:pPr>
              <w:pStyle w:val="BDOITable"/>
            </w:pPr>
            <w:r>
              <w:rPr>
                <w:sz w:val="15"/>
              </w:rPr>
              <w:t>FRUM.012.01 to FRUM.012.04 (4)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SR-BRD11-011</w:t>
            </w:r>
          </w:p>
        </w:tc>
        <w:tc>
          <w:tcPr>
            <w:tcW w:type="dxa" w:w="776"/>
            <w:tcMar>
              <w:top w:w="50" w:type="dxa"/>
              <w:bottom w:w="50" w:type="dxa"/>
              <w:left w:w="90" w:type="dxa"/>
              <w:right w:w="90" w:type="dxa"/>
            </w:tcMar>
          </w:tcPr>
          <w:p>
            <w:pPr>
              <w:pStyle w:val="BDOITable"/>
            </w:pPr>
            <w:r>
              <w:rPr>
                <w:sz w:val="15"/>
              </w:rPr>
              <w:t>BRD-11</w:t>
            </w:r>
          </w:p>
        </w:tc>
        <w:tc>
          <w:tcPr>
            <w:tcW w:type="dxa" w:w="3822"/>
            <w:tcMar>
              <w:top w:w="50" w:type="dxa"/>
              <w:bottom w:w="50" w:type="dxa"/>
              <w:left w:w="90" w:type="dxa"/>
              <w:right w:w="90" w:type="dxa"/>
            </w:tcMar>
          </w:tcPr>
          <w:p>
            <w:pPr>
              <w:pStyle w:val="BDOITable"/>
            </w:pPr>
            <w:r>
              <w:rPr>
                <w:sz w:val="15"/>
              </w:rPr>
              <w:t>Notices and e-mails</w:t>
            </w:r>
          </w:p>
        </w:tc>
        <w:tc>
          <w:tcPr>
            <w:tcW w:type="dxa" w:w="1433"/>
            <w:tcMar>
              <w:top w:w="50" w:type="dxa"/>
              <w:bottom w:w="50" w:type="dxa"/>
              <w:left w:w="90" w:type="dxa"/>
              <w:right w:w="90" w:type="dxa"/>
            </w:tcMar>
          </w:tcPr>
          <w:p>
            <w:pPr>
              <w:pStyle w:val="BDOITable"/>
            </w:pPr>
            <w:r>
              <w:rPr>
                <w:sz w:val="15"/>
              </w:rPr>
              <w:t>FRUM.013</w:t>
            </w:r>
          </w:p>
        </w:tc>
        <w:tc>
          <w:tcPr>
            <w:tcW w:type="dxa" w:w="1791"/>
            <w:tcMar>
              <w:top w:w="50" w:type="dxa"/>
              <w:bottom w:w="50" w:type="dxa"/>
              <w:left w:w="90" w:type="dxa"/>
              <w:right w:w="90" w:type="dxa"/>
            </w:tcMar>
          </w:tcPr>
          <w:p>
            <w:pPr>
              <w:pStyle w:val="BDOITable"/>
            </w:pPr>
            <w:r>
              <w:rPr>
                <w:sz w:val="15"/>
              </w:rPr>
              <w:t>FRUM.013.01 to FRUM.013.02 (2)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SR-BRD11-012</w:t>
            </w:r>
          </w:p>
        </w:tc>
        <w:tc>
          <w:tcPr>
            <w:tcW w:type="dxa" w:w="776"/>
            <w:tcMar>
              <w:top w:w="50" w:type="dxa"/>
              <w:bottom w:w="50" w:type="dxa"/>
              <w:left w:w="90" w:type="dxa"/>
              <w:right w:w="90" w:type="dxa"/>
            </w:tcMar>
            <w:shd w:val="clear" w:color="auto" w:fill="E5F5FF"/>
          </w:tcPr>
          <w:p>
            <w:pPr>
              <w:pStyle w:val="BDOITable"/>
            </w:pPr>
            <w:r>
              <w:rPr>
                <w:sz w:val="15"/>
              </w:rPr>
              <w:t>BRD-11</w:t>
            </w:r>
          </w:p>
        </w:tc>
        <w:tc>
          <w:tcPr>
            <w:tcW w:type="dxa" w:w="3822"/>
            <w:tcMar>
              <w:top w:w="50" w:type="dxa"/>
              <w:bottom w:w="50" w:type="dxa"/>
              <w:left w:w="90" w:type="dxa"/>
              <w:right w:w="90" w:type="dxa"/>
            </w:tcMar>
            <w:shd w:val="clear" w:color="auto" w:fill="E5F5FF"/>
          </w:tcPr>
          <w:p>
            <w:pPr>
              <w:pStyle w:val="BDOITable"/>
            </w:pPr>
            <w:r>
              <w:rPr>
                <w:sz w:val="15"/>
              </w:rPr>
              <w:t>Monitoring, refused events and reconciliation</w:t>
            </w:r>
          </w:p>
        </w:tc>
        <w:tc>
          <w:tcPr>
            <w:tcW w:type="dxa" w:w="1433"/>
            <w:tcMar>
              <w:top w:w="50" w:type="dxa"/>
              <w:bottom w:w="50" w:type="dxa"/>
              <w:left w:w="90" w:type="dxa"/>
              <w:right w:w="90" w:type="dxa"/>
            </w:tcMar>
            <w:shd w:val="clear" w:color="auto" w:fill="E5F5FF"/>
          </w:tcPr>
          <w:p>
            <w:pPr>
              <w:pStyle w:val="BDOITable"/>
            </w:pPr>
            <w:r>
              <w:rPr>
                <w:sz w:val="15"/>
              </w:rPr>
              <w:t>FRUM.014</w:t>
            </w:r>
          </w:p>
        </w:tc>
        <w:tc>
          <w:tcPr>
            <w:tcW w:type="dxa" w:w="1791"/>
            <w:tcMar>
              <w:top w:w="50" w:type="dxa"/>
              <w:bottom w:w="50" w:type="dxa"/>
              <w:left w:w="90" w:type="dxa"/>
              <w:right w:w="90" w:type="dxa"/>
            </w:tcMar>
            <w:shd w:val="clear" w:color="auto" w:fill="E5F5FF"/>
          </w:tcPr>
          <w:p>
            <w:pPr>
              <w:pStyle w:val="BDOITable"/>
            </w:pPr>
            <w:r>
              <w:rPr>
                <w:sz w:val="15"/>
              </w:rPr>
              <w:t>FRUM.014.01 to FRUM.014.03 (3)</w:t>
            </w:r>
          </w:p>
        </w:tc>
        <w:tc>
          <w:tcPr>
            <w:tcW w:type="dxa" w:w="955"/>
            <w:tcMar>
              <w:top w:w="50" w:type="dxa"/>
              <w:bottom w:w="50" w:type="dxa"/>
              <w:left w:w="90" w:type="dxa"/>
              <w:right w:w="90" w:type="dxa"/>
            </w:tcMar>
            <w:shd w:val="clear" w:color="auto" w:fill="E5F5FF"/>
          </w:tcPr>
          <w:p>
            <w:pPr>
              <w:pStyle w:val="BDOITable"/>
            </w:pPr>
            <w:r>
              <w:rPr>
                <w:sz w:val="15"/>
              </w:rPr>
              <w:t>Current phase</w:t>
            </w:r>
          </w:p>
        </w:tc>
      </w:tr>
    </w:tbl>
    <w:p>
      <w:pPr>
        <w:pStyle w:val="BDOISpacer"/>
      </w:pPr>
    </w:p>
    <w:p>
      <w:pPr>
        <w:pStyle w:val="Heading1"/>
        <w:pBdr>
          <w:bottom w:val="single" w:sz="4" w:space="4" w:color="99C1E7"/>
        </w:pBdr>
      </w:pPr>
      <w:bookmarkStart w:id="104" w:name="_Toc000104"/>
      <w:r>
        <w:rPr/>
        <w:t>4 Common requirements</w:t>
      </w:r>
      <w:bookmarkEnd w:id="104"/>
    </w:p>
    <w:p>
      <w:r>
        <w:rPr/>
        <w:t>Every module meets the common requirements of the platform (BRD-00): menus by persona, notifications, audit trail and change log, reports, documents, lists of values, sign-in and access, workflow, bulk processing, multi-currency and the BDO brand.</w:t>
      </w:r>
    </w:p>
    <w:p>
      <w:pPr>
        <w:pStyle w:val="Caption"/>
        <w:keepNext/>
        <w:spacing w:after="60"/>
      </w:pPr>
      <w:r>
        <w:rPr>
          <w:b/>
          <w:i w:val="0"/>
        </w:rPr>
        <w:t xml:space="preserve">Table 2: </w:t>
      </w:r>
      <w:r>
        <w:rPr/>
        <w:t>Common requirements (BRD-00), traced to the FRS BRD-00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4"/>
        <w:gridCol w:w="776"/>
        <w:gridCol w:w="3822"/>
        <w:gridCol w:w="1433"/>
        <w:gridCol w:w="1791"/>
        <w:gridCol w:w="955"/>
      </w:tblGrid>
      <w:tr>
        <w:trPr>
          <w:tblHeader w:val="true"/>
          <w:cantSplit w:val="true"/>
        </w:trPr>
        <w:tc>
          <w:tcPr>
            <w:tcW w:type="dxa" w:w="1194"/>
            <w:shd w:val="clear" w:color="auto" w:fill="004EA8"/>
            <w:tcMar>
              <w:top w:w="50" w:type="dxa"/>
              <w:bottom w:w="50" w:type="dxa"/>
              <w:left w:w="90" w:type="dxa"/>
              <w:right w:w="90" w:type="dxa"/>
            </w:tcMar>
            <w:vAlign w:val="center"/>
          </w:tcPr>
          <w:p>
            <w:pPr>
              <w:pStyle w:val="BDOITableHeader"/>
            </w:pPr>
            <w:r>
              <w:rPr>
                <w:b/>
                <w:color w:val="FFFFFF"/>
                <w:sz w:val="15"/>
              </w:rPr>
              <w:t>SR ID</w:t>
            </w:r>
          </w:p>
        </w:tc>
        <w:tc>
          <w:tcPr>
            <w:tcW w:type="dxa" w:w="776"/>
            <w:shd w:val="clear" w:color="auto" w:fill="004EA8"/>
            <w:tcMar>
              <w:top w:w="50" w:type="dxa"/>
              <w:bottom w:w="50" w:type="dxa"/>
              <w:left w:w="90" w:type="dxa"/>
              <w:right w:w="90" w:type="dxa"/>
            </w:tcMar>
            <w:vAlign w:val="center"/>
          </w:tcPr>
          <w:p>
            <w:pPr>
              <w:pStyle w:val="BDOITableHeader"/>
            </w:pPr>
            <w:r>
              <w:rPr>
                <w:b/>
                <w:color w:val="FFFFFF"/>
                <w:sz w:val="15"/>
              </w:rPr>
              <w:t>BRD</w:t>
            </w:r>
          </w:p>
        </w:tc>
        <w:tc>
          <w:tcPr>
            <w:tcW w:type="dxa" w:w="3822"/>
            <w:shd w:val="clear" w:color="auto" w:fill="004EA8"/>
            <w:tcMar>
              <w:top w:w="50" w:type="dxa"/>
              <w:bottom w:w="50" w:type="dxa"/>
              <w:left w:w="90" w:type="dxa"/>
              <w:right w:w="90" w:type="dxa"/>
            </w:tcMar>
            <w:vAlign w:val="center"/>
          </w:tcPr>
          <w:p>
            <w:pPr>
              <w:pStyle w:val="BDOITableHeader"/>
            </w:pPr>
            <w:r>
              <w:rPr>
                <w:b/>
                <w:color w:val="FFFFFF"/>
                <w:sz w:val="15"/>
              </w:rPr>
              <w:t>System requirement</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5"/>
              </w:rPr>
              <w:t>Traces to (FRS)</w:t>
            </w:r>
          </w:p>
        </w:tc>
        <w:tc>
          <w:tcPr>
            <w:tcW w:type="dxa" w:w="1791"/>
            <w:shd w:val="clear" w:color="auto" w:fill="004EA8"/>
            <w:tcMar>
              <w:top w:w="50" w:type="dxa"/>
              <w:bottom w:w="50" w:type="dxa"/>
              <w:left w:w="90" w:type="dxa"/>
              <w:right w:w="90" w:type="dxa"/>
            </w:tcMar>
            <w:vAlign w:val="center"/>
          </w:tcPr>
          <w:p>
            <w:pPr>
              <w:pStyle w:val="BDOITableHeader"/>
            </w:pPr>
            <w:r>
              <w:rPr>
                <w:b/>
                <w:color w:val="FFFFFF"/>
                <w:sz w:val="15"/>
              </w:rPr>
              <w:t>Items or BRD IDs</w:t>
            </w:r>
          </w:p>
        </w:tc>
        <w:tc>
          <w:tcPr>
            <w:tcW w:type="dxa" w:w="955"/>
            <w:shd w:val="clear" w:color="auto" w:fill="004EA8"/>
            <w:tcMar>
              <w:top w:w="50" w:type="dxa"/>
              <w:bottom w:w="50" w:type="dxa"/>
              <w:left w:w="90" w:type="dxa"/>
              <w:right w:w="90" w:type="dxa"/>
            </w:tcMar>
            <w:vAlign w:val="center"/>
          </w:tcPr>
          <w:p>
            <w:pPr>
              <w:pStyle w:val="BDOITableHeader"/>
            </w:pPr>
            <w:r>
              <w:rPr>
                <w:b/>
                <w:color w:val="FFFFFF"/>
                <w:sz w:val="15"/>
              </w:rPr>
              <w:t>Phase</w:t>
            </w:r>
          </w:p>
        </w:tc>
      </w:tr>
      <w:tr>
        <w:trPr>
          <w:cantSplit w:val="true"/>
        </w:trPr>
        <w:tc>
          <w:tcPr>
            <w:tcW w:type="dxa" w:w="1194"/>
            <w:tcMar>
              <w:top w:w="50" w:type="dxa"/>
              <w:bottom w:w="50" w:type="dxa"/>
              <w:left w:w="90" w:type="dxa"/>
              <w:right w:w="90" w:type="dxa"/>
            </w:tcMar>
          </w:tcPr>
          <w:p>
            <w:pPr>
              <w:pStyle w:val="BDOITable"/>
            </w:pPr>
            <w:r>
              <w:rPr>
                <w:b/>
                <w:sz w:val="15"/>
              </w:rPr>
              <w:t>SR-COM-001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Show each persona only its menus and screens</w:t>
            </w:r>
          </w:p>
        </w:tc>
        <w:tc>
          <w:tcPr>
            <w:tcW w:type="dxa" w:w="1433"/>
            <w:tcMar>
              <w:top w:w="50" w:type="dxa"/>
              <w:bottom w:w="50" w:type="dxa"/>
              <w:left w:w="90" w:type="dxa"/>
              <w:right w:w="90" w:type="dxa"/>
            </w:tcMar>
          </w:tcPr>
          <w:p>
            <w:pPr>
              <w:pStyle w:val="BDOITable"/>
            </w:pPr>
            <w:r>
              <w:rPr>
                <w:sz w:val="15"/>
              </w:rPr>
              <w:t>FR-CR-001</w:t>
            </w:r>
          </w:p>
        </w:tc>
        <w:tc>
          <w:tcPr>
            <w:tcW w:type="dxa" w:w="1791"/>
            <w:tcMar>
              <w:top w:w="50" w:type="dxa"/>
              <w:bottom w:w="50" w:type="dxa"/>
              <w:left w:w="90" w:type="dxa"/>
              <w:right w:w="90" w:type="dxa"/>
            </w:tcMar>
          </w:tcPr>
          <w:p>
            <w:pPr>
              <w:pStyle w:val="BDOITable"/>
            </w:pPr>
            <w:r>
              <w:rPr>
                <w:sz w:val="15"/>
              </w:rPr>
              <w:t>BR-002, BR-181, BR-182, p.4 benefit 4a</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Open a role home page with the figures of the user's roles</w:t>
            </w:r>
          </w:p>
        </w:tc>
        <w:tc>
          <w:tcPr>
            <w:tcW w:type="dxa" w:w="1433"/>
            <w:tcMar>
              <w:top w:w="50" w:type="dxa"/>
              <w:bottom w:w="50" w:type="dxa"/>
              <w:left w:w="90" w:type="dxa"/>
              <w:right w:w="90" w:type="dxa"/>
            </w:tcMar>
            <w:shd w:val="clear" w:color="auto" w:fill="E5F5FF"/>
          </w:tcPr>
          <w:p>
            <w:pPr>
              <w:pStyle w:val="BDOITable"/>
            </w:pPr>
            <w:r>
              <w:rPr>
                <w:sz w:val="15"/>
              </w:rPr>
              <w:t>FR-CR-010</w:t>
            </w:r>
          </w:p>
        </w:tc>
        <w:tc>
          <w:tcPr>
            <w:tcW w:type="dxa" w:w="1791"/>
            <w:tcMar>
              <w:top w:w="50" w:type="dxa"/>
              <w:bottom w:w="50" w:type="dxa"/>
              <w:left w:w="90" w:type="dxa"/>
              <w:right w:w="90" w:type="dxa"/>
            </w:tcMar>
            <w:shd w:val="clear" w:color="auto" w:fill="E5F5FF"/>
          </w:tcPr>
          <w:p>
            <w:pPr>
              <w:pStyle w:val="BDOITable"/>
            </w:pPr>
            <w:r>
              <w:rPr>
                <w:sz w:val="15"/>
              </w:rPr>
              <w:t>p.5 envisioned 2a and 4c, BR-125, BR-152, BR-160, BR-203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Open the details behind a dashboard figure</w:t>
            </w:r>
          </w:p>
        </w:tc>
        <w:tc>
          <w:tcPr>
            <w:tcW w:type="dxa" w:w="1433"/>
            <w:tcMar>
              <w:top w:w="50" w:type="dxa"/>
              <w:bottom w:w="50" w:type="dxa"/>
              <w:left w:w="90" w:type="dxa"/>
              <w:right w:w="90" w:type="dxa"/>
            </w:tcMar>
          </w:tcPr>
          <w:p>
            <w:pPr>
              <w:pStyle w:val="BDOITable"/>
            </w:pPr>
            <w:r>
              <w:rPr>
                <w:sz w:val="15"/>
              </w:rPr>
              <w:t>FR-CR-011</w:t>
            </w:r>
          </w:p>
        </w:tc>
        <w:tc>
          <w:tcPr>
            <w:tcW w:type="dxa" w:w="1791"/>
            <w:tcMar>
              <w:top w:w="50" w:type="dxa"/>
              <w:bottom w:w="50" w:type="dxa"/>
              <w:left w:w="90" w:type="dxa"/>
              <w:right w:w="90" w:type="dxa"/>
            </w:tcMar>
          </w:tcPr>
          <w:p>
            <w:pPr>
              <w:pStyle w:val="BDOITable"/>
            </w:pPr>
            <w:r>
              <w:rPr>
                <w:sz w:val="15"/>
              </w:rPr>
              <w:t>BR-125, BR-152, BR-160</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Notify users of status changes, approvals and pending work</w:t>
            </w:r>
          </w:p>
        </w:tc>
        <w:tc>
          <w:tcPr>
            <w:tcW w:type="dxa" w:w="1433"/>
            <w:tcMar>
              <w:top w:w="50" w:type="dxa"/>
              <w:bottom w:w="50" w:type="dxa"/>
              <w:left w:w="90" w:type="dxa"/>
              <w:right w:w="90" w:type="dxa"/>
            </w:tcMar>
            <w:shd w:val="clear" w:color="auto" w:fill="E5F5FF"/>
          </w:tcPr>
          <w:p>
            <w:pPr>
              <w:pStyle w:val="BDOITable"/>
            </w:pPr>
            <w:r>
              <w:rPr>
                <w:sz w:val="15"/>
              </w:rPr>
              <w:t>FR-CR-020</w:t>
            </w:r>
          </w:p>
        </w:tc>
        <w:tc>
          <w:tcPr>
            <w:tcW w:type="dxa" w:w="1791"/>
            <w:tcMar>
              <w:top w:w="50" w:type="dxa"/>
              <w:bottom w:w="50" w:type="dxa"/>
              <w:left w:w="90" w:type="dxa"/>
              <w:right w:w="90" w:type="dxa"/>
            </w:tcMar>
            <w:shd w:val="clear" w:color="auto" w:fill="E5F5FF"/>
          </w:tcPr>
          <w:p>
            <w:pPr>
              <w:pStyle w:val="BDOITable"/>
            </w:pPr>
            <w:r>
              <w:rPr>
                <w:sz w:val="15"/>
              </w:rPr>
              <w:t>p.5 envisioned 5a, BR-083, BR-111, BR-206</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Keep a complete audit trail of actions and transactions</w:t>
            </w:r>
          </w:p>
        </w:tc>
        <w:tc>
          <w:tcPr>
            <w:tcW w:type="dxa" w:w="1433"/>
            <w:tcMar>
              <w:top w:w="50" w:type="dxa"/>
              <w:bottom w:w="50" w:type="dxa"/>
              <w:left w:w="90" w:type="dxa"/>
              <w:right w:w="90" w:type="dxa"/>
            </w:tcMar>
          </w:tcPr>
          <w:p>
            <w:pPr>
              <w:pStyle w:val="BDOITable"/>
            </w:pPr>
            <w:r>
              <w:rPr>
                <w:sz w:val="15"/>
              </w:rPr>
              <w:t>FR-CR-030</w:t>
            </w:r>
          </w:p>
        </w:tc>
        <w:tc>
          <w:tcPr>
            <w:tcW w:type="dxa" w:w="1791"/>
            <w:tcMar>
              <w:top w:w="50" w:type="dxa"/>
              <w:bottom w:w="50" w:type="dxa"/>
              <w:left w:w="90" w:type="dxa"/>
              <w:right w:w="90" w:type="dxa"/>
            </w:tcMar>
          </w:tcPr>
          <w:p>
            <w:pPr>
              <w:pStyle w:val="BDOITable"/>
            </w:pPr>
            <w:r>
              <w:rPr>
                <w:sz w:val="15"/>
              </w:rPr>
              <w:t>p.4 benefit 2c, BR-124, BR-129, BR-151, BR-207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SR-COM-006</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Log every change to master data with old and new values</w:t>
            </w:r>
          </w:p>
        </w:tc>
        <w:tc>
          <w:tcPr>
            <w:tcW w:type="dxa" w:w="1433"/>
            <w:tcMar>
              <w:top w:w="50" w:type="dxa"/>
              <w:bottom w:w="50" w:type="dxa"/>
              <w:left w:w="90" w:type="dxa"/>
              <w:right w:w="90" w:type="dxa"/>
            </w:tcMar>
            <w:shd w:val="clear" w:color="auto" w:fill="E5F5FF"/>
          </w:tcPr>
          <w:p>
            <w:pPr>
              <w:pStyle w:val="BDOITable"/>
            </w:pPr>
            <w:r>
              <w:rPr>
                <w:sz w:val="15"/>
              </w:rPr>
              <w:t>FR-CR-031</w:t>
            </w:r>
          </w:p>
        </w:tc>
        <w:tc>
          <w:tcPr>
            <w:tcW w:type="dxa" w:w="1791"/>
            <w:tcMar>
              <w:top w:w="50" w:type="dxa"/>
              <w:bottom w:w="50" w:type="dxa"/>
              <w:left w:w="90" w:type="dxa"/>
              <w:right w:w="90" w:type="dxa"/>
            </w:tcMar>
            <w:shd w:val="clear" w:color="auto" w:fill="E5F5FF"/>
          </w:tcPr>
          <w:p>
            <w:pPr>
              <w:pStyle w:val="BDOITable"/>
            </w:pPr>
            <w:r>
              <w:rPr>
                <w:sz w:val="15"/>
              </w:rPr>
              <w:t>BR-170, Capability 17 bullet 1</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SR-COM-007</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Generate standard reports and export or print them in several formats</w:t>
            </w:r>
          </w:p>
        </w:tc>
        <w:tc>
          <w:tcPr>
            <w:tcW w:type="dxa" w:w="1433"/>
            <w:tcMar>
              <w:top w:w="50" w:type="dxa"/>
              <w:bottom w:w="50" w:type="dxa"/>
              <w:left w:w="90" w:type="dxa"/>
              <w:right w:w="90" w:type="dxa"/>
            </w:tcMar>
          </w:tcPr>
          <w:p>
            <w:pPr>
              <w:pStyle w:val="BDOITable"/>
            </w:pPr>
            <w:r>
              <w:rPr>
                <w:sz w:val="15"/>
              </w:rPr>
              <w:t>FR-CR-040</w:t>
            </w:r>
          </w:p>
        </w:tc>
        <w:tc>
          <w:tcPr>
            <w:tcW w:type="dxa" w:w="1791"/>
            <w:tcMar>
              <w:top w:w="50" w:type="dxa"/>
              <w:bottom w:w="50" w:type="dxa"/>
              <w:left w:w="90" w:type="dxa"/>
              <w:right w:w="90" w:type="dxa"/>
            </w:tcMar>
          </w:tcPr>
          <w:p>
            <w:pPr>
              <w:pStyle w:val="BDOITable"/>
            </w:pPr>
            <w:r>
              <w:rPr>
                <w:sz w:val="15"/>
              </w:rPr>
              <w:t>BR-054, BR-078, BR-084, Capability 21 bullets 1-2</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SR-COM-008</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Save tailored report parameters and filters as variants</w:t>
            </w:r>
          </w:p>
        </w:tc>
        <w:tc>
          <w:tcPr>
            <w:tcW w:type="dxa" w:w="1433"/>
            <w:tcMar>
              <w:top w:w="50" w:type="dxa"/>
              <w:bottom w:w="50" w:type="dxa"/>
              <w:left w:w="90" w:type="dxa"/>
              <w:right w:w="90" w:type="dxa"/>
            </w:tcMar>
            <w:shd w:val="clear" w:color="auto" w:fill="E5F5FF"/>
          </w:tcPr>
          <w:p>
            <w:pPr>
              <w:pStyle w:val="BDOITable"/>
            </w:pPr>
            <w:r>
              <w:rPr>
                <w:sz w:val="15"/>
              </w:rPr>
              <w:t>FR-CR-041</w:t>
            </w:r>
          </w:p>
        </w:tc>
        <w:tc>
          <w:tcPr>
            <w:tcW w:type="dxa" w:w="1791"/>
            <w:tcMar>
              <w:top w:w="50" w:type="dxa"/>
              <w:bottom w:w="50" w:type="dxa"/>
              <w:left w:w="90" w:type="dxa"/>
              <w:right w:w="90" w:type="dxa"/>
            </w:tcMar>
            <w:shd w:val="clear" w:color="auto" w:fill="E5F5FF"/>
          </w:tcPr>
          <w:p>
            <w:pPr>
              <w:pStyle w:val="BDOITable"/>
            </w:pPr>
            <w:r>
              <w:rPr>
                <w:sz w:val="15"/>
              </w:rPr>
              <w:t>BR-053, Capability 21 bullet 3, Capabilities 2 and 4, bullet 'Generate and customise report'</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SR-COM-009</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Customise a report's fields, grouping, summaries and chart</w:t>
            </w:r>
          </w:p>
        </w:tc>
        <w:tc>
          <w:tcPr>
            <w:tcW w:type="dxa" w:w="1433"/>
            <w:tcMar>
              <w:top w:w="50" w:type="dxa"/>
              <w:bottom w:w="50" w:type="dxa"/>
              <w:left w:w="90" w:type="dxa"/>
              <w:right w:w="90" w:type="dxa"/>
            </w:tcMar>
          </w:tcPr>
          <w:p>
            <w:pPr>
              <w:pStyle w:val="BDOITable"/>
            </w:pPr>
            <w:r>
              <w:rPr>
                <w:sz w:val="15"/>
              </w:rPr>
              <w:t>FR-CR-042</w:t>
            </w:r>
          </w:p>
        </w:tc>
        <w:tc>
          <w:tcPr>
            <w:tcW w:type="dxa" w:w="1791"/>
            <w:tcMar>
              <w:top w:w="50" w:type="dxa"/>
              <w:bottom w:w="50" w:type="dxa"/>
              <w:left w:w="90" w:type="dxa"/>
              <w:right w:w="90" w:type="dxa"/>
            </w:tcMar>
          </w:tcPr>
          <w:p>
            <w:pPr>
              <w:pStyle w:val="BDOITable"/>
            </w:pPr>
            <w:r>
              <w:rPr>
                <w:sz w:val="15"/>
              </w:rPr>
              <w:t>BR-053, Capability 21 bullet 4</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SR-COM-010</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Schedule reports and distribute them</w:t>
            </w:r>
          </w:p>
        </w:tc>
        <w:tc>
          <w:tcPr>
            <w:tcW w:type="dxa" w:w="1433"/>
            <w:tcMar>
              <w:top w:w="50" w:type="dxa"/>
              <w:bottom w:w="50" w:type="dxa"/>
              <w:left w:w="90" w:type="dxa"/>
              <w:right w:w="90" w:type="dxa"/>
            </w:tcMar>
            <w:shd w:val="clear" w:color="auto" w:fill="E5F5FF"/>
          </w:tcPr>
          <w:p>
            <w:pPr>
              <w:pStyle w:val="BDOITable"/>
            </w:pPr>
            <w:r>
              <w:rPr>
                <w:sz w:val="15"/>
              </w:rPr>
              <w:t>FR-CR-043</w:t>
            </w:r>
          </w:p>
        </w:tc>
        <w:tc>
          <w:tcPr>
            <w:tcW w:type="dxa" w:w="1791"/>
            <w:tcMar>
              <w:top w:w="50" w:type="dxa"/>
              <w:bottom w:w="50" w:type="dxa"/>
              <w:left w:w="90" w:type="dxa"/>
              <w:right w:w="90" w:type="dxa"/>
            </w:tcMar>
            <w:shd w:val="clear" w:color="auto" w:fill="E5F5FF"/>
          </w:tcPr>
          <w:p>
            <w:pPr>
              <w:pStyle w:val="BDOITable"/>
            </w:pPr>
            <w:r>
              <w:rPr>
                <w:sz w:val="15"/>
              </w:rPr>
              <w:t>BR-054, Capability 21 bullet 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Generate business documents from maintained templates</w:t>
            </w:r>
          </w:p>
        </w:tc>
        <w:tc>
          <w:tcPr>
            <w:tcW w:type="dxa" w:w="1433"/>
            <w:tcMar>
              <w:top w:w="50" w:type="dxa"/>
              <w:bottom w:w="50" w:type="dxa"/>
              <w:left w:w="90" w:type="dxa"/>
              <w:right w:w="90" w:type="dxa"/>
            </w:tcMar>
          </w:tcPr>
          <w:p>
            <w:pPr>
              <w:pStyle w:val="BDOITable"/>
            </w:pPr>
            <w:r>
              <w:rPr>
                <w:sz w:val="15"/>
              </w:rPr>
              <w:t>FR-CR-050</w:t>
            </w:r>
          </w:p>
        </w:tc>
        <w:tc>
          <w:tcPr>
            <w:tcW w:type="dxa" w:w="1791"/>
            <w:tcMar>
              <w:top w:w="50" w:type="dxa"/>
              <w:bottom w:w="50" w:type="dxa"/>
              <w:left w:w="90" w:type="dxa"/>
              <w:right w:w="90" w:type="dxa"/>
            </w:tcMar>
          </w:tcPr>
          <w:p>
            <w:pPr>
              <w:pStyle w:val="BDOITable"/>
            </w:pPr>
            <w:r>
              <w:rPr>
                <w:sz w:val="15"/>
              </w:rPr>
              <w:t>BR-020, BR-036, BR-039, BR-060, BR-116, BR-205</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Maintain lists of values with effectivity and approval</w:t>
            </w:r>
          </w:p>
        </w:tc>
        <w:tc>
          <w:tcPr>
            <w:tcW w:type="dxa" w:w="1433"/>
            <w:tcMar>
              <w:top w:w="50" w:type="dxa"/>
              <w:bottom w:w="50" w:type="dxa"/>
              <w:left w:w="90" w:type="dxa"/>
              <w:right w:w="90" w:type="dxa"/>
            </w:tcMar>
            <w:shd w:val="clear" w:color="auto" w:fill="E5F5FF"/>
          </w:tcPr>
          <w:p>
            <w:pPr>
              <w:pStyle w:val="BDOITable"/>
            </w:pPr>
            <w:r>
              <w:rPr>
                <w:sz w:val="15"/>
              </w:rPr>
              <w:t>FR-CR-060</w:t>
            </w:r>
          </w:p>
        </w:tc>
        <w:tc>
          <w:tcPr>
            <w:tcW w:type="dxa" w:w="1791"/>
            <w:tcMar>
              <w:top w:w="50" w:type="dxa"/>
              <w:bottom w:w="50" w:type="dxa"/>
              <w:left w:w="90" w:type="dxa"/>
              <w:right w:w="90" w:type="dxa"/>
            </w:tcMar>
            <w:shd w:val="clear" w:color="auto" w:fill="E5F5FF"/>
          </w:tcPr>
          <w:p>
            <w:pPr>
              <w:pStyle w:val="BDOITable"/>
            </w:pPr>
            <w:r>
              <w:rPr>
                <w:sz w:val="15"/>
              </w:rPr>
              <w:t>BR-004, BR-172, Capability 17 bullet 3, MILB volume</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Maintain insurer records in one place</w:t>
            </w:r>
          </w:p>
        </w:tc>
        <w:tc>
          <w:tcPr>
            <w:tcW w:type="dxa" w:w="1433"/>
            <w:tcMar>
              <w:top w:w="50" w:type="dxa"/>
              <w:bottom w:w="50" w:type="dxa"/>
              <w:left w:w="90" w:type="dxa"/>
              <w:right w:w="90" w:type="dxa"/>
            </w:tcMar>
          </w:tcPr>
          <w:p>
            <w:pPr>
              <w:pStyle w:val="BDOITable"/>
            </w:pPr>
            <w:r>
              <w:rPr>
                <w:sz w:val="15"/>
              </w:rPr>
              <w:t>FR-CR-061</w:t>
            </w:r>
          </w:p>
        </w:tc>
        <w:tc>
          <w:tcPr>
            <w:tcW w:type="dxa" w:w="1791"/>
            <w:tcMar>
              <w:top w:w="50" w:type="dxa"/>
              <w:bottom w:w="50" w:type="dxa"/>
              <w:left w:w="90" w:type="dxa"/>
              <w:right w:w="90" w:type="dxa"/>
            </w:tcMar>
          </w:tcPr>
          <w:p>
            <w:pPr>
              <w:pStyle w:val="BDOITable"/>
            </w:pPr>
            <w:r>
              <w:rPr>
                <w:sz w:val="15"/>
              </w:rPr>
              <w:t>BR-171, Capability 17 bullet 2, MILB volume</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Define the MIS fields used for reports, dashboards and filters</w:t>
            </w:r>
          </w:p>
        </w:tc>
        <w:tc>
          <w:tcPr>
            <w:tcW w:type="dxa" w:w="1433"/>
            <w:tcMar>
              <w:top w:w="50" w:type="dxa"/>
              <w:bottom w:w="50" w:type="dxa"/>
              <w:left w:w="90" w:type="dxa"/>
              <w:right w:w="90" w:type="dxa"/>
            </w:tcMar>
            <w:shd w:val="clear" w:color="auto" w:fill="E5F5FF"/>
          </w:tcPr>
          <w:p>
            <w:pPr>
              <w:pStyle w:val="BDOITable"/>
            </w:pPr>
            <w:r>
              <w:rPr>
                <w:sz w:val="15"/>
              </w:rPr>
              <w:t>FR-CR-062</w:t>
            </w:r>
          </w:p>
        </w:tc>
        <w:tc>
          <w:tcPr>
            <w:tcW w:type="dxa" w:w="1791"/>
            <w:tcMar>
              <w:top w:w="50" w:type="dxa"/>
              <w:bottom w:w="50" w:type="dxa"/>
              <w:left w:w="90" w:type="dxa"/>
              <w:right w:w="90" w:type="dxa"/>
            </w:tcMar>
            <w:shd w:val="clear" w:color="auto" w:fill="E5F5FF"/>
          </w:tcPr>
          <w:p>
            <w:pPr>
              <w:pStyle w:val="BDOITable"/>
            </w:pPr>
            <w:r>
              <w:rPr>
                <w:sz w:val="15"/>
              </w:rPr>
              <w:t>BR-173, BR-174, Capability 17 bullet 4</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Maintain products through Product Maintenance</w:t>
            </w:r>
          </w:p>
        </w:tc>
        <w:tc>
          <w:tcPr>
            <w:tcW w:type="dxa" w:w="1433"/>
            <w:tcMar>
              <w:top w:w="50" w:type="dxa"/>
              <w:bottom w:w="50" w:type="dxa"/>
              <w:left w:w="90" w:type="dxa"/>
              <w:right w:w="90" w:type="dxa"/>
            </w:tcMar>
          </w:tcPr>
          <w:p>
            <w:pPr>
              <w:pStyle w:val="BDOITable"/>
            </w:pPr>
            <w:r>
              <w:rPr>
                <w:sz w:val="15"/>
              </w:rPr>
              <w:t>FR-CR-063</w:t>
            </w:r>
          </w:p>
        </w:tc>
        <w:tc>
          <w:tcPr>
            <w:tcW w:type="dxa" w:w="1791"/>
            <w:tcMar>
              <w:top w:w="50" w:type="dxa"/>
              <w:bottom w:w="50" w:type="dxa"/>
              <w:left w:w="90" w:type="dxa"/>
              <w:right w:w="90" w:type="dxa"/>
            </w:tcMar>
          </w:tcPr>
          <w:p>
            <w:pPr>
              <w:pStyle w:val="BDOITable"/>
            </w:pPr>
            <w:r>
              <w:rPr>
                <w:sz w:val="15"/>
              </w:rPr>
              <w:t>Capability 17 bullet 5, Capability 20, BR-199 to BR-208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SR-COM-016</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Sign in, reset passwords and manage user access by request</w:t>
            </w:r>
          </w:p>
        </w:tc>
        <w:tc>
          <w:tcPr>
            <w:tcW w:type="dxa" w:w="1433"/>
            <w:tcMar>
              <w:top w:w="50" w:type="dxa"/>
              <w:bottom w:w="50" w:type="dxa"/>
              <w:left w:w="90" w:type="dxa"/>
              <w:right w:w="90" w:type="dxa"/>
            </w:tcMar>
            <w:shd w:val="clear" w:color="auto" w:fill="E5F5FF"/>
          </w:tcPr>
          <w:p>
            <w:pPr>
              <w:pStyle w:val="BDOITable"/>
            </w:pPr>
            <w:r>
              <w:rPr>
                <w:sz w:val="15"/>
              </w:rPr>
              <w:t>FR-CR-070</w:t>
            </w:r>
          </w:p>
        </w:tc>
        <w:tc>
          <w:tcPr>
            <w:tcW w:type="dxa" w:w="1791"/>
            <w:tcMar>
              <w:top w:w="50" w:type="dxa"/>
              <w:bottom w:w="50" w:type="dxa"/>
              <w:left w:w="90" w:type="dxa"/>
              <w:right w:w="90" w:type="dxa"/>
            </w:tcMar>
            <w:shd w:val="clear" w:color="auto" w:fill="E5F5FF"/>
          </w:tcPr>
          <w:p>
            <w:pPr>
              <w:pStyle w:val="BDOITable"/>
            </w:pPr>
            <w:r>
              <w:rPr>
                <w:sz w:val="15"/>
              </w:rPr>
              <w:t>BR-000, BR-001, BR-002, BR-003, p.5 envisioned 3b</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SR-COM-017</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Protect documents that leave BDOI</w:t>
            </w:r>
          </w:p>
        </w:tc>
        <w:tc>
          <w:tcPr>
            <w:tcW w:type="dxa" w:w="1433"/>
            <w:tcMar>
              <w:top w:w="50" w:type="dxa"/>
              <w:bottom w:w="50" w:type="dxa"/>
              <w:left w:w="90" w:type="dxa"/>
              <w:right w:w="90" w:type="dxa"/>
            </w:tcMar>
          </w:tcPr>
          <w:p>
            <w:pPr>
              <w:pStyle w:val="BDOITable"/>
            </w:pPr>
            <w:r>
              <w:rPr>
                <w:sz w:val="15"/>
              </w:rPr>
              <w:t>FR-CR-071</w:t>
            </w:r>
          </w:p>
        </w:tc>
        <w:tc>
          <w:tcPr>
            <w:tcW w:type="dxa" w:w="1791"/>
            <w:tcMar>
              <w:top w:w="50" w:type="dxa"/>
              <w:bottom w:w="50" w:type="dxa"/>
              <w:left w:w="90" w:type="dxa"/>
              <w:right w:w="90" w:type="dxa"/>
            </w:tcMar>
          </w:tcPr>
          <w:p>
            <w:pPr>
              <w:pStyle w:val="BDOITable"/>
            </w:pPr>
            <w:r>
              <w:rPr>
                <w:sz w:val="15"/>
              </w:rPr>
              <w:t>Capability 4 bullet 22, BR-205, Capability 20 bullet 7</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SR-COM-018</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Move work and data to the next process by configured workflow</w:t>
            </w:r>
          </w:p>
        </w:tc>
        <w:tc>
          <w:tcPr>
            <w:tcW w:type="dxa" w:w="1433"/>
            <w:tcMar>
              <w:top w:w="50" w:type="dxa"/>
              <w:bottom w:w="50" w:type="dxa"/>
              <w:left w:w="90" w:type="dxa"/>
              <w:right w:w="90" w:type="dxa"/>
            </w:tcMar>
            <w:shd w:val="clear" w:color="auto" w:fill="E5F5FF"/>
          </w:tcPr>
          <w:p>
            <w:pPr>
              <w:pStyle w:val="BDOITable"/>
            </w:pPr>
            <w:r>
              <w:rPr>
                <w:sz w:val="15"/>
              </w:rPr>
              <w:t>FR-CR-080</w:t>
            </w:r>
          </w:p>
        </w:tc>
        <w:tc>
          <w:tcPr>
            <w:tcW w:type="dxa" w:w="1791"/>
            <w:tcMar>
              <w:top w:w="50" w:type="dxa"/>
              <w:bottom w:w="50" w:type="dxa"/>
              <w:left w:w="90" w:type="dxa"/>
              <w:right w:w="90" w:type="dxa"/>
            </w:tcMar>
            <w:shd w:val="clear" w:color="auto" w:fill="E5F5FF"/>
          </w:tcPr>
          <w:p>
            <w:pPr>
              <w:pStyle w:val="BDOITable"/>
            </w:pPr>
            <w:r>
              <w:rPr>
                <w:sz w:val="15"/>
              </w:rPr>
              <w:t>BR-051, BR-101, BR-177, BR-182</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SR-COM-019</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Deliver the day's service invoices to each insurer in one batch</w:t>
            </w:r>
          </w:p>
        </w:tc>
        <w:tc>
          <w:tcPr>
            <w:tcW w:type="dxa" w:w="1433"/>
            <w:tcMar>
              <w:top w:w="50" w:type="dxa"/>
              <w:bottom w:w="50" w:type="dxa"/>
              <w:left w:w="90" w:type="dxa"/>
              <w:right w:w="90" w:type="dxa"/>
            </w:tcMar>
          </w:tcPr>
          <w:p>
            <w:pPr>
              <w:pStyle w:val="BDOITable"/>
            </w:pPr>
            <w:r>
              <w:rPr>
                <w:sz w:val="15"/>
              </w:rPr>
              <w:t>FR-CR-081</w:t>
            </w:r>
          </w:p>
        </w:tc>
        <w:tc>
          <w:tcPr>
            <w:tcW w:type="dxa" w:w="1791"/>
            <w:tcMar>
              <w:top w:w="50" w:type="dxa"/>
              <w:bottom w:w="50" w:type="dxa"/>
              <w:left w:w="90" w:type="dxa"/>
              <w:right w:w="90" w:type="dxa"/>
            </w:tcMar>
          </w:tcPr>
          <w:p>
            <w:pPr>
              <w:pStyle w:val="BDOITable"/>
            </w:pPr>
            <w:r>
              <w:rPr>
                <w:sz w:val="15"/>
              </w:rPr>
              <w:t>Invoice Batch Printing volumes, BR-043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SR-COM-020</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Receive migrated clients and legacy client batches during coexistence</w:t>
            </w:r>
          </w:p>
        </w:tc>
        <w:tc>
          <w:tcPr>
            <w:tcW w:type="dxa" w:w="1433"/>
            <w:tcMar>
              <w:top w:w="50" w:type="dxa"/>
              <w:bottom w:w="50" w:type="dxa"/>
              <w:left w:w="90" w:type="dxa"/>
              <w:right w:w="90" w:type="dxa"/>
            </w:tcMar>
            <w:shd w:val="clear" w:color="auto" w:fill="E5F5FF"/>
          </w:tcPr>
          <w:p>
            <w:pPr>
              <w:pStyle w:val="BDOITable"/>
            </w:pPr>
            <w:r>
              <w:rPr>
                <w:sz w:val="15"/>
              </w:rPr>
              <w:t>FR-CR-082</w:t>
            </w:r>
          </w:p>
        </w:tc>
        <w:tc>
          <w:tcPr>
            <w:tcW w:type="dxa" w:w="1791"/>
            <w:tcMar>
              <w:top w:w="50" w:type="dxa"/>
              <w:bottom w:w="50" w:type="dxa"/>
              <w:left w:w="90" w:type="dxa"/>
              <w:right w:w="90" w:type="dxa"/>
            </w:tcMar>
            <w:shd w:val="clear" w:color="auto" w:fill="E5F5FF"/>
          </w:tcPr>
          <w:p>
            <w:pPr>
              <w:pStyle w:val="BDOITable"/>
            </w:pPr>
            <w:r>
              <w:rPr>
                <w:sz w:val="15"/>
              </w:rPr>
              <w:t>Client Migration volumes, Daily synchronisation from source</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SR-COM-021</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Process in bulk and individually with concurrent users</w:t>
            </w:r>
          </w:p>
        </w:tc>
        <w:tc>
          <w:tcPr>
            <w:tcW w:type="dxa" w:w="1433"/>
            <w:tcMar>
              <w:top w:w="50" w:type="dxa"/>
              <w:bottom w:w="50" w:type="dxa"/>
              <w:left w:w="90" w:type="dxa"/>
              <w:right w:w="90" w:type="dxa"/>
            </w:tcMar>
          </w:tcPr>
          <w:p>
            <w:pPr>
              <w:pStyle w:val="BDOITable"/>
            </w:pPr>
            <w:r>
              <w:rPr>
                <w:sz w:val="15"/>
              </w:rPr>
              <w:t>FR-CR-083</w:t>
            </w:r>
          </w:p>
        </w:tc>
        <w:tc>
          <w:tcPr>
            <w:tcW w:type="dxa" w:w="1791"/>
            <w:tcMar>
              <w:top w:w="50" w:type="dxa"/>
              <w:bottom w:w="50" w:type="dxa"/>
              <w:left w:w="90" w:type="dxa"/>
              <w:right w:w="90" w:type="dxa"/>
            </w:tcMar>
          </w:tcPr>
          <w:p>
            <w:pPr>
              <w:pStyle w:val="BDOITable"/>
            </w:pPr>
            <w:r>
              <w:rPr>
                <w:sz w:val="15"/>
              </w:rPr>
              <w:t>p.4 benefit 1c, BR-063</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SR-COM-022</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Show the Invoice Master List across workflows</w:t>
            </w:r>
          </w:p>
        </w:tc>
        <w:tc>
          <w:tcPr>
            <w:tcW w:type="dxa" w:w="1433"/>
            <w:tcMar>
              <w:top w:w="50" w:type="dxa"/>
              <w:bottom w:w="50" w:type="dxa"/>
              <w:left w:w="90" w:type="dxa"/>
              <w:right w:w="90" w:type="dxa"/>
            </w:tcMar>
            <w:shd w:val="clear" w:color="auto" w:fill="E5F5FF"/>
          </w:tcPr>
          <w:p>
            <w:pPr>
              <w:pStyle w:val="BDOITable"/>
            </w:pPr>
            <w:r>
              <w:rPr>
                <w:sz w:val="15"/>
              </w:rPr>
              <w:t>FR-CR-090</w:t>
            </w:r>
          </w:p>
        </w:tc>
        <w:tc>
          <w:tcPr>
            <w:tcW w:type="dxa" w:w="1791"/>
            <w:tcMar>
              <w:top w:w="50" w:type="dxa"/>
              <w:bottom w:w="50" w:type="dxa"/>
              <w:left w:w="90" w:type="dxa"/>
              <w:right w:w="90" w:type="dxa"/>
            </w:tcMar>
            <w:shd w:val="clear" w:color="auto" w:fill="E5F5FF"/>
          </w:tcPr>
          <w:p>
            <w:pPr>
              <w:pStyle w:val="BDOITable"/>
            </w:pPr>
            <w:r>
              <w:rPr>
                <w:sz w:val="15"/>
              </w:rPr>
              <w:t>BR-175</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SR-COM-023</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Select currency on accounts and report in several currencies</w:t>
            </w:r>
          </w:p>
        </w:tc>
        <w:tc>
          <w:tcPr>
            <w:tcW w:type="dxa" w:w="1433"/>
            <w:tcMar>
              <w:top w:w="50" w:type="dxa"/>
              <w:bottom w:w="50" w:type="dxa"/>
              <w:left w:w="90" w:type="dxa"/>
              <w:right w:w="90" w:type="dxa"/>
            </w:tcMar>
          </w:tcPr>
          <w:p>
            <w:pPr>
              <w:pStyle w:val="BDOITable"/>
            </w:pPr>
            <w:r>
              <w:rPr>
                <w:sz w:val="15"/>
              </w:rPr>
              <w:t>FR-CR-091</w:t>
            </w:r>
          </w:p>
        </w:tc>
        <w:tc>
          <w:tcPr>
            <w:tcW w:type="dxa" w:w="1791"/>
            <w:tcMar>
              <w:top w:w="50" w:type="dxa"/>
              <w:bottom w:w="50" w:type="dxa"/>
              <w:left w:w="90" w:type="dxa"/>
              <w:right w:w="90" w:type="dxa"/>
            </w:tcMar>
          </w:tcPr>
          <w:p>
            <w:pPr>
              <w:pStyle w:val="BDOITable"/>
            </w:pPr>
            <w:r>
              <w:rPr>
                <w:sz w:val="15"/>
              </w:rPr>
              <w:t>BR-027, BR-088</w:t>
            </w:r>
          </w:p>
        </w:tc>
        <w:tc>
          <w:tcPr>
            <w:tcW w:type="dxa" w:w="955"/>
            <w:tcMar>
              <w:top w:w="50" w:type="dxa"/>
              <w:bottom w:w="50" w:type="dxa"/>
              <w:left w:w="90" w:type="dxa"/>
              <w:right w:w="90" w:type="dxa"/>
            </w:tcMar>
          </w:tcPr>
          <w:p>
            <w:pPr>
              <w:pStyle w:val="BDOITable"/>
            </w:pPr>
            <w:r>
              <w:rPr>
                <w:sz w:val="15"/>
              </w:rPr>
              <w:t>Current phase</w:t>
            </w:r>
          </w:p>
        </w:tc>
      </w:tr>
      <w:tr>
        <w:trPr>
          <w:cantSplit w:val="true"/>
        </w:trPr>
        <w:tc>
          <w:tcPr>
            <w:tcW w:type="dxa" w:w="1194"/>
            <w:tcMar>
              <w:top w:w="50" w:type="dxa"/>
              <w:bottom w:w="50" w:type="dxa"/>
              <w:left w:w="90" w:type="dxa"/>
              <w:right w:w="90" w:type="dxa"/>
            </w:tcMar>
            <w:shd w:val="clear" w:color="auto" w:fill="E5F5FF"/>
          </w:tcPr>
          <w:p>
            <w:pPr>
              <w:pStyle w:val="BDOITable"/>
            </w:pPr>
            <w:r>
              <w:rPr>
                <w:b/>
                <w:sz w:val="15"/>
              </w:rPr>
              <w:t>SR-COM-024</w:t>
            </w:r>
          </w:p>
        </w:tc>
        <w:tc>
          <w:tcPr>
            <w:tcW w:type="dxa" w:w="776"/>
            <w:tcMar>
              <w:top w:w="50" w:type="dxa"/>
              <w:bottom w:w="50" w:type="dxa"/>
              <w:left w:w="90" w:type="dxa"/>
              <w:right w:w="90" w:type="dxa"/>
            </w:tcMar>
            <w:shd w:val="clear" w:color="auto" w:fill="E5F5FF"/>
          </w:tcPr>
          <w:p>
            <w:pPr>
              <w:pStyle w:val="BDOITable"/>
            </w:pPr>
            <w:r>
              <w:rPr>
                <w:sz w:val="15"/>
              </w:rPr>
              <w:t>BRD-00</w:t>
            </w:r>
          </w:p>
        </w:tc>
        <w:tc>
          <w:tcPr>
            <w:tcW w:type="dxa" w:w="3822"/>
            <w:tcMar>
              <w:top w:w="50" w:type="dxa"/>
              <w:bottom w:w="50" w:type="dxa"/>
              <w:left w:w="90" w:type="dxa"/>
              <w:right w:w="90" w:type="dxa"/>
            </w:tcMar>
            <w:shd w:val="clear" w:color="auto" w:fill="E5F5FF"/>
          </w:tcPr>
          <w:p>
            <w:pPr>
              <w:pStyle w:val="BDOITable"/>
            </w:pPr>
            <w:r>
              <w:rPr>
                <w:sz w:val="15"/>
              </w:rPr>
              <w:t>Apply the BDO brand, design system and user journeys on every screen</w:t>
            </w:r>
          </w:p>
        </w:tc>
        <w:tc>
          <w:tcPr>
            <w:tcW w:type="dxa" w:w="1433"/>
            <w:tcMar>
              <w:top w:w="50" w:type="dxa"/>
              <w:bottom w:w="50" w:type="dxa"/>
              <w:left w:w="90" w:type="dxa"/>
              <w:right w:w="90" w:type="dxa"/>
            </w:tcMar>
            <w:shd w:val="clear" w:color="auto" w:fill="E5F5FF"/>
          </w:tcPr>
          <w:p>
            <w:pPr>
              <w:pStyle w:val="BDOITable"/>
            </w:pPr>
            <w:r>
              <w:rPr>
                <w:sz w:val="15"/>
              </w:rPr>
              <w:t>FR-CR-092</w:t>
            </w:r>
          </w:p>
        </w:tc>
        <w:tc>
          <w:tcPr>
            <w:tcW w:type="dxa" w:w="1791"/>
            <w:tcMar>
              <w:top w:w="50" w:type="dxa"/>
              <w:bottom w:w="50" w:type="dxa"/>
              <w:left w:w="90" w:type="dxa"/>
              <w:right w:w="90" w:type="dxa"/>
            </w:tcMar>
            <w:shd w:val="clear" w:color="auto" w:fill="E5F5FF"/>
          </w:tcPr>
          <w:p>
            <w:pPr>
              <w:pStyle w:val="BDOITable"/>
            </w:pPr>
            <w:r>
              <w:rPr>
                <w:sz w:val="15"/>
              </w:rPr>
              <w:t>BR-178, BR-179, BR-180, BR-181, BR-183</w:t>
            </w:r>
          </w:p>
        </w:tc>
        <w:tc>
          <w:tcPr>
            <w:tcW w:type="dxa" w:w="955"/>
            <w:tcMar>
              <w:top w:w="50" w:type="dxa"/>
              <w:bottom w:w="50" w:type="dxa"/>
              <w:left w:w="90" w:type="dxa"/>
              <w:right w:w="90" w:type="dxa"/>
            </w:tcMar>
            <w:shd w:val="clear" w:color="auto" w:fill="E5F5FF"/>
          </w:tcPr>
          <w:p>
            <w:pPr>
              <w:pStyle w:val="BDOITable"/>
            </w:pPr>
            <w:r>
              <w:rPr>
                <w:sz w:val="15"/>
              </w:rPr>
              <w:t>Current phase</w:t>
            </w:r>
          </w:p>
        </w:tc>
      </w:tr>
      <w:tr>
        <w:trPr>
          <w:cantSplit w:val="true"/>
        </w:trPr>
        <w:tc>
          <w:tcPr>
            <w:tcW w:type="dxa" w:w="1194"/>
            <w:tcMar>
              <w:top w:w="50" w:type="dxa"/>
              <w:bottom w:w="50" w:type="dxa"/>
              <w:left w:w="90" w:type="dxa"/>
              <w:right w:w="90" w:type="dxa"/>
            </w:tcMar>
          </w:tcPr>
          <w:p>
            <w:pPr>
              <w:pStyle w:val="BDOITable"/>
            </w:pPr>
            <w:r>
              <w:rPr>
                <w:b/>
                <w:sz w:val="15"/>
              </w:rPr>
              <w:t>SR-COM-025</w:t>
            </w:r>
          </w:p>
        </w:tc>
        <w:tc>
          <w:tcPr>
            <w:tcW w:type="dxa" w:w="776"/>
            <w:tcMar>
              <w:top w:w="50" w:type="dxa"/>
              <w:bottom w:w="50" w:type="dxa"/>
              <w:left w:w="90" w:type="dxa"/>
              <w:right w:w="90" w:type="dxa"/>
            </w:tcMar>
          </w:tcPr>
          <w:p>
            <w:pPr>
              <w:pStyle w:val="BDOITable"/>
            </w:pPr>
            <w:r>
              <w:rPr>
                <w:sz w:val="15"/>
              </w:rPr>
              <w:t>BRD-00</w:t>
            </w:r>
          </w:p>
        </w:tc>
        <w:tc>
          <w:tcPr>
            <w:tcW w:type="dxa" w:w="3822"/>
            <w:tcMar>
              <w:top w:w="50" w:type="dxa"/>
              <w:bottom w:w="50" w:type="dxa"/>
              <w:left w:w="90" w:type="dxa"/>
              <w:right w:w="90" w:type="dxa"/>
            </w:tcMar>
          </w:tcPr>
          <w:p>
            <w:pPr>
              <w:pStyle w:val="BDOITable"/>
            </w:pPr>
            <w:r>
              <w:rPr>
                <w:sz w:val="15"/>
              </w:rPr>
              <w:t>Issue the SOA and the insurer's service invoice at booking</w:t>
            </w:r>
          </w:p>
        </w:tc>
        <w:tc>
          <w:tcPr>
            <w:tcW w:type="dxa" w:w="1433"/>
            <w:tcMar>
              <w:top w:w="50" w:type="dxa"/>
              <w:bottom w:w="50" w:type="dxa"/>
              <w:left w:w="90" w:type="dxa"/>
              <w:right w:w="90" w:type="dxa"/>
            </w:tcMar>
          </w:tcPr>
          <w:p>
            <w:pPr>
              <w:pStyle w:val="BDOITable"/>
            </w:pPr>
            <w:r>
              <w:rPr>
                <w:sz w:val="15"/>
              </w:rPr>
              <w:t>FR-CR-093</w:t>
            </w:r>
          </w:p>
        </w:tc>
        <w:tc>
          <w:tcPr>
            <w:tcW w:type="dxa" w:w="1791"/>
            <w:tcMar>
              <w:top w:w="50" w:type="dxa"/>
              <w:bottom w:w="50" w:type="dxa"/>
              <w:left w:w="90" w:type="dxa"/>
              <w:right w:w="90" w:type="dxa"/>
            </w:tcMar>
          </w:tcPr>
          <w:p>
            <w:pPr>
              <w:pStyle w:val="BDOITable"/>
            </w:pPr>
            <w:r>
              <w:rPr>
                <w:sz w:val="15"/>
              </w:rPr>
              <w:t>BR-039, BR-043</w:t>
            </w:r>
          </w:p>
        </w:tc>
        <w:tc>
          <w:tcPr>
            <w:tcW w:type="dxa" w:w="955"/>
            <w:tcMar>
              <w:top w:w="50" w:type="dxa"/>
              <w:bottom w:w="50" w:type="dxa"/>
              <w:left w:w="90" w:type="dxa"/>
              <w:right w:w="90" w:type="dxa"/>
            </w:tcMar>
          </w:tcPr>
          <w:p>
            <w:pPr>
              <w:pStyle w:val="BDOITable"/>
            </w:pPr>
            <w:r>
              <w:rPr>
                <w:sz w:val="15"/>
              </w:rPr>
              <w:t>Current phase</w:t>
            </w:r>
          </w:p>
        </w:tc>
      </w:tr>
    </w:tbl>
    <w:p>
      <w:pPr>
        <w:pStyle w:val="BDOISpacer"/>
      </w:pPr>
    </w:p>
    <w:p>
      <w:pPr>
        <w:pStyle w:val="Heading1"/>
        <w:pBdr>
          <w:bottom w:val="single" w:sz="4" w:space="4" w:color="99C1E7"/>
        </w:pBdr>
      </w:pPr>
      <w:bookmarkStart w:id="105" w:name="_Toc000105"/>
      <w:r>
        <w:rPr/>
        <w:t>5 Access</w:t>
      </w:r>
      <w:bookmarkEnd w:id="105"/>
    </w:p>
    <w:p>
      <w:r>
        <w:rPr/>
        <w:t>Users and their group-profile membership come from UIDM-ISC and users sign in through Microsoft Entra ID. Every action is checked by permission on the server and every record by the data scope of the user; makers never approve their own work. The Access Matrix of this pack lists, for each group profile, the screens it opens and the actions it may do, with the permission the server checks.</w:t>
      </w:r>
    </w:p>
    <w:p>
      <w:pPr>
        <w:pStyle w:val="Heading1"/>
        <w:pBdr>
          <w:bottom w:val="single" w:sz="4" w:space="4" w:color="99C1E7"/>
        </w:pBdr>
      </w:pPr>
      <w:bookmarkStart w:id="106" w:name="_Toc000106"/>
      <w:r>
        <w:rPr/>
        <w:t>6 Interfaces, reports and non-functional requirements</w:t>
      </w:r>
      <w:bookmarkEnd w:id="106"/>
    </w:p>
    <w:p>
      <w:r>
        <w:rPr/>
        <w:t>The interfaces of the module are specified in the Interface Specification of the pack and the reports, notices and jobs in its Reports, Notifications and Outputs document. The non-functional requirements of the platform apply to every module; the headline targets are:</w:t>
      </w:r>
    </w:p>
    <w:p>
      <w:pPr>
        <w:pStyle w:val="Caption"/>
        <w:keepNext/>
        <w:spacing w:after="60"/>
      </w:pPr>
      <w:r>
        <w:rPr>
          <w:b/>
          <w:i w:val="0"/>
        </w:rPr>
        <w:t xml:space="preserve">Table 3: </w:t>
      </w:r>
      <w:r>
        <w:rPr/>
        <w:t>Headline non-functional targets (full catalogue in the NFR document and register)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1802"/>
        <w:gridCol w:w="5647"/>
        <w:gridCol w:w="1321"/>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6"/>
              </w:rPr>
              <w:t>NFR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6"/>
              </w:rPr>
              <w:t>Target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1201"/>
            <w:tcMar>
              <w:top w:w="50" w:type="dxa"/>
              <w:bottom w:w="50" w:type="dxa"/>
              <w:left w:w="90" w:type="dxa"/>
              <w:right w:w="90" w:type="dxa"/>
            </w:tcMar>
          </w:tcPr>
          <w:p>
            <w:pPr>
              <w:pStyle w:val="BDOITable"/>
            </w:pPr>
            <w:r>
              <w:rPr>
                <w:b/>
                <w:sz w:val="16"/>
              </w:rPr>
              <w:t>NFR-PRF-01</w:t>
            </w:r>
          </w:p>
        </w:tc>
        <w:tc>
          <w:tcPr>
            <w:tcW w:type="dxa" w:w="1802"/>
            <w:tcMar>
              <w:top w:w="50" w:type="dxa"/>
              <w:bottom w:w="50" w:type="dxa"/>
              <w:left w:w="90" w:type="dxa"/>
              <w:right w:w="90" w:type="dxa"/>
            </w:tcMar>
          </w:tcPr>
          <w:p>
            <w:pPr>
              <w:pStyle w:val="BDOITable"/>
            </w:pPr>
            <w:r>
              <w:rPr>
                <w:sz w:val="16"/>
              </w:rPr>
              <w:t>Screen response time</w:t>
            </w:r>
          </w:p>
        </w:tc>
        <w:tc>
          <w:tcPr>
            <w:tcW w:type="dxa" w:w="5647"/>
            <w:tcMar>
              <w:top w:w="50" w:type="dxa"/>
              <w:bottom w:w="50" w:type="dxa"/>
              <w:left w:w="90" w:type="dxa"/>
              <w:right w:w="90" w:type="dxa"/>
            </w:tcMar>
          </w:tcPr>
          <w:p>
            <w:pPr>
              <w:pStyle w:val="BDOITable"/>
            </w:pPr>
            <w:r>
              <w:rPr>
                <w:sz w:val="16"/>
              </w:rPr>
              <w:t>p95 at most 2.0 seconds and p99 at most 4.0 seconds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NFR-PRF-02</w:t>
            </w:r>
          </w:p>
        </w:tc>
        <w:tc>
          <w:tcPr>
            <w:tcW w:type="dxa" w:w="1802"/>
            <w:tcMar>
              <w:top w:w="50" w:type="dxa"/>
              <w:bottom w:w="50" w:type="dxa"/>
              <w:left w:w="90" w:type="dxa"/>
              <w:right w:w="90" w:type="dxa"/>
            </w:tcMar>
            <w:shd w:val="clear" w:color="auto" w:fill="E5F5FF"/>
          </w:tcPr>
          <w:p>
            <w:pPr>
              <w:pStyle w:val="BDOITable"/>
            </w:pPr>
            <w:r>
              <w:rPr>
                <w:sz w:val="16"/>
              </w:rPr>
              <w:t>Search and work-list response time</w:t>
            </w:r>
          </w:p>
        </w:tc>
        <w:tc>
          <w:tcPr>
            <w:tcW w:type="dxa" w:w="5647"/>
            <w:tcMar>
              <w:top w:w="50" w:type="dxa"/>
              <w:bottom w:w="50" w:type="dxa"/>
              <w:left w:w="90" w:type="dxa"/>
              <w:right w:w="90" w:type="dxa"/>
            </w:tcMar>
            <w:shd w:val="clear" w:color="auto" w:fill="E5F5FF"/>
          </w:tcPr>
          <w:p>
            <w:pPr>
              <w:pStyle w:val="BDOITable"/>
            </w:pPr>
            <w:r>
              <w:rPr>
                <w:sz w:val="16"/>
              </w:rPr>
              <w:t>First page (up to 50 rows) p95 at most 3.0 seconds; each further page p95 at most 2.0 seconds</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NFR-PRF-03</w:t>
            </w:r>
          </w:p>
        </w:tc>
        <w:tc>
          <w:tcPr>
            <w:tcW w:type="dxa" w:w="1802"/>
            <w:tcMar>
              <w:top w:w="50" w:type="dxa"/>
              <w:bottom w:w="50" w:type="dxa"/>
              <w:left w:w="90" w:type="dxa"/>
              <w:right w:w="90" w:type="dxa"/>
            </w:tcMar>
          </w:tcPr>
          <w:p>
            <w:pPr>
              <w:pStyle w:val="BDOITable"/>
            </w:pPr>
            <w:r>
              <w:rPr>
                <w:sz w:val="16"/>
              </w:rPr>
              <w:t>Interactive reports</w:t>
            </w:r>
          </w:p>
        </w:tc>
        <w:tc>
          <w:tcPr>
            <w:tcW w:type="dxa" w:w="5647"/>
            <w:tcMar>
              <w:top w:w="50" w:type="dxa"/>
              <w:bottom w:w="50" w:type="dxa"/>
              <w:left w:w="90" w:type="dxa"/>
              <w:right w:w="90" w:type="dxa"/>
            </w:tcMar>
          </w:tcPr>
          <w:p>
            <w:pPr>
              <w:pStyle w:val="BDOITable"/>
            </w:pPr>
            <w:r>
              <w:rPr>
                <w:sz w:val="16"/>
              </w:rPr>
              <w:t>At most 20 seconds (p95) for a report of up to 30,000 rows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NFR-CAP-01</w:t>
            </w:r>
          </w:p>
        </w:tc>
        <w:tc>
          <w:tcPr>
            <w:tcW w:type="dxa" w:w="1802"/>
            <w:tcMar>
              <w:top w:w="50" w:type="dxa"/>
              <w:bottom w:w="50" w:type="dxa"/>
              <w:left w:w="90" w:type="dxa"/>
              <w:right w:w="90" w:type="dxa"/>
            </w:tcMar>
            <w:shd w:val="clear" w:color="auto" w:fill="E5F5FF"/>
          </w:tcPr>
          <w:p>
            <w:pPr>
              <w:pStyle w:val="BDOITable"/>
            </w:pPr>
            <w:r>
              <w:rPr>
                <w:sz w:val="16"/>
              </w:rPr>
              <w:t>Users</w:t>
            </w:r>
          </w:p>
        </w:tc>
        <w:tc>
          <w:tcPr>
            <w:tcW w:type="dxa" w:w="5647"/>
            <w:tcMar>
              <w:top w:w="50" w:type="dxa"/>
              <w:bottom w:w="50" w:type="dxa"/>
              <w:left w:w="90" w:type="dxa"/>
              <w:right w:w="90" w:type="dxa"/>
            </w:tcMar>
            <w:shd w:val="clear" w:color="auto" w:fill="E5F5FF"/>
          </w:tcPr>
          <w:p>
            <w:pPr>
              <w:pStyle w:val="BDOITable"/>
            </w:pPr>
            <w:r>
              <w:rPr>
                <w:sz w:val="16"/>
              </w:rPr>
              <w:t>1,344 named users; design load 150 concurrent users in year 1, growing 20% a year (311 in year 5); peak test at 429 concurrent sessions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NFR-CAP-02</w:t>
            </w:r>
          </w:p>
        </w:tc>
        <w:tc>
          <w:tcPr>
            <w:tcW w:type="dxa" w:w="1802"/>
            <w:tcMar>
              <w:top w:w="50" w:type="dxa"/>
              <w:bottom w:w="50" w:type="dxa"/>
              <w:left w:w="90" w:type="dxa"/>
              <w:right w:w="90" w:type="dxa"/>
            </w:tcMar>
          </w:tcPr>
          <w:p>
            <w:pPr>
              <w:pStyle w:val="BDOITable"/>
            </w:pPr>
            <w:r>
              <w:rPr>
                <w:sz w:val="16"/>
              </w:rPr>
              <w:t>Transaction volumes</w:t>
            </w:r>
          </w:p>
        </w:tc>
        <w:tc>
          <w:tcPr>
            <w:tcW w:type="dxa" w:w="5647"/>
            <w:tcMar>
              <w:top w:w="50" w:type="dxa"/>
              <w:bottom w:w="50" w:type="dxa"/>
              <w:left w:w="90" w:type="dxa"/>
              <w:right w:w="90" w:type="dxa"/>
            </w:tcMar>
          </w:tcPr>
          <w:p>
            <w:pPr>
              <w:pStyle w:val="BDOITable"/>
            </w:pPr>
            <w:r>
              <w:rPr>
                <w:sz w:val="16"/>
              </w:rPr>
              <w:t>Year 1: New Business 21,200 transactions and 1,300 endorsements a month; Renewal 25,800 a month; Collections 1,200 updates a day; Claims 55 bookings and 1,096 updates a day; CSF 144,400 a year; Submitted Policies 63,000 sanitations a year. Growth 20% a year (Submitted Policies 25%)</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NFR-AVL-01</w:t>
            </w:r>
          </w:p>
        </w:tc>
        <w:tc>
          <w:tcPr>
            <w:tcW w:type="dxa" w:w="1802"/>
            <w:tcMar>
              <w:top w:w="50" w:type="dxa"/>
              <w:bottom w:w="50" w:type="dxa"/>
              <w:left w:w="90" w:type="dxa"/>
              <w:right w:w="90" w:type="dxa"/>
            </w:tcMar>
            <w:shd w:val="clear" w:color="auto" w:fill="E5F5FF"/>
          </w:tcPr>
          <w:p>
            <w:pPr>
              <w:pStyle w:val="BDOITable"/>
            </w:pPr>
            <w:r>
              <w:rPr>
                <w:sz w:val="16"/>
              </w:rPr>
              <w:t>Availability in the service window</w:t>
            </w:r>
          </w:p>
        </w:tc>
        <w:tc>
          <w:tcPr>
            <w:tcW w:type="dxa" w:w="5647"/>
            <w:tcMar>
              <w:top w:w="50" w:type="dxa"/>
              <w:bottom w:w="50" w:type="dxa"/>
              <w:left w:w="90" w:type="dxa"/>
              <w:right w:w="90" w:type="dxa"/>
            </w:tcMar>
            <w:shd w:val="clear" w:color="auto" w:fill="E5F5FF"/>
          </w:tcPr>
          <w:p>
            <w:pPr>
              <w:pStyle w:val="BDOITable"/>
            </w:pPr>
            <w:r>
              <w:rPr>
                <w:sz w:val="16"/>
              </w:rPr>
              <w:t>99.9% of the service window each month (about 25 minutes of unplanned unavailability in a month of 26 service days)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NFR-AVL-02</w:t>
            </w:r>
          </w:p>
        </w:tc>
        <w:tc>
          <w:tcPr>
            <w:tcW w:type="dxa" w:w="1802"/>
            <w:tcMar>
              <w:top w:w="50" w:type="dxa"/>
              <w:bottom w:w="50" w:type="dxa"/>
              <w:left w:w="90" w:type="dxa"/>
              <w:right w:w="90" w:type="dxa"/>
            </w:tcMar>
          </w:tcPr>
          <w:p>
            <w:pPr>
              <w:pStyle w:val="BDOITable"/>
            </w:pPr>
            <w:r>
              <w:rPr>
                <w:sz w:val="16"/>
              </w:rPr>
              <w:t>Service window</w:t>
            </w:r>
          </w:p>
        </w:tc>
        <w:tc>
          <w:tcPr>
            <w:tcW w:type="dxa" w:w="5647"/>
            <w:tcMar>
              <w:top w:w="50" w:type="dxa"/>
              <w:bottom w:w="50" w:type="dxa"/>
              <w:left w:w="90" w:type="dxa"/>
              <w:right w:w="90" w:type="dxa"/>
            </w:tcMar>
          </w:tcPr>
          <w:p>
            <w:pPr>
              <w:pStyle w:val="BDOITable"/>
            </w:pPr>
            <w:r>
              <w:rPr>
                <w:sz w:val="16"/>
              </w:rPr>
              <w:t>06:00 to 22:00 PHT Monday to Saturday, plus month-end weekends; production infrastructure 24 x 7</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NFR-AVL-03</w:t>
            </w:r>
          </w:p>
        </w:tc>
        <w:tc>
          <w:tcPr>
            <w:tcW w:type="dxa" w:w="1802"/>
            <w:tcMar>
              <w:top w:w="50" w:type="dxa"/>
              <w:bottom w:w="50" w:type="dxa"/>
              <w:left w:w="90" w:type="dxa"/>
              <w:right w:w="90" w:type="dxa"/>
            </w:tcMar>
            <w:shd w:val="clear" w:color="auto" w:fill="E5F5FF"/>
          </w:tcPr>
          <w:p>
            <w:pPr>
              <w:pStyle w:val="BDOITable"/>
            </w:pPr>
            <w:r>
              <w:rPr>
                <w:sz w:val="16"/>
              </w:rPr>
              <w:t>Planned maintenance</w:t>
            </w:r>
          </w:p>
        </w:tc>
        <w:tc>
          <w:tcPr>
            <w:tcW w:type="dxa" w:w="5647"/>
            <w:tcMar>
              <w:top w:w="50" w:type="dxa"/>
              <w:bottom w:w="50" w:type="dxa"/>
              <w:left w:w="90" w:type="dxa"/>
              <w:right w:w="90" w:type="dxa"/>
            </w:tcMar>
            <w:shd w:val="clear" w:color="auto" w:fill="E5F5FF"/>
          </w:tcPr>
          <w:p>
            <w:pPr>
              <w:pStyle w:val="BDOITable"/>
            </w:pPr>
            <w:r>
              <w:rPr>
                <w:sz w:val="16"/>
              </w:rPr>
              <w:t>00:00 to 04:00 PHT; at most 45 minutes of planned downtime a month; announced 5 business days ahead; releases without downtime where the change allows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NFR-REC-01</w:t>
            </w:r>
          </w:p>
        </w:tc>
        <w:tc>
          <w:tcPr>
            <w:tcW w:type="dxa" w:w="1802"/>
            <w:tcMar>
              <w:top w:w="50" w:type="dxa"/>
              <w:bottom w:w="50" w:type="dxa"/>
              <w:left w:w="90" w:type="dxa"/>
              <w:right w:w="90" w:type="dxa"/>
            </w:tcMar>
          </w:tcPr>
          <w:p>
            <w:pPr>
              <w:pStyle w:val="BDOITable"/>
            </w:pPr>
            <w:r>
              <w:rPr>
                <w:sz w:val="16"/>
              </w:rPr>
              <w:t>Recovery point objective (RPO)</w:t>
            </w:r>
          </w:p>
        </w:tc>
        <w:tc>
          <w:tcPr>
            <w:tcW w:type="dxa" w:w="5647"/>
            <w:tcMar>
              <w:top w:w="50" w:type="dxa"/>
              <w:bottom w:w="50" w:type="dxa"/>
              <w:left w:w="90" w:type="dxa"/>
              <w:right w:w="90" w:type="dxa"/>
            </w:tcMar>
          </w:tcPr>
          <w:p>
            <w:pPr>
              <w:pStyle w:val="BDOITable"/>
            </w:pPr>
            <w:r>
              <w:rPr>
                <w:sz w:val="16"/>
              </w:rPr>
              <w:t>RPO at most 15 minutes for data and documents</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NFR-REC-02</w:t>
            </w:r>
          </w:p>
        </w:tc>
        <w:tc>
          <w:tcPr>
            <w:tcW w:type="dxa" w:w="1802"/>
            <w:tcMar>
              <w:top w:w="50" w:type="dxa"/>
              <w:bottom w:w="50" w:type="dxa"/>
              <w:left w:w="90" w:type="dxa"/>
              <w:right w:w="90" w:type="dxa"/>
            </w:tcMar>
            <w:shd w:val="clear" w:color="auto" w:fill="E5F5FF"/>
          </w:tcPr>
          <w:p>
            <w:pPr>
              <w:pStyle w:val="BDOITable"/>
            </w:pPr>
            <w:r>
              <w:rPr>
                <w:sz w:val="16"/>
              </w:rPr>
              <w:t>Recovery time objective (RTO)</w:t>
            </w:r>
          </w:p>
        </w:tc>
        <w:tc>
          <w:tcPr>
            <w:tcW w:type="dxa" w:w="5647"/>
            <w:tcMar>
              <w:top w:w="50" w:type="dxa"/>
              <w:bottom w:w="50" w:type="dxa"/>
              <w:left w:w="90" w:type="dxa"/>
              <w:right w:w="90" w:type="dxa"/>
            </w:tcMar>
            <w:shd w:val="clear" w:color="auto" w:fill="E5F5FF"/>
          </w:tcPr>
          <w:p>
            <w:pPr>
              <w:pStyle w:val="BDOITable"/>
            </w:pPr>
            <w:r>
              <w:rPr>
                <w:sz w:val="16"/>
              </w:rPr>
              <w:t>RTO at most 4 hours; sign-in, Cashiering, Remittance, booking and the GL first</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NFR-REC-03</w:t>
            </w:r>
          </w:p>
        </w:tc>
        <w:tc>
          <w:tcPr>
            <w:tcW w:type="dxa" w:w="1802"/>
            <w:tcMar>
              <w:top w:w="50" w:type="dxa"/>
              <w:bottom w:w="50" w:type="dxa"/>
              <w:left w:w="90" w:type="dxa"/>
              <w:right w:w="90" w:type="dxa"/>
            </w:tcMar>
          </w:tcPr>
          <w:p>
            <w:pPr>
              <w:pStyle w:val="BDOITable"/>
            </w:pPr>
            <w:r>
              <w:rPr>
                <w:sz w:val="16"/>
              </w:rPr>
              <w:t>Backup</w:t>
            </w:r>
          </w:p>
        </w:tc>
        <w:tc>
          <w:tcPr>
            <w:tcW w:type="dxa" w:w="5647"/>
            <w:tcMar>
              <w:top w:w="50" w:type="dxa"/>
              <w:bottom w:w="50" w:type="dxa"/>
              <w:left w:w="90" w:type="dxa"/>
              <w:right w:w="90" w:type="dxa"/>
            </w:tcMar>
          </w:tcPr>
          <w:p>
            <w:pPr>
              <w:pStyle w:val="BDOITable"/>
            </w:pPr>
            <w:r>
              <w:rPr>
                <w:sz w:val="16"/>
              </w:rPr>
              <w:t>Continuous transaction-log archiving plus a base backup every 4 hours; backups encrypted and kept 7 years; document store versioned with cross-region replication</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NFR-SEC-01</w:t>
            </w:r>
          </w:p>
        </w:tc>
        <w:tc>
          <w:tcPr>
            <w:tcW w:type="dxa" w:w="1802"/>
            <w:tcMar>
              <w:top w:w="50" w:type="dxa"/>
              <w:bottom w:w="50" w:type="dxa"/>
              <w:left w:w="90" w:type="dxa"/>
              <w:right w:w="90" w:type="dxa"/>
            </w:tcMar>
            <w:shd w:val="clear" w:color="auto" w:fill="E5F5FF"/>
          </w:tcPr>
          <w:p>
            <w:pPr>
              <w:pStyle w:val="BDOITable"/>
            </w:pPr>
            <w:r>
              <w:rPr>
                <w:sz w:val="16"/>
              </w:rPr>
              <w:t>Single sign-on with EIAM</w:t>
            </w:r>
          </w:p>
        </w:tc>
        <w:tc>
          <w:tcPr>
            <w:tcW w:type="dxa" w:w="5647"/>
            <w:tcMar>
              <w:top w:w="50" w:type="dxa"/>
              <w:bottom w:w="50" w:type="dxa"/>
              <w:left w:w="90" w:type="dxa"/>
              <w:right w:w="90" w:type="dxa"/>
            </w:tcMar>
            <w:shd w:val="clear" w:color="auto" w:fill="E5F5FF"/>
          </w:tcPr>
          <w:p>
            <w:pPr>
              <w:pStyle w:val="BDOITable"/>
            </w:pPr>
            <w:r>
              <w:rPr>
                <w:sz w:val="16"/>
              </w:rPr>
              <w:t>Every BDO user signs in through EIAM (Microsoft Entra ID) by OpenID Connect or SAML 2.0; local passwords only for the named break-glass administrators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NFR-SEC-05</w:t>
            </w:r>
          </w:p>
        </w:tc>
        <w:tc>
          <w:tcPr>
            <w:tcW w:type="dxa" w:w="1802"/>
            <w:tcMar>
              <w:top w:w="50" w:type="dxa"/>
              <w:bottom w:w="50" w:type="dxa"/>
              <w:left w:w="90" w:type="dxa"/>
              <w:right w:w="90" w:type="dxa"/>
            </w:tcMar>
          </w:tcPr>
          <w:p>
            <w:pPr>
              <w:pStyle w:val="BDOITable"/>
            </w:pPr>
            <w:r>
              <w:rPr>
                <w:sz w:val="16"/>
              </w:rPr>
              <w:t>Session and lock-out</w:t>
            </w:r>
          </w:p>
        </w:tc>
        <w:tc>
          <w:tcPr>
            <w:tcW w:type="dxa" w:w="5647"/>
            <w:tcMar>
              <w:top w:w="50" w:type="dxa"/>
              <w:bottom w:w="50" w:type="dxa"/>
              <w:left w:w="90" w:type="dxa"/>
              <w:right w:w="90" w:type="dxa"/>
            </w:tcMar>
          </w:tcPr>
          <w:p>
            <w:pPr>
              <w:pStyle w:val="BDOITable"/>
            </w:pPr>
            <w:r>
              <w:rPr>
                <w:sz w:val="16"/>
              </w:rPr>
              <w:t>Inactivity warning at 15 minutes and sign-out at 30 minutes; absolute session end 8 hours; lock-out after 3 consecutive failed attempts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NFR-ACC-01</w:t>
            </w:r>
          </w:p>
        </w:tc>
        <w:tc>
          <w:tcPr>
            <w:tcW w:type="dxa" w:w="1802"/>
            <w:tcMar>
              <w:top w:w="50" w:type="dxa"/>
              <w:bottom w:w="50" w:type="dxa"/>
              <w:left w:w="90" w:type="dxa"/>
              <w:right w:w="90" w:type="dxa"/>
            </w:tcMar>
            <w:shd w:val="clear" w:color="auto" w:fill="E5F5FF"/>
          </w:tcPr>
          <w:p>
            <w:pPr>
              <w:pStyle w:val="BDOITable"/>
            </w:pPr>
            <w:r>
              <w:rPr>
                <w:sz w:val="16"/>
              </w:rPr>
              <w:t>WCAG 2.2 level AA</w:t>
            </w:r>
          </w:p>
        </w:tc>
        <w:tc>
          <w:tcPr>
            <w:tcW w:type="dxa" w:w="5647"/>
            <w:tcMar>
              <w:top w:w="50" w:type="dxa"/>
              <w:bottom w:w="50" w:type="dxa"/>
              <w:left w:w="90" w:type="dxa"/>
              <w:right w:w="90" w:type="dxa"/>
            </w:tcMar>
            <w:shd w:val="clear" w:color="auto" w:fill="E5F5FF"/>
          </w:tcPr>
          <w:p>
            <w:pPr>
              <w:pStyle w:val="BDOITable"/>
            </w:pPr>
            <w:r>
              <w:rPr>
                <w:sz w:val="16"/>
              </w:rPr>
              <w:t>0 open level A or AA failures on the screens of each sign-off set; 0 serious or critical issues in the scan of every screen</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NFR-USE-01</w:t>
            </w:r>
          </w:p>
        </w:tc>
        <w:tc>
          <w:tcPr>
            <w:tcW w:type="dxa" w:w="1802"/>
            <w:tcMar>
              <w:top w:w="50" w:type="dxa"/>
              <w:bottom w:w="50" w:type="dxa"/>
              <w:left w:w="90" w:type="dxa"/>
              <w:right w:w="90" w:type="dxa"/>
            </w:tcMar>
          </w:tcPr>
          <w:p>
            <w:pPr>
              <w:pStyle w:val="BDOITable"/>
            </w:pPr>
            <w:r>
              <w:rPr>
                <w:sz w:val="16"/>
              </w:rPr>
              <w:t>Low-click navigation</w:t>
            </w:r>
          </w:p>
        </w:tc>
        <w:tc>
          <w:tcPr>
            <w:tcW w:type="dxa" w:w="5647"/>
            <w:tcMar>
              <w:top w:w="50" w:type="dxa"/>
              <w:bottom w:w="50" w:type="dxa"/>
              <w:left w:w="90" w:type="dxa"/>
              <w:right w:w="90" w:type="dxa"/>
            </w:tcMar>
          </w:tcPr>
          <w:p>
            <w:pPr>
              <w:pStyle w:val="BDOITable"/>
            </w:pPr>
            <w:r>
              <w:rPr>
                <w:sz w:val="16"/>
              </w:rPr>
              <w:t>Any daily task reached in at most 2 clicks from the role home page or the menu; a record opened from a search result in 1 click; the main action of a record (submit, approve) at most 1 click away</w:t>
            </w:r>
          </w:p>
        </w:tc>
        <w:tc>
          <w:tcPr>
            <w:tcW w:type="dxa" w:w="1322"/>
            <w:tcMar>
              <w:top w:w="50" w:type="dxa"/>
              <w:bottom w:w="50" w:type="dxa"/>
              <w:left w:w="90" w:type="dxa"/>
              <w:right w:w="90" w:type="dxa"/>
            </w:tcMar>
          </w:tcPr>
          <w:p>
            <w:pPr>
              <w:pStyle w:val="BDOITable"/>
            </w:pPr>
            <w:r>
              <w:rPr>
                <w:sz w:val="16"/>
              </w:rPr>
              <w:t>PROPOSED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NFR-RSP-01</w:t>
            </w:r>
          </w:p>
        </w:tc>
        <w:tc>
          <w:tcPr>
            <w:tcW w:type="dxa" w:w="1802"/>
            <w:tcMar>
              <w:top w:w="50" w:type="dxa"/>
              <w:bottom w:w="50" w:type="dxa"/>
              <w:left w:w="90" w:type="dxa"/>
              <w:right w:w="90" w:type="dxa"/>
            </w:tcMar>
            <w:shd w:val="clear" w:color="auto" w:fill="E5F5FF"/>
          </w:tcPr>
          <w:p>
            <w:pPr>
              <w:pStyle w:val="BDOITable"/>
            </w:pPr>
            <w:r>
              <w:rPr>
                <w:sz w:val="16"/>
              </w:rPr>
              <w:t>Responsive layout</w:t>
            </w:r>
          </w:p>
        </w:tc>
        <w:tc>
          <w:tcPr>
            <w:tcW w:type="dxa" w:w="5647"/>
            <w:tcMar>
              <w:top w:w="50" w:type="dxa"/>
              <w:bottom w:w="50" w:type="dxa"/>
              <w:left w:w="90" w:type="dxa"/>
              <w:right w:w="90" w:type="dxa"/>
            </w:tcMar>
            <w:shd w:val="clear" w:color="auto" w:fill="E5F5FF"/>
          </w:tcPr>
          <w:p>
            <w:pPr>
              <w:pStyle w:val="BDOITable"/>
            </w:pPr>
            <w:r>
              <w:rPr>
                <w:sz w:val="16"/>
              </w:rPr>
              <w:t>Every screen usable from 360 to 1920 pixels wide with no horizontal page scroll; wide tables scroll inside their frame or collapse to cards on phones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NFR-RET-01</w:t>
            </w:r>
          </w:p>
        </w:tc>
        <w:tc>
          <w:tcPr>
            <w:tcW w:type="dxa" w:w="1802"/>
            <w:tcMar>
              <w:top w:w="50" w:type="dxa"/>
              <w:bottom w:w="50" w:type="dxa"/>
              <w:left w:w="90" w:type="dxa"/>
              <w:right w:w="90" w:type="dxa"/>
            </w:tcMar>
          </w:tcPr>
          <w:p>
            <w:pPr>
              <w:pStyle w:val="BDOITable"/>
            </w:pPr>
            <w:r>
              <w:rPr>
                <w:sz w:val="16"/>
              </w:rPr>
              <w:t>Retention per record type</w:t>
            </w:r>
          </w:p>
        </w:tc>
        <w:tc>
          <w:tcPr>
            <w:tcW w:type="dxa" w:w="5647"/>
            <w:tcMar>
              <w:top w:w="50" w:type="dxa"/>
              <w:bottom w:w="50" w:type="dxa"/>
              <w:left w:w="90" w:type="dxa"/>
              <w:right w:w="90" w:type="dxa"/>
            </w:tcMar>
          </w:tcPr>
          <w:p>
            <w:pPr>
              <w:pStyle w:val="BDOITable"/>
            </w:pPr>
            <w:r>
              <w:rPr>
                <w:sz w:val="16"/>
              </w:rPr>
              <w:t>Default 5 years online and 15 years archive; Claims 10 years online and 15 archive; Accounting vouchers and reports, Sanction Screening and Submitted Policies 5 years online and 5 archive</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NFR-MNT-02</w:t>
            </w:r>
          </w:p>
        </w:tc>
        <w:tc>
          <w:tcPr>
            <w:tcW w:type="dxa" w:w="1802"/>
            <w:tcMar>
              <w:top w:w="50" w:type="dxa"/>
              <w:bottom w:w="50" w:type="dxa"/>
              <w:left w:w="90" w:type="dxa"/>
              <w:right w:w="90" w:type="dxa"/>
            </w:tcMar>
            <w:shd w:val="clear" w:color="auto" w:fill="E5F5FF"/>
          </w:tcPr>
          <w:p>
            <w:pPr>
              <w:pStyle w:val="BDOITable"/>
            </w:pPr>
            <w:r>
              <w:rPr>
                <w:sz w:val="16"/>
              </w:rPr>
              <w:t>Code coverage</w:t>
            </w:r>
          </w:p>
        </w:tc>
        <w:tc>
          <w:tcPr>
            <w:tcW w:type="dxa" w:w="5647"/>
            <w:tcMar>
              <w:top w:w="50" w:type="dxa"/>
              <w:bottom w:w="50" w:type="dxa"/>
              <w:left w:w="90" w:type="dxa"/>
              <w:right w:w="90" w:type="dxa"/>
            </w:tcMar>
            <w:shd w:val="clear" w:color="auto" w:fill="E5F5FF"/>
          </w:tcPr>
          <w:p>
            <w:pPr>
              <w:pStyle w:val="BDOITable"/>
            </w:pPr>
            <w:r>
              <w:rPr>
                <w:sz w:val="16"/>
              </w:rPr>
              <w:t>Line coverage above 90% on new and changed code (new-code gate of SonarQube); overall line coverage at least 80% and branch coverage at least 65%</w:t>
            </w:r>
          </w:p>
        </w:tc>
        <w:tc>
          <w:tcPr>
            <w:tcW w:type="dxa" w:w="1322"/>
            <w:tcMar>
              <w:top w:w="50" w:type="dxa"/>
              <w:bottom w:w="50" w:type="dxa"/>
              <w:left w:w="90" w:type="dxa"/>
              <w:right w:w="90" w:type="dxa"/>
            </w:tcMar>
            <w:shd w:val="clear" w:color="auto" w:fill="E5F5FF"/>
          </w:tcPr>
          <w:p>
            <w:pPr>
              <w:pStyle w:val="BDOITable"/>
            </w:pPr>
            <w:r>
              <w:rPr>
                <w:sz w:val="16"/>
              </w:rPr>
              <w:t>PROPOSED</w:t>
            </w:r>
          </w:p>
        </w:tc>
      </w:tr>
    </w:tbl>
    <w:p>
      <w:pPr>
        <w:pStyle w:val="BDOISpacer"/>
      </w:pPr>
    </w:p>
    <w:p>
      <w:pPr>
        <w:pStyle w:val="Heading1"/>
        <w:pBdr>
          <w:bottom w:val="single" w:sz="4" w:space="4" w:color="99C1E7"/>
        </w:pBdr>
      </w:pPr>
      <w:bookmarkStart w:id="107" w:name="_Toc000107"/>
      <w:r>
        <w:rPr/>
        <w:t>7 Acceptance</w:t>
      </w:r>
      <w:bookmarkEnd w:id="107"/>
    </w:p>
    <w:p>
      <w:pPr>
        <w:tabs>
          <w:tab w:pos="312" w:val="left"/>
        </w:tabs>
        <w:spacing w:after="40"/>
        <w:ind w:left="312" w:hanging="283"/>
      </w:pPr>
      <w:r>
        <w:rPr>
          <w:color w:val="004EA8"/>
        </w:rPr>
        <w:t>•</w:t>
        <w:tab/>
      </w:r>
      <w:r>
        <w:rPr/>
        <w:t>Each system requirement is shown by the test cases of the test plan and the walkthroughs of the pack; the End-to-End Conformance Register v1.7 gives its result today.</w:t>
      </w:r>
    </w:p>
    <w:p>
      <w:pPr>
        <w:tabs>
          <w:tab w:pos="312" w:val="left"/>
        </w:tabs>
        <w:spacing w:after="40"/>
        <w:ind w:left="312" w:hanging="283"/>
      </w:pPr>
      <w:r>
        <w:rPr>
          <w:color w:val="004EA8"/>
        </w:rPr>
        <w:t>•</w:t>
        <w:tab/>
      </w:r>
      <w:r>
        <w:rPr/>
        <w:t>UAT sign-off of the module by its product owner, on the business scenarios of the pack.</w:t>
      </w:r>
    </w:p>
    <w:p>
      <w:pPr>
        <w:tabs>
          <w:tab w:pos="312" w:val="left"/>
        </w:tabs>
        <w:spacing w:after="120"/>
        <w:ind w:left="312" w:hanging="283"/>
      </w:pPr>
      <w:r>
        <w:rPr>
          <w:color w:val="004EA8"/>
        </w:rPr>
        <w:t>•</w:t>
        <w:tab/>
      </w:r>
      <w:r>
        <w:rPr/>
        <w:t>A change to a requirement passes the change-control process and updates the FRS, this extract and the traceability matrix.</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SRS extract - User Access Maintenance</w:t>
    </w:r>
    <w:r>
      <w:rPr>
        <w:color w:val="656565"/>
        <w:sz w:val="16"/>
      </w:rPr>
      <w:t xml:space="preserve">   System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SRS BRD-11 User Access Maintenance System Requirements Extract v1.2</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