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BRD-05 Accounting, Disbursement and ACSL Sign-off Pack,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BIBS-SH-BRD-05</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BRD-5 Accounting, Disbursement and ACSL business sign-off pack (replaces the cover note of the two FRS volumes)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Ronald Allan E. De Leon, VP, Head -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Iris S. Marquez (FRBS and ACSL), Rodrigo R. Dela Cruz (Disbursement), Perjelyn Joy R. Gutierrez (Comptrollership and Operations), Shellah Marie C. Miranda (Marketing, Processing and Collections), Roderick L. Lim (Institutional Banking, SM and BDO Accounts)</w:t>
            </w:r>
          </w:p>
        </w:tc>
        <w:tc>
          <w:tcPr>
            <w:tcW w:type="dxa" w:w="2266"/>
            <w:tcMar>
              <w:top w:w="50" w:type="dxa"/>
              <w:bottom w:w="50" w:type="dxa"/>
              <w:left w:w="90" w:type="dxa"/>
              <w:right w:w="90" w:type="dxa"/>
            </w:tcMar>
            <w:shd w:val="clear" w:color="auto" w:fill="E5F5FF"/>
          </w:tcPr>
          <w:p>
            <w:pPr>
              <w:pStyle w:val="BDOITable"/>
            </w:pPr>
            <w:r>
              <w:rPr>
                <w:sz w:val="18"/>
              </w:rPr>
              <w:t>Approvers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Sign-off of the rows of their units</w:t>
            </w:r>
          </w:p>
        </w:tc>
      </w:tr>
      <w:tr>
        <w:trPr>
          <w:cantSplit w:val="true"/>
        </w:trPr>
        <w:tc>
          <w:tcPr>
            <w:tcW w:type="dxa" w:w="2606"/>
            <w:tcMar>
              <w:top w:w="50" w:type="dxa"/>
              <w:bottom w:w="50" w:type="dxa"/>
              <w:left w:w="90" w:type="dxa"/>
              <w:right w:w="90" w:type="dxa"/>
            </w:tcMar>
          </w:tcPr>
          <w:p>
            <w:pPr>
              <w:pStyle w:val="BDOITable"/>
            </w:pPr>
            <w:r>
              <w:rPr>
                <w:sz w:val="18"/>
              </w:rPr>
              <w:t>Freddie A. Atanque and Jennifer T. Lugtu, Product Owners - Comptrollership - ACSL</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ACSL, Disbursement and Accounting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(Ma. Fides Rivera, Ruby Evangelista, Darryl Castillo, Rhommel Mark Galler)</w:t>
            </w:r>
          </w:p>
        </w:tc>
        <w:tc>
          <w:tcPr>
            <w:tcW w:type="dxa" w:w="2266"/>
            <w:tcMar>
              <w:top w:w="50" w:type="dxa"/>
              <w:bottom w:w="50" w:type="dxa"/>
              <w:left w:w="90" w:type="dxa"/>
              <w:right w:w="90" w:type="dxa"/>
            </w:tcMar>
            <w:shd w:val="clear" w:color="auto" w:fill="E5F5FF"/>
          </w:tcPr>
          <w:p>
            <w:pPr>
              <w:pStyle w:val="BDOITable"/>
            </w:pPr>
            <w:r>
              <w:rPr>
                <w:sz w:val="18"/>
              </w:rPr>
              <w:t>Input providers and 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Marketing request screens and of the non-functional requirements</w:t>
            </w:r>
          </w:p>
        </w:tc>
      </w:tr>
      <w:tr>
        <w:trPr>
          <w:cantSplit w:val="true"/>
        </w:trPr>
        <w:tc>
          <w:tcPr>
            <w:tcW w:type="dxa" w:w="2606"/>
            <w:tcMar>
              <w:top w:w="50" w:type="dxa"/>
              <w:bottom w:w="50" w:type="dxa"/>
              <w:left w:w="90" w:type="dxa"/>
              <w:right w:w="90" w:type="dxa"/>
            </w:tcMar>
          </w:tcPr>
          <w:p>
            <w:pPr>
              <w:pStyle w:val="BDOITable"/>
            </w:pPr>
            <w:r>
              <w:rPr>
                <w:sz w:val="18"/>
              </w:rPr>
              <w:t>GL team, Disbursement, ACSL, Marketing requesters and approvers, Human Resources, Cashiering and Remittance</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Technology Group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Scheduled runs, files, bank files and forms, access; the Technical Specification</w:t>
            </w:r>
          </w:p>
        </w:tc>
      </w:tr>
      <w:tr>
        <w:trPr>
          <w:cantSplit w:val="true"/>
        </w:trPr>
        <w:tc>
          <w:tcPr>
            <w:tcW w:type="dxa" w:w="2606"/>
            <w:tcMar>
              <w:top w:w="50" w:type="dxa"/>
              <w:bottom w:w="50" w:type="dxa"/>
              <w:left w:w="90" w:type="dxa"/>
              <w:right w:w="90" w:type="dxa"/>
            </w:tcMar>
          </w:tcPr>
          <w:p>
            <w:pPr>
              <w:pStyle w:val="BDOITable"/>
            </w:pPr>
            <w:r>
              <w:rPr>
                <w:sz w:val="18"/>
              </w:rPr>
              <w:t>Dan Ace R. Cauton, Roda Lyn D. Gallardo, Zean C. Ibay and Jane Tagle, ESG -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6</w:t>
        </w:r>
      </w:hyperlink>
    </w:p>
    <w:p>
      <w:pPr>
        <w:pStyle w:val="toc1"/>
      </w:pPr>
      <w:hyperlink w:anchor="_Toc000105" w:history="1">
        <w:r>
          <w:t xml:space="preserve">5 Who signs what</w:t>
        </w:r>
        <w:r>
          <w:t xml:space="preserve">	</w:t>
        </w:r>
        <w:r>
          <w:t xml:space="preserve">7</w:t>
        </w:r>
      </w:hyperlink>
    </w:p>
    <w:p>
      <w:pPr>
        <w:pStyle w:val="toc1"/>
      </w:pPr>
      <w:hyperlink w:anchor="_Toc000106" w:history="1">
        <w:r>
          <w:t xml:space="preserve">6 Change control after sign-off</w:t>
        </w:r>
        <w:r>
          <w:t xml:space="preserve">	</w:t>
        </w:r>
        <w:r>
          <w:t xml:space="preserve">9</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BRD-5 Accounting, Disbursement and ACSL of BIBS, screen by screen, so that Comptrollership (the GL team of FRBS, Disbursement and ACSL), Marketing and Human Resources can confirm what they will get and sign it off: the journals, the chart of accounts and the rates, the month-end and year-end closing, the bank reconciliation, the report pack, the account schedules, the service fee and the BIR outputs; the payees, the payment requests and the disbursement vouchers with their entries and instruments, the end of day, the account funding, the bank accounts and checks; the Marketing refund, cash-advance and check-cancellation requests; the insurer statements of account, the GL-SL reconciliation, the ACSL cases and the correction entries. The two volumes of the FRS of version 1.0 are combined into one FRS. Signing freezes the content, the screens and the navigation of the set;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BRD-05_Accounting_Disbursement_ACSL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00_BIBS_StartHere_BRD-05_Accounting_Disbursement_ACSL_v2.0.docx</w:t>
            </w:r>
          </w:p>
        </w:tc>
        <w:tc>
          <w:tcPr>
            <w:tcW w:type="dxa" w:w="3626"/>
            <w:tcMar>
              <w:top w:w="50" w:type="dxa"/>
              <w:bottom w:w="50" w:type="dxa"/>
              <w:left w:w="90" w:type="dxa"/>
              <w:right w:w="90" w:type="dxa"/>
            </w:tcMar>
          </w:tcPr>
          <w:p>
            <w:pPr>
              <w:pStyle w:val="BDOITable"/>
            </w:pPr>
            <w:r>
              <w:rPr>
                <w:sz w:val="15"/>
              </w:rPr>
              <w:t>Start Here: the map of the pack, who reads what, who signs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01_BIBS_GuideDeck_BRD-05_Accounting_Disbursement_ACSL_v2.0.pptx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and impacts on other modules,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Head of Comptrollership, the product owners of FRBS, Disbursement, ACSL and Marketing;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02_BIBS_FRS_BRD-05_Accounting_Disbursement_ACSL_v2.0.docx</w:t>
            </w:r>
          </w:p>
        </w:tc>
        <w:tc>
          <w:tcPr>
            <w:tcW w:type="dxa" w:w="3626"/>
            <w:tcMar>
              <w:top w:w="50" w:type="dxa"/>
              <w:bottom w:w="50" w:type="dxa"/>
              <w:left w:w="90" w:type="dxa"/>
              <w:right w:w="90" w:type="dxa"/>
            </w:tcMar>
          </w:tcPr>
          <w:p>
            <w:pPr>
              <w:pStyle w:val="BDOITable"/>
            </w:pPr>
            <w:r>
              <w:rPr>
                <w:sz w:val="15"/>
              </w:rPr>
              <w:t>Functional Requirements Specification v2.0: requirements of the two former volumes in one document, navigation, 51 screen specifications with screenshots, five walkthroughs, messages, notifications, documents, upload templates, cross-BRD contract</w:t>
            </w:r>
          </w:p>
        </w:tc>
        <w:tc>
          <w:tcPr>
            <w:tcW w:type="dxa" w:w="1926"/>
            <w:tcMar>
              <w:top w:w="50" w:type="dxa"/>
              <w:bottom w:w="50" w:type="dxa"/>
              <w:left w:w="90" w:type="dxa"/>
              <w:right w:w="90" w:type="dxa"/>
            </w:tcMar>
          </w:tcPr>
          <w:p>
            <w:pPr>
              <w:pStyle w:val="BDOITable"/>
            </w:pPr>
            <w:r>
              <w:rPr>
                <w:sz w:val="15"/>
              </w:rPr>
              <w:t>The GL team, Disbursement, ACSL and the Marketing requesters for their sections; Operations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03_BIBS_Signoff_BRD-05_Accounting_Disbursement_ACSL_v2.0.xlsx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approvers sign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04_BIBS_TestPlan_BRD-05_Accounting_Disbursement_ACSL_v2.0.xlsx</w:t>
            </w:r>
          </w:p>
        </w:tc>
        <w:tc>
          <w:tcPr>
            <w:tcW w:type="dxa" w:w="3626"/>
            <w:tcMar>
              <w:top w:w="50" w:type="dxa"/>
              <w:bottom w:w="50" w:type="dxa"/>
              <w:left w:w="90" w:type="dxa"/>
              <w:right w:w="90" w:type="dxa"/>
            </w:tcMar>
          </w:tcPr>
          <w:p>
            <w:pPr>
              <w:pStyle w:val="BDOITable"/>
            </w:pPr>
            <w:r>
              <w:rPr>
                <w:sz w:val="15"/>
              </w:rPr>
              <w:t>Test plan workbook: the test cases of both former volumes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05_BIBS_TestPlan_BRD-05_Accounting_Disbursement_ACSL_Summary_v2.0.docx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Product owners,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07_BIBS_UXDeck_BRD-05_Accounting_Disbursement_ACSL_v2.0.pptx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walkthrough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08_BIBS_UXScreens_BRD-05_Accounting_Disbursement_ACSL_v2.0.xlsx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walkthrough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09_BIBS_UXScreens_BRD-05_Accounting_Disbursement_ACSL_v2.0.zip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Approvers (Head of Comptrollership; product owners of FRBS and ACSL, Disbursement, Comptrollership and Operations, Marketing)</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20 (sign-off) and 21 (proposed rules for confirmation);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GL team (GL Officers, GL Team Lead, GL Section Head)</w:t>
            </w:r>
          </w:p>
        </w:tc>
        <w:tc>
          <w:tcPr>
            <w:tcW w:type="dxa" w:w="7592"/>
            <w:tcMar>
              <w:top w:w="50" w:type="dxa"/>
              <w:bottom w:w="50" w:type="dxa"/>
              <w:left w:w="90" w:type="dxa"/>
              <w:right w:w="90" w:type="dxa"/>
            </w:tcMar>
            <w:shd w:val="clear" w:color="auto" w:fill="E5F5FF"/>
          </w:tcPr>
          <w:p>
            <w:pPr>
              <w:pStyle w:val="BDOITable"/>
            </w:pPr>
            <w:r>
              <w:rPr>
                <w:sz w:val="16"/>
              </w:rPr>
              <w:t>FRS sections 4.1 to 4.10; the screens SCR-AC-01 to 24 of chapter 13; walkthroughs A and D; messages in chapter 15; configuration in chapter 9</w:t>
            </w:r>
          </w:p>
        </w:tc>
      </w:tr>
      <w:tr>
        <w:tc>
          <w:tcPr>
            <w:tcW w:type="dxa" w:w="2380"/>
            <w:tcMar>
              <w:top w:w="50" w:type="dxa"/>
              <w:bottom w:w="50" w:type="dxa"/>
              <w:left w:w="90" w:type="dxa"/>
              <w:right w:w="90" w:type="dxa"/>
            </w:tcMar>
          </w:tcPr>
          <w:p>
            <w:pPr>
              <w:pStyle w:val="BDOITable"/>
            </w:pPr>
            <w:r>
              <w:rPr>
                <w:b/>
                <w:sz w:val="16"/>
              </w:rPr>
              <w:t>Disbursement (Processors, Team Leaders, Approvers)</w:t>
            </w:r>
          </w:p>
        </w:tc>
        <w:tc>
          <w:tcPr>
            <w:tcW w:type="dxa" w:w="7592"/>
            <w:tcMar>
              <w:top w:w="50" w:type="dxa"/>
              <w:bottom w:w="50" w:type="dxa"/>
              <w:left w:w="90" w:type="dxa"/>
              <w:right w:w="90" w:type="dxa"/>
            </w:tcMar>
          </w:tcPr>
          <w:p>
            <w:pPr>
              <w:pStyle w:val="BDOITable"/>
            </w:pPr>
            <w:r>
              <w:rPr>
                <w:sz w:val="16"/>
              </w:rPr>
              <w:t>FRS section 4.11; the screens SCR-AC-25 to 38; walkthroughs B and E; the documents DO-01 to DO-03 and DO-05 in chapter 17; the upload templates in chapter 18</w:t>
            </w:r>
          </w:p>
        </w:tc>
      </w:tr>
      <w:tr>
        <w:tc>
          <w:tcPr>
            <w:tcW w:type="dxa" w:w="2380"/>
            <w:tcMar>
              <w:top w:w="50" w:type="dxa"/>
              <w:bottom w:w="50" w:type="dxa"/>
              <w:left w:w="90" w:type="dxa"/>
              <w:right w:w="90" w:type="dxa"/>
            </w:tcMar>
            <w:shd w:val="clear" w:color="auto" w:fill="E5F5FF"/>
          </w:tcPr>
          <w:p>
            <w:pPr>
              <w:pStyle w:val="BDOITable"/>
            </w:pPr>
            <w:r>
              <w:rPr>
                <w:b/>
                <w:sz w:val="16"/>
              </w:rPr>
              <w:t>Marketing (Processors, Reviewers, Approvers) and Human Resources</w:t>
            </w:r>
          </w:p>
        </w:tc>
        <w:tc>
          <w:tcPr>
            <w:tcW w:type="dxa" w:w="7592"/>
            <w:tcMar>
              <w:top w:w="50" w:type="dxa"/>
              <w:bottom w:w="50" w:type="dxa"/>
              <w:left w:w="90" w:type="dxa"/>
              <w:right w:w="90" w:type="dxa"/>
            </w:tcMar>
            <w:shd w:val="clear" w:color="auto" w:fill="E5F5FF"/>
          </w:tcPr>
          <w:p>
            <w:pPr>
              <w:pStyle w:val="BDOITable"/>
            </w:pPr>
            <w:r>
              <w:rPr>
                <w:sz w:val="16"/>
              </w:rPr>
              <w:t>FRS section 4.12; the screens SCR-AC-39 to 44; walkthrough B (steps 1 to 4 and 8) and E; the Refund Request Form DO-04</w:t>
            </w:r>
          </w:p>
        </w:tc>
      </w:tr>
      <w:tr>
        <w:tc>
          <w:tcPr>
            <w:tcW w:type="dxa" w:w="2380"/>
            <w:tcMar>
              <w:top w:w="50" w:type="dxa"/>
              <w:bottom w:w="50" w:type="dxa"/>
              <w:left w:w="90" w:type="dxa"/>
              <w:right w:w="90" w:type="dxa"/>
            </w:tcMar>
          </w:tcPr>
          <w:p>
            <w:pPr>
              <w:pStyle w:val="BDOITable"/>
            </w:pPr>
            <w:r>
              <w:rPr>
                <w:b/>
                <w:sz w:val="16"/>
              </w:rPr>
              <w:t>ACSL (Processors, Team Leader, Head)</w:t>
            </w:r>
          </w:p>
        </w:tc>
        <w:tc>
          <w:tcPr>
            <w:tcW w:type="dxa" w:w="7592"/>
            <w:tcMar>
              <w:top w:w="50" w:type="dxa"/>
              <w:bottom w:w="50" w:type="dxa"/>
              <w:left w:w="90" w:type="dxa"/>
              <w:right w:w="90" w:type="dxa"/>
            </w:tcMar>
          </w:tcPr>
          <w:p>
            <w:pPr>
              <w:pStyle w:val="BDOITable"/>
            </w:pPr>
            <w:r>
              <w:rPr>
                <w:sz w:val="16"/>
              </w:rPr>
              <w:t>FRS section 4.13; the screens SCR-AC-45 to 51; walkthrough C; the reconciliation report DO-06</w:t>
            </w:r>
          </w:p>
        </w:tc>
      </w:tr>
      <w:tr>
        <w:tc>
          <w:tcPr>
            <w:tcW w:type="dxa" w:w="2380"/>
            <w:tcMar>
              <w:top w:w="50" w:type="dxa"/>
              <w:bottom w:w="50" w:type="dxa"/>
              <w:left w:w="90" w:type="dxa"/>
              <w:right w:w="90" w:type="dxa"/>
            </w:tcMar>
            <w:shd w:val="clear" w:color="auto" w:fill="E5F5FF"/>
          </w:tcPr>
          <w:p>
            <w:pPr>
              <w:pStyle w:val="BDOITable"/>
            </w:pPr>
            <w:r>
              <w:rPr>
                <w:b/>
                <w:sz w:val="16"/>
              </w:rPr>
              <w:t>Operations (Cashiering and Remittance, BRD-2)</w:t>
            </w:r>
          </w:p>
        </w:tc>
        <w:tc>
          <w:tcPr>
            <w:tcW w:type="dxa" w:w="7592"/>
            <w:tcMar>
              <w:top w:w="50" w:type="dxa"/>
              <w:bottom w:w="50" w:type="dxa"/>
              <w:left w:w="90" w:type="dxa"/>
              <w:right w:w="90" w:type="dxa"/>
            </w:tcMar>
            <w:shd w:val="clear" w:color="auto" w:fill="E5F5FF"/>
          </w:tcPr>
          <w:p>
            <w:pPr>
              <w:pStyle w:val="BDOITable"/>
            </w:pPr>
            <w:r>
              <w:rPr>
                <w:sz w:val="16"/>
              </w:rPr>
              <w:t>The hand-offs of chapter 19 (remittance payments, refund validations, payment reversals, remittance deductions); walkthrough B; FRS sections 4.11 and 4.13</w:t>
            </w:r>
          </w:p>
        </w:tc>
      </w:tr>
      <w:tr>
        <w:tc>
          <w:tcPr>
            <w:tcW w:type="dxa" w:w="2380"/>
            <w:tcMar>
              <w:top w:w="50" w:type="dxa"/>
              <w:bottom w:w="50" w:type="dxa"/>
              <w:left w:w="90" w:type="dxa"/>
              <w:right w:w="90" w:type="dxa"/>
            </w:tcMar>
          </w:tcPr>
          <w:p>
            <w:pPr>
              <w:pStyle w:val="BDOITable"/>
            </w:pPr>
            <w:r>
              <w:rPr>
                <w:b/>
                <w:sz w:val="16"/>
              </w:rPr>
              <w:t>Business and System Administrators</w:t>
            </w:r>
          </w:p>
        </w:tc>
        <w:tc>
          <w:tcPr>
            <w:tcW w:type="dxa" w:w="7592"/>
            <w:tcMar>
              <w:top w:w="50" w:type="dxa"/>
              <w:bottom w:w="50" w:type="dxa"/>
              <w:left w:w="90" w:type="dxa"/>
              <w:right w:w="90" w:type="dxa"/>
            </w:tcMar>
          </w:tcPr>
          <w:p>
            <w:pPr>
              <w:pStyle w:val="BDOITable"/>
            </w:pPr>
            <w:r>
              <w:rPr>
                <w:sz w:val="16"/>
              </w:rPr>
              <w:t>FRS section 4.10 (administration) and configuration in chapter 9; the lists of values and access screens of the BRD-1 and BRD-11 sets; Menu by persona in chapter 12</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Interfaces and integration (chapter 7), non-functional requirements (chapter 8), configuration and jobs (chapter 9), cross-BRD contract (chapter 19), the bank files of chapter 17; the Technical Specification, reviewed by BDOI IT</w:t>
            </w:r>
          </w:p>
        </w:tc>
      </w:tr>
      <w:tr>
        <w:tc>
          <w:tcPr>
            <w:tcW w:type="dxa" w:w="2380"/>
            <w:tcMar>
              <w:top w:w="50" w:type="dxa"/>
              <w:bottom w:w="50" w:type="dxa"/>
              <w:left w:w="90" w:type="dxa"/>
              <w:right w:w="90" w:type="dxa"/>
            </w:tcMar>
          </w:tcPr>
          <w:p>
            <w:pPr>
              <w:pStyle w:val="BDOITable"/>
            </w:pPr>
            <w:r>
              <w:rPr>
                <w:b/>
                <w:sz w:val="16"/>
              </w:rPr>
              <w:t>BDOI UX Design team</w:t>
            </w:r>
          </w:p>
        </w:tc>
        <w:tc>
          <w:tcPr>
            <w:tcW w:type="dxa" w:w="7592"/>
            <w:tcMar>
              <w:top w:w="50" w:type="dxa"/>
              <w:bottom w:w="50" w:type="dxa"/>
              <w:left w:w="90" w:type="dxa"/>
              <w:right w:w="90" w:type="dxa"/>
            </w:tcMar>
          </w:tcPr>
          <w:p>
            <w:pPr>
              <w:pStyle w:val="BDOITable"/>
            </w:pPr>
            <w:r>
              <w:rPr>
                <w:sz w:val="16"/>
              </w:rPr>
              <w:t>07 UX Screen Deck: design foundation and navigation first, then the personas, walkthroughs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glofficer (GL Officer), gltl (GL Team Lead), glhead (GL Section Head), accountant (Accountant), fmanager (Comptrollership administrator), disb (Disbursement Processor), disbtl and disbtl2 (Disbursement Team Leaders), disbappr and disbappr2 (Disbursement Approvers), mktao (Marketing Processor), mktrev (Marketing Reviewer), mktappr (Marketing Approver), hrappr (Human Resources), acsl (ACSL Processor), acsltl (ACSL Team Leader), acslhead (ACSL Head), comptrol (Comptrollership), badmin (Business Administrator), admin (System Administrator) and auditor.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BRD-05 folder; invitations to the sessions</w:t>
            </w:r>
          </w:p>
        </w:tc>
        <w:tc>
          <w:tcPr>
            <w:tcW w:type="dxa" w:w="1926"/>
            <w:tcMar>
              <w:top w:w="50" w:type="dxa"/>
              <w:bottom w:w="50" w:type="dxa"/>
              <w:left w:w="90" w:type="dxa"/>
              <w:right w:w="90" w:type="dxa"/>
            </w:tcMar>
          </w:tcPr>
          <w:p>
            <w:pPr>
              <w:pStyle w:val="BDOITable"/>
            </w:pPr>
            <w:r>
              <w:rPr>
                <w:sz w:val="15"/>
              </w:rPr>
              <w:t>Day 0 (Fri 2-Oct-2026); sessions scheduled after the BRD-4 Collections walkthroughs</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Head of Comptrollership; C: product owners of FRBS, ACSL, Disbursement and Marketing; I: Operations, BDOI IT</w:t>
            </w:r>
          </w:p>
        </w:tc>
        <w:tc>
          <w:tcPr>
            <w:tcW w:type="dxa" w:w="2946"/>
            <w:tcMar>
              <w:top w:w="50" w:type="dxa"/>
              <w:bottom w:w="50" w:type="dxa"/>
              <w:left w:w="90" w:type="dxa"/>
              <w:right w:w="90" w:type="dxa"/>
            </w:tcMar>
            <w:shd w:val="clear" w:color="auto" w:fill="E5F5FF"/>
          </w:tcPr>
          <w:p>
            <w:pPr>
              <w:pStyle w:val="BDOITable"/>
            </w:pPr>
            <w:r>
              <w:rPr>
                <w:sz w:val="15"/>
              </w:rPr>
              <w:t>Screens shown live (general ledger and closing, reports and service fee, Disbursement, the Marketing requests, ACSL);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5 sessions, 25-Nov to 1-Dec-2026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GL team, Disbursement, ACSL and Marketing reviewers; A: the product owners;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Mon 14-Dec-2026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Head of Comptrollership;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2 working days, Q&amp;A on Wed 16-Dec-2026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(v2.1)</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v2.1 with the changed rows marked; change requests raised for the rest</w:t>
            </w:r>
          </w:p>
        </w:tc>
        <w:tc>
          <w:tcPr>
            <w:tcW w:type="dxa" w:w="1926"/>
            <w:tcMar>
              <w:top w:w="50" w:type="dxa"/>
              <w:bottom w:w="50" w:type="dxa"/>
              <w:left w:w="90" w:type="dxa"/>
              <w:right w:w="90" w:type="dxa"/>
            </w:tcMar>
          </w:tcPr>
          <w:p>
            <w:pPr>
              <w:pStyle w:val="BDOITable"/>
            </w:pPr>
            <w:r>
              <w:rPr>
                <w:sz w:val="15"/>
              </w:rPr>
              <w:t>2 working days, v2.1 on Fri 18-Dec-2026; check by the reviewers until Tue 22-Dec-2026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Head of Comptrollership; C: the product owners, BDOI IT, Business Project Services</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Wed 23-Dec-2026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w:t>
            </w:r>
          </w:p>
        </w:tc>
        <w:tc>
          <w:tcPr>
            <w:tcW w:type="dxa" w:w="2946"/>
            <w:tcMar>
              <w:top w:w="50" w:type="dxa"/>
              <w:bottom w:w="50" w:type="dxa"/>
              <w:left w:w="90" w:type="dxa"/>
              <w:right w:w="90" w:type="dxa"/>
            </w:tcMar>
          </w:tcPr>
          <w:p>
            <w:pPr>
              <w:pStyle w:val="BDOITable"/>
            </w:pPr>
            <w:r>
              <w:rPr>
                <w:sz w:val="15"/>
              </w:rPr>
              <w:t>R: iorta TechNXT delivery lead; A: Head of Comptrollership; I: BDOI IT, other BRD owners</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Mon 28-Dec-2026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Head of Comptrollership;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unit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 Chapter 21 of the FRS lists the proposed rules and clarifications on which BDOI is asked to decide.</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Wed 25-Nov-2026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journals, the chart of accounts and the rates, the manual accrual from entry to posting (walkthrough A, walkthrough E step 1)</w:t>
            </w:r>
          </w:p>
        </w:tc>
        <w:tc>
          <w:tcPr>
            <w:tcW w:type="dxa" w:w="2493"/>
            <w:tcMar>
              <w:top w:w="50" w:type="dxa"/>
              <w:bottom w:w="50" w:type="dxa"/>
              <w:left w:w="90" w:type="dxa"/>
              <w:right w:w="90" w:type="dxa"/>
            </w:tcMar>
          </w:tcPr>
          <w:p>
            <w:pPr>
              <w:pStyle w:val="BDOITable"/>
            </w:pPr>
            <w:r>
              <w:rPr>
                <w:sz w:val="18"/>
              </w:rPr>
              <w:t>GL team, Comptrollership</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26-Nov-2026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Month end: the revaluation rate and the revaluation, the GL close and the broking books, the year-end close, the bank reconciliation; the report pack, the account schedules, the service fee and the BIR outputs (walkthrough D)</w:t>
            </w:r>
          </w:p>
        </w:tc>
        <w:tc>
          <w:tcPr>
            <w:tcW w:type="dxa" w:w="2493"/>
            <w:tcMar>
              <w:top w:w="50" w:type="dxa"/>
              <w:bottom w:w="50" w:type="dxa"/>
              <w:left w:w="90" w:type="dxa"/>
              <w:right w:w="90" w:type="dxa"/>
            </w:tcMar>
            <w:shd w:val="clear" w:color="auto" w:fill="E5F5FF"/>
          </w:tcPr>
          <w:p>
            <w:pPr>
              <w:pStyle w:val="BDOITable"/>
            </w:pPr>
            <w:r>
              <w:rPr>
                <w:sz w:val="18"/>
              </w:rPr>
              <w:t>GL team, Comptrollership, BDOI IT</w:t>
            </w:r>
          </w:p>
        </w:tc>
      </w:tr>
      <w:tr>
        <w:trPr>
          <w:cantSplit w:val="true"/>
        </w:trPr>
        <w:tc>
          <w:tcPr>
            <w:tcW w:type="dxa" w:w="2040"/>
            <w:tcMar>
              <w:top w:w="50" w:type="dxa"/>
              <w:bottom w:w="50" w:type="dxa"/>
              <w:left w:w="90" w:type="dxa"/>
              <w:right w:w="90" w:type="dxa"/>
            </w:tcMar>
          </w:tcPr>
          <w:p>
            <w:pPr>
              <w:pStyle w:val="BDOITable"/>
            </w:pPr>
            <w:r>
              <w:rPr>
                <w:sz w:val="18"/>
              </w:rPr>
              <w:t>Fri 27-Nov-2026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Disbursement: payees, the workbench, the voucher with its entry and instrument, the end of day, the fundings, the bank accounts and checks, the uploads and the reports (walkthrough B steps 5 to 7, walkthrough E step 4)</w:t>
            </w:r>
          </w:p>
        </w:tc>
        <w:tc>
          <w:tcPr>
            <w:tcW w:type="dxa" w:w="2493"/>
            <w:tcMar>
              <w:top w:w="50" w:type="dxa"/>
              <w:bottom w:w="50" w:type="dxa"/>
              <w:left w:w="90" w:type="dxa"/>
              <w:right w:w="90" w:type="dxa"/>
            </w:tcMar>
          </w:tcPr>
          <w:p>
            <w:pPr>
              <w:pStyle w:val="BDOITable"/>
            </w:pPr>
            <w:r>
              <w:rPr>
                <w:sz w:val="18"/>
              </w:rPr>
              <w:t>Disbursement, Operations (Remittance, Cashiering), BDOI IT</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Mon 30-Nov-2026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The Marketing refund, cash-advance and check-cancellation requests (walkthrough B steps 1 to 4 and 8, walkthrough E step 2)</w:t>
            </w:r>
          </w:p>
        </w:tc>
        <w:tc>
          <w:tcPr>
            <w:tcW w:type="dxa" w:w="2493"/>
            <w:tcMar>
              <w:top w:w="50" w:type="dxa"/>
              <w:bottom w:w="50" w:type="dxa"/>
              <w:left w:w="90" w:type="dxa"/>
              <w:right w:w="90" w:type="dxa"/>
            </w:tcMar>
            <w:shd w:val="clear" w:color="auto" w:fill="E5F5FF"/>
          </w:tcPr>
          <w:p>
            <w:pPr>
              <w:pStyle w:val="BDOITable"/>
            </w:pPr>
            <w:r>
              <w:rPr>
                <w:sz w:val="18"/>
              </w:rPr>
              <w:t>Marketing, Human Resources, Disbursement</w:t>
            </w:r>
          </w:p>
        </w:tc>
      </w:tr>
      <w:tr>
        <w:trPr>
          <w:cantSplit w:val="true"/>
        </w:trPr>
        <w:tc>
          <w:tcPr>
            <w:tcW w:type="dxa" w:w="2040"/>
            <w:tcMar>
              <w:top w:w="50" w:type="dxa"/>
              <w:bottom w:w="50" w:type="dxa"/>
              <w:left w:w="90" w:type="dxa"/>
              <w:right w:w="90" w:type="dxa"/>
            </w:tcMar>
          </w:tcPr>
          <w:p>
            <w:pPr>
              <w:pStyle w:val="BDOITable"/>
            </w:pPr>
            <w:r>
              <w:rPr>
                <w:sz w:val="18"/>
              </w:rPr>
              <w:t>Tue 1-Dec-2026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ACSL: the insurer statements of account, the GL-SL reconciliation, the cases and the correction entries; the remittance deductions with Operations (walkthrough C, walkthrough E step 3)</w:t>
            </w:r>
          </w:p>
        </w:tc>
        <w:tc>
          <w:tcPr>
            <w:tcW w:type="dxa" w:w="2493"/>
            <w:tcMar>
              <w:top w:w="50" w:type="dxa"/>
              <w:bottom w:w="50" w:type="dxa"/>
              <w:left w:w="90" w:type="dxa"/>
              <w:right w:w="90" w:type="dxa"/>
            </w:tcMar>
          </w:tcPr>
          <w:p>
            <w:pPr>
              <w:pStyle w:val="BDOITable"/>
            </w:pPr>
            <w:r>
              <w:rPr>
                <w:sz w:val="18"/>
              </w:rPr>
              <w:t>ACSL, Operations (Remittance)</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files and templates that the user sees or fills in, the validations, business rules, messages, notifications, documents, walkthroughs and files. The business users sign that content. Technical content (the interfaces between systems, data storage, security set-up) is not part of the set: it is in the Technical Specification, a separate document reviewed by BDOI IT. The roles are those of the approval sheets of the BRD-5 documents: iorta TechNXT and the Business Analysts of Business Project Services prepare the set, Marketing Business Services and System Support provide the input, the Program Manager of Business Project Services, the ACSL product owners, BDOI IT and MBS review it, and the product owners of Disbursement, FRBS and ACSL, Comptrollership and Operations, Marketing, the Head of Institutional Banking and the Head of Comptrollership approve it.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General ledger, closing, bank reconciliation and report screens (FRS sections 4.1-4.10, screens SCR-AC-01 to 24)</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w:t>
            </w:r>
          </w:p>
        </w:tc>
        <w:tc>
          <w:tcPr>
            <w:tcW w:type="dxa" w:w="1700"/>
            <w:tcMar>
              <w:top w:w="50" w:type="dxa"/>
              <w:bottom w:w="50" w:type="dxa"/>
              <w:left w:w="90" w:type="dxa"/>
              <w:right w:w="90" w:type="dxa"/>
            </w:tcMar>
          </w:tcPr>
          <w:p>
            <w:pPr>
              <w:pStyle w:val="BDOITable"/>
            </w:pPr>
            <w:r>
              <w:rPr>
                <w:sz w:val="15"/>
              </w:rPr>
              <w:t>Program Manager (BPS), ACSL product owners</w:t>
            </w:r>
          </w:p>
        </w:tc>
        <w:tc>
          <w:tcPr>
            <w:tcW w:type="dxa" w:w="2153"/>
            <w:tcMar>
              <w:top w:w="50" w:type="dxa"/>
              <w:bottom w:w="50" w:type="dxa"/>
              <w:left w:w="90" w:type="dxa"/>
              <w:right w:w="90" w:type="dxa"/>
            </w:tcMar>
          </w:tcPr>
          <w:p>
            <w:pPr>
              <w:pStyle w:val="BDOITable"/>
            </w:pPr>
            <w:r>
              <w:rPr>
                <w:sz w:val="15"/>
              </w:rPr>
              <w:t>FRBS and ACSL PO, Head - Comptrollership</w:t>
            </w:r>
          </w:p>
        </w:tc>
      </w:tr>
      <w:tr>
        <w:tc>
          <w:tcPr>
            <w:tcW w:type="dxa" w:w="2946"/>
            <w:tcMar>
              <w:top w:w="50" w:type="dxa"/>
              <w:bottom w:w="50" w:type="dxa"/>
              <w:left w:w="90" w:type="dxa"/>
              <w:right w:w="90" w:type="dxa"/>
            </w:tcMar>
            <w:shd w:val="clear" w:color="auto" w:fill="E5F5FF"/>
          </w:tcPr>
          <w:p>
            <w:pPr>
              <w:pStyle w:val="BDOITable"/>
            </w:pPr>
            <w:r>
              <w:rPr>
                <w:b/>
                <w:sz w:val="15"/>
              </w:rPr>
              <w:t>Disbursement screens, fields, documents and bank files (FRS section 4.11, screens SCR-AC-25 to 38)</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w:t>
            </w:r>
          </w:p>
        </w:tc>
        <w:tc>
          <w:tcPr>
            <w:tcW w:type="dxa" w:w="1700"/>
            <w:tcMar>
              <w:top w:w="50" w:type="dxa"/>
              <w:bottom w:w="50" w:type="dxa"/>
              <w:left w:w="90" w:type="dxa"/>
              <w:right w:w="90" w:type="dxa"/>
            </w:tcMar>
            <w:shd w:val="clear" w:color="auto" w:fill="E5F5FF"/>
          </w:tcPr>
          <w:p>
            <w:pPr>
              <w:pStyle w:val="BDOITable"/>
            </w:pPr>
            <w:r>
              <w:rPr>
                <w:sz w:val="15"/>
              </w:rPr>
              <w:t>Program Manager (BPS), BDOI IT</w:t>
            </w:r>
          </w:p>
        </w:tc>
        <w:tc>
          <w:tcPr>
            <w:tcW w:type="dxa" w:w="2153"/>
            <w:tcMar>
              <w:top w:w="50" w:type="dxa"/>
              <w:bottom w:w="50" w:type="dxa"/>
              <w:left w:w="90" w:type="dxa"/>
              <w:right w:w="90" w:type="dxa"/>
            </w:tcMar>
            <w:shd w:val="clear" w:color="auto" w:fill="E5F5FF"/>
          </w:tcPr>
          <w:p>
            <w:pPr>
              <w:pStyle w:val="BDOITable"/>
            </w:pPr>
            <w:r>
              <w:rPr>
                <w:sz w:val="15"/>
              </w:rPr>
              <w:t>Disbursement PO, Head - Comptrollership</w:t>
            </w:r>
          </w:p>
        </w:tc>
      </w:tr>
      <w:tr>
        <w:tc>
          <w:tcPr>
            <w:tcW w:type="dxa" w:w="2946"/>
            <w:tcMar>
              <w:top w:w="50" w:type="dxa"/>
              <w:bottom w:w="50" w:type="dxa"/>
              <w:left w:w="90" w:type="dxa"/>
              <w:right w:w="90" w:type="dxa"/>
            </w:tcMar>
          </w:tcPr>
          <w:p>
            <w:pPr>
              <w:pStyle w:val="BDOITable"/>
            </w:pPr>
            <w:r>
              <w:rPr>
                <w:b/>
                <w:sz w:val="15"/>
              </w:rPr>
              <w:t>Marketing refund and cash-advance requests (FRS section 4.12, screens SCR-AC-39 to 44)</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 input</w:t>
            </w:r>
          </w:p>
        </w:tc>
        <w:tc>
          <w:tcPr>
            <w:tcW w:type="dxa" w:w="1700"/>
            <w:tcMar>
              <w:top w:w="50" w:type="dxa"/>
              <w:bottom w:w="50" w:type="dxa"/>
              <w:left w:w="90" w:type="dxa"/>
              <w:right w:w="90" w:type="dxa"/>
            </w:tcMar>
          </w:tcPr>
          <w:p>
            <w:pPr>
              <w:pStyle w:val="BDOITable"/>
            </w:pPr>
            <w:r>
              <w:rPr>
                <w:sz w:val="15"/>
              </w:rPr>
              <w:t>Program Manager (BPS), MBS review</w:t>
            </w:r>
          </w:p>
        </w:tc>
        <w:tc>
          <w:tcPr>
            <w:tcW w:type="dxa" w:w="2153"/>
            <w:tcMar>
              <w:top w:w="50" w:type="dxa"/>
              <w:bottom w:w="50" w:type="dxa"/>
              <w:left w:w="90" w:type="dxa"/>
              <w:right w:w="90" w:type="dxa"/>
            </w:tcMar>
          </w:tcPr>
          <w:p>
            <w:pPr>
              <w:pStyle w:val="BDOITable"/>
            </w:pPr>
            <w:r>
              <w:rPr>
                <w:sz w:val="15"/>
              </w:rPr>
              <w:t>Product Owner (Marketing), Marketing head</w:t>
            </w:r>
          </w:p>
        </w:tc>
      </w:tr>
      <w:tr>
        <w:tc>
          <w:tcPr>
            <w:tcW w:type="dxa" w:w="2946"/>
            <w:tcMar>
              <w:top w:w="50" w:type="dxa"/>
              <w:bottom w:w="50" w:type="dxa"/>
              <w:left w:w="90" w:type="dxa"/>
              <w:right w:w="90" w:type="dxa"/>
            </w:tcMar>
            <w:shd w:val="clear" w:color="auto" w:fill="E5F5FF"/>
          </w:tcPr>
          <w:p>
            <w:pPr>
              <w:pStyle w:val="BDOITable"/>
            </w:pPr>
            <w:r>
              <w:rPr>
                <w:b/>
                <w:sz w:val="15"/>
              </w:rPr>
              <w:t>ACSL screens, reconciliations, cases and corrections (FRS section 4.13, screens SCR-AC-45 to 51)</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w:t>
            </w:r>
          </w:p>
        </w:tc>
        <w:tc>
          <w:tcPr>
            <w:tcW w:type="dxa" w:w="1700"/>
            <w:tcMar>
              <w:top w:w="50" w:type="dxa"/>
              <w:bottom w:w="50" w:type="dxa"/>
              <w:left w:w="90" w:type="dxa"/>
              <w:right w:w="90" w:type="dxa"/>
            </w:tcMar>
            <w:shd w:val="clear" w:color="auto" w:fill="E5F5FF"/>
          </w:tcPr>
          <w:p>
            <w:pPr>
              <w:pStyle w:val="BDOITable"/>
            </w:pPr>
            <w:r>
              <w:rPr>
                <w:sz w:val="15"/>
              </w:rPr>
              <w:t>Program Manager (BPS), ACSL product owners</w:t>
            </w:r>
          </w:p>
        </w:tc>
        <w:tc>
          <w:tcPr>
            <w:tcW w:type="dxa" w:w="2153"/>
            <w:tcMar>
              <w:top w:w="50" w:type="dxa"/>
              <w:bottom w:w="50" w:type="dxa"/>
              <w:left w:w="90" w:type="dxa"/>
              <w:right w:w="90" w:type="dxa"/>
            </w:tcMar>
            <w:shd w:val="clear" w:color="auto" w:fill="E5F5FF"/>
          </w:tcPr>
          <w:p>
            <w:pPr>
              <w:pStyle w:val="BDOITable"/>
            </w:pPr>
            <w:r>
              <w:rPr>
                <w:sz w:val="15"/>
              </w:rPr>
              <w:t>FRBS and ACSL PO, Head - Comptrollership</w:t>
            </w:r>
          </w:p>
        </w:tc>
      </w:tr>
      <w:tr>
        <w:tc>
          <w:tcPr>
            <w:tcW w:type="dxa" w:w="2946"/>
            <w:tcMar>
              <w:top w:w="50" w:type="dxa"/>
              <w:bottom w:w="50" w:type="dxa"/>
              <w:left w:w="90" w:type="dxa"/>
              <w:right w:w="90" w:type="dxa"/>
            </w:tcMar>
          </w:tcPr>
          <w:p>
            <w:pPr>
              <w:pStyle w:val="BDOITable"/>
            </w:pPr>
            <w:r>
              <w:rPr>
                <w:b/>
                <w:sz w:val="15"/>
              </w:rPr>
              <w:t>Business rules, validations and the accounting entries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 MBS input</w:t>
            </w:r>
          </w:p>
        </w:tc>
        <w:tc>
          <w:tcPr>
            <w:tcW w:type="dxa" w:w="1700"/>
            <w:tcMar>
              <w:top w:w="50" w:type="dxa"/>
              <w:bottom w:w="50" w:type="dxa"/>
              <w:left w:w="90" w:type="dxa"/>
              <w:right w:w="90" w:type="dxa"/>
            </w:tcMar>
          </w:tcPr>
          <w:p>
            <w:pPr>
              <w:pStyle w:val="BDOITable"/>
            </w:pPr>
            <w:r>
              <w:rPr>
                <w:sz w:val="15"/>
              </w:rPr>
              <w:t>Program Manager (BPS), ACSL product owners</w:t>
            </w:r>
          </w:p>
        </w:tc>
        <w:tc>
          <w:tcPr>
            <w:tcW w:type="dxa" w:w="2153"/>
            <w:tcMar>
              <w:top w:w="50" w:type="dxa"/>
              <w:bottom w:w="50" w:type="dxa"/>
              <w:left w:w="90" w:type="dxa"/>
              <w:right w:w="90" w:type="dxa"/>
            </w:tcMar>
          </w:tcPr>
          <w:p>
            <w:pPr>
              <w:pStyle w:val="BDOITable"/>
            </w:pPr>
            <w:r>
              <w:rPr>
                <w:sz w:val="15"/>
              </w:rPr>
              <w:t>Head - Comptrollership, FRBS and ACSL PO, Disbursement PO</w:t>
            </w:r>
          </w:p>
        </w:tc>
      </w:tr>
      <w:tr>
        <w:tc>
          <w:tcPr>
            <w:tcW w:type="dxa" w:w="2946"/>
            <w:tcMar>
              <w:top w:w="50" w:type="dxa"/>
              <w:bottom w:w="50" w:type="dxa"/>
              <w:left w:w="90" w:type="dxa"/>
              <w:right w:w="90" w:type="dxa"/>
            </w:tcMar>
            <w:shd w:val="clear" w:color="auto" w:fill="E5F5FF"/>
          </w:tcPr>
          <w:p>
            <w:pPr>
              <w:pStyle w:val="BDOITable"/>
            </w:pPr>
            <w:r>
              <w:rPr>
                <w:b/>
                <w:sz w:val="15"/>
              </w:rPr>
              <w:t>Messages and notifications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Head - Comptrollership</w:t>
            </w:r>
          </w:p>
        </w:tc>
      </w:tr>
      <w:tr>
        <w:tc>
          <w:tcPr>
            <w:tcW w:type="dxa" w:w="2946"/>
            <w:tcMar>
              <w:top w:w="50" w:type="dxa"/>
              <w:bottom w:w="50" w:type="dxa"/>
              <w:left w:w="90" w:type="dxa"/>
              <w:right w:w="90" w:type="dxa"/>
            </w:tcMar>
          </w:tcPr>
          <w:p>
            <w:pPr>
              <w:pStyle w:val="BDOITable"/>
            </w:pPr>
            <w:r>
              <w:rPr>
                <w:b/>
                <w:sz w:val="15"/>
              </w:rPr>
              <w:t>Hand-offs with Operations (remittance payments, refund validations, payment reversals, remittance deductions)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w:t>
            </w:r>
          </w:p>
        </w:tc>
        <w:tc>
          <w:tcPr>
            <w:tcW w:type="dxa" w:w="1700"/>
            <w:tcMar>
              <w:top w:w="50" w:type="dxa"/>
              <w:bottom w:w="50" w:type="dxa"/>
              <w:left w:w="90" w:type="dxa"/>
              <w:right w:w="90" w:type="dxa"/>
            </w:tcMar>
          </w:tcPr>
          <w:p>
            <w:pPr>
              <w:pStyle w:val="BDOITable"/>
            </w:pPr>
            <w:r>
              <w:rPr>
                <w:sz w:val="15"/>
              </w:rPr>
              <w:t>Program Manager (BPS), ACSL product owners</w:t>
            </w:r>
          </w:p>
        </w:tc>
        <w:tc>
          <w:tcPr>
            <w:tcW w:type="dxa" w:w="2153"/>
            <w:tcMar>
              <w:top w:w="50" w:type="dxa"/>
              <w:bottom w:w="50" w:type="dxa"/>
              <w:left w:w="90" w:type="dxa"/>
              <w:right w:w="90" w:type="dxa"/>
            </w:tcMar>
          </w:tcPr>
          <w:p>
            <w:pPr>
              <w:pStyle w:val="BDOITable"/>
            </w:pPr>
            <w:r>
              <w:rPr>
                <w:sz w:val="15"/>
              </w:rPr>
              <w:t>Comptrollership and Operations PO, Head - Comptrollership</w:t>
            </w:r>
          </w:p>
        </w:tc>
      </w:tr>
      <w:tr>
        <w:tc>
          <w:tcPr>
            <w:tcW w:type="dxa" w:w="2946"/>
            <w:tcMar>
              <w:top w:w="50" w:type="dxa"/>
              <w:bottom w:w="50" w:type="dxa"/>
              <w:left w:w="90" w:type="dxa"/>
              <w:right w:w="90" w:type="dxa"/>
            </w:tcMar>
            <w:shd w:val="clear" w:color="auto" w:fill="E5F5FF"/>
          </w:tcPr>
          <w:p>
            <w:pPr>
              <w:pStyle w:val="BDOITable"/>
            </w:pPr>
            <w:r>
              <w:rPr>
                <w:b/>
                <w:sz w:val="15"/>
              </w:rPr>
              <w:t>Walkthroughs (end-to-end, screen by screen)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Head - Comptrollership</w:t>
            </w:r>
          </w:p>
        </w:tc>
      </w:tr>
      <w:tr>
        <w:tc>
          <w:tcPr>
            <w:tcW w:type="dxa" w:w="2946"/>
            <w:tcMar>
              <w:top w:w="50" w:type="dxa"/>
              <w:bottom w:w="50" w:type="dxa"/>
              <w:left w:w="90" w:type="dxa"/>
              <w:right w:w="90" w:type="dxa"/>
            </w:tcMar>
          </w:tcPr>
          <w:p>
            <w:pPr>
              <w:pStyle w:val="BDOITable"/>
            </w:pPr>
            <w:r>
              <w:rPr>
                <w:b/>
                <w:sz w:val="15"/>
              </w:rPr>
              <w:t>Proposed business rules and clarifications for confirmation</w:t>
            </w:r>
          </w:p>
        </w:tc>
        <w:tc>
          <w:tcPr>
            <w:tcW w:type="dxa" w:w="1360"/>
            <w:tcMar>
              <w:top w:w="50" w:type="dxa"/>
              <w:bottom w:w="50" w:type="dxa"/>
              <w:left w:w="90" w:type="dxa"/>
              <w:right w:w="90" w:type="dxa"/>
            </w:tcMar>
          </w:tcPr>
          <w:p>
            <w:pPr>
              <w:pStyle w:val="BDOITable"/>
            </w:pPr>
            <w:r>
              <w:rPr>
                <w:sz w:val="15"/>
              </w:rPr>
              <w:t>iorta TechNXT, BA (BPS)</w:t>
            </w:r>
          </w:p>
        </w:tc>
        <w:tc>
          <w:tcPr>
            <w:tcW w:type="dxa" w:w="1813"/>
            <w:tcMar>
              <w:top w:w="50" w:type="dxa"/>
              <w:bottom w:w="50" w:type="dxa"/>
              <w:left w:w="90" w:type="dxa"/>
              <w:right w:w="90" w:type="dxa"/>
            </w:tcMar>
          </w:tcPr>
          <w:p>
            <w:pPr>
              <w:pStyle w:val="BDOITable"/>
            </w:pPr>
            <w:r>
              <w:rPr>
                <w:sz w:val="15"/>
              </w:rPr>
              <w:t>MBS input</w:t>
            </w:r>
          </w:p>
        </w:tc>
        <w:tc>
          <w:tcPr>
            <w:tcW w:type="dxa" w:w="1700"/>
            <w:tcMar>
              <w:top w:w="50" w:type="dxa"/>
              <w:bottom w:w="50" w:type="dxa"/>
              <w:left w:w="90" w:type="dxa"/>
              <w:right w:w="90" w:type="dxa"/>
            </w:tcMar>
          </w:tcPr>
          <w:p>
            <w:pPr>
              <w:pStyle w:val="BDOITable"/>
            </w:pPr>
            <w:r>
              <w:rPr>
                <w:sz w:val="15"/>
              </w:rPr>
              <w:t>Program Manager (BPS), ACSL product owners</w:t>
            </w:r>
          </w:p>
        </w:tc>
        <w:tc>
          <w:tcPr>
            <w:tcW w:type="dxa" w:w="2153"/>
            <w:tcMar>
              <w:top w:w="50" w:type="dxa"/>
              <w:bottom w:w="50" w:type="dxa"/>
              <w:left w:w="90" w:type="dxa"/>
              <w:right w:w="90" w:type="dxa"/>
            </w:tcMar>
          </w:tcPr>
          <w:p>
            <w:pPr>
              <w:pStyle w:val="BDOITable"/>
            </w:pPr>
            <w:r>
              <w:rPr>
                <w:sz w:val="15"/>
              </w:rPr>
              <w:t>Head - Comptrollership, FRBS and ACSL PO, Disbursement PO, Product Owner (Marketing)</w:t>
            </w:r>
          </w:p>
        </w:tc>
      </w:tr>
      <w:tr>
        <w:tc>
          <w:tcPr>
            <w:tcW w:type="dxa" w:w="2946"/>
            <w:tcMar>
              <w:top w:w="50" w:type="dxa"/>
              <w:bottom w:w="50" w:type="dxa"/>
              <w:left w:w="90" w:type="dxa"/>
              <w:right w:w="90" w:type="dxa"/>
            </w:tcMar>
            <w:shd w:val="clear" w:color="auto" w:fill="E5F5FF"/>
          </w:tcPr>
          <w:p>
            <w:pPr>
              <w:pStyle w:val="BDOITable"/>
            </w:pPr>
            <w:r>
              <w:rPr>
                <w:b/>
                <w:sz w:val="15"/>
              </w:rPr>
              <w:t>Scheduled runs and files, bank files and forms, user access and menus by persona</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input</w:t>
            </w:r>
          </w:p>
        </w:tc>
        <w:tc>
          <w:tcPr>
            <w:tcW w:type="dxa" w:w="1700"/>
            <w:tcMar>
              <w:top w:w="50" w:type="dxa"/>
              <w:bottom w:w="50" w:type="dxa"/>
              <w:left w:w="90" w:type="dxa"/>
              <w:right w:w="90" w:type="dxa"/>
            </w:tcMar>
            <w:shd w:val="clear" w:color="auto" w:fill="E5F5FF"/>
          </w:tcPr>
          <w:p>
            <w:pPr>
              <w:pStyle w:val="BDOITable"/>
            </w:pPr>
            <w:r>
              <w:rPr>
                <w:sz w:val="15"/>
              </w:rPr>
              <w:t>BDOI IT, Program Manager (BPS)</w:t>
            </w:r>
          </w:p>
        </w:tc>
        <w:tc>
          <w:tcPr>
            <w:tcW w:type="dxa" w:w="2153"/>
            <w:tcMar>
              <w:top w:w="50" w:type="dxa"/>
              <w:bottom w:w="50" w:type="dxa"/>
              <w:left w:w="90" w:type="dxa"/>
              <w:right w:w="90" w:type="dxa"/>
            </w:tcMar>
            <w:shd w:val="clear" w:color="auto" w:fill="E5F5FF"/>
          </w:tcPr>
          <w:p>
            <w:pPr>
              <w:pStyle w:val="BDOITable"/>
            </w:pPr>
            <w:r>
              <w:rPr>
                <w:sz w:val="15"/>
              </w:rPr>
              <w:t>Head - Comptrollership</w:t>
            </w:r>
          </w:p>
        </w:tc>
      </w:tr>
      <w:tr>
        <w:tc>
          <w:tcPr>
            <w:tcW w:type="dxa" w:w="2946"/>
            <w:tcMar>
              <w:top w:w="50" w:type="dxa"/>
              <w:bottom w:w="50" w:type="dxa"/>
              <w:left w:w="90" w:type="dxa"/>
              <w:right w:w="90" w:type="dxa"/>
            </w:tcMar>
          </w:tcPr>
          <w:p>
            <w:pPr>
              <w:pStyle w:val="BDOITable"/>
            </w:pPr>
            <w:r>
              <w:rPr>
                <w:b/>
                <w:sz w:val="15"/>
              </w:rPr>
              <w:t>Test plan (04 workbook, 05 summary)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 input</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Head - Comptrollership</w:t>
            </w:r>
          </w:p>
        </w:tc>
      </w:tr>
      <w:tr>
        <w:tc>
          <w:tcPr>
            <w:tcW w:type="dxa" w:w="2946"/>
            <w:tcMar>
              <w:top w:w="50" w:type="dxa"/>
              <w:bottom w:w="50" w:type="dxa"/>
              <w:left w:w="90" w:type="dxa"/>
              <w:right w:w="90" w:type="dxa"/>
            </w:tcMar>
            <w:shd w:val="clear" w:color="auto" w:fill="E5F5FF"/>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Head - Comptrollership</w:t>
            </w:r>
          </w:p>
        </w:tc>
      </w:tr>
      <w:tr>
        <w:tc>
          <w:tcPr>
            <w:tcW w:type="dxa" w:w="2946"/>
            <w:tcMar>
              <w:top w:w="50" w:type="dxa"/>
              <w:bottom w:w="50" w:type="dxa"/>
              <w:left w:w="90" w:type="dxa"/>
              <w:right w:w="90" w:type="dxa"/>
            </w:tcMar>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BDOI IT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(BRD-5 approval sheets: main BRD p.140-141 (Prepared, Input Provided, Reviewed, Approved by), Addendum 1 p.38-39 and the Workshop Addendum p.14-15)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Analysts, Enterprise Services Group - Business Project Services (BPS) (Roda Lyn D. Gallardo; Zean C. Ibay and Jane Tagle for the Workshop Addendum)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(p.140, p.38, p.14)</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Marketing Business Services and System Support (MBS Team) (Ma. Fides Rivera; Ruby Evangelista and Darryl Castillo for the Workshop Addendum) (BDOI)</w:t>
            </w:r>
          </w:p>
        </w:tc>
        <w:tc>
          <w:tcPr>
            <w:tcW w:type="dxa" w:w="3853"/>
            <w:tcMar>
              <w:top w:w="50" w:type="dxa"/>
              <w:bottom w:w="50" w:type="dxa"/>
              <w:left w:w="90" w:type="dxa"/>
              <w:right w:w="90" w:type="dxa"/>
            </w:tcMar>
          </w:tcPr>
          <w:p>
            <w:pPr>
              <w:pStyle w:val="BDOITable"/>
            </w:pPr>
            <w:r>
              <w:rPr>
                <w:sz w:val="15"/>
              </w:rPr>
              <w:t>The non-functional requirements and the Marketing refund and cash-advance request screens, fields, rules and messages match the business input</w:t>
            </w:r>
          </w:p>
        </w:tc>
        <w:tc>
          <w:tcPr>
            <w:tcW w:type="dxa" w:w="2040"/>
            <w:tcMar>
              <w:top w:w="50" w:type="dxa"/>
              <w:bottom w:w="50" w:type="dxa"/>
              <w:left w:w="90" w:type="dxa"/>
              <w:right w:w="90" w:type="dxa"/>
            </w:tcMar>
          </w:tcPr>
          <w:p>
            <w:pPr>
              <w:pStyle w:val="BDOITable"/>
            </w:pPr>
            <w:r>
              <w:rPr>
                <w:sz w:val="15"/>
              </w:rPr>
              <w:t>Input Provided by (p.140, p.38, p.14)</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Program Manager, Enterprise Services Group - Business Project Services (BPS) (Dan Ace R. Cauton) (BDO Unibank ESG)</w:t>
            </w:r>
          </w:p>
        </w:tc>
        <w:tc>
          <w:tcPr>
            <w:tcW w:type="dxa" w:w="3853"/>
            <w:tcMar>
              <w:top w:w="50" w:type="dxa"/>
              <w:bottom w:w="50" w:type="dxa"/>
              <w:left w:w="90" w:type="dxa"/>
              <w:right w:w="90" w:type="dxa"/>
            </w:tcMar>
            <w:shd w:val="clear" w:color="auto" w:fill="E5F5FF"/>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shd w:val="clear" w:color="auto" w:fill="E5F5FF"/>
          </w:tcPr>
          <w:p>
            <w:pPr>
              <w:pStyle w:val="BDOITable"/>
            </w:pPr>
            <w:r>
              <w:rPr>
                <w:sz w:val="15"/>
              </w:rPr>
              <w:t>Reviewed by (p.140, p.38, p.15)</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Product Owners - Comptrollership - ACSL (Freddie A. Atanque, Jennifer T. Lugtu) (BDOI)</w:t>
            </w:r>
          </w:p>
        </w:tc>
        <w:tc>
          <w:tcPr>
            <w:tcW w:type="dxa" w:w="3853"/>
            <w:tcMar>
              <w:top w:w="50" w:type="dxa"/>
              <w:bottom w:w="50" w:type="dxa"/>
              <w:left w:w="90" w:type="dxa"/>
              <w:right w:w="90" w:type="dxa"/>
            </w:tcMar>
          </w:tcPr>
          <w:p>
            <w:pPr>
              <w:pStyle w:val="BDOITable"/>
            </w:pPr>
            <w:r>
              <w:rPr>
                <w:sz w:val="15"/>
              </w:rPr>
              <w:t>The ACSL screens, the reconciliations, cases, corrections and remittance deductions, and the accounting entries they post</w:t>
            </w:r>
          </w:p>
        </w:tc>
        <w:tc>
          <w:tcPr>
            <w:tcW w:type="dxa" w:w="2040"/>
            <w:tcMar>
              <w:top w:w="50" w:type="dxa"/>
              <w:bottom w:w="50" w:type="dxa"/>
              <w:left w:w="90" w:type="dxa"/>
              <w:right w:w="90" w:type="dxa"/>
            </w:tcMar>
          </w:tcPr>
          <w:p>
            <w:pPr>
              <w:pStyle w:val="BDOITable"/>
            </w:pPr>
            <w:r>
              <w:rPr>
                <w:sz w:val="15"/>
              </w:rPr>
              <w:t>Reviewed by (p.140, p.39); Input Provided by (p.14)</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Technology Group (Carmela A. Morfe, Yonille D. Guy, Abegail R. Panghulan, Nelda R. Ranchez) (BDOI)</w:t>
            </w:r>
          </w:p>
        </w:tc>
        <w:tc>
          <w:tcPr>
            <w:tcW w:type="dxa" w:w="3853"/>
            <w:tcMar>
              <w:top w:w="50" w:type="dxa"/>
              <w:bottom w:w="50" w:type="dxa"/>
              <w:left w:w="90" w:type="dxa"/>
              <w:right w:w="90" w:type="dxa"/>
            </w:tcMar>
            <w:shd w:val="clear" w:color="auto" w:fill="E5F5FF"/>
          </w:tcPr>
          <w:p>
            <w:pPr>
              <w:pStyle w:val="BDOITable"/>
            </w:pPr>
            <w:r>
              <w:rPr>
                <w:sz w:val="15"/>
              </w:rPr>
              <w:t>Scheduled runs and files, the bank files and forms, user access and menus, the hand-offs inside BIBS and the Technical Specification (a separate document); not the business screens</w:t>
            </w:r>
          </w:p>
        </w:tc>
        <w:tc>
          <w:tcPr>
            <w:tcW w:type="dxa" w:w="2040"/>
            <w:tcMar>
              <w:top w:w="50" w:type="dxa"/>
              <w:bottom w:w="50" w:type="dxa"/>
              <w:left w:w="90" w:type="dxa"/>
              <w:right w:w="90" w:type="dxa"/>
            </w:tcMar>
            <w:shd w:val="clear" w:color="auto" w:fill="E5F5FF"/>
          </w:tcPr>
          <w:p>
            <w:pPr>
              <w:pStyle w:val="BDOITable"/>
            </w:pPr>
            <w:r>
              <w:rPr>
                <w:sz w:val="15"/>
              </w:rPr>
              <w:t>Reviewed by (p.38)</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Marketing Business Services and System Support (Rhommel Mark Galler) (BDOI)</w:t>
            </w:r>
          </w:p>
        </w:tc>
        <w:tc>
          <w:tcPr>
            <w:tcW w:type="dxa" w:w="3853"/>
            <w:tcMar>
              <w:top w:w="50" w:type="dxa"/>
              <w:bottom w:w="50" w:type="dxa"/>
              <w:left w:w="90" w:type="dxa"/>
              <w:right w:w="90" w:type="dxa"/>
            </w:tcMar>
          </w:tcPr>
          <w:p>
            <w:pPr>
              <w:pStyle w:val="BDOITable"/>
            </w:pPr>
            <w:r>
              <w:rPr>
                <w:sz w:val="15"/>
              </w:rPr>
              <w:t>The Workshop Addendum functions for Marketing: the cost centres of the payments and the incentives</w:t>
            </w:r>
          </w:p>
        </w:tc>
        <w:tc>
          <w:tcPr>
            <w:tcW w:type="dxa" w:w="2040"/>
            <w:tcMar>
              <w:top w:w="50" w:type="dxa"/>
              <w:bottom w:w="50" w:type="dxa"/>
              <w:left w:w="90" w:type="dxa"/>
              <w:right w:w="90" w:type="dxa"/>
            </w:tcMar>
          </w:tcPr>
          <w:p>
            <w:pPr>
              <w:pStyle w:val="BDOITable"/>
            </w:pPr>
            <w:r>
              <w:rPr>
                <w:sz w:val="15"/>
              </w:rPr>
              <w:t>Reviewed by (p.15)</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 Comptrollership - Disbursement (Rodrigo R. Dela Cruz) (BDOI)</w:t>
            </w:r>
          </w:p>
        </w:tc>
        <w:tc>
          <w:tcPr>
            <w:tcW w:type="dxa" w:w="3853"/>
            <w:tcMar>
              <w:top w:w="50" w:type="dxa"/>
              <w:bottom w:w="50" w:type="dxa"/>
              <w:left w:w="90" w:type="dxa"/>
              <w:right w:w="90" w:type="dxa"/>
            </w:tcMar>
            <w:shd w:val="clear" w:color="auto" w:fill="E5F5FF"/>
          </w:tcPr>
          <w:p>
            <w:pPr>
              <w:pStyle w:val="BDOITable"/>
            </w:pPr>
            <w:r>
              <w:rPr>
                <w:sz w:val="15"/>
              </w:rPr>
              <w:t>The Disbursement screens, fields, rules, messages, documents and bank files</w:t>
            </w:r>
          </w:p>
        </w:tc>
        <w:tc>
          <w:tcPr>
            <w:tcW w:type="dxa" w:w="2040"/>
            <w:tcMar>
              <w:top w:w="50" w:type="dxa"/>
              <w:bottom w:w="50" w:type="dxa"/>
              <w:left w:w="90" w:type="dxa"/>
              <w:right w:w="90" w:type="dxa"/>
            </w:tcMar>
            <w:shd w:val="clear" w:color="auto" w:fill="E5F5FF"/>
          </w:tcPr>
          <w:p>
            <w:pPr>
              <w:pStyle w:val="BDOITable"/>
            </w:pPr>
            <w:r>
              <w:rPr>
                <w:sz w:val="15"/>
              </w:rPr>
              <w:t>Approved by (p.140, p.39); Input Provided by (p.14)</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 Comptrollership - FRBS and ACSL (Iris S. Marquez) (BDOI)</w:t>
            </w:r>
          </w:p>
        </w:tc>
        <w:tc>
          <w:tcPr>
            <w:tcW w:type="dxa" w:w="3853"/>
            <w:tcMar>
              <w:top w:w="50" w:type="dxa"/>
              <w:bottom w:w="50" w:type="dxa"/>
              <w:left w:w="90" w:type="dxa"/>
              <w:right w:w="90" w:type="dxa"/>
            </w:tcMar>
          </w:tcPr>
          <w:p>
            <w:pPr>
              <w:pStyle w:val="BDOITable"/>
            </w:pPr>
            <w:r>
              <w:rPr>
                <w:sz w:val="15"/>
              </w:rPr>
              <w:t>The general ledger, closing, bank reconciliation, report pack, service fee and ACSL screens, rules and messages</w:t>
            </w:r>
          </w:p>
        </w:tc>
        <w:tc>
          <w:tcPr>
            <w:tcW w:type="dxa" w:w="2040"/>
            <w:tcMar>
              <w:top w:w="50" w:type="dxa"/>
              <w:bottom w:w="50" w:type="dxa"/>
              <w:left w:w="90" w:type="dxa"/>
              <w:right w:w="90" w:type="dxa"/>
            </w:tcMar>
          </w:tcPr>
          <w:p>
            <w:pPr>
              <w:pStyle w:val="BDOITable"/>
            </w:pPr>
            <w:r>
              <w:rPr>
                <w:sz w:val="15"/>
              </w:rPr>
              <w:t>Approved by (p.140, p.39); Input Provided by (p.14)</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 Comptrollership and Operations (Perjelyn Joy R. Gutierrez) (BDOI)</w:t>
            </w:r>
          </w:p>
        </w:tc>
        <w:tc>
          <w:tcPr>
            <w:tcW w:type="dxa" w:w="3853"/>
            <w:tcMar>
              <w:top w:w="50" w:type="dxa"/>
              <w:bottom w:w="50" w:type="dxa"/>
              <w:left w:w="90" w:type="dxa"/>
              <w:right w:w="90" w:type="dxa"/>
            </w:tcMar>
            <w:shd w:val="clear" w:color="auto" w:fill="E5F5FF"/>
          </w:tcPr>
          <w:p>
            <w:pPr>
              <w:pStyle w:val="BDOITable"/>
            </w:pPr>
            <w:r>
              <w:rPr>
                <w:sz w:val="15"/>
              </w:rPr>
              <w:t>The hand-offs with Operations: remittance payments, refund validations, payment reversals, remittance deductions and the regularisation of cancelled vouchers</w:t>
            </w:r>
          </w:p>
        </w:tc>
        <w:tc>
          <w:tcPr>
            <w:tcW w:type="dxa" w:w="2040"/>
            <w:tcMar>
              <w:top w:w="50" w:type="dxa"/>
              <w:bottom w:w="50" w:type="dxa"/>
              <w:left w:w="90" w:type="dxa"/>
              <w:right w:w="90" w:type="dxa"/>
            </w:tcMar>
            <w:shd w:val="clear" w:color="auto" w:fill="E5F5FF"/>
          </w:tcPr>
          <w:p>
            <w:pPr>
              <w:pStyle w:val="BDOITable"/>
            </w:pPr>
            <w:r>
              <w:rPr>
                <w:sz w:val="15"/>
              </w:rPr>
              <w:t>Approved by (p.141)</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 Marketing, Processing and Collections, AVP (Shellah Marie C. Miranda) (BDOI)</w:t>
            </w:r>
          </w:p>
        </w:tc>
        <w:tc>
          <w:tcPr>
            <w:tcW w:type="dxa" w:w="3853"/>
            <w:tcMar>
              <w:top w:w="50" w:type="dxa"/>
              <w:bottom w:w="50" w:type="dxa"/>
              <w:left w:w="90" w:type="dxa"/>
              <w:right w:w="90" w:type="dxa"/>
            </w:tcMar>
          </w:tcPr>
          <w:p>
            <w:pPr>
              <w:pStyle w:val="BDOITable"/>
            </w:pPr>
            <w:r>
              <w:rPr>
                <w:sz w:val="15"/>
              </w:rPr>
              <w:t>The Marketing refund, cash-advance and check-cancellation requests</w:t>
            </w:r>
          </w:p>
        </w:tc>
        <w:tc>
          <w:tcPr>
            <w:tcW w:type="dxa" w:w="2040"/>
            <w:tcMar>
              <w:top w:w="50" w:type="dxa"/>
              <w:bottom w:w="50" w:type="dxa"/>
              <w:left w:w="90" w:type="dxa"/>
              <w:right w:w="90" w:type="dxa"/>
            </w:tcMar>
          </w:tcPr>
          <w:p>
            <w:pPr>
              <w:pStyle w:val="BDOITable"/>
            </w:pPr>
            <w:r>
              <w:rPr>
                <w:sz w:val="15"/>
              </w:rPr>
              <w:t>Approved by (p.141, p.39, p.15)</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Comptrollership, VP (Ronald Allan E. De Leon) (BDOI)</w:t>
            </w:r>
          </w:p>
        </w:tc>
        <w:tc>
          <w:tcPr>
            <w:tcW w:type="dxa" w:w="3853"/>
            <w:tcMar>
              <w:top w:w="50" w:type="dxa"/>
              <w:bottom w:w="50" w:type="dxa"/>
              <w:left w:w="90" w:type="dxa"/>
              <w:right w:w="90" w:type="dxa"/>
            </w:tcMar>
            <w:shd w:val="clear" w:color="auto" w:fill="E5F5FF"/>
          </w:tcPr>
          <w:p>
            <w:pPr>
              <w:pStyle w:val="BDOITable"/>
            </w:pPr>
            <w:r>
              <w:rPr>
                <w:sz w:val="15"/>
              </w:rPr>
              <w:t>Owns the set for Comptrollership and approves all of its contents</w:t>
            </w:r>
          </w:p>
        </w:tc>
        <w:tc>
          <w:tcPr>
            <w:tcW w:type="dxa" w:w="2040"/>
            <w:tcMar>
              <w:top w:w="50" w:type="dxa"/>
              <w:bottom w:w="50" w:type="dxa"/>
              <w:left w:w="90" w:type="dxa"/>
              <w:right w:w="90" w:type="dxa"/>
            </w:tcMar>
            <w:shd w:val="clear" w:color="auto" w:fill="E5F5FF"/>
          </w:tcPr>
          <w:p>
            <w:pPr>
              <w:pStyle w:val="BDOITable"/>
            </w:pPr>
            <w:r>
              <w:rPr>
                <w:sz w:val="15"/>
              </w:rPr>
              <w:t>Approved by (p.141, p.39, p.15)</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Institutional Banking, SM and BDO Accounts, FVP (Roderick L. Lim; Head - Retail Marketing on the Workshop Addendum) (BDOI)</w:t>
            </w:r>
          </w:p>
        </w:tc>
        <w:tc>
          <w:tcPr>
            <w:tcW w:type="dxa" w:w="3853"/>
            <w:tcMar>
              <w:top w:w="50" w:type="dxa"/>
              <w:bottom w:w="50" w:type="dxa"/>
              <w:left w:w="90" w:type="dxa"/>
              <w:right w:w="90" w:type="dxa"/>
            </w:tcMar>
          </w:tcPr>
          <w:p>
            <w:pPr>
              <w:pStyle w:val="BDOITable"/>
            </w:pPr>
            <w:r>
              <w:rPr>
                <w:sz w:val="15"/>
              </w:rPr>
              <w:t>The Marketing requests and the service fee of the referrers</w:t>
            </w:r>
          </w:p>
        </w:tc>
        <w:tc>
          <w:tcPr>
            <w:tcW w:type="dxa" w:w="2040"/>
            <w:tcMar>
              <w:top w:w="50" w:type="dxa"/>
              <w:bottom w:w="50" w:type="dxa"/>
              <w:left w:w="90" w:type="dxa"/>
              <w:right w:w="90" w:type="dxa"/>
            </w:tcMar>
          </w:tcPr>
          <w:p>
            <w:pPr>
              <w:pStyle w:val="BDOITable"/>
            </w:pPr>
            <w:r>
              <w:rPr>
                <w:sz w:val="15"/>
              </w:rPr>
              <w:t>Approved by (p.141, p.39, p.15)</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6 Change control after sign-off</w:t>
      </w:r>
      <w:bookmarkEnd w:id="106"/>
    </w:p>
    <w:p>
      <w:r>
        <w:rPr/>
        <w:t>Signing freezes the screens, fields, navigation, actions, business rules, messages, notifications, documents and files, the upload templates and the cross-BRD contract of Accounting, Disbursement, the Marketing requests and ACSL as specified. Configuration values marked "default" (accounting and cost-centre rules, rates, parameters, check series, list entries, report and schedule layouts, form and file layouts, service-fee rates) are not frozen. A change to anything frozen is raised in the Change Management Register with the screen, field, rule or message concerned, assessed with its mandays and its effect on the other BRDs (Disbursement pays the requests of Operations and Marketing and reports back, and ACSL corrects the postings of every module),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BRD-5 Accounting, Disbursement and ACSL</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BRD-05,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