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RECONCILIATION APPROACH</w:t>
      </w:r>
    </w:p>
    <w:p>
      <w:pPr>
        <w:spacing w:after="80" w:line="240" w:lineRule="auto"/>
      </w:pPr>
      <w:r>
        <w:rPr>
          <w:b/>
          <w:color w:val="004EA8"/>
          <w:sz w:val="56"/>
        </w:rPr>
        <w:t>Migration Reconciliation Approach and Sign-off</w:t>
      </w:r>
    </w:p>
    <w:p>
      <w:pPr>
        <w:spacing w:after="40"/>
      </w:pPr>
      <w:r>
        <w:rPr>
          <w:color w:val="2E2E2E"/>
          <w:sz w:val="28"/>
        </w:rPr>
        <w:t>BRD-13 Data Migration - how every data object is proven from source to target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BIBS-DMR-BRD-13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First issue for BDOI review, with the Data Migration Strategy and Approach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Head, Comptrollership (pending)</w:t>
            </w:r>
          </w:p>
        </w:tc>
        <w:tc>
          <w:tcPr>
            <w:tcW w:type="dxa" w:w="2606"/>
            <w:tcMar>
              <w:top w:w="50" w:type="dxa"/>
              <w:bottom w:w="50" w:type="dxa"/>
              <w:left w:w="90" w:type="dxa"/>
              <w:right w:w="90" w:type="dxa"/>
            </w:tcMar>
            <w:shd w:val="clear" w:color="auto" w:fill="E5F5FF"/>
          </w:tcPr>
          <w:p>
            <w:pPr>
              <w:pStyle w:val="BDOITable"/>
            </w:pPr>
            <w:r>
              <w:rPr>
                <w:sz w:val="18"/>
              </w:rPr>
              <w:t>With the Strategy v1.1 (BDOI timeline, go-live January 2028; four trial migrations). L5 compares each legacy control account with the opening detail; sign of a Migration Clearing difference corrected in the worked example; cohort completeness of the carried RMEL cohorts (P03); package remapping samples</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BDOI answers of 26-Sep-2026. Provisional GL opening and FY2027 true-ups (DMQ39, recommended) - true-up reconciliation with cut-off, movement, balance and clearing checks, and its sign-off form. RA-sent file (P03) and the go-live renewal extraction check replace the carried cohorts (DMQ37, DMQ38). The PACKAGE map is reconciled as reference data loaded for the Renewal sanitation (DMQ36)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 FRBS / ACSL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 approver for financial objects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owners of each object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Business verification and acceptance (G6)</w:t>
            </w:r>
          </w:p>
        </w:tc>
      </w:tr>
      <w:tr>
        <w:trPr>
          <w:cantSplit w:val="true"/>
        </w:trPr>
        <w:tc>
          <w:tcPr>
            <w:tcW w:type="dxa" w:w="2606"/>
            <w:tcMar>
              <w:top w:w="50" w:type="dxa"/>
              <w:bottom w:w="50" w:type="dxa"/>
              <w:left w:w="90" w:type="dxa"/>
              <w:right w:w="90" w:type="dxa"/>
            </w:tcMar>
          </w:tcPr>
          <w:p>
            <w:pPr>
              <w:pStyle w:val="BDOITable"/>
            </w:pPr>
            <w:r>
              <w:rPr>
                <w:sz w:val="18"/>
              </w:rPr>
              <w:t>BDOI Data Migration Lead; Program Manager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Go / no-go evidence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Audit / Compliance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Evidence retention; archive reconciliation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Reconciliation runs and reports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scope</w:t>
        </w:r>
        <w:r>
          <w:t xml:space="preserve">	</w:t>
        </w:r>
        <w:r>
          <w:t xml:space="preserve">4</w:t>
        </w:r>
      </w:hyperlink>
    </w:p>
    <w:p>
      <w:pPr>
        <w:pStyle w:val="toc1"/>
      </w:pPr>
      <w:hyperlink w:anchor="_Toc000102" w:history="1">
        <w:r>
          <w:t xml:space="preserve">2 Reconciliation levels</w:t>
        </w:r>
        <w:r>
          <w:t xml:space="preserve">	</w:t>
        </w:r>
        <w:r>
          <w:t xml:space="preserve">4</w:t>
        </w:r>
      </w:hyperlink>
    </w:p>
    <w:p>
      <w:pPr>
        <w:pStyle w:val="toc1"/>
      </w:pPr>
      <w:hyperlink w:anchor="_Toc000103" w:history="1">
        <w:r>
          <w:t xml:space="preserve">3 Control totals BDOI sends</w:t>
        </w:r>
        <w:r>
          <w:t xml:space="preserve">	</w:t>
        </w:r>
        <w:r>
          <w:t xml:space="preserve">5</w:t>
        </w:r>
      </w:hyperlink>
    </w:p>
    <w:p>
      <w:pPr>
        <w:pStyle w:val="toc1"/>
      </w:pPr>
      <w:hyperlink w:anchor="_Toc000104" w:history="1">
        <w:r>
          <w:t xml:space="preserve">4 Reconciliation per data object</w:t>
        </w:r>
        <w:r>
          <w:t xml:space="preserve">	</w:t>
        </w:r>
        <w:r>
          <w:t xml:space="preserve">6</w:t>
        </w:r>
      </w:hyperlink>
    </w:p>
    <w:p>
      <w:pPr>
        <w:pStyle w:val="toc1"/>
      </w:pPr>
      <w:hyperlink w:anchor="_Toc000105" w:history="1">
        <w:r>
          <w:t xml:space="preserve">5 GL reconciliation: Migration Clearing</w:t>
        </w:r>
        <w:r>
          <w:t xml:space="preserve">	</w:t>
        </w:r>
        <w:r>
          <w:t xml:space="preserve">7</w:t>
        </w:r>
      </w:hyperlink>
    </w:p>
    <w:p>
      <w:pPr>
        <w:pStyle w:val="toc2"/>
      </w:pPr>
      <w:hyperlink w:anchor="_Toc000106" w:history="1">
        <w:r>
          <w:t xml:space="preserve">5.1 True-up reconciliation (FY2027 closing and audit adjustments)</w:t>
        </w:r>
        <w:r>
          <w:t xml:space="preserve">	</w:t>
        </w:r>
        <w:r>
          <w:t xml:space="preserve">8</w:t>
        </w:r>
      </w:hyperlink>
    </w:p>
    <w:p>
      <w:pPr>
        <w:pStyle w:val="toc1"/>
      </w:pPr>
      <w:hyperlink w:anchor="_Toc000107" w:history="1">
        <w:r>
          <w:t xml:space="preserve">6 Business verification on screen (gate G6)</w:t>
        </w:r>
        <w:r>
          <w:t xml:space="preserve">	</w:t>
        </w:r>
        <w:r>
          <w:t xml:space="preserve">9</w:t>
        </w:r>
      </w:hyperlink>
    </w:p>
    <w:p>
      <w:pPr>
        <w:pStyle w:val="toc2"/>
      </w:pPr>
      <w:hyperlink w:anchor="_Toc000108" w:history="1">
        <w:r>
          <w:t xml:space="preserve">6.1 Sample plan</w:t>
        </w:r>
        <w:r>
          <w:t xml:space="preserve">	</w:t>
        </w:r>
        <w:r>
          <w:t xml:space="preserve">10</w:t>
        </w:r>
      </w:hyperlink>
    </w:p>
    <w:p>
      <w:pPr>
        <w:pStyle w:val="toc2"/>
      </w:pPr>
      <w:hyperlink w:anchor="_Toc000109" w:history="1">
        <w:r>
          <w:t xml:space="preserve">6.2 Acceptance rule</w:t>
        </w:r>
        <w:r>
          <w:t xml:space="preserve">	</w:t>
        </w:r>
        <w:r>
          <w:t xml:space="preserve">10</w:t>
        </w:r>
      </w:hyperlink>
    </w:p>
    <w:p>
      <w:pPr>
        <w:pStyle w:val="toc1"/>
      </w:pPr>
      <w:hyperlink w:anchor="_Toc000110" w:history="1">
        <w:r>
          <w:t xml:space="preserve">7 Breaks, waivers and exclusions</w:t>
        </w:r>
        <w:r>
          <w:t xml:space="preserve">	</w:t>
        </w:r>
        <w:r>
          <w:t xml:space="preserve">11</w:t>
        </w:r>
      </w:hyperlink>
    </w:p>
    <w:p>
      <w:pPr>
        <w:pStyle w:val="toc1"/>
      </w:pPr>
      <w:hyperlink w:anchor="_Toc000111" w:history="1">
        <w:r>
          <w:t xml:space="preserve">8 Evidence and retention</w:t>
        </w:r>
        <w:r>
          <w:t xml:space="preserve">	</w:t>
        </w:r>
        <w:r>
          <w:t xml:space="preserve">11</w:t>
        </w:r>
      </w:hyperlink>
    </w:p>
    <w:p>
      <w:pPr>
        <w:pStyle w:val="toc1"/>
      </w:pPr>
      <w:hyperlink w:anchor="_Toc000112" w:history="1">
        <w:r>
          <w:t xml:space="preserve">9 Sign-off forms</w:t>
        </w:r>
        <w:r>
          <w:t xml:space="preserve">	</w:t>
        </w:r>
        <w:r>
          <w:t xml:space="preserve">11</w:t>
        </w:r>
      </w:hyperlink>
    </w:p>
    <w:p>
      <w:pPr>
        <w:pStyle w:val="toc2"/>
      </w:pPr>
      <w:hyperlink w:anchor="_Toc000113" w:history="1">
        <w:r>
          <w:t xml:space="preserve">9.1 Object reconciliation and acceptance (G5 and G6)</w:t>
        </w:r>
        <w:r>
          <w:t xml:space="preserve">	</w:t>
        </w:r>
        <w:r>
          <w:t xml:space="preserve">12</w:t>
        </w:r>
      </w:hyperlink>
    </w:p>
    <w:p>
      <w:pPr>
        <w:pStyle w:val="toc2"/>
      </w:pPr>
      <w:hyperlink w:anchor="_Toc000114" w:history="1">
        <w:r>
          <w:t xml:space="preserve">9.2 Cutover reconciliation summary (go / no-go GNG-3)</w:t>
        </w:r>
        <w:r>
          <w:t xml:space="preserve">	</w:t>
        </w:r>
        <w:r>
          <w:t xml:space="preserve">13</w:t>
        </w:r>
      </w:hyperlink>
    </w:p>
    <w:p>
      <w:pPr>
        <w:pStyle w:val="toc2"/>
      </w:pPr>
      <w:hyperlink w:anchor="_Toc000115" w:history="1">
        <w:r>
          <w:t xml:space="preserve">9.3 True-up reconciliation and sign-off (FY2027)</w:t>
        </w:r>
        <w:r>
          <w:t xml:space="preserve">	</w:t>
        </w:r>
        <w:r>
          <w:t xml:space="preserve">14</w:t>
        </w:r>
      </w:hyperlink>
    </w:p>
    <w:p>
      <w:pPr>
        <w:pStyle w:val="toc2"/>
      </w:pPr>
      <w:hyperlink w:anchor="_Toc000116" w:history="1">
        <w:r>
          <w:t xml:space="preserve">9.4 Archive reconciliation (before decommissioning)</w:t>
        </w:r>
        <w:r>
          <w:t xml:space="preserve">	</w:t>
        </w:r>
        <w:r>
          <w:t xml:space="preserve">15</w:t>
        </w:r>
      </w:hyperlink>
      <w:r>
        <w:fldChar w:fldCharType="end"/>
      </w:r>
    </w:p>
    <w:p>
      <w:pPr>
        <w:pStyle w:val="Heading1"/>
        <w:pageBreakBefore/>
        <w:pBdr>
          <w:bottom w:val="single" w:sz="4" w:space="4" w:color="99C1E7"/>
        </w:pBdr>
      </w:pPr>
      <w:bookmarkStart w:id="101" w:name="_Toc000101"/>
      <w:r>
        <w:rPr/>
        <w:t>1 Purpose and scope</w:t>
      </w:r>
      <w:bookmarkEnd w:id="101"/>
    </w:p>
    <w:p>
      <w:r>
        <w:rPr/>
        <w:t>BRID 1.1b asks that, after cutover, "all data objects and items are reconcilable from source to target" from the generated data migration reports (BRD p.7). This document states how each object is reconciled, what BDOI verifies on the BIBS screens, how breaks are handled, which evidence is kept, and the forms that BDOI signs. It applies to every trial migration, the dress rehearsal and the production cutover, to the FY2027 true-ups after go-live, and to the archive loads before decommissioning.</w:t>
      </w:r>
    </w:p>
    <w:p>
      <w:r>
        <w:rPr/>
        <w:t>It completes the Data Migration Strategy and Approach (section 6.10) and FRS BRD-13 (FR-DM-020 to FR-DM-024, FR-DM-003). Account codes are not named: the legacy control accounts and the Migration Clearing account are assigned by Comptrollership (DMQ18, register DCR-197).</w:t>
      </w:r>
    </w:p>
    <w:p>
      <w:pPr>
        <w:pStyle w:val="Heading1"/>
        <w:pBdr>
          <w:bottom w:val="single" w:sz="4" w:space="4" w:color="99C1E7"/>
        </w:pBdr>
      </w:pPr>
      <w:bookmarkStart w:id="102" w:name="_Toc000102"/>
      <w:r>
        <w:rPr/>
        <w:t>2 Reconciliation levels</w:t>
      </w:r>
      <w:bookmarkEnd w:id="102"/>
    </w:p>
    <w:p>
      <w:r>
        <w:rPr/>
        <w:t>Five levels are run by BIBS after each load (job MIG_RECONCILE) and on demand. Levels L1 to L4 apply to every object; L5 to the financial objects.</w:t>
      </w:r>
    </w:p>
    <w:p>
      <w:pPr>
        <w:pStyle w:val="Caption"/>
        <w:keepNext/>
        <w:spacing w:after="60"/>
      </w:pPr>
      <w:r>
        <w:rPr>
          <w:b/>
          <w:i w:val="0"/>
        </w:rPr>
        <w:t xml:space="preserve">Table 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origin LEGACY,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(tolerance MIG_AMOUNT_TOLERANCE,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analysed per legacy control account (trial balance line against the opening detail posted to that account); each legacy control account against its legacy sub-ledger (ACSL GL-SL reconciliation with ledger context LEGACY)</w:t>
            </w:r>
          </w:p>
        </w:tc>
        <w:tc>
          <w:tcPr>
            <w:tcW w:type="dxa" w:w="3724"/>
            <w:tcMar>
              <w:top w:w="50" w:type="dxa"/>
              <w:bottom w:w="50" w:type="dxa"/>
              <w:left w:w="90" w:type="dxa"/>
              <w:right w:w="90" w:type="dxa"/>
            </w:tcMar>
          </w:tcPr>
          <w:p>
            <w:pPr>
              <w:pStyle w:val="BDOITable"/>
            </w:pPr>
            <w:r>
              <w:rPr>
                <w:sz w:val="17"/>
              </w:rPr>
              <w:t>Migration Clearing 0.00; per control account TB line = opening detail;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MIG_BREAK_REASON (rounding at source, record excluded by the owner, mapping difference, legacy data error, late legacy transaction, other) and a text, and is approved by the reconciliation approver. A reconciliation cannot be signed (gate G5) while a break is open.</w:t>
      </w:r>
    </w:p>
    <w:p>
      <w:r>
        <w:rPr>
          <w:b/>
        </w:rPr>
        <w:t>Reports.</w:t>
      </w:r>
      <w:r>
        <w:rPr/>
        <w:t xml:space="preserve"> MIG-RECON-SUMMARY (object by level with status), MIG-RECON-DETAIL (lines, breaks, explanations, approvals), MIG-REJECTS (rejected and invalid rows with their messages), MIG-GL-CLEARING (Migration Clearing per branch and currency; legacy control accounts against sub-ledgers). All export to Excel and PDF.</w:t>
      </w:r>
    </w:p>
    <w:p>
      <w:pPr>
        <w:pStyle w:val="Heading1"/>
        <w:pBdr>
          <w:bottom w:val="single" w:sz="4" w:space="4" w:color="99C1E7"/>
        </w:pBdr>
      </w:pPr>
      <w:bookmarkStart w:id="103" w:name="_Toc000103"/>
      <w:r>
        <w:rPr/>
        <w:t>3 Control totals BDOI sends</w:t>
      </w:r>
      <w:bookmarkEnd w:id="103"/>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2: </w:t>
      </w:r>
      <w:r>
        <w:rPr/>
        <w:t>Control totals required per layout (row count and SHA-256 for every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3003"/>
        <w:gridCol w:w="318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8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004"/>
            <w:tcMar>
              <w:top w:w="50" w:type="dxa"/>
              <w:bottom w:w="50" w:type="dxa"/>
              <w:left w:w="90" w:type="dxa"/>
              <w:right w:w="90" w:type="dxa"/>
            </w:tcMar>
          </w:tcPr>
          <w:p>
            <w:pPr>
              <w:pStyle w:val="BDOITable"/>
            </w:pPr>
            <w:r>
              <w:rPr>
                <w:sz w:val="16"/>
              </w:rPr>
              <w:t>Count of distinct (list_type, 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004"/>
            <w:tcMar>
              <w:top w:w="50" w:type="dxa"/>
              <w:bottom w:w="50" w:type="dxa"/>
              <w:left w:w="90" w:type="dxa"/>
              <w:right w:w="90" w:type="dxa"/>
            </w:tcMar>
            <w:shd w:val="clear" w:color="auto" w:fill="E5F5FF"/>
          </w:tcPr>
          <w:p>
            <w:pPr>
              <w:pStyle w:val="BDOITable"/>
            </w:pPr>
            <w:r>
              <w:rPr>
                <w:sz w:val="16"/>
              </w:rPr>
              <w:t>Count of distinct branch_code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004"/>
            <w:tcMar>
              <w:top w:w="50" w:type="dxa"/>
              <w:bottom w:w="50" w:type="dxa"/>
              <w:left w:w="90" w:type="dxa"/>
              <w:right w:w="90" w:type="dxa"/>
            </w:tcMar>
          </w:tcPr>
          <w:p>
            <w:pPr>
              <w:pStyle w:val="BDOITable"/>
            </w:pPr>
            <w:r>
              <w:rPr>
                <w:sz w:val="16"/>
              </w:rPr>
              <w:t>Count of rows per record_type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004"/>
            <w:tcMar>
              <w:top w:w="50" w:type="dxa"/>
              <w:bottom w:w="50" w:type="dxa"/>
              <w:left w:w="90" w:type="dxa"/>
              <w:right w:w="90" w:type="dxa"/>
            </w:tcMar>
            <w:shd w:val="clear" w:color="auto" w:fill="E5F5FF"/>
          </w:tcPr>
          <w:p>
            <w:pPr>
              <w:pStyle w:val="BDOITable"/>
            </w:pPr>
            <w:r>
              <w:rPr>
                <w:sz w:val="16"/>
              </w:rPr>
              <w:t>Count of distinct insurer_code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004"/>
            <w:tcMar>
              <w:top w:w="50" w:type="dxa"/>
              <w:bottom w:w="50" w:type="dxa"/>
              <w:left w:w="90" w:type="dxa"/>
              <w:right w:w="90" w:type="dxa"/>
            </w:tcMar>
          </w:tcPr>
          <w:p>
            <w:pPr>
              <w:pStyle w:val="BDOITable"/>
            </w:pPr>
            <w:r>
              <w:rPr>
                <w:sz w:val="16"/>
              </w:rPr>
              <w:t>Count of distinct (insurer_code, branch_code)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004"/>
            <w:tcMar>
              <w:top w:w="50" w:type="dxa"/>
              <w:bottom w:w="50" w:type="dxa"/>
              <w:left w:w="90" w:type="dxa"/>
              <w:right w:w="90" w:type="dxa"/>
            </w:tcMar>
            <w:shd w:val="clear" w:color="auto" w:fill="E5F5FF"/>
          </w:tcPr>
          <w:p>
            <w:pPr>
              <w:pStyle w:val="BDOITable"/>
            </w:pPr>
            <w:r>
              <w:rPr>
                <w:sz w:val="16"/>
              </w:rPr>
              <w:t>Count of distinct risk_code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 code map (legacy package to BIBS package version)</w:t>
            </w:r>
          </w:p>
        </w:tc>
        <w:tc>
          <w:tcPr>
            <w:tcW w:type="dxa" w:w="3004"/>
            <w:tcMar>
              <w:top w:w="50" w:type="dxa"/>
              <w:bottom w:w="50" w:type="dxa"/>
              <w:left w:w="90" w:type="dxa"/>
              <w:right w:w="90" w:type="dxa"/>
            </w:tcMar>
          </w:tcPr>
          <w:p>
            <w:pPr>
              <w:pStyle w:val="BDOITable"/>
            </w:pPr>
            <w:r>
              <w:rPr>
                <w:sz w:val="16"/>
              </w:rPr>
              <w:t>Count of distinct (legacy_package_code, legacy_package_version)</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004"/>
            <w:tcMar>
              <w:top w:w="50" w:type="dxa"/>
              <w:bottom w:w="50" w:type="dxa"/>
              <w:left w:w="90" w:type="dxa"/>
              <w:right w:w="90" w:type="dxa"/>
            </w:tcMar>
          </w:tcPr>
          <w:p>
            <w:pPr>
              <w:pStyle w:val="BDOITable"/>
            </w:pPr>
            <w:r>
              <w:rPr>
                <w:sz w:val="16"/>
              </w:rPr>
              <w:t>Count of distinct legacy_account_code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004"/>
            <w:tcMar>
              <w:top w:w="50" w:type="dxa"/>
              <w:bottom w:w="50" w:type="dxa"/>
              <w:left w:w="90" w:type="dxa"/>
              <w:right w:w="90" w:type="dxa"/>
            </w:tcMar>
            <w:shd w:val="clear" w:color="auto" w:fill="E5F5FF"/>
          </w:tcPr>
          <w:p>
            <w:pPr>
              <w:pStyle w:val="BDOITable"/>
            </w:pPr>
            <w:r>
              <w:rPr>
                <w:sz w:val="16"/>
              </w:rPr>
              <w:t>Count of distinct payee_code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004"/>
            <w:tcMar>
              <w:top w:w="50" w:type="dxa"/>
              <w:bottom w:w="50" w:type="dxa"/>
              <w:left w:w="90" w:type="dxa"/>
              <w:right w:w="90" w:type="dxa"/>
            </w:tcMar>
            <w:shd w:val="clear" w:color="auto" w:fill="E5F5FF"/>
          </w:tcPr>
          <w:p>
            <w:pPr>
              <w:pStyle w:val="BDOITable"/>
            </w:pPr>
            <w:r>
              <w:rPr>
                <w:sz w:val="16"/>
              </w:rPr>
              <w:t>Count of distinct legacy_client_no</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Renewal advices already sent before go-live (RA-sent file)</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004"/>
            <w:tcMar>
              <w:top w:w="50" w:type="dxa"/>
              <w:bottom w:w="50" w:type="dxa"/>
              <w:left w:w="90" w:type="dxa"/>
              <w:right w:w="90" w:type="dxa"/>
            </w:tcMar>
            <w:shd w:val="clear" w:color="auto" w:fill="E5F5FF"/>
          </w:tcPr>
          <w:p>
            <w:pPr>
              <w:pStyle w:val="BDOITable"/>
            </w:pPr>
            <w:r>
              <w:rPr>
                <w:sz w:val="16"/>
              </w:rPr>
              <w:t>Count of distinct legacy_invoice_no</w:t>
            </w:r>
          </w:p>
        </w:tc>
        <w:tc>
          <w:tcPr>
            <w:tcW w:type="dxa" w:w="3184"/>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004"/>
            <w:tcMar>
              <w:top w:w="50" w:type="dxa"/>
              <w:bottom w:w="50" w:type="dxa"/>
              <w:left w:w="90" w:type="dxa"/>
              <w:right w:w="90" w:type="dxa"/>
            </w:tcMar>
          </w:tcPr>
          <w:p>
            <w:pPr>
              <w:pStyle w:val="BDOITable"/>
            </w:pPr>
            <w:r>
              <w:rPr>
                <w:sz w:val="16"/>
              </w:rPr>
              <w:t>Count of distinct legacy_upp_ref</w:t>
            </w:r>
          </w:p>
        </w:tc>
        <w:tc>
          <w:tcPr>
            <w:tcW w:type="dxa" w:w="3184"/>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004"/>
            <w:tcMar>
              <w:top w:w="50" w:type="dxa"/>
              <w:bottom w:w="50" w:type="dxa"/>
              <w:left w:w="90" w:type="dxa"/>
              <w:right w:w="90" w:type="dxa"/>
            </w:tcMar>
            <w:shd w:val="clear" w:color="auto" w:fill="E5F5FF"/>
          </w:tcPr>
          <w:p>
            <w:pPr>
              <w:pStyle w:val="BDOITable"/>
            </w:pPr>
            <w:r>
              <w:rPr>
                <w:sz w:val="16"/>
              </w:rPr>
              <w:t>Count of rows per record_type</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3004"/>
            <w:tcMar>
              <w:top w:w="50" w:type="dxa"/>
              <w:bottom w:w="50" w:type="dxa"/>
              <w:left w:w="90" w:type="dxa"/>
              <w:right w:w="90" w:type="dxa"/>
            </w:tcMar>
            <w:shd w:val="clear" w:color="auto" w:fill="E5F5FF"/>
          </w:tcPr>
          <w:p>
            <w:pPr>
              <w:pStyle w:val="BDOITable"/>
            </w:pPr>
            <w:r>
              <w:rPr>
                <w:sz w:val="16"/>
              </w:rPr>
              <w:t>Count of distinct legacy_journal_no</w:t>
            </w:r>
          </w:p>
        </w:tc>
        <w:tc>
          <w:tcPr>
            <w:tcW w:type="dxa" w:w="3184"/>
            <w:tcMar>
              <w:top w:w="50" w:type="dxa"/>
              <w:bottom w:w="50" w:type="dxa"/>
              <w:left w:w="90" w:type="dxa"/>
              <w:right w:w="90" w:type="dxa"/>
            </w:tcMar>
            <w:shd w:val="clear" w:color="auto" w:fill="E5F5FF"/>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tcPr>
          <w:p>
            <w:pPr>
              <w:pStyle w:val="BDOITable"/>
            </w:pPr>
            <w:r>
              <w:rPr>
                <w:b/>
                <w:sz w:val="16"/>
              </w:rPr>
              <w:t>G03D</w:t>
            </w:r>
          </w:p>
        </w:tc>
        <w:tc>
          <w:tcPr>
            <w:tcW w:type="dxa" w:w="3004"/>
            <w:tcMar>
              <w:top w:w="50" w:type="dxa"/>
              <w:bottom w:w="50" w:type="dxa"/>
              <w:left w:w="90" w:type="dxa"/>
              <w:right w:w="90" w:type="dxa"/>
            </w:tcMar>
          </w:tcPr>
          <w:p>
            <w:pPr>
              <w:pStyle w:val="BDOITable"/>
            </w:pPr>
            <w:r>
              <w:rPr>
                <w:sz w:val="16"/>
              </w:rPr>
              <w:t>FY2027 true-up - open-item detail of the lines on legacy control accounts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004"/>
            <w:tcMar>
              <w:top w:w="50" w:type="dxa"/>
              <w:bottom w:w="50" w:type="dxa"/>
              <w:left w:w="90" w:type="dxa"/>
              <w:right w:w="90" w:type="dxa"/>
            </w:tcMar>
            <w:shd w:val="clear" w:color="auto" w:fill="E5F5FF"/>
          </w:tcPr>
          <w:p>
            <w:pPr>
              <w:pStyle w:val="BDOITable"/>
            </w:pPr>
            <w:r>
              <w:rPr>
                <w:sz w:val="16"/>
              </w:rPr>
              <w:t>Count of distinct (record_type, legacy_key)</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004"/>
            <w:tcMar>
              <w:top w:w="50" w:type="dxa"/>
              <w:bottom w:w="50" w:type="dxa"/>
              <w:left w:w="90" w:type="dxa"/>
              <w:right w:w="90" w:type="dxa"/>
            </w:tcMar>
          </w:tcPr>
          <w:p>
            <w:pPr>
              <w:pStyle w:val="BDOITable"/>
            </w:pPr>
            <w:r>
              <w:rPr>
                <w:sz w:val="16"/>
              </w:rPr>
              <w:t>Count of rows; SHA-256 per file</w:t>
            </w:r>
          </w:p>
        </w:tc>
        <w:tc>
          <w:tcPr>
            <w:tcW w:type="dxa" w:w="318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Bdr>
          <w:bottom w:val="single" w:sz="4" w:space="4" w:color="99C1E7"/>
        </w:pBdr>
      </w:pPr>
      <w:bookmarkStart w:id="104" w:name="_Toc000104"/>
      <w:r>
        <w:rPr/>
        <w:t>4 Reconciliation per data object</w:t>
      </w:r>
      <w:bookmarkEnd w:id="104"/>
    </w:p>
    <w:p>
      <w:pPr>
        <w:pStyle w:val="Caption"/>
        <w:keepNext/>
        <w:spacing w:after="60"/>
      </w:pPr>
      <w:r>
        <w:rPr>
          <w:b/>
          <w:i w:val="0"/>
        </w:rPr>
        <w:t xml:space="preserve">Table 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 PACKAGE map entries</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 PACKAGE entries in the Renewal package map</w:t>
            </w:r>
          </w:p>
        </w:tc>
        <w:tc>
          <w:tcPr>
            <w:tcW w:type="dxa" w:w="2523"/>
            <w:tcMar>
              <w:top w:w="50" w:type="dxa"/>
              <w:bottom w:w="50" w:type="dxa"/>
              <w:left w:w="90" w:type="dxa"/>
              <w:right w:w="90" w:type="dxa"/>
            </w:tcMar>
          </w:tcPr>
          <w:p>
            <w:pPr>
              <w:pStyle w:val="BDOITable"/>
            </w:pPr>
            <w:r>
              <w:rPr>
                <w:sz w:val="16"/>
              </w:rPr>
              <w:t>Unmapped-code report empty; every CREATE value authorised in its master; PACKAGE entries loaded into the Renewal package map equal the approved version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RA-sent rows received, loaded, rejected; resubmitted rows</w:t>
            </w:r>
          </w:p>
        </w:tc>
        <w:tc>
          <w:tcPr>
            <w:tcW w:type="dxa" w:w="2042"/>
            <w:tcMar>
              <w:top w:w="50" w:type="dxa"/>
              <w:bottom w:w="50" w:type="dxa"/>
              <w:left w:w="90" w:type="dxa"/>
              <w:right w:w="90" w:type="dxa"/>
            </w:tcMar>
            <w:shd w:val="clear" w:color="auto" w:fill="E5F5FF"/>
          </w:tcPr>
          <w:p>
            <w:pPr>
              <w:pStyle w:val="BDOITable"/>
            </w:pPr>
            <w:r>
              <w:rPr>
                <w:sz w:val="16"/>
              </w:rPr>
              <w:t>Proposed premium per currency</w:t>
            </w:r>
          </w:p>
        </w:tc>
        <w:tc>
          <w:tcPr>
            <w:tcW w:type="dxa" w:w="1562"/>
            <w:tcMar>
              <w:top w:w="50" w:type="dxa"/>
              <w:bottom w:w="50" w:type="dxa"/>
              <w:left w:w="90" w:type="dxa"/>
              <w:right w:w="90" w:type="dxa"/>
            </w:tcMar>
            <w:shd w:val="clear" w:color="auto" w:fill="E5F5FF"/>
          </w:tcPr>
          <w:p>
            <w:pPr>
              <w:pStyle w:val="BDOITable"/>
            </w:pPr>
            <w:r>
              <w:rPr>
                <w:sz w:val="16"/>
              </w:rPr>
              <w:t>Distinct legacy policy references</w:t>
            </w:r>
          </w:p>
        </w:tc>
        <w:tc>
          <w:tcPr>
            <w:tcW w:type="dxa" w:w="1562"/>
            <w:tcMar>
              <w:top w:w="50" w:type="dxa"/>
              <w:bottom w:w="50" w:type="dxa"/>
              <w:left w:w="90" w:type="dxa"/>
              <w:right w:w="90" w:type="dxa"/>
            </w:tcMar>
            <w:shd w:val="clear" w:color="auto" w:fill="E5F5FF"/>
          </w:tcPr>
          <w:p>
            <w:pPr>
              <w:pStyle w:val="BDOITable"/>
            </w:pPr>
            <w:r>
              <w:rPr>
                <w:sz w:val="16"/>
              </w:rPr>
              <w:t>RA date, reference, channel, sender, tracker</w:t>
            </w:r>
          </w:p>
        </w:tc>
        <w:tc>
          <w:tcPr>
            <w:tcW w:type="dxa" w:w="2523"/>
            <w:tcMar>
              <w:top w:w="50" w:type="dxa"/>
              <w:bottom w:w="50" w:type="dxa"/>
              <w:left w:w="90" w:type="dxa"/>
              <w:right w:w="90" w:type="dxa"/>
            </w:tcMar>
            <w:shd w:val="clear" w:color="auto" w:fill="E5F5FF"/>
          </w:tcPr>
          <w:p>
            <w:pPr>
              <w:pStyle w:val="BDOITable"/>
            </w:pPr>
            <w:r>
              <w:rPr>
                <w:sz w:val="16"/>
              </w:rPr>
              <w:t>At go-live, the extraction check MIG-RENEWAL-GOLIVE per expiry month January-May 2028: P01 headers expiring from T to 31 May 2028 = candidates + renewals booked in legacy; loaded P03 rows = candidates with the RA already sent; every January candidate URGENT</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Provisional opening - balance sheet in BIBS = preliminary December TB per branch and currency; FY2027 result on retained earnings; P&amp;L accounts 0.00;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G03 (G03, G03D)</w:t>
            </w:r>
          </w:p>
        </w:tc>
        <w:tc>
          <w:tcPr>
            <w:tcW w:type="dxa" w:w="1562"/>
            <w:tcMar>
              <w:top w:w="50" w:type="dxa"/>
              <w:bottom w:w="50" w:type="dxa"/>
              <w:left w:w="90" w:type="dxa"/>
              <w:right w:w="90" w:type="dxa"/>
            </w:tcMar>
            <w:shd w:val="clear" w:color="auto" w:fill="E5F5FF"/>
          </w:tcPr>
          <w:p>
            <w:pPr>
              <w:pStyle w:val="BDOITable"/>
            </w:pPr>
            <w:r>
              <w:rPr>
                <w:sz w:val="16"/>
              </w:rPr>
              <w:t>Journal lines and detail lines per true-up</w:t>
            </w:r>
          </w:p>
        </w:tc>
        <w:tc>
          <w:tcPr>
            <w:tcW w:type="dxa" w:w="2042"/>
            <w:tcMar>
              <w:top w:w="50" w:type="dxa"/>
              <w:bottom w:w="50" w:type="dxa"/>
              <w:left w:w="90" w:type="dxa"/>
              <w:right w:w="90" w:type="dxa"/>
            </w:tcMar>
            <w:shd w:val="clear" w:color="auto" w:fill="E5F5FF"/>
          </w:tcPr>
          <w:p>
            <w:pPr>
              <w:pStyle w:val="BDOITable"/>
            </w:pPr>
            <w:r>
              <w:rPr>
                <w:sz w:val="16"/>
              </w:rPr>
              <w:t>Debit and credit per branch and currency; detail per account</w:t>
            </w:r>
          </w:p>
        </w:tc>
        <w:tc>
          <w:tcPr>
            <w:tcW w:type="dxa" w:w="1562"/>
            <w:tcMar>
              <w:top w:w="50" w:type="dxa"/>
              <w:bottom w:w="50" w:type="dxa"/>
              <w:left w:w="90" w:type="dxa"/>
              <w:right w:w="90" w:type="dxa"/>
            </w:tcMar>
            <w:shd w:val="clear" w:color="auto" w:fill="E5F5FF"/>
          </w:tcPr>
          <w:p>
            <w:pPr>
              <w:pStyle w:val="BDOITable"/>
            </w:pPr>
            <w:r>
              <w:rPr>
                <w:sz w:val="16"/>
              </w:rPr>
              <w:t>Distinct legacy journals</w:t>
            </w:r>
          </w:p>
        </w:tc>
        <w:tc>
          <w:tcPr>
            <w:tcW w:type="dxa" w:w="1562"/>
            <w:tcMar>
              <w:top w:w="50" w:type="dxa"/>
              <w:bottom w:w="50" w:type="dxa"/>
              <w:left w:w="90" w:type="dxa"/>
              <w:right w:w="90" w:type="dxa"/>
            </w:tcMar>
            <w:shd w:val="clear" w:color="auto" w:fill="E5F5FF"/>
          </w:tcPr>
          <w:p>
            <w:pPr>
              <w:pStyle w:val="BDOITable"/>
            </w:pPr>
            <w:r>
              <w:rPr>
                <w:sz w:val="16"/>
              </w:rPr>
              <w:t>Account, branch, currency, amounts; item and component of each detail line</w:t>
            </w:r>
          </w:p>
        </w:tc>
        <w:tc>
          <w:tcPr>
            <w:tcW w:type="dxa" w:w="2523"/>
            <w:tcMar>
              <w:top w:w="50" w:type="dxa"/>
              <w:bottom w:w="50" w:type="dxa"/>
              <w:left w:w="90" w:type="dxa"/>
              <w:right w:w="90" w:type="dxa"/>
            </w:tcMar>
            <w:shd w:val="clear" w:color="auto" w:fill="E5F5FF"/>
          </w:tcPr>
          <w:p>
            <w:pPr>
              <w:pStyle w:val="BDOITable"/>
            </w:pPr>
            <w:r>
              <w:rPr>
                <w:sz w:val="16"/>
              </w:rPr>
              <w:t>True-up reconciliation (section 5.1)</w:t>
            </w:r>
          </w:p>
        </w:tc>
      </w:tr>
      <w:tr>
        <w:trPr>
          <w:cantSplit w:val="true"/>
        </w:trPr>
        <w:tc>
          <w:tcPr>
            <w:tcW w:type="dxa" w:w="721"/>
            <w:tcMar>
              <w:top w:w="50" w:type="dxa"/>
              <w:bottom w:w="50" w:type="dxa"/>
              <w:left w:w="90" w:type="dxa"/>
              <w:right w:w="90" w:type="dxa"/>
            </w:tcMar>
          </w:tcPr>
          <w:p>
            <w:pPr>
              <w:pStyle w:val="BDOITable"/>
            </w:pPr>
            <w:r>
              <w:rPr>
                <w:sz w:val="16"/>
              </w:rPr>
              <w:t>H01, H02</w:t>
            </w:r>
          </w:p>
        </w:tc>
        <w:tc>
          <w:tcPr>
            <w:tcW w:type="dxa" w:w="1562"/>
            <w:tcMar>
              <w:top w:w="50" w:type="dxa"/>
              <w:bottom w:w="50" w:type="dxa"/>
              <w:left w:w="90" w:type="dxa"/>
              <w:right w:w="90" w:type="dxa"/>
            </w:tcMar>
          </w:tcPr>
          <w:p>
            <w:pPr>
              <w:pStyle w:val="BDOITable"/>
            </w:pPr>
            <w:r>
              <w:rPr>
                <w:sz w:val="16"/>
              </w:rPr>
              <w:t>Records per record type; documents</w:t>
            </w:r>
          </w:p>
        </w:tc>
        <w:tc>
          <w:tcPr>
            <w:tcW w:type="dxa" w:w="2042"/>
            <w:tcMar>
              <w:top w:w="50" w:type="dxa"/>
              <w:bottom w:w="50" w:type="dxa"/>
              <w:left w:w="90" w:type="dxa"/>
              <w:right w:w="90" w:type="dxa"/>
            </w:tcMar>
          </w:tcPr>
          <w:p>
            <w:pPr>
              <w:pStyle w:val="BDOITable"/>
            </w:pPr>
            <w:r>
              <w:rPr>
                <w:sz w:val="16"/>
              </w:rPr>
              <w:t>Amount per record type and currency</w:t>
            </w:r>
          </w:p>
        </w:tc>
        <w:tc>
          <w:tcPr>
            <w:tcW w:type="dxa" w:w="1562"/>
            <w:tcMar>
              <w:top w:w="50" w:type="dxa"/>
              <w:bottom w:w="50" w:type="dxa"/>
              <w:left w:w="90" w:type="dxa"/>
              <w:right w:w="90" w:type="dxa"/>
            </w:tcMar>
          </w:tcPr>
          <w:p>
            <w:pPr>
              <w:pStyle w:val="BDOITable"/>
            </w:pPr>
            <w:r>
              <w:rPr>
                <w:sz w:val="16"/>
              </w:rPr>
              <w:t>Distinct keys per record type; SHA-256 per document</w:t>
            </w:r>
          </w:p>
        </w:tc>
        <w:tc>
          <w:tcPr>
            <w:tcW w:type="dxa" w:w="1562"/>
            <w:tcMar>
              <w:top w:w="50" w:type="dxa"/>
              <w:bottom w:w="50" w:type="dxa"/>
              <w:left w:w="90" w:type="dxa"/>
              <w:right w:w="90" w:type="dxa"/>
            </w:tcMar>
          </w:tcPr>
          <w:p>
            <w:pPr>
              <w:pStyle w:val="BDOITable"/>
            </w:pPr>
            <w:r>
              <w:rPr>
                <w:sz w:val="16"/>
              </w:rPr>
              <w:t>Labelled legacy columns</w:t>
            </w:r>
          </w:p>
        </w:tc>
        <w:tc>
          <w:tcPr>
            <w:tcW w:type="dxa" w:w="2523"/>
            <w:tcMar>
              <w:top w:w="50" w:type="dxa"/>
              <w:bottom w:w="50" w:type="dxa"/>
              <w:left w:w="90" w:type="dxa"/>
              <w:right w:w="90" w:type="dxa"/>
            </w:tcMar>
          </w:tcPr>
          <w:p>
            <w:pPr>
              <w:pStyle w:val="BDOITable"/>
            </w:pPr>
            <w:r>
              <w:rPr>
                <w:sz w:val="16"/>
              </w:rPr>
              <w:t>Samples found in Legacy Inquiry with their documents</w:t>
            </w:r>
          </w:p>
        </w:tc>
      </w:tr>
    </w:tbl>
    <w:p>
      <w:pPr>
        <w:pStyle w:val="BDOISpacer"/>
      </w:pPr>
    </w:p>
    <w:p>
      <w:pPr>
        <w:pStyle w:val="Heading1"/>
        <w:pBdr>
          <w:bottom w:val="single" w:sz="4" w:space="4" w:color="99C1E7"/>
        </w:pBdr>
      </w:pPr>
      <w:bookmarkStart w:id="105" w:name="_Toc000105"/>
      <w:r>
        <w:rPr/>
        <w:t>5 GL reconciliation: Migration Clearing</w:t>
      </w:r>
      <w:bookmarkEnd w:id="105"/>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create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5872"/>
            <wp:docPr id="3" name="Picture 3"/>
            <wp:cNvGraphicFramePr>
              <a:graphicFrameLocks noChangeAspect="1"/>
            </wp:cNvGraphicFramePr>
            <a:graphic>
              <a:graphicData uri="http://schemas.openxmlformats.org/drawingml/2006/picture">
                <pic:pic>
                  <pic:nvPicPr>
                    <pic:cNvPr id="0" name="dm_clearing_1003.jpg"/>
                    <pic:cNvPicPr/>
                  </pic:nvPicPr>
                  <pic:blipFill>
                    <a:blip r:embed="rId15"/>
                    <a:stretch>
                      <a:fillRect/>
                    </a:stretch>
                  </pic:blipFill>
                  <pic:spPr>
                    <a:xfrm>
                      <a:off x="0" y="0"/>
                      <a:ext cx="5400000" cy="1975872"/>
                    </a:xfrm>
                    <a:prstGeom prst="rect"/>
                  </pic:spPr>
                </pic:pic>
              </a:graphicData>
            </a:graphic>
          </wp:inline>
        </w:drawing>
      </w:r>
    </w:p>
    <w:p>
      <w:pPr>
        <w:pStyle w:val="Caption"/>
        <w:jc w:val="center"/>
      </w:pPr>
      <w:r>
        <w:rPr>
          <w:b/>
          <w:i w:val="0"/>
        </w:rPr>
        <w:t xml:space="preserve">Figure 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b/>
        </w:rPr>
        <w:t>A missing invoice.</w:t>
      </w:r>
      <w:r>
        <w:rPr/>
        <w:t xml:space="preserve"> A difference on Migration Clearing has the sign of the trial balance, because the TB puts the legacy control-account lines on Migration Clearing with their own sign and the opening entries put the detail there with the opposite sign. So an invoice missing from F01 leaves a </w:t>
      </w:r>
      <w:r>
        <w:rPr>
          <w:b/>
        </w:rPr>
        <w:t>debit</w:t>
      </w:r>
      <w:r>
        <w:rPr/>
        <w:t xml:space="preserve"> equal to its net receivable position (open premium receivable, PR2307 and commission receivable, less open DTIP, unrealised commission and deferred VAT) when that is positive, and a </w:t>
      </w:r>
      <w:r>
        <w:rPr>
          <w:b/>
        </w:rPr>
        <w:t>credit</w:t>
      </w:r>
      <w:r>
        <w:rPr/>
        <w:t xml:space="preserve"> when it is negative (FR-DM-021 acceptance 3). Two cases, made-up figures:</w:t>
      </w:r>
    </w:p>
    <w:p>
      <w:pPr>
        <w:tabs>
          <w:tab w:pos="312" w:val="left"/>
        </w:tabs>
        <w:spacing w:after="40"/>
        <w:ind w:left="312" w:hanging="283"/>
      </w:pPr>
      <w:r>
        <w:rPr>
          <w:color w:val="004EA8"/>
        </w:rPr>
        <w:t>•</w:t>
        <w:tab/>
      </w:r>
      <w:r>
        <w:rPr/>
        <w:t xml:space="preserve">F01 missed an invoice paid in full and not remitted, with DTIP 5,000.00 open and commission receivable 800.00 (realised on collection): Migration Clearing shows a </w:t>
      </w:r>
      <w:r>
        <w:rPr>
          <w:b/>
        </w:rPr>
        <w:t>credit of 4,200.00</w:t>
      </w:r>
      <w:r>
        <w:rPr/>
        <w:t xml:space="preserve"> in that branch.</w:t>
      </w:r>
    </w:p>
    <w:p>
      <w:pPr>
        <w:tabs>
          <w:tab w:pos="312" w:val="left"/>
        </w:tabs>
        <w:spacing w:after="120"/>
        <w:ind w:left="312" w:hanging="283"/>
      </w:pPr>
      <w:r>
        <w:rPr>
          <w:color w:val="004EA8"/>
        </w:rPr>
        <w:t>•</w:t>
        <w:tab/>
      </w:r>
      <w:r>
        <w:rPr/>
        <w:t>F01 missed an unpaid invoice with premium receivable 3,000.00, DTIP 3,000.00, commission receivable 480.00 and the same 480.00 unrealised: Migration Clearing nets to 0.00. The per-account comparison of MIG-GL-CLEARING finds it: the TB is 3,000.00 debit higher than the detail on Premium Receivable - Legacy, 3,000.00 credit higher on DTIP - Legacy, and 480.00 higher on each commission account.</w:t>
      </w:r>
    </w:p>
    <w:p>
      <w:r>
        <w:rPr/>
        <w:t>Either break is investigated and fixed or explained before go / no-go.</w:t>
      </w:r>
    </w:p>
    <w:p>
      <w:r>
        <w:rPr>
          <w:b/>
        </w:rPr>
        <w:t>Legacy control accounts against sub-ledgers.</w:t>
      </w:r>
      <w:r>
        <w:rPr/>
        <w:t xml:space="preserve"> After the loads, the ACSL GL to Sub-ledger Reconciliation is run with ledger context LEGACY: each legacy control account must equal the open positions of the legacy invoices (or legacy UPP) behind it. This is criterion 6 of the go / no-go and is repeated daily in hypercare and at every month-end until the legacy context closes.</w:t>
      </w:r>
    </w:p>
    <w:p>
      <w:pPr>
        <w:pStyle w:val="Heading2"/>
      </w:pPr>
      <w:bookmarkStart w:id="106" w:name="_Toc000106"/>
      <w:r>
        <w:rPr/>
        <w:t>5.1 True-up reconciliation (FY2027 closing and audit adjustments)</w:t>
      </w:r>
      <w:bookmarkEnd w:id="106"/>
    </w:p>
    <w:p>
      <w:r>
        <w:rPr/>
        <w:t>With the year-end cut-over (DMQ39, option A, recommended), the GL opening is provisional. After the freeze the legacy GL accepts only the FY2027 closing and audit adjustments of the Comptrollership users on the signed access list, and each adjustment reaches BIBS in a true-up (FR-DM-023): true-up 1 after the legacy year-end close (about 18-21 January 2028), interim true-ups only when needed, and the final true-up after the audited financial statements (about March-April 2028). Each true-up comes with the legacy trial balance after the adjustments (G01, version TU1, TU2 or FINAL), the adjustment journal lines (G03), their open-item detail on the legacy control accounts (G03D) and the legacy journal listing since the freeze. BIBS runs MIG-TRUEUP-RECON after the posting; the Head of Comptrollership signs the true-up only when every check is met (FR-DM-024).</w:t>
      </w:r>
    </w:p>
    <w:p>
      <w:pPr>
        <w:pStyle w:val="Caption"/>
        <w:keepNext/>
        <w:spacing w:after="60"/>
      </w:pPr>
      <w:r>
        <w:rPr>
          <w:b/>
          <w:i w:val="0"/>
        </w:rPr>
        <w:t xml:space="preserve">Table 5: </w:t>
      </w:r>
      <w:r>
        <w:rPr/>
        <w:t>True-up checks (MIG-TRUEUP-RECON)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445"/>
        <w:gridCol w:w="396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a break usually means</w:t>
            </w:r>
          </w:p>
        </w:tc>
      </w:tr>
      <w:tr>
        <w:trPr>
          <w:cantSplit w:val="true"/>
        </w:trPr>
        <w:tc>
          <w:tcPr>
            <w:tcW w:type="dxa" w:w="1562"/>
            <w:tcMar>
              <w:top w:w="50" w:type="dxa"/>
              <w:bottom w:w="50" w:type="dxa"/>
              <w:left w:w="90" w:type="dxa"/>
              <w:right w:w="90" w:type="dxa"/>
            </w:tcMar>
          </w:tcPr>
          <w:p>
            <w:pPr>
              <w:pStyle w:val="BDOITable"/>
            </w:pPr>
            <w:r>
              <w:rPr>
                <w:sz w:val="17"/>
              </w:rPr>
              <w:t>Cut-off</w:t>
            </w:r>
          </w:p>
        </w:tc>
        <w:tc>
          <w:tcPr>
            <w:tcW w:type="dxa" w:w="4445"/>
            <w:tcMar>
              <w:top w:w="50" w:type="dxa"/>
              <w:bottom w:w="50" w:type="dxa"/>
              <w:left w:w="90" w:type="dxa"/>
              <w:right w:w="90" w:type="dxa"/>
            </w:tcMar>
          </w:tcPr>
          <w:p>
            <w:pPr>
              <w:pStyle w:val="BDOITable"/>
            </w:pPr>
            <w:r>
              <w:rPr>
                <w:sz w:val="17"/>
              </w:rPr>
              <w:t>Legacy journal listing since the freeze = FY2027 adjustment register = journals of the true-ups so far; every journal dated in FY2027, posted after the freeze by a user on the access list; no posting by a legacy business module</w:t>
            </w:r>
          </w:p>
        </w:tc>
        <w:tc>
          <w:tcPr>
            <w:tcW w:type="dxa" w:w="3965"/>
            <w:tcMar>
              <w:top w:w="50" w:type="dxa"/>
              <w:bottom w:w="50" w:type="dxa"/>
              <w:left w:w="90" w:type="dxa"/>
              <w:right w:w="90" w:type="dxa"/>
            </w:tcMar>
          </w:tcPr>
          <w:p>
            <w:pPr>
              <w:pStyle w:val="BDOITable"/>
            </w:pPr>
            <w:r>
              <w:rPr>
                <w:sz w:val="17"/>
              </w:rPr>
              <w:t>A journal posted outside the register, by the wrong user, or in FY2028</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Movement</w:t>
            </w:r>
          </w:p>
        </w:tc>
        <w:tc>
          <w:tcPr>
            <w:tcW w:type="dxa" w:w="4445"/>
            <w:tcMar>
              <w:top w:w="50" w:type="dxa"/>
              <w:bottom w:w="50" w:type="dxa"/>
              <w:left w:w="90" w:type="dxa"/>
              <w:right w:w="90" w:type="dxa"/>
            </w:tcMar>
            <w:shd w:val="clear" w:color="auto" w:fill="E5F5FF"/>
          </w:tcPr>
          <w:p>
            <w:pPr>
              <w:pStyle w:val="BDOITable"/>
            </w:pPr>
            <w:r>
              <w:rPr>
                <w:sz w:val="17"/>
              </w:rPr>
              <w:t>Per BIBS account, branch and currency: true-up n = legacy TB of true-up n - legacy TB of the previous true-up (or of the provisional opening), both mapped, P&amp;L netted into retained earnings</w:t>
            </w:r>
          </w:p>
        </w:tc>
        <w:tc>
          <w:tcPr>
            <w:tcW w:type="dxa" w:w="3965"/>
            <w:tcMar>
              <w:top w:w="50" w:type="dxa"/>
              <w:bottom w:w="50" w:type="dxa"/>
              <w:left w:w="90" w:type="dxa"/>
              <w:right w:w="90" w:type="dxa"/>
            </w:tcMar>
            <w:shd w:val="clear" w:color="auto" w:fill="E5F5FF"/>
          </w:tcPr>
          <w:p>
            <w:pPr>
              <w:pStyle w:val="BDOITable"/>
            </w:pPr>
            <w:r>
              <w:rPr>
                <w:sz w:val="17"/>
              </w:rPr>
              <w:t>A legacy journal missing from G03, or a TB extracted at a different time</w:t>
            </w:r>
          </w:p>
        </w:tc>
      </w:tr>
      <w:tr>
        <w:trPr>
          <w:cantSplit w:val="true"/>
        </w:trPr>
        <w:tc>
          <w:tcPr>
            <w:tcW w:type="dxa" w:w="1562"/>
            <w:tcMar>
              <w:top w:w="50" w:type="dxa"/>
              <w:bottom w:w="50" w:type="dxa"/>
              <w:left w:w="90" w:type="dxa"/>
              <w:right w:w="90" w:type="dxa"/>
            </w:tcMar>
          </w:tcPr>
          <w:p>
            <w:pPr>
              <w:pStyle w:val="BDOITable"/>
            </w:pPr>
            <w:r>
              <w:rPr>
                <w:sz w:val="17"/>
              </w:rPr>
              <w:t>Balance</w:t>
            </w:r>
          </w:p>
        </w:tc>
        <w:tc>
          <w:tcPr>
            <w:tcW w:type="dxa" w:w="4445"/>
            <w:tcMar>
              <w:top w:w="50" w:type="dxa"/>
              <w:bottom w:w="50" w:type="dxa"/>
              <w:left w:w="90" w:type="dxa"/>
              <w:right w:w="90" w:type="dxa"/>
            </w:tcMar>
          </w:tcPr>
          <w:p>
            <w:pPr>
              <w:pStyle w:val="BDOITable"/>
            </w:pPr>
            <w:r>
              <w:rPr>
                <w:sz w:val="17"/>
              </w:rPr>
              <w:t>Per BIBS account, branch and currency: provisional opening + true-ups 1 to n = legacy TB of true-up n, mapped (P&amp;L netted into retained earnings; legacy control accounts replaced by the open-item detail)</w:t>
            </w:r>
          </w:p>
        </w:tc>
        <w:tc>
          <w:tcPr>
            <w:tcW w:type="dxa" w:w="3965"/>
            <w:tcMar>
              <w:top w:w="50" w:type="dxa"/>
              <w:bottom w:w="50" w:type="dxa"/>
              <w:left w:w="90" w:type="dxa"/>
              <w:right w:w="90" w:type="dxa"/>
            </w:tcMar>
          </w:tcPr>
          <w:p>
            <w:pPr>
              <w:pStyle w:val="BDOITable"/>
            </w:pPr>
            <w:r>
              <w:rPr>
                <w:sz w:val="17"/>
              </w:rPr>
              <w:t>An earlier true-up incomplete, or a mapping change between true-ups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Clearing and sub-ledgers</w:t>
            </w:r>
          </w:p>
        </w:tc>
        <w:tc>
          <w:tcPr>
            <w:tcW w:type="dxa" w:w="4445"/>
            <w:tcMar>
              <w:top w:w="50" w:type="dxa"/>
              <w:bottom w:w="50" w:type="dxa"/>
              <w:left w:w="90" w:type="dxa"/>
              <w:right w:w="90" w:type="dxa"/>
            </w:tcMar>
            <w:shd w:val="clear" w:color="auto" w:fill="E5F5FF"/>
          </w:tcPr>
          <w:p>
            <w:pPr>
              <w:pStyle w:val="BDOITable"/>
            </w:pPr>
            <w:r>
              <w:rPr>
                <w:sz w:val="17"/>
              </w:rPr>
              <w:t>Migration Clearing 0.00 per branch and currency; each legacy control account = its legacy sub-ledger (ACSL, context LEGACY)</w:t>
            </w:r>
          </w:p>
        </w:tc>
        <w:tc>
          <w:tcPr>
            <w:tcW w:type="dxa" w:w="3965"/>
            <w:tcMar>
              <w:top w:w="50" w:type="dxa"/>
              <w:bottom w:w="50" w:type="dxa"/>
              <w:left w:w="90" w:type="dxa"/>
              <w:right w:w="90" w:type="dxa"/>
            </w:tcMar>
            <w:shd w:val="clear" w:color="auto" w:fill="E5F5FF"/>
          </w:tcPr>
          <w:p>
            <w:pPr>
              <w:pStyle w:val="BDOITable"/>
            </w:pPr>
            <w:r>
              <w:rPr>
                <w:sz w:val="17"/>
              </w:rPr>
              <w:t>A control-account adjustment whose G03D detail is missing or on the wrong item</w:t>
            </w:r>
          </w:p>
        </w:tc>
      </w:tr>
      <w:tr>
        <w:trPr>
          <w:cantSplit w:val="true"/>
        </w:trPr>
        <w:tc>
          <w:tcPr>
            <w:tcW w:type="dxa" w:w="1562"/>
            <w:tcMar>
              <w:top w:w="50" w:type="dxa"/>
              <w:bottom w:w="50" w:type="dxa"/>
              <w:left w:w="90" w:type="dxa"/>
              <w:right w:w="90" w:type="dxa"/>
            </w:tcMar>
          </w:tcPr>
          <w:p>
            <w:pPr>
              <w:pStyle w:val="BDOITable"/>
            </w:pPr>
            <w:r>
              <w:rPr>
                <w:sz w:val="17"/>
              </w:rPr>
              <w:t>Opening period</w:t>
            </w:r>
          </w:p>
        </w:tc>
        <w:tc>
          <w:tcPr>
            <w:tcW w:type="dxa" w:w="4445"/>
            <w:tcMar>
              <w:top w:w="50" w:type="dxa"/>
              <w:bottom w:w="50" w:type="dxa"/>
              <w:left w:w="90" w:type="dxa"/>
              <w:right w:w="90" w:type="dxa"/>
            </w:tcMar>
          </w:tcPr>
          <w:p>
            <w:pPr>
              <w:pStyle w:val="BDOITable"/>
            </w:pPr>
            <w:r>
              <w:rPr>
                <w:sz w:val="17"/>
              </w:rPr>
              <w:t>When January 2028 was reopened for the posting: no journal other than the true-up posted into it during the window; the period closed again the same day</w:t>
            </w:r>
          </w:p>
        </w:tc>
        <w:tc>
          <w:tcPr>
            <w:tcW w:type="dxa" w:w="3965"/>
            <w:tcMar>
              <w:top w:w="50" w:type="dxa"/>
              <w:bottom w:w="50" w:type="dxa"/>
              <w:left w:w="90" w:type="dxa"/>
              <w:right w:w="90" w:type="dxa"/>
            </w:tcMar>
          </w:tcPr>
          <w:p>
            <w:pPr>
              <w:pStyle w:val="BDOITable"/>
            </w:pPr>
            <w:r>
              <w:rPr>
                <w:sz w:val="17"/>
              </w:rPr>
              <w:t>The reopen window used for other postings</w:t>
            </w:r>
          </w:p>
        </w:tc>
      </w:tr>
    </w:tbl>
    <w:p>
      <w:pPr>
        <w:pStyle w:val="BDOISpacer"/>
      </w:pPr>
    </w:p>
    <w:p>
      <w:r>
        <w:rPr>
          <w:b/>
        </w:rPr>
        <w:t>Worked example</w:t>
      </w:r>
      <w:r>
        <w:rPr/>
        <w:t xml:space="preserve"> (one branch, PHP, made-up figures). True-up 1 brings two FY2027 adjustments: a closing accrual of professional fees of 80,000.00 (Dr expense, Cr accrued expenses) and an audit write-off of the 3,000.00 premium receivable of legacy invoice I00300002 (Dr bad debts, Cr Premium Receivable - Legacy), sent with its detail line.</w:t>
      </w:r>
    </w:p>
    <w:p>
      <w:pPr>
        <w:pStyle w:val="Caption"/>
        <w:keepNext/>
        <w:spacing w:after="60"/>
      </w:pPr>
      <w:r>
        <w:rPr>
          <w:b/>
          <w:i w:val="0"/>
        </w:rPr>
        <w:t xml:space="preserve">Table 6: </w:t>
      </w:r>
      <w:r>
        <w:rPr/>
        <w:t>True-up 1 in BIBS (journal MIG-TU-1, value date 1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085"/>
        <w:gridCol w:w="1922"/>
        <w:gridCol w:w="1922"/>
        <w:gridCol w:w="2042"/>
      </w:tblGrid>
      <w:tr>
        <w:trPr>
          <w:tblHeader w:val="true"/>
          <w:cantSplit w:val="true"/>
        </w:trPr>
        <w:tc>
          <w:tcPr>
            <w:tcW w:type="dxa" w:w="408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4085"/>
            <w:tcMar>
              <w:top w:w="50" w:type="dxa"/>
              <w:bottom w:w="50" w:type="dxa"/>
              <w:left w:w="90" w:type="dxa"/>
              <w:right w:w="90" w:type="dxa"/>
            </w:tcMar>
          </w:tcPr>
          <w:p>
            <w:pPr>
              <w:pStyle w:val="BDOITable"/>
            </w:pPr>
            <w:r>
              <w:rPr>
                <w:sz w:val="17"/>
              </w:rPr>
              <w:t>Retained earnings (FY2027 expense of the accrual)</w:t>
            </w:r>
          </w:p>
        </w:tc>
        <w:tc>
          <w:tcPr>
            <w:tcW w:type="dxa" w:w="1922"/>
            <w:tcMar>
              <w:top w:w="50" w:type="dxa"/>
              <w:bottom w:w="50" w:type="dxa"/>
              <w:left w:w="90" w:type="dxa"/>
              <w:right w:w="90" w:type="dxa"/>
            </w:tcMar>
          </w:tcPr>
          <w:p>
            <w:pPr>
              <w:pStyle w:val="BDOITable"/>
            </w:pPr>
            <w:r>
              <w:rPr>
                <w:sz w:val="17"/>
              </w:rPr>
              <w:t>80,000.00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 not FY2028</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Accrued expenses</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80,000.00</w:t>
            </w:r>
          </w:p>
        </w:tc>
        <w:tc>
          <w:tcPr>
            <w:tcW w:type="dxa" w:w="2042"/>
            <w:tcMar>
              <w:top w:w="50" w:type="dxa"/>
              <w:bottom w:w="50" w:type="dxa"/>
              <w:left w:w="90" w:type="dxa"/>
              <w:right w:w="90" w:type="dxa"/>
            </w:tcMar>
            <w:shd w:val="clear" w:color="auto" w:fill="E5F5FF"/>
          </w:tcPr>
          <w:p>
            <w:pPr>
              <w:pStyle w:val="BDOITable"/>
            </w:pPr>
            <w:r>
              <w:rPr>
                <w:sz w:val="17"/>
              </w:rPr>
              <w:t>Balance-sheet account</w:t>
            </w:r>
          </w:p>
        </w:tc>
      </w:tr>
      <w:tr>
        <w:trPr>
          <w:cantSplit w:val="true"/>
        </w:trPr>
        <w:tc>
          <w:tcPr>
            <w:tcW w:type="dxa" w:w="4085"/>
            <w:tcMar>
              <w:top w:w="50" w:type="dxa"/>
              <w:bottom w:w="50" w:type="dxa"/>
              <w:left w:w="90" w:type="dxa"/>
              <w:right w:w="90" w:type="dxa"/>
            </w:tcMar>
          </w:tcPr>
          <w:p>
            <w:pPr>
              <w:pStyle w:val="BDOITable"/>
            </w:pPr>
            <w:r>
              <w:rPr>
                <w:sz w:val="17"/>
              </w:rPr>
              <w:t>Retained earnings (FY2027 bad debts)</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Migration Clearing (legacy control-account line of the write-off)</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3,000.00</w:t>
            </w:r>
          </w:p>
        </w:tc>
        <w:tc>
          <w:tcPr>
            <w:tcW w:type="dxa" w:w="2042"/>
            <w:tcMar>
              <w:top w:w="50" w:type="dxa"/>
              <w:bottom w:w="50" w:type="dxa"/>
              <w:left w:w="90" w:type="dxa"/>
              <w:right w:w="90" w:type="dxa"/>
            </w:tcMar>
            <w:shd w:val="clear" w:color="auto" w:fill="E5F5FF"/>
          </w:tcPr>
          <w:p>
            <w:pPr>
              <w:pStyle w:val="BDOITable"/>
            </w:pPr>
            <w:r>
              <w:rPr>
                <w:sz w:val="17"/>
              </w:rPr>
              <w:t>Replaced by the detail</w:t>
            </w:r>
          </w:p>
        </w:tc>
      </w:tr>
      <w:tr>
        <w:trPr>
          <w:cantSplit w:val="true"/>
        </w:trPr>
        <w:tc>
          <w:tcPr>
            <w:tcW w:type="dxa" w:w="4085"/>
            <w:tcMar>
              <w:top w:w="50" w:type="dxa"/>
              <w:bottom w:w="50" w:type="dxa"/>
              <w:left w:w="90" w:type="dxa"/>
              <w:right w:w="90" w:type="dxa"/>
            </w:tcMar>
          </w:tcPr>
          <w:p>
            <w:pPr>
              <w:pStyle w:val="BDOITable"/>
            </w:pPr>
            <w:r>
              <w:rPr>
                <w:sz w:val="17"/>
              </w:rPr>
              <w:t>Detail - Migration Clearing / Premium Receivable - Legacy, invoice I00300002 basic</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r>
              <w:rPr>
                <w:sz w:val="17"/>
              </w:rPr>
              <w:t>3,000.00</w:t>
            </w:r>
          </w:p>
        </w:tc>
        <w:tc>
          <w:tcPr>
            <w:tcW w:type="dxa" w:w="2042"/>
            <w:tcMar>
              <w:top w:w="50" w:type="dxa"/>
              <w:bottom w:w="50" w:type="dxa"/>
              <w:left w:w="90" w:type="dxa"/>
              <w:right w:w="90" w:type="dxa"/>
            </w:tcMar>
          </w:tcPr>
          <w:p>
            <w:pPr>
              <w:pStyle w:val="BDOITable"/>
            </w:pPr>
            <w:r>
              <w:rPr>
                <w:sz w:val="17"/>
              </w:rPr>
              <w:t>Legacy written off on the invoice; open balance 0.00</w:t>
            </w:r>
          </w:p>
        </w:tc>
      </w:tr>
      <w:tr>
        <w:trPr>
          <w:cantSplit w:val="true"/>
        </w:trPr>
        <w:tc>
          <w:tcPr>
            <w:tcW w:type="dxa" w:w="4085"/>
            <w:tcMar>
              <w:top w:w="50" w:type="dxa"/>
              <w:bottom w:w="50" w:type="dxa"/>
              <w:left w:w="90" w:type="dxa"/>
              <w:right w:w="90" w:type="dxa"/>
            </w:tcMar>
            <w:shd w:val="clear" w:color="auto" w:fill="E5F5FF"/>
          </w:tcPr>
          <w:p>
            <w:pPr>
              <w:pStyle w:val="BDOITable"/>
            </w:pPr>
            <w:r>
              <w:rPr>
                <w:b/>
                <w:sz w:val="17"/>
              </w:rPr>
              <w:t>Migration Clearing after true-up 1</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t>Movement check: the legacy TB after the close differs from the preliminary TB by exactly these amounts on the mapped accounts; balance check: the BIBS opening plus true-up 1 equals the legacy post-close TB; the FY2028 P&amp;L is unchanged.</w:t>
      </w:r>
    </w:p>
    <w:p>
      <w:pPr>
        <w:pStyle w:val="Heading1"/>
        <w:pBdr>
          <w:bottom w:val="single" w:sz="4" w:space="4" w:color="99C1E7"/>
        </w:pBdr>
      </w:pPr>
      <w:bookmarkStart w:id="107" w:name="_Toc000107"/>
      <w:r>
        <w:rPr/>
        <w:t>6 Business verification on screen (gate G6)</w:t>
      </w:r>
      <w:bookmarkEnd w:id="107"/>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108" w:name="_Toc000108"/>
      <w:r>
        <w:rPr/>
        <w:t>6.1 Sample plan</w:t>
      </w:r>
      <w:bookmarkEnd w:id="108"/>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7: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legacy package with more than one BIBS target (conditional PACKAGE entries); every receipt series</w:t>
            </w:r>
          </w:p>
        </w:tc>
        <w:tc>
          <w:tcPr>
            <w:tcW w:type="dxa" w:w="4325"/>
            <w:tcMar>
              <w:top w:w="50" w:type="dxa"/>
              <w:bottom w:w="50" w:type="dxa"/>
              <w:left w:w="90" w:type="dxa"/>
              <w:right w:w="90" w:type="dxa"/>
            </w:tcMar>
          </w:tcPr>
          <w:p>
            <w:pPr>
              <w:pStyle w:val="BDOITable"/>
            </w:pPr>
            <w:r>
              <w:rPr>
                <w:sz w:val="16"/>
              </w:rPr>
              <w:t>Value, description and status in the master; the PACKAGE entries of each split in the Renewal package map;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10 rows per tracker; every resubmitted row; at go-live 20 candidates per expiry month January-May 2028</w:t>
            </w:r>
          </w:p>
        </w:tc>
        <w:tc>
          <w:tcPr>
            <w:tcW w:type="dxa" w:w="4325"/>
            <w:tcMar>
              <w:top w:w="50" w:type="dxa"/>
              <w:bottom w:w="50" w:type="dxa"/>
              <w:left w:w="90" w:type="dxa"/>
              <w:right w:w="90" w:type="dxa"/>
            </w:tcMar>
            <w:shd w:val="clear" w:color="auto" w:fill="E5F5FF"/>
          </w:tcPr>
          <w:p>
            <w:pPr>
              <w:pStyle w:val="BDOITable"/>
            </w:pPr>
            <w:r>
              <w:rPr>
                <w:sz w:val="16"/>
              </w:rPr>
              <w:t>RA date, reference and channel against the tracker; at go-live the candidate shows the RA already sent, January candidates URGENT and in expiry-date order</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 retained earnings per branch</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signed preliminary trial balance; P&amp;L accounts at 0.00</w:t>
            </w:r>
          </w:p>
        </w:tc>
      </w:tr>
      <w:tr>
        <w:trPr>
          <w:cantSplit w:val="true"/>
        </w:trPr>
        <w:tc>
          <w:tcPr>
            <w:tcW w:type="dxa" w:w="961"/>
            <w:tcMar>
              <w:top w:w="50" w:type="dxa"/>
              <w:bottom w:w="50" w:type="dxa"/>
              <w:left w:w="90" w:type="dxa"/>
              <w:right w:w="90" w:type="dxa"/>
            </w:tcMar>
          </w:tcPr>
          <w:p>
            <w:pPr>
              <w:pStyle w:val="BDOITable"/>
            </w:pPr>
            <w:r>
              <w:rPr>
                <w:sz w:val="16"/>
              </w:rPr>
              <w:t>G03</w:t>
            </w:r>
          </w:p>
        </w:tc>
        <w:tc>
          <w:tcPr>
            <w:tcW w:type="dxa" w:w="4686"/>
            <w:tcMar>
              <w:top w:w="50" w:type="dxa"/>
              <w:bottom w:w="50" w:type="dxa"/>
              <w:left w:w="90" w:type="dxa"/>
              <w:right w:w="90" w:type="dxa"/>
            </w:tcMar>
          </w:tcPr>
          <w:p>
            <w:pPr>
              <w:pStyle w:val="BDOITable"/>
            </w:pPr>
            <w:r>
              <w:rPr>
                <w:sz w:val="16"/>
              </w:rPr>
              <w:t>Every journal of the true-up; every detail line on a legacy control account</w:t>
            </w:r>
          </w:p>
        </w:tc>
        <w:tc>
          <w:tcPr>
            <w:tcW w:type="dxa" w:w="4325"/>
            <w:tcMar>
              <w:top w:w="50" w:type="dxa"/>
              <w:bottom w:w="50" w:type="dxa"/>
              <w:left w:w="90" w:type="dxa"/>
              <w:right w:w="90" w:type="dxa"/>
            </w:tcMar>
          </w:tcPr>
          <w:p>
            <w:pPr>
              <w:pStyle w:val="BDOITable"/>
            </w:pPr>
            <w:r>
              <w:rPr>
                <w:sz w:val="16"/>
              </w:rPr>
              <w:t>Journal inquiry (MIG-TU-n) against the legacy journal and the register; Invoice 360 or the Unapplied workbench for the item adjusted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H01, H02</w:t>
            </w:r>
          </w:p>
        </w:tc>
        <w:tc>
          <w:tcPr>
            <w:tcW w:type="dxa" w:w="4686"/>
            <w:tcMar>
              <w:top w:w="50" w:type="dxa"/>
              <w:bottom w:w="50" w:type="dxa"/>
              <w:left w:w="90" w:type="dxa"/>
              <w:right w:w="90" w:type="dxa"/>
            </w:tcMar>
            <w:shd w:val="clear" w:color="auto" w:fill="E5F5FF"/>
          </w:tcPr>
          <w:p>
            <w:pPr>
              <w:pStyle w:val="BDOITable"/>
            </w:pPr>
            <w:r>
              <w:rPr>
                <w:sz w:val="16"/>
              </w:rPr>
              <w:t>10 records per record type; 10 documents</w:t>
            </w:r>
          </w:p>
        </w:tc>
        <w:tc>
          <w:tcPr>
            <w:tcW w:type="dxa" w:w="4325"/>
            <w:tcMar>
              <w:top w:w="50" w:type="dxa"/>
              <w:bottom w:w="50" w:type="dxa"/>
              <w:left w:w="90" w:type="dxa"/>
              <w:right w:w="90" w:type="dxa"/>
            </w:tcMar>
            <w:shd w:val="clear" w:color="auto" w:fill="E5F5FF"/>
          </w:tcPr>
          <w:p>
            <w:pPr>
              <w:pStyle w:val="BDOITable"/>
            </w:pPr>
            <w:r>
              <w:rPr>
                <w:sz w:val="16"/>
              </w:rPr>
              <w:t>Legacy Inquiry search by the legacy key; labelled columns; document opens and matches its checksum</w:t>
            </w:r>
          </w:p>
        </w:tc>
      </w:tr>
    </w:tbl>
    <w:p>
      <w:pPr>
        <w:pStyle w:val="BDOISpacer"/>
      </w:pPr>
    </w:p>
    <w:p>
      <w:pPr>
        <w:pStyle w:val="Heading2"/>
      </w:pPr>
      <w:bookmarkStart w:id="109" w:name="_Toc000109"/>
      <w:r>
        <w:rPr/>
        <w:t>6.2 Acceptance rule</w:t>
      </w:r>
      <w:bookmarkEnd w:id="109"/>
    </w:p>
    <w:p>
      <w:pPr>
        <w:tabs>
          <w:tab w:pos="312" w:val="left"/>
        </w:tabs>
        <w:spacing w:after="40"/>
        <w:ind w:left="312" w:hanging="283"/>
      </w:pPr>
      <w:r>
        <w:rPr>
          <w:color w:val="004EA8"/>
        </w:rPr>
        <w:t>•</w:t>
        <w:tab/>
      </w:r>
      <w:r>
        <w:rPr>
          <w:b/>
        </w:rPr>
        <w:t>Financial objects (F01, F02, G01, G03) and identity fields of clients:</w:t>
      </w:r>
      <w:r>
        <w:rPr/>
        <w:t xml:space="preserve"> no error is accepted. One error stops the sign-off: the cause is found, fixed at source, in the map or in the loader,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(section 9.1) with the sample seed, the records checked and the errors found.</w:t>
      </w:r>
    </w:p>
    <w:p>
      <w:pPr>
        <w:pStyle w:val="Heading1"/>
        <w:pBdr>
          <w:bottom w:val="single" w:sz="4" w:space="4" w:color="99C1E7"/>
        </w:pBdr>
      </w:pPr>
      <w:bookmarkStart w:id="110" w:name="_Toc000110"/>
      <w:r>
        <w:rPr/>
        <w:t>7 Breaks, waivers and exclusions</w:t>
      </w:r>
      <w:bookmarkEnd w:id="110"/>
    </w:p>
    <w:p>
      <w:pPr>
        <w:pStyle w:val="Caption"/>
        <w:keepNext/>
        <w:spacing w:after="60"/>
      </w:pPr>
      <w:r>
        <w:rPr>
          <w:b/>
          <w:i w:val="0"/>
        </w:rPr>
        <w:t xml:space="preserve">Table 8: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Loader or mapping issue: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 A FY2027 GL adjustment by a named Comptrollership user is not a late transaction: it goes through the next true-up</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r>
        <w:trPr>
          <w:cantSplit w:val="true"/>
        </w:trPr>
        <w:tc>
          <w:tcPr>
            <w:tcW w:type="dxa" w:w="2523"/>
            <w:tcMar>
              <w:top w:w="50" w:type="dxa"/>
              <w:bottom w:w="50" w:type="dxa"/>
              <w:left w:w="90" w:type="dxa"/>
              <w:right w:w="90" w:type="dxa"/>
            </w:tcMar>
          </w:tcPr>
          <w:p>
            <w:pPr>
              <w:pStyle w:val="BDOITable"/>
            </w:pPr>
            <w:r>
              <w:rPr>
                <w:sz w:val="17"/>
              </w:rPr>
              <w:t>True-up check not met</w:t>
            </w:r>
          </w:p>
        </w:tc>
        <w:tc>
          <w:tcPr>
            <w:tcW w:type="dxa" w:w="3965"/>
            <w:tcMar>
              <w:top w:w="50" w:type="dxa"/>
              <w:bottom w:w="50" w:type="dxa"/>
              <w:left w:w="90" w:type="dxa"/>
              <w:right w:w="90" w:type="dxa"/>
            </w:tcMar>
          </w:tcPr>
          <w:p>
            <w:pPr>
              <w:pStyle w:val="BDOITable"/>
            </w:pPr>
            <w:r>
              <w:rPr>
                <w:sz w:val="17"/>
              </w:rPr>
              <w:t>The true-up is not signed; the cause is corrected by a new extract before sign-off or by the next true-up; a posted journal is never edited</w:t>
            </w:r>
          </w:p>
        </w:tc>
        <w:tc>
          <w:tcPr>
            <w:tcW w:type="dxa" w:w="3484"/>
            <w:tcMar>
              <w:top w:w="50" w:type="dxa"/>
              <w:bottom w:w="50" w:type="dxa"/>
              <w:left w:w="90" w:type="dxa"/>
              <w:right w:w="90" w:type="dxa"/>
            </w:tcMar>
          </w:tcPr>
          <w:p>
            <w:pPr>
              <w:pStyle w:val="BDOITable"/>
            </w:pPr>
            <w:r>
              <w:rPr>
                <w:sz w:val="17"/>
              </w:rPr>
              <w:t>Head, Comptrollership</w:t>
            </w:r>
          </w:p>
        </w:tc>
      </w:tr>
    </w:tbl>
    <w:p>
      <w:pPr>
        <w:pStyle w:val="BDOISpacer"/>
      </w:pPr>
    </w:p>
    <w:p>
      <w:pPr>
        <w:pStyle w:val="Heading1"/>
        <w:pBdr>
          <w:bottom w:val="single" w:sz="4" w:space="4" w:color="99C1E7"/>
        </w:pBdr>
      </w:pPr>
      <w:bookmarkStart w:id="111" w:name="_Toc000111"/>
      <w:r>
        <w:rPr/>
        <w:t>8 Evidence and retention</w:t>
      </w:r>
      <w:bookmarkEnd w:id="111"/>
    </w:p>
    <w:p>
      <w:r>
        <w:rPr/>
        <w:t>For each object and cycle the evidence pack holds: the extract numbers with file names, SHA-256 and control totals; the map versions used; MIG-DQ-ISSUES with waivers; MIG-REJECTS; MIG-RECON-SUMMARY and MIG-RECON-DETAIL; MIG-GL-CLEARING for financial objects; the sample list with the check results; and the signed forms of section 9. The pack is exported from the Migration Console and filed in the project records. Staging rows and files are purged within 5 days of sign-off, but counts, hashes, totals, reports and sign-offs are kept (proposed 10 years, DMQ29).</w:t>
      </w:r>
    </w:p>
    <w:p>
      <w:pPr>
        <w:pStyle w:val="Heading1"/>
        <w:pBdr>
          <w:bottom w:val="single" w:sz="4" w:space="4" w:color="99C1E7"/>
        </w:pBdr>
      </w:pPr>
      <w:bookmarkStart w:id="112" w:name="_Toc000112"/>
      <w:r>
        <w:rPr/>
        <w:t>9 Sign-off forms</w:t>
      </w:r>
      <w:bookmarkEnd w:id="112"/>
    </w:p>
    <w:p>
      <w:r>
        <w:rPr/>
        <w:t>The forms below are signed in the Migration Console (gates G5 and G6) and printed for the project file. One form per object and cycle.</w:t>
      </w:r>
    </w:p>
    <w:p>
      <w:pPr>
        <w:spacing w:after="0"/>
      </w:pPr>
      <w:r>
        <w:br w:type="page"/>
      </w:r>
    </w:p>
    <w:p>
      <w:pPr>
        <w:pStyle w:val="Heading2"/>
      </w:pPr>
      <w:bookmarkStart w:id="113" w:name="_Toc000113"/>
      <w:r>
        <w:rPr/>
        <w:t>9.1 Object reconciliation and acceptance (G5 and G6)</w:t>
      </w:r>
      <w:bookmarkEnd w:id="1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Trial migration 1 / Trial migration 2 / Trial migration 3 / Trial migration 4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9: </w:t>
      </w:r>
      <w:r>
        <w:rPr/>
        <w:t>Reconciliation results (from MIG-RECON-SUMMARY)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10: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4" w:name="_Toc000114"/>
      <w:r>
        <w:rPr/>
        <w:t>9.2 Cutover reconciliation summary (go / no-go GNG-3)</w:t>
      </w:r>
      <w:bookmarkEnd w:id="1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11: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523"/>
        <w:gridCol w:w="1922"/>
        <w:gridCol w:w="1562"/>
        <w:gridCol w:w="21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1802"/>
            <w:tcMar>
              <w:top w:w="50" w:type="dxa"/>
              <w:bottom w:w="50" w:type="dxa"/>
              <w:left w:w="90" w:type="dxa"/>
              <w:right w:w="90" w:type="dxa"/>
            </w:tcMar>
          </w:tcPr>
          <w:p>
            <w:pPr>
              <w:pStyle w:val="BDOITable"/>
            </w:pPr>
            <w:r>
              <w:rPr>
                <w:sz w:val="17"/>
              </w:rPr>
              <w:t>R01-R08, R11</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C01-C03</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P01, P03</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F01</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F02</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F03, F04, F06</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G01 (provisional)</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12: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13: </w:t>
      </w:r>
      <w:r>
        <w:rPr/>
        <w:t>Go-live renewal extraction check (MIG-RENEWAL-GOLIVE; completed on the morning of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042"/>
        <w:gridCol w:w="2042"/>
        <w:gridCol w:w="2042"/>
        <w:gridCol w:w="204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Expiry month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P01 headers expiring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Renewed in legacy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Candidates created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RA already sent (P03)</w:t>
            </w:r>
          </w:p>
        </w:tc>
      </w:tr>
      <w:tr>
        <w:trPr>
          <w:cantSplit w:val="true"/>
        </w:trPr>
        <w:tc>
          <w:tcPr>
            <w:tcW w:type="dxa" w:w="1802"/>
            <w:tcMar>
              <w:top w:w="50" w:type="dxa"/>
              <w:bottom w:w="50" w:type="dxa"/>
              <w:left w:w="90" w:type="dxa"/>
              <w:right w:w="90" w:type="dxa"/>
            </w:tcMar>
          </w:tcPr>
          <w:p>
            <w:pPr>
              <w:pStyle w:val="BDOITable"/>
            </w:pPr>
            <w:r>
              <w:rPr>
                <w:sz w:val="17"/>
              </w:rPr>
              <w:t>January 2028 (URGENT)</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February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March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April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May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5" w:name="_Toc000115"/>
      <w:r>
        <w:rPr/>
        <w:t>9.3 True-up reconciliation and sign-off (FY2027)</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True-up</w:t>
            </w:r>
          </w:p>
        </w:tc>
        <w:tc>
          <w:tcPr>
            <w:tcW w:type="dxa" w:w="7704"/>
            <w:tcMar>
              <w:top w:w="50" w:type="dxa"/>
              <w:bottom w:w="50" w:type="dxa"/>
              <w:left w:w="90" w:type="dxa"/>
              <w:right w:w="90" w:type="dxa"/>
            </w:tcMar>
          </w:tcPr>
          <w:p>
            <w:pPr>
              <w:pStyle w:val="BDOITable"/>
              <w:keepNext/>
            </w:pPr>
            <w:r>
              <w:rPr>
                <w:sz w:val="18"/>
              </w:rPr>
              <w:t>1 / 2 / 3 / F (final)     Legacy trial balance version: TU1 / TU2 / TU3 / FINAL (audited)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extracts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Journals posted (MIG-TU-)</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Prepared by (Comptrollership GL lead) and date</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Opening period reopened</w:t>
            </w:r>
          </w:p>
        </w:tc>
        <w:tc>
          <w:tcPr>
            <w:tcW w:type="dxa" w:w="7704"/>
            <w:tcMar>
              <w:top w:w="50" w:type="dxa"/>
              <w:bottom w:w="50" w:type="dxa"/>
              <w:left w:w="90" w:type="dxa"/>
              <w:right w:w="90" w:type="dxa"/>
            </w:tcMar>
          </w:tcPr>
          <w:p>
            <w:pPr>
              <w:pStyle w:val="BDOITable"/>
              <w:keepNext/>
            </w:pPr>
            <w:r>
              <w:rPr>
                <w:sz w:val="18"/>
              </w:rPr>
              <w:t>No / Yes - reopened at ........ closed at ........ reason ................................</w:t>
            </w:r>
          </w:p>
        </w:tc>
      </w:tr>
    </w:tbl>
    <w:p>
      <w:pPr>
        <w:pStyle w:val="BDOISpacer"/>
      </w:pPr>
    </w:p>
    <w:p>
      <w:pPr>
        <w:pStyle w:val="Caption"/>
        <w:keepNext/>
        <w:spacing w:after="60"/>
      </w:pPr>
      <w:r>
        <w:rPr>
          <w:b/>
          <w:i w:val="0"/>
        </w:rPr>
        <w:t xml:space="preserve">Table 14: </w:t>
      </w:r>
      <w:r>
        <w:rPr/>
        <w:t>True-up checks (from MIG-TRUEUP-RECON)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042"/>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Result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 (MET / BREAK)</w:t>
            </w:r>
          </w:p>
        </w:tc>
      </w:tr>
      <w:tr>
        <w:trPr>
          <w:cantSplit w:val="true"/>
        </w:trPr>
        <w:tc>
          <w:tcPr>
            <w:tcW w:type="dxa" w:w="1922"/>
            <w:tcMar>
              <w:top w:w="50" w:type="dxa"/>
              <w:bottom w:w="50" w:type="dxa"/>
              <w:left w:w="90" w:type="dxa"/>
              <w:right w:w="90" w:type="dxa"/>
            </w:tcMar>
          </w:tcPr>
          <w:p>
            <w:pPr>
              <w:pStyle w:val="BDOITable"/>
            </w:pPr>
            <w:r>
              <w:rPr>
                <w:sz w:val="17"/>
              </w:rPr>
              <w:t>Cut-off</w:t>
            </w:r>
          </w:p>
        </w:tc>
        <w:tc>
          <w:tcPr>
            <w:tcW w:type="dxa" w:w="3724"/>
            <w:tcMar>
              <w:top w:w="50" w:type="dxa"/>
              <w:bottom w:w="50" w:type="dxa"/>
              <w:left w:w="90" w:type="dxa"/>
              <w:right w:w="90" w:type="dxa"/>
            </w:tcMar>
          </w:tcPr>
          <w:p>
            <w:pPr>
              <w:pStyle w:val="BDOITable"/>
            </w:pPr>
            <w:r>
              <w:rPr>
                <w:sz w:val="17"/>
              </w:rPr>
              <w:t>Legacy journals since the freeze / in the register / in the true-ups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Movement</w:t>
            </w:r>
          </w:p>
        </w:tc>
        <w:tc>
          <w:tcPr>
            <w:tcW w:type="dxa" w:w="3724"/>
            <w:tcMar>
              <w:top w:w="50" w:type="dxa"/>
              <w:bottom w:w="50" w:type="dxa"/>
              <w:left w:w="90" w:type="dxa"/>
              <w:right w:w="90" w:type="dxa"/>
            </w:tcMar>
            <w:shd w:val="clear" w:color="auto" w:fill="E5F5FF"/>
          </w:tcPr>
          <w:p>
            <w:pPr>
              <w:pStyle w:val="BDOITable"/>
            </w:pPr>
            <w:r>
              <w:rPr>
                <w:sz w:val="17"/>
              </w:rPr>
              <w:t>Accounts with a difference between the true-up and the legacy TB change</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Balance</w:t>
            </w:r>
          </w:p>
        </w:tc>
        <w:tc>
          <w:tcPr>
            <w:tcW w:type="dxa" w:w="3724"/>
            <w:tcMar>
              <w:top w:w="50" w:type="dxa"/>
              <w:bottom w:w="50" w:type="dxa"/>
              <w:left w:w="90" w:type="dxa"/>
              <w:right w:w="90" w:type="dxa"/>
            </w:tcMar>
          </w:tcPr>
          <w:p>
            <w:pPr>
              <w:pStyle w:val="BDOITable"/>
            </w:pPr>
            <w:r>
              <w:rPr>
                <w:sz w:val="17"/>
              </w:rPr>
              <w:t>Accounts with a difference between the BIBS opening and the legacy TB</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Clearing</w:t>
            </w:r>
          </w:p>
        </w:tc>
        <w:tc>
          <w:tcPr>
            <w:tcW w:type="dxa" w:w="3724"/>
            <w:tcMar>
              <w:top w:w="50" w:type="dxa"/>
              <w:bottom w:w="50" w:type="dxa"/>
              <w:left w:w="90" w:type="dxa"/>
              <w:right w:w="90" w:type="dxa"/>
            </w:tcMar>
            <w:shd w:val="clear" w:color="auto" w:fill="E5F5FF"/>
          </w:tcPr>
          <w:p>
            <w:pPr>
              <w:pStyle w:val="BDOITable"/>
            </w:pPr>
            <w:r>
              <w:rPr>
                <w:sz w:val="17"/>
              </w:rPr>
              <w:t>Migration Clearing per branch and currency</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Sub-ledgers</w:t>
            </w:r>
          </w:p>
        </w:tc>
        <w:tc>
          <w:tcPr>
            <w:tcW w:type="dxa" w:w="3724"/>
            <w:tcMar>
              <w:top w:w="50" w:type="dxa"/>
              <w:bottom w:w="50" w:type="dxa"/>
              <w:left w:w="90" w:type="dxa"/>
              <w:right w:w="90" w:type="dxa"/>
            </w:tcMar>
          </w:tcPr>
          <w:p>
            <w:pPr>
              <w:pStyle w:val="BDOITable"/>
            </w:pPr>
            <w:r>
              <w:rPr>
                <w:sz w:val="17"/>
              </w:rPr>
              <w:t>Legacy control accounts vs legacy sub-ledgers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Opening period</w:t>
            </w:r>
          </w:p>
        </w:tc>
        <w:tc>
          <w:tcPr>
            <w:tcW w:type="dxa" w:w="3724"/>
            <w:tcMar>
              <w:top w:w="50" w:type="dxa"/>
              <w:bottom w:w="50" w:type="dxa"/>
              <w:left w:w="90" w:type="dxa"/>
              <w:right w:w="90" w:type="dxa"/>
            </w:tcMar>
            <w:shd w:val="clear" w:color="auto" w:fill="E5F5FF"/>
          </w:tcPr>
          <w:p>
            <w:pPr>
              <w:pStyle w:val="BDOITable"/>
            </w:pPr>
            <w:r>
              <w:rPr>
                <w:sz w:val="17"/>
              </w:rPr>
              <w:t>Other journals posted in the reopen window</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 - true-up approved and reconciliation signed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 closure of the true-ups (final true-up only)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r>
        <w:rPr/>
        <w:t>The final true-up's reconciliation against the audited FY2027 trial balance is shared with the external auditor.</w:t>
      </w:r>
    </w:p>
    <w:p>
      <w:pPr>
        <w:spacing w:after="0"/>
      </w:pPr>
      <w:r>
        <w:br w:type="page"/>
      </w:r>
    </w:p>
    <w:p>
      <w:pPr>
        <w:pStyle w:val="Heading2"/>
      </w:pPr>
      <w:bookmarkStart w:id="116" w:name="_Toc000116"/>
      <w:r>
        <w:rPr/>
        <w:t>9.4 Archive reconciliation (before decommissioning)</w:t>
      </w:r>
      <w:bookmarkEnd w:id="1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15: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Migration Reconciliation Approach and Sign-off</w:t>
    </w:r>
    <w:r>
      <w:rPr>
        <w:color w:val="656565"/>
        <w:sz w:val="16"/>
      </w:rPr>
      <w:t xml:space="preserve">   Reconciliation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Approach Migration Reconciliation Approach and Sign-off</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