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RUNBOOK</w:t>
      </w:r>
    </w:p>
    <w:p>
      <w:pPr>
        <w:spacing w:after="80" w:line="240" w:lineRule="auto"/>
      </w:pPr>
      <w:r>
        <w:rPr>
          <w:b/>
          <w:color w:val="004EA8"/>
          <w:sz w:val="56"/>
        </w:rPr>
        <w:t>Cutover Runbook</w:t>
      </w:r>
    </w:p>
    <w:p>
      <w:pPr>
        <w:spacing w:after="40"/>
      </w:pPr>
      <w:r>
        <w:rPr>
          <w:color w:val="2E2E2E"/>
          <w:sz w:val="28"/>
        </w:rPr>
        <w:t>BRD-13 Data Migration - production cutover from T-30 to hypercare exit</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BIBS-DMC-BRD-13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First issue; dates are relative to T until BDOI confirms the go-live date (DMQ25); re-issued after the dress rehearsal with named people and measured timings</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1.1</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iorta TechNXT Solution Architect</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Calendar of the BDOI timeline (go-live January 2028, proposed Monday 3 January 2028) with the relative days mapped to dates; tasks moved off the year-end holidays (GNG-2 and the last business day to T-5, completion drives to T-12, client load to T-11); carried RMEL cohorts of January-May 2028 with the completeness check and the catch-up extraction; default names of the decommissioning criteria. Named people and measured durations follow in version 1.2 after the dress rehearsal</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BDOI answers of 26-Sep-2026. Year-end cut-over option A (DMQ39, recommended, awaiting Comptrollership confirmation) - December soft close, provisional GL opening, legacy GL restricted to FY2027 adjustments, true-up 1 (T+15 to T+18) and the final true-up with the legacy GL lock and the closure (T+60 to T+120, new phase H). January-May 2028 expiries processed in BIBS after go-live (DMQ37) - Renewal team readiness, RA-sent file with maker-checker review of rejects (DMQ38), go-live extraction at T 04:00 and the day-1 priority queue; the carried cohorts are removed. Tasks renumbered CT-001 to CT-095. Named people and measured durations follow in version 1.3 after the dress rehearsal</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Owner of the cutover; chair of the go / no-go board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Go / no-go board members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Checkpoints GNG-1, GNG-2, GNG-3</w:t>
            </w:r>
          </w:p>
        </w:tc>
      </w:tr>
      <w:tr>
        <w:trPr>
          <w:cantSplit w:val="true"/>
        </w:trPr>
        <w:tc>
          <w:tcPr>
            <w:tcW w:type="dxa" w:w="2606"/>
            <w:tcMar>
              <w:top w:w="50" w:type="dxa"/>
              <w:bottom w:w="50" w:type="dxa"/>
              <w:left w:w="90" w:type="dxa"/>
              <w:right w:w="90" w:type="dxa"/>
            </w:tcMar>
          </w:tcPr>
          <w:p>
            <w:pPr>
              <w:pStyle w:val="BDOITable"/>
            </w:pPr>
            <w:r>
              <w:rPr>
                <w:sz w:val="18"/>
              </w:rPr>
              <w:t>BDOI IT (legacy EBIX, QPS, ISYS, CMS)</w:t>
            </w:r>
          </w:p>
        </w:tc>
        <w:tc>
          <w:tcPr>
            <w:tcW w:type="dxa" w:w="2266"/>
            <w:tcMar>
              <w:top w:w="50" w:type="dxa"/>
              <w:bottom w:w="50" w:type="dxa"/>
              <w:left w:w="90" w:type="dxa"/>
              <w:right w:w="90" w:type="dxa"/>
            </w:tcMar>
          </w:tcPr>
          <w:p>
            <w:pPr>
              <w:pStyle w:val="BDOITable"/>
            </w:pPr>
            <w:r>
              <w:rPr>
                <w:sz w:val="18"/>
              </w:rPr>
              <w:t>Task owner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Freeze, extracts, read-only, rollback</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 Operations; Marketing; Compliance</w:t>
            </w:r>
          </w:p>
        </w:tc>
        <w:tc>
          <w:tcPr>
            <w:tcW w:type="dxa" w:w="2266"/>
            <w:tcMar>
              <w:top w:w="50" w:type="dxa"/>
              <w:bottom w:w="50" w:type="dxa"/>
              <w:left w:w="90" w:type="dxa"/>
              <w:right w:w="90" w:type="dxa"/>
            </w:tcMar>
            <w:shd w:val="clear" w:color="auto" w:fill="E5F5FF"/>
          </w:tcPr>
          <w:p>
            <w:pPr>
              <w:pStyle w:val="BDOITable"/>
            </w:pPr>
            <w:r>
              <w:rPr>
                <w:sz w:val="18"/>
              </w:rPr>
              <w:t>Task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Accounts, reconciliation, verification, communication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Task owner</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Loads, reconciliation, environment, hypercare</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and use</w:t>
        </w:r>
        <w:r>
          <w:t xml:space="preserve">	</w:t>
        </w:r>
        <w:r>
          <w:t xml:space="preserve">5</w:t>
        </w:r>
      </w:hyperlink>
    </w:p>
    <w:p>
      <w:pPr>
        <w:pStyle w:val="toc1"/>
      </w:pPr>
      <w:hyperlink w:anchor="_Toc000102" w:history="1">
        <w:r>
          <w:t xml:space="preserve">2 Cutover organisation</w:t>
        </w:r>
        <w:r>
          <w:t xml:space="preserve">	</w:t>
        </w:r>
        <w:r>
          <w:t xml:space="preserve">5</w:t>
        </w:r>
      </w:hyperlink>
    </w:p>
    <w:p>
      <w:pPr>
        <w:pStyle w:val="toc2"/>
      </w:pPr>
      <w:hyperlink w:anchor="_Toc000103" w:history="1">
        <w:r>
          <w:t xml:space="preserve">2.1 Command centre</w:t>
        </w:r>
        <w:r>
          <w:t xml:space="preserve">	</w:t>
        </w:r>
        <w:r>
          <w:t xml:space="preserve">5</w:t>
        </w:r>
      </w:hyperlink>
    </w:p>
    <w:p>
      <w:pPr>
        <w:pStyle w:val="toc2"/>
      </w:pPr>
      <w:hyperlink w:anchor="_Toc000104" w:history="1">
        <w:r>
          <w:t xml:space="preserve">2.2 Roles</w:t>
        </w:r>
        <w:r>
          <w:t xml:space="preserve">	</w:t>
        </w:r>
        <w:r>
          <w:t xml:space="preserve">6</w:t>
        </w:r>
      </w:hyperlink>
    </w:p>
    <w:p>
      <w:pPr>
        <w:pStyle w:val="toc1"/>
      </w:pPr>
      <w:hyperlink w:anchor="_Toc000105" w:history="1">
        <w:r>
          <w:t xml:space="preserve">3 Timeline</w:t>
        </w:r>
        <w:r>
          <w:t xml:space="preserve">	</w:t>
        </w:r>
        <w:r>
          <w:t xml:space="preserve">6</w:t>
        </w:r>
      </w:hyperlink>
    </w:p>
    <w:p>
      <w:pPr>
        <w:pStyle w:val="toc2"/>
      </w:pPr>
      <w:hyperlink w:anchor="_Toc000106" w:history="1">
        <w:r>
          <w:t xml:space="preserve">3.1 Calendar</w:t>
        </w:r>
        <w:r>
          <w:t xml:space="preserve">	</w:t>
        </w:r>
        <w:r>
          <w:t xml:space="preserve">7</w:t>
        </w:r>
      </w:hyperlink>
    </w:p>
    <w:p>
      <w:pPr>
        <w:pStyle w:val="toc2"/>
      </w:pPr>
      <w:hyperlink w:anchor="_Toc000107" w:history="1">
        <w:r>
          <w:t xml:space="preserve">3.2 Freeze windows</w:t>
        </w:r>
        <w:r>
          <w:t xml:space="preserve">	</w:t>
        </w:r>
        <w:r>
          <w:t xml:space="preserve">8</w:t>
        </w:r>
      </w:hyperlink>
    </w:p>
    <w:p>
      <w:pPr>
        <w:pStyle w:val="toc1"/>
      </w:pPr>
      <w:hyperlink w:anchor="_Toc000108" w:history="1">
        <w:r>
          <w:t xml:space="preserve">4 Go / no-go checkpoints</w:t>
        </w:r>
        <w:r>
          <w:t xml:space="preserve">	</w:t>
        </w:r>
        <w:r>
          <w:t xml:space="preserve">9</w:t>
        </w:r>
      </w:hyperlink>
    </w:p>
    <w:p>
      <w:pPr>
        <w:pStyle w:val="toc1"/>
      </w:pPr>
      <w:hyperlink w:anchor="_Toc000109" w:history="1">
        <w:r>
          <w:t xml:space="preserve">5 Task list</w:t>
        </w:r>
        <w:r>
          <w:t xml:space="preserve">	</w:t>
        </w:r>
        <w:r>
          <w:t xml:space="preserve">11</w:t>
        </w:r>
      </w:hyperlink>
    </w:p>
    <w:p>
      <w:pPr>
        <w:pStyle w:val="toc2"/>
      </w:pPr>
      <w:hyperlink w:anchor="_Toc000110" w:history="1">
        <w:r>
          <w:t xml:space="preserve">5.1 Phase A - Readiness</w:t>
        </w:r>
        <w:r>
          <w:t xml:space="preserve">	</w:t>
        </w:r>
        <w:r>
          <w:t xml:space="preserve">11</w:t>
        </w:r>
      </w:hyperlink>
    </w:p>
    <w:p>
      <w:pPr>
        <w:pStyle w:val="toc2"/>
      </w:pPr>
      <w:hyperlink w:anchor="_Toc000111" w:history="1">
        <w:r>
          <w:t xml:space="preserve">5.2 Phase B - Pre-load and daily deltas</w:t>
        </w:r>
        <w:r>
          <w:t xml:space="preserve">	</w:t>
        </w:r>
        <w:r>
          <w:t xml:space="preserve">12</w:t>
        </w:r>
      </w:hyperlink>
    </w:p>
    <w:p>
      <w:pPr>
        <w:pStyle w:val="toc2"/>
      </w:pPr>
      <w:hyperlink w:anchor="_Toc000112" w:history="1">
        <w:r>
          <w:t xml:space="preserve">5.3 Phase C - Legacy freeze and final extracts</w:t>
        </w:r>
        <w:r>
          <w:t xml:space="preserve">	</w:t>
        </w:r>
        <w:r>
          <w:t xml:space="preserve">13</w:t>
        </w:r>
      </w:hyperlink>
    </w:p>
    <w:p>
      <w:pPr>
        <w:pStyle w:val="toc2"/>
      </w:pPr>
      <w:hyperlink w:anchor="_Toc000113" w:history="1">
        <w:r>
          <w:t xml:space="preserve">5.4 Phase D - Production load</w:t>
        </w:r>
        <w:r>
          <w:t xml:space="preserve">	</w:t>
        </w:r>
        <w:r>
          <w:t xml:space="preserve">14</w:t>
        </w:r>
      </w:hyperlink>
    </w:p>
    <w:p>
      <w:pPr>
        <w:pStyle w:val="toc2"/>
      </w:pPr>
      <w:hyperlink w:anchor="_Toc000114" w:history="1">
        <w:r>
          <w:t xml:space="preserve">5.5 Phase E - Reconciliation, verification and go / no-go</w:t>
        </w:r>
        <w:r>
          <w:t xml:space="preserve">	</w:t>
        </w:r>
        <w:r>
          <w:t xml:space="preserve">15</w:t>
        </w:r>
      </w:hyperlink>
    </w:p>
    <w:p>
      <w:pPr>
        <w:pStyle w:val="toc2"/>
      </w:pPr>
      <w:hyperlink w:anchor="_Toc000115" w:history="1">
        <w:r>
          <w:t xml:space="preserve">5.6 Phase F - Go-live</w:t>
        </w:r>
        <w:r>
          <w:t xml:space="preserve">	</w:t>
        </w:r>
        <w:r>
          <w:t xml:space="preserve">16</w:t>
        </w:r>
      </w:hyperlink>
    </w:p>
    <w:p>
      <w:pPr>
        <w:pStyle w:val="toc2"/>
      </w:pPr>
      <w:hyperlink w:anchor="_Toc000116" w:history="1">
        <w:r>
          <w:t xml:space="preserve">5.7 Phase G - Hypercare</w:t>
        </w:r>
        <w:r>
          <w:t xml:space="preserve">	</w:t>
        </w:r>
        <w:r>
          <w:t xml:space="preserve">16</w:t>
        </w:r>
      </w:hyperlink>
    </w:p>
    <w:p>
      <w:pPr>
        <w:pStyle w:val="toc2"/>
      </w:pPr>
      <w:hyperlink w:anchor="_Toc000117" w:history="1">
        <w:r>
          <w:t xml:space="preserve">5.8 Phase H - Final true-up and legacy GL close</w:t>
        </w:r>
        <w:r>
          <w:t xml:space="preserve">	</w:t>
        </w:r>
        <w:r>
          <w:t xml:space="preserve">18</w:t>
        </w:r>
      </w:hyperlink>
    </w:p>
    <w:p>
      <w:pPr>
        <w:pStyle w:val="toc1"/>
      </w:pPr>
      <w:hyperlink w:anchor="_Toc000118" w:history="1">
        <w:r>
          <w:t xml:space="preserve">6 Rollback</w:t>
        </w:r>
        <w:r>
          <w:t xml:space="preserve">	</w:t>
        </w:r>
        <w:r>
          <w:t xml:space="preserve">19</w:t>
        </w:r>
      </w:hyperlink>
    </w:p>
    <w:p>
      <w:pPr>
        <w:pStyle w:val="toc1"/>
      </w:pPr>
      <w:hyperlink w:anchor="_Toc000119" w:history="1">
        <w:r>
          <w:t xml:space="preserve">7 Year-end cut-over and FY2027 true-ups</w:t>
        </w:r>
        <w:r>
          <w:t xml:space="preserve">	</w:t>
        </w:r>
        <w:r>
          <w:t xml:space="preserve">19</w:t>
        </w:r>
      </w:hyperlink>
    </w:p>
    <w:p>
      <w:pPr>
        <w:pStyle w:val="toc1"/>
      </w:pPr>
      <w:hyperlink w:anchor="_Toc000120" w:history="1">
        <w:r>
          <w:t xml:space="preserve">8 Communication plan</w:t>
        </w:r>
        <w:r>
          <w:t xml:space="preserve">	</w:t>
        </w:r>
        <w:r>
          <w:t xml:space="preserve">20</w:t>
        </w:r>
      </w:hyperlink>
    </w:p>
    <w:p>
      <w:pPr>
        <w:pStyle w:val="toc1"/>
      </w:pPr>
      <w:hyperlink w:anchor="_Toc000121" w:history="1">
        <w:r>
          <w:t xml:space="preserve">9 Hypercare</w:t>
        </w:r>
        <w:r>
          <w:t xml:space="preserve">	</w:t>
        </w:r>
        <w:r>
          <w:t xml:space="preserve">21</w:t>
        </w:r>
      </w:hyperlink>
    </w:p>
    <w:p>
      <w:pPr>
        <w:pStyle w:val="toc2"/>
      </w:pPr>
      <w:hyperlink w:anchor="_Toc000122" w:history="1">
        <w:r>
          <w:t xml:space="preserve">9.1 Roster</w:t>
        </w:r>
        <w:r>
          <w:t xml:space="preserve">	</w:t>
        </w:r>
        <w:r>
          <w:t xml:space="preserve">21</w:t>
        </w:r>
      </w:hyperlink>
    </w:p>
    <w:p>
      <w:pPr>
        <w:pStyle w:val="toc2"/>
      </w:pPr>
      <w:hyperlink w:anchor="_Toc000123" w:history="1">
        <w:r>
          <w:t xml:space="preserve">9.2 Exit criteria</w:t>
        </w:r>
        <w:r>
          <w:t xml:space="preserve">	</w:t>
        </w:r>
        <w:r>
          <w:t xml:space="preserve">21</w:t>
        </w:r>
      </w:hyperlink>
    </w:p>
    <w:p>
      <w:pPr>
        <w:pStyle w:val="toc1"/>
      </w:pPr>
      <w:hyperlink w:anchor="_Toc000124" w:history="1">
        <w:r>
          <w:t xml:space="preserve">10 Decommissioning checklists</w:t>
        </w:r>
        <w:r>
          <w:t xml:space="preserve">	</w:t>
        </w:r>
        <w:r>
          <w:t xml:space="preserve">22</w:t>
        </w:r>
      </w:hyperlink>
    </w:p>
    <w:p>
      <w:pPr>
        <w:pStyle w:val="toc1"/>
      </w:pPr>
      <w:hyperlink w:anchor="_Toc000125" w:history="1">
        <w:r>
          <w:t xml:space="preserve">Sign-off</w:t>
        </w:r>
        <w:r>
          <w:t xml:space="preserve">	</w:t>
        </w:r>
        <w:r>
          <w:t xml:space="preserve">23</w:t>
        </w:r>
      </w:hyperlink>
      <w:r>
        <w:fldChar w:fldCharType="end"/>
      </w:r>
    </w:p>
    <w:p>
      <w:pPr>
        <w:pStyle w:val="Heading1"/>
        <w:pageBreakBefore/>
        <w:pBdr>
          <w:bottom w:val="single" w:sz="4" w:space="4" w:color="99C1E7"/>
        </w:pBdr>
      </w:pPr>
      <w:bookmarkStart w:id="101" w:name="_Toc000101"/>
      <w:r>
        <w:rPr/>
        <w:t>1 Purpose and use</w:t>
      </w:r>
      <w:bookmarkEnd w:id="101"/>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Section 3.1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in the Cutover Task Plan workbook (</w:t>
      </w:r>
      <w:r>
        <w:rPr>
          <w:rFonts w:ascii="Courier New" w:hAnsi="Courier New" w:cs="Courier New" w:eastAsia="Courier New"/>
          <w:color w:val="2E2E2E"/>
          <w:sz w:val="19"/>
        </w:rPr>
        <w:t>BIBS_Migration_BRD-13_Cutover_Task_Plan_v1.2.xlsx</w:t>
      </w:r>
      <w:r>
        <w:rPr/>
        <w:t>), where names, actual times and status are recorded, and in the Migration Console as the plan of kind PRODUCTION (FR-DM-120).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(Strategy chapter 10). This version gives planned durations; version 1.3,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Bdr>
          <w:bottom w:val="single" w:sz="4" w:space="4" w:color="99C1E7"/>
        </w:pBdr>
      </w:pPr>
      <w:bookmarkStart w:id="102" w:name="_Toc000102"/>
      <w:r>
        <w:rPr/>
        <w:t>2 Cutover organisation</w:t>
      </w:r>
      <w:bookmarkEnd w:id="102"/>
    </w:p>
    <w:p>
      <w:pPr>
        <w:pStyle w:val="Heading2"/>
      </w:pPr>
      <w:bookmarkStart w:id="103" w:name="_Toc000103"/>
      <w:r>
        <w:rPr/>
        <w:t>2.1 Command centre</w:t>
      </w:r>
      <w:bookmarkEnd w:id="103"/>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104" w:name="_Toc000104"/>
      <w:r>
        <w:rPr/>
        <w:t>2.2 Roles</w:t>
      </w:r>
      <w:bookmarkEnd w:id="104"/>
    </w:p>
    <w:p>
      <w:pPr>
        <w:pStyle w:val="Caption"/>
        <w:keepNext/>
        <w:spacing w:after="60"/>
      </w:pPr>
      <w:r>
        <w:rPr>
          <w:b/>
          <w:i w:val="0"/>
        </w:rPr>
        <w:t xml:space="preserve">Table 1: </w:t>
      </w:r>
      <w:r>
        <w:rPr/>
        <w:t>Roles used in the task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rPr>
          <w:cantSplit w:val="true"/>
        </w:trP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SFTP)</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(loaders, reconciliation, console)</w:t>
            </w:r>
          </w:p>
        </w:tc>
        <w:tc>
          <w:tcPr>
            <w:tcW w:type="dxa" w:w="2403"/>
            <w:tcMar>
              <w:top w:w="50" w:type="dxa"/>
              <w:bottom w:w="50" w:type="dxa"/>
              <w:left w:w="90" w:type="dxa"/>
              <w:right w:w="90" w:type="dxa"/>
            </w:tcMar>
          </w:tcPr>
          <w:p>
            <w:pPr>
              <w:pStyle w:val="BDOITable"/>
            </w:pPr>
            <w:r>
              <w:rPr>
                <w:sz w:val="17"/>
              </w:rPr>
              <w:t>iorta TechNXT</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DevOps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defect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Bdr>
          <w:bottom w:val="single" w:sz="4" w:space="4" w:color="99C1E7"/>
        </w:pBdr>
      </w:pPr>
      <w:bookmarkStart w:id="105" w:name="_Toc000105"/>
      <w:r>
        <w:rPr/>
        <w:t>3 Timeline</w:t>
      </w:r>
      <w:bookmarkEnd w:id="105"/>
    </w:p>
    <w:p>
      <w:pPr>
        <w:pStyle w:val="Caption"/>
        <w:keepNext/>
        <w:spacing w:after="60"/>
      </w:pPr>
      <w:r>
        <w:rPr>
          <w:b/>
          <w:i w:val="0"/>
        </w:rPr>
        <w:t xml:space="preserve">Table 2: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403"/>
        <w:gridCol w:w="841"/>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IDs</w:t>
            </w:r>
          </w:p>
        </w:tc>
      </w:tr>
      <w:tr>
        <w:trPr>
          <w:cantSplit w:val="true"/>
        </w:trP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40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403"/>
            <w:tcMar>
              <w:top w:w="50" w:type="dxa"/>
              <w:bottom w:w="50" w:type="dxa"/>
              <w:left w:w="90" w:type="dxa"/>
              <w:right w:w="90" w:type="dxa"/>
            </w:tcMar>
          </w:tcPr>
          <w:p>
            <w:pPr>
              <w:pStyle w:val="BDOITable"/>
            </w:pPr>
            <w:r>
              <w:rPr>
                <w:sz w:val="18"/>
              </w:rPr>
              <w:t>CT-001 to CT-015</w:t>
            </w:r>
          </w:p>
        </w:tc>
      </w:tr>
      <w:tr>
        <w:trPr>
          <w:cantSplit w:val="true"/>
        </w:trP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40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403"/>
            <w:tcMar>
              <w:top w:w="50" w:type="dxa"/>
              <w:bottom w:w="50" w:type="dxa"/>
              <w:left w:w="90" w:type="dxa"/>
              <w:right w:w="90" w:type="dxa"/>
            </w:tcMar>
            <w:shd w:val="clear" w:color="auto" w:fill="E5F5FF"/>
          </w:tcPr>
          <w:p>
            <w:pPr>
              <w:pStyle w:val="BDOITable"/>
            </w:pPr>
            <w:r>
              <w:rPr>
                <w:sz w:val="18"/>
              </w:rPr>
              <w:t>CT-016 to CT-034</w:t>
            </w:r>
          </w:p>
        </w:tc>
      </w:tr>
      <w:tr>
        <w:trPr>
          <w:cantSplit w:val="true"/>
        </w:trP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40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403"/>
            <w:tcMar>
              <w:top w:w="50" w:type="dxa"/>
              <w:bottom w:w="50" w:type="dxa"/>
              <w:left w:w="90" w:type="dxa"/>
              <w:right w:w="90" w:type="dxa"/>
            </w:tcMar>
          </w:tcPr>
          <w:p>
            <w:pPr>
              <w:pStyle w:val="BDOITable"/>
            </w:pPr>
            <w:r>
              <w:rPr>
                <w:sz w:val="18"/>
              </w:rPr>
              <w:t>CT-035 to CT-039</w:t>
            </w:r>
          </w:p>
        </w:tc>
      </w:tr>
      <w:tr>
        <w:trPr>
          <w:cantSplit w:val="true"/>
        </w:trP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40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403"/>
            <w:tcMar>
              <w:top w:w="50" w:type="dxa"/>
              <w:bottom w:w="50" w:type="dxa"/>
              <w:left w:w="90" w:type="dxa"/>
              <w:right w:w="90" w:type="dxa"/>
            </w:tcMar>
            <w:shd w:val="clear" w:color="auto" w:fill="E5F5FF"/>
          </w:tcPr>
          <w:p>
            <w:pPr>
              <w:pStyle w:val="BDOITable"/>
            </w:pPr>
            <w:r>
              <w:rPr>
                <w:sz w:val="18"/>
              </w:rPr>
              <w:t>CT-040 to CT-052</w:t>
            </w:r>
          </w:p>
        </w:tc>
      </w:tr>
      <w:tr>
        <w:trPr>
          <w:cantSplit w:val="true"/>
        </w:trP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40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403"/>
            <w:tcMar>
              <w:top w:w="50" w:type="dxa"/>
              <w:bottom w:w="50" w:type="dxa"/>
              <w:left w:w="90" w:type="dxa"/>
              <w:right w:w="90" w:type="dxa"/>
            </w:tcMar>
          </w:tcPr>
          <w:p>
            <w:pPr>
              <w:pStyle w:val="BDOITable"/>
            </w:pPr>
            <w:r>
              <w:rPr>
                <w:sz w:val="18"/>
              </w:rPr>
              <w:t>CT-053 to CT-061</w:t>
            </w:r>
          </w:p>
        </w:tc>
      </w:tr>
      <w:tr>
        <w:trPr>
          <w:cantSplit w:val="true"/>
        </w:trP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40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403"/>
            <w:tcMar>
              <w:top w:w="50" w:type="dxa"/>
              <w:bottom w:w="50" w:type="dxa"/>
              <w:left w:w="90" w:type="dxa"/>
              <w:right w:w="90" w:type="dxa"/>
            </w:tcMar>
            <w:shd w:val="clear" w:color="auto" w:fill="E5F5FF"/>
          </w:tcPr>
          <w:p>
            <w:pPr>
              <w:pStyle w:val="BDOITable"/>
            </w:pPr>
            <w:r>
              <w:rPr>
                <w:sz w:val="18"/>
              </w:rPr>
              <w:t>CT-062 to CT-070</w:t>
            </w:r>
          </w:p>
        </w:tc>
      </w:tr>
      <w:tr>
        <w:trPr>
          <w:cantSplit w:val="true"/>
        </w:trP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40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403"/>
            <w:tcMar>
              <w:top w:w="50" w:type="dxa"/>
              <w:bottom w:w="50" w:type="dxa"/>
              <w:left w:w="90" w:type="dxa"/>
              <w:right w:w="90" w:type="dxa"/>
            </w:tcMar>
          </w:tcPr>
          <w:p>
            <w:pPr>
              <w:pStyle w:val="BDOITable"/>
            </w:pPr>
            <w:r>
              <w:rPr>
                <w:sz w:val="18"/>
              </w:rPr>
              <w:t>CT-071 to CT-086</w:t>
            </w:r>
          </w:p>
        </w:tc>
      </w:tr>
      <w:tr>
        <w:trPr>
          <w:cantSplit w:val="true"/>
        </w:trP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40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403"/>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106" w:name="_Toc000106"/>
      <w:r>
        <w:rPr/>
        <w:t>3.1 Calendar</w:t>
      </w:r>
      <w:bookmarkEnd w:id="106"/>
    </w:p>
    <w:p>
      <w:pPr>
        <w:pStyle w:val="Caption"/>
        <w:keepNext/>
        <w:spacing w:after="60"/>
      </w:pPr>
      <w:r>
        <w:rPr>
          <w:b/>
          <w:i w:val="0"/>
        </w:rPr>
        <w:t xml:space="preserve">Table 3: </w:t>
      </w:r>
      <w:r>
        <w:rPr/>
        <w:t>Relative days on the calendar of the recommended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403"/>
        <w:gridCol w:w="6608"/>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961"/>
            <w:tcMar>
              <w:top w:w="50" w:type="dxa"/>
              <w:bottom w:w="50" w:type="dxa"/>
              <w:left w:w="90" w:type="dxa"/>
              <w:right w:w="90" w:type="dxa"/>
            </w:tcMar>
          </w:tcPr>
          <w:p>
            <w:pPr>
              <w:pStyle w:val="BDOITable"/>
            </w:pPr>
            <w:r>
              <w:rPr>
                <w:b/>
                <w:sz w:val="17"/>
              </w:rPr>
              <w:t>T-30</w:t>
            </w:r>
          </w:p>
        </w:tc>
        <w:tc>
          <w:tcPr>
            <w:tcW w:type="dxa" w:w="2403"/>
            <w:tcMar>
              <w:top w:w="50" w:type="dxa"/>
              <w:bottom w:w="50" w:type="dxa"/>
              <w:left w:w="90" w:type="dxa"/>
              <w:right w:w="90" w:type="dxa"/>
            </w:tcMar>
          </w:tcPr>
          <w:p>
            <w:pPr>
              <w:pStyle w:val="BDOITable"/>
            </w:pPr>
            <w:r>
              <w:rPr>
                <w:sz w:val="17"/>
              </w:rPr>
              <w:t>Sat 4 Dec 2027</w:t>
            </w:r>
          </w:p>
        </w:tc>
        <w:tc>
          <w:tcPr>
            <w:tcW w:type="dxa" w:w="660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T-26</w:t>
            </w:r>
          </w:p>
        </w:tc>
        <w:tc>
          <w:tcPr>
            <w:tcW w:type="dxa" w:w="2403"/>
            <w:tcMar>
              <w:top w:w="50" w:type="dxa"/>
              <w:bottom w:w="50" w:type="dxa"/>
              <w:left w:w="90" w:type="dxa"/>
              <w:right w:w="90" w:type="dxa"/>
            </w:tcMar>
            <w:shd w:val="clear" w:color="auto" w:fill="E5F5FF"/>
          </w:tcPr>
          <w:p>
            <w:pPr>
              <w:pStyle w:val="BDOITable"/>
            </w:pPr>
            <w:r>
              <w:rPr>
                <w:sz w:val="17"/>
              </w:rPr>
              <w:t>Wed 8 Dec 2027</w:t>
            </w:r>
          </w:p>
        </w:tc>
        <w:tc>
          <w:tcPr>
            <w:tcW w:type="dxa" w:w="660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rPr>
          <w:cantSplit w:val="true"/>
        </w:trPr>
        <w:tc>
          <w:tcPr>
            <w:tcW w:type="dxa" w:w="961"/>
            <w:tcMar>
              <w:top w:w="50" w:type="dxa"/>
              <w:bottom w:w="50" w:type="dxa"/>
              <w:left w:w="90" w:type="dxa"/>
              <w:right w:w="90" w:type="dxa"/>
            </w:tcMar>
          </w:tcPr>
          <w:p>
            <w:pPr>
              <w:pStyle w:val="BDOITable"/>
            </w:pPr>
            <w:r>
              <w:rPr>
                <w:b/>
                <w:sz w:val="17"/>
              </w:rPr>
              <w:t>T-21</w:t>
            </w:r>
          </w:p>
        </w:tc>
        <w:tc>
          <w:tcPr>
            <w:tcW w:type="dxa" w:w="2403"/>
            <w:tcMar>
              <w:top w:w="50" w:type="dxa"/>
              <w:bottom w:w="50" w:type="dxa"/>
              <w:left w:w="90" w:type="dxa"/>
              <w:right w:w="90" w:type="dxa"/>
            </w:tcMar>
          </w:tcPr>
          <w:p>
            <w:pPr>
              <w:pStyle w:val="BDOITable"/>
            </w:pPr>
            <w:r>
              <w:rPr>
                <w:sz w:val="17"/>
              </w:rPr>
              <w:t>Mon 13 Dec 2027</w:t>
            </w:r>
          </w:p>
        </w:tc>
        <w:tc>
          <w:tcPr>
            <w:tcW w:type="dxa" w:w="6608"/>
            <w:tcMar>
              <w:top w:w="50" w:type="dxa"/>
              <w:bottom w:w="50" w:type="dxa"/>
              <w:left w:w="90" w:type="dxa"/>
              <w:right w:w="90" w:type="dxa"/>
            </w:tcMar>
          </w:tcPr>
          <w:p>
            <w:pPr>
              <w:pStyle w:val="BDOITable"/>
            </w:pPr>
            <w:r>
              <w:rPr>
                <w:sz w:val="17"/>
              </w:rPr>
              <w:t>Communications to branches, insurers and bank channels; legacy December soft close under way</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T-20</w:t>
            </w:r>
          </w:p>
        </w:tc>
        <w:tc>
          <w:tcPr>
            <w:tcW w:type="dxa" w:w="2403"/>
            <w:tcMar>
              <w:top w:w="50" w:type="dxa"/>
              <w:bottom w:w="50" w:type="dxa"/>
              <w:left w:w="90" w:type="dxa"/>
              <w:right w:w="90" w:type="dxa"/>
            </w:tcMar>
            <w:shd w:val="clear" w:color="auto" w:fill="E5F5FF"/>
          </w:tcPr>
          <w:p>
            <w:pPr>
              <w:pStyle w:val="BDOITable"/>
            </w:pPr>
            <w:r>
              <w:rPr>
                <w:sz w:val="17"/>
              </w:rPr>
              <w:t>Tue 14 Dec 2027</w:t>
            </w:r>
          </w:p>
        </w:tc>
        <w:tc>
          <w:tcPr>
            <w:tcW w:type="dxa" w:w="660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rPr>
          <w:cantSplit w:val="true"/>
        </w:trPr>
        <w:tc>
          <w:tcPr>
            <w:tcW w:type="dxa" w:w="961"/>
            <w:tcMar>
              <w:top w:w="50" w:type="dxa"/>
              <w:bottom w:w="50" w:type="dxa"/>
              <w:left w:w="90" w:type="dxa"/>
              <w:right w:w="90" w:type="dxa"/>
            </w:tcMar>
          </w:tcPr>
          <w:p>
            <w:pPr>
              <w:pStyle w:val="BDOITable"/>
            </w:pPr>
            <w:r>
              <w:rPr>
                <w:b/>
                <w:sz w:val="17"/>
              </w:rPr>
              <w:t>T-15</w:t>
            </w:r>
          </w:p>
        </w:tc>
        <w:tc>
          <w:tcPr>
            <w:tcW w:type="dxa" w:w="2403"/>
            <w:tcMar>
              <w:top w:w="50" w:type="dxa"/>
              <w:bottom w:w="50" w:type="dxa"/>
              <w:left w:w="90" w:type="dxa"/>
              <w:right w:w="90" w:type="dxa"/>
            </w:tcMar>
          </w:tcPr>
          <w:p>
            <w:pPr>
              <w:pStyle w:val="BDOITable"/>
            </w:pPr>
            <w:r>
              <w:rPr>
                <w:sz w:val="17"/>
              </w:rPr>
              <w:t>Sun 19 Dec 2027</w:t>
            </w:r>
          </w:p>
        </w:tc>
        <w:tc>
          <w:tcPr>
            <w:tcW w:type="dxa" w:w="6608"/>
            <w:tcMar>
              <w:top w:w="50" w:type="dxa"/>
              <w:bottom w:w="50" w:type="dxa"/>
              <w:left w:w="90" w:type="dxa"/>
              <w:right w:w="90" w:type="dxa"/>
            </w:tcMar>
          </w:tcPr>
          <w:p>
            <w:pPr>
              <w:pStyle w:val="BDOITable"/>
            </w:pPr>
            <w:r>
              <w:rPr>
                <w:sz w:val="17"/>
              </w:rPr>
              <w:t>GNG-1 (board meets on Friday 17 December if preferred)</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T-14</w:t>
            </w:r>
          </w:p>
        </w:tc>
        <w:tc>
          <w:tcPr>
            <w:tcW w:type="dxa" w:w="2403"/>
            <w:tcMar>
              <w:top w:w="50" w:type="dxa"/>
              <w:bottom w:w="50" w:type="dxa"/>
              <w:left w:w="90" w:type="dxa"/>
              <w:right w:w="90" w:type="dxa"/>
            </w:tcMar>
            <w:shd w:val="clear" w:color="auto" w:fill="E5F5FF"/>
          </w:tcPr>
          <w:p>
            <w:pPr>
              <w:pStyle w:val="BDOITable"/>
            </w:pPr>
            <w:r>
              <w:rPr>
                <w:sz w:val="17"/>
              </w:rPr>
              <w:t>Mon 20 Dec 2027</w:t>
            </w:r>
          </w:p>
        </w:tc>
        <w:tc>
          <w:tcPr>
            <w:tcW w:type="dxa" w:w="660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rPr>
          <w:cantSplit w:val="true"/>
        </w:trPr>
        <w:tc>
          <w:tcPr>
            <w:tcW w:type="dxa" w:w="961"/>
            <w:tcMar>
              <w:top w:w="50" w:type="dxa"/>
              <w:bottom w:w="50" w:type="dxa"/>
              <w:left w:w="90" w:type="dxa"/>
              <w:right w:w="90" w:type="dxa"/>
            </w:tcMar>
          </w:tcPr>
          <w:p>
            <w:pPr>
              <w:pStyle w:val="BDOITable"/>
            </w:pPr>
            <w:r>
              <w:rPr>
                <w:b/>
                <w:sz w:val="17"/>
              </w:rPr>
              <w:t>T-12</w:t>
            </w:r>
          </w:p>
        </w:tc>
        <w:tc>
          <w:tcPr>
            <w:tcW w:type="dxa" w:w="2403"/>
            <w:tcMar>
              <w:top w:w="50" w:type="dxa"/>
              <w:bottom w:w="50" w:type="dxa"/>
              <w:left w:w="90" w:type="dxa"/>
              <w:right w:w="90" w:type="dxa"/>
            </w:tcMar>
          </w:tcPr>
          <w:p>
            <w:pPr>
              <w:pStyle w:val="BDOITable"/>
            </w:pPr>
            <w:r>
              <w:rPr>
                <w:sz w:val="17"/>
              </w:rPr>
              <w:t>Wed 22 Dec 2027</w:t>
            </w:r>
          </w:p>
        </w:tc>
        <w:tc>
          <w:tcPr>
            <w:tcW w:type="dxa" w:w="660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T-11</w:t>
            </w:r>
          </w:p>
        </w:tc>
        <w:tc>
          <w:tcPr>
            <w:tcW w:type="dxa" w:w="2403"/>
            <w:tcMar>
              <w:top w:w="50" w:type="dxa"/>
              <w:bottom w:w="50" w:type="dxa"/>
              <w:left w:w="90" w:type="dxa"/>
              <w:right w:w="90" w:type="dxa"/>
            </w:tcMar>
            <w:shd w:val="clear" w:color="auto" w:fill="E5F5FF"/>
          </w:tcPr>
          <w:p>
            <w:pPr>
              <w:pStyle w:val="BDOITable"/>
            </w:pPr>
            <w:r>
              <w:rPr>
                <w:sz w:val="17"/>
              </w:rPr>
              <w:t>Thu 23 Dec 2027</w:t>
            </w:r>
          </w:p>
        </w:tc>
        <w:tc>
          <w:tcPr>
            <w:tcW w:type="dxa" w:w="660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rPr>
          <w:cantSplit w:val="true"/>
        </w:trPr>
        <w:tc>
          <w:tcPr>
            <w:tcW w:type="dxa" w:w="961"/>
            <w:tcMar>
              <w:top w:w="50" w:type="dxa"/>
              <w:bottom w:w="50" w:type="dxa"/>
              <w:left w:w="90" w:type="dxa"/>
              <w:right w:w="90" w:type="dxa"/>
            </w:tcMar>
          </w:tcPr>
          <w:p>
            <w:pPr>
              <w:pStyle w:val="BDOITable"/>
            </w:pPr>
            <w:r>
              <w:rPr>
                <w:b/>
                <w:sz w:val="17"/>
              </w:rPr>
              <w:t>T-10</w:t>
            </w:r>
          </w:p>
        </w:tc>
        <w:tc>
          <w:tcPr>
            <w:tcW w:type="dxa" w:w="2403"/>
            <w:tcMar>
              <w:top w:w="50" w:type="dxa"/>
              <w:bottom w:w="50" w:type="dxa"/>
              <w:left w:w="90" w:type="dxa"/>
              <w:right w:w="90" w:type="dxa"/>
            </w:tcMar>
          </w:tcPr>
          <w:p>
            <w:pPr>
              <w:pStyle w:val="BDOITable"/>
            </w:pPr>
            <w:r>
              <w:rPr>
                <w:sz w:val="17"/>
              </w:rPr>
              <w:t>Fri 24 Dec 2027</w:t>
            </w:r>
          </w:p>
        </w:tc>
        <w:tc>
          <w:tcPr>
            <w:tcW w:type="dxa" w:w="6608"/>
            <w:tcMar>
              <w:top w:w="50" w:type="dxa"/>
              <w:bottom w:w="50" w:type="dxa"/>
              <w:left w:w="90" w:type="dxa"/>
              <w:right w:w="90" w:type="dxa"/>
            </w:tcMar>
          </w:tcPr>
          <w:p>
            <w:pPr>
              <w:pStyle w:val="BDOITable"/>
            </w:pPr>
            <w:r>
              <w:rPr>
                <w:sz w:val="17"/>
              </w:rPr>
              <w:t>Christmas Eve (special non-working day) - no task planned</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T-9</w:t>
            </w:r>
          </w:p>
        </w:tc>
        <w:tc>
          <w:tcPr>
            <w:tcW w:type="dxa" w:w="2403"/>
            <w:tcMar>
              <w:top w:w="50" w:type="dxa"/>
              <w:bottom w:w="50" w:type="dxa"/>
              <w:left w:w="90" w:type="dxa"/>
              <w:right w:w="90" w:type="dxa"/>
            </w:tcMar>
            <w:shd w:val="clear" w:color="auto" w:fill="E5F5FF"/>
          </w:tcPr>
          <w:p>
            <w:pPr>
              <w:pStyle w:val="BDOITable"/>
            </w:pPr>
            <w:r>
              <w:rPr>
                <w:sz w:val="17"/>
              </w:rPr>
              <w:t>Sat 25 Dec 2027</w:t>
            </w:r>
          </w:p>
        </w:tc>
        <w:tc>
          <w:tcPr>
            <w:tcW w:type="dxa" w:w="6608"/>
            <w:tcMar>
              <w:top w:w="50" w:type="dxa"/>
              <w:bottom w:w="50" w:type="dxa"/>
              <w:left w:w="90" w:type="dxa"/>
              <w:right w:w="90" w:type="dxa"/>
            </w:tcMar>
            <w:shd w:val="clear" w:color="auto" w:fill="E5F5FF"/>
          </w:tcPr>
          <w:p>
            <w:pPr>
              <w:pStyle w:val="BDOITable"/>
            </w:pPr>
            <w:r>
              <w:rPr>
                <w:sz w:val="17"/>
              </w:rPr>
              <w:t>Christmas Day - no task planned</w:t>
            </w:r>
          </w:p>
        </w:tc>
      </w:tr>
      <w:tr>
        <w:trPr>
          <w:cantSplit w:val="true"/>
        </w:trPr>
        <w:tc>
          <w:tcPr>
            <w:tcW w:type="dxa" w:w="961"/>
            <w:tcMar>
              <w:top w:w="50" w:type="dxa"/>
              <w:bottom w:w="50" w:type="dxa"/>
              <w:left w:w="90" w:type="dxa"/>
              <w:right w:w="90" w:type="dxa"/>
            </w:tcMar>
          </w:tcPr>
          <w:p>
            <w:pPr>
              <w:pStyle w:val="BDOITable"/>
            </w:pPr>
            <w:r>
              <w:rPr>
                <w:b/>
                <w:sz w:val="17"/>
              </w:rPr>
              <w:t>T-7</w:t>
            </w:r>
          </w:p>
        </w:tc>
        <w:tc>
          <w:tcPr>
            <w:tcW w:type="dxa" w:w="2403"/>
            <w:tcMar>
              <w:top w:w="50" w:type="dxa"/>
              <w:bottom w:w="50" w:type="dxa"/>
              <w:left w:w="90" w:type="dxa"/>
              <w:right w:w="90" w:type="dxa"/>
            </w:tcMar>
          </w:tcPr>
          <w:p>
            <w:pPr>
              <w:pStyle w:val="BDOITable"/>
            </w:pPr>
            <w:r>
              <w:rPr>
                <w:sz w:val="17"/>
              </w:rPr>
              <w:t>Mon 27 Dec 2027</w:t>
            </w:r>
          </w:p>
        </w:tc>
        <w:tc>
          <w:tcPr>
            <w:tcW w:type="dxa" w:w="6608"/>
            <w:tcMar>
              <w:top w:w="50" w:type="dxa"/>
              <w:bottom w:w="50" w:type="dxa"/>
              <w:left w:w="90" w:type="dxa"/>
              <w:right w:w="90" w:type="dxa"/>
            </w:tcMar>
          </w:tcPr>
          <w:p>
            <w:pPr>
              <w:pStyle w:val="BDOITable"/>
            </w:pPr>
            <w:r>
              <w:rPr>
                <w:sz w:val="17"/>
              </w:rPr>
              <w:t>Code map freeze; legacy reference-data change freeze</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T-5</w:t>
            </w:r>
          </w:p>
        </w:tc>
        <w:tc>
          <w:tcPr>
            <w:tcW w:type="dxa" w:w="2403"/>
            <w:tcMar>
              <w:top w:w="50" w:type="dxa"/>
              <w:bottom w:w="50" w:type="dxa"/>
              <w:left w:w="90" w:type="dxa"/>
              <w:right w:w="90" w:type="dxa"/>
            </w:tcMar>
            <w:shd w:val="clear" w:color="auto" w:fill="E5F5FF"/>
          </w:tcPr>
          <w:p>
            <w:pPr>
              <w:pStyle w:val="BDOITable"/>
            </w:pPr>
            <w:r>
              <w:rPr>
                <w:sz w:val="17"/>
              </w:rPr>
              <w:t>Wed 29 Dec 2027</w:t>
            </w:r>
          </w:p>
        </w:tc>
        <w:tc>
          <w:tcPr>
            <w:tcW w:type="dxa" w:w="660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rPr>
          <w:cantSplit w:val="true"/>
        </w:trPr>
        <w:tc>
          <w:tcPr>
            <w:tcW w:type="dxa" w:w="961"/>
            <w:tcMar>
              <w:top w:w="50" w:type="dxa"/>
              <w:bottom w:w="50" w:type="dxa"/>
              <w:left w:w="90" w:type="dxa"/>
              <w:right w:w="90" w:type="dxa"/>
            </w:tcMar>
          </w:tcPr>
          <w:p>
            <w:pPr>
              <w:pStyle w:val="BDOITable"/>
            </w:pPr>
            <w:r>
              <w:rPr>
                <w:b/>
                <w:sz w:val="17"/>
              </w:rPr>
              <w:t>T-4</w:t>
            </w:r>
          </w:p>
        </w:tc>
        <w:tc>
          <w:tcPr>
            <w:tcW w:type="dxa" w:w="2403"/>
            <w:tcMar>
              <w:top w:w="50" w:type="dxa"/>
              <w:bottom w:w="50" w:type="dxa"/>
              <w:left w:w="90" w:type="dxa"/>
              <w:right w:w="90" w:type="dxa"/>
            </w:tcMar>
          </w:tcPr>
          <w:p>
            <w:pPr>
              <w:pStyle w:val="BDOITable"/>
            </w:pPr>
            <w:r>
              <w:rPr>
                <w:sz w:val="17"/>
              </w:rPr>
              <w:t>Thu 30 Dec 2027</w:t>
            </w:r>
          </w:p>
        </w:tc>
        <w:tc>
          <w:tcPr>
            <w:tcW w:type="dxa" w:w="6608"/>
            <w:tcMar>
              <w:top w:w="50" w:type="dxa"/>
              <w:bottom w:w="50" w:type="dxa"/>
              <w:left w:w="90" w:type="dxa"/>
              <w:right w:w="90" w:type="dxa"/>
            </w:tcMar>
          </w:tcPr>
          <w:p>
            <w:pPr>
              <w:pStyle w:val="BDOITable"/>
            </w:pPr>
            <w:r>
              <w:rPr>
                <w:sz w:val="17"/>
              </w:rPr>
              <w:t>Rizal Day (regular holiday) - no task planned</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T-3</w:t>
            </w:r>
          </w:p>
        </w:tc>
        <w:tc>
          <w:tcPr>
            <w:tcW w:type="dxa" w:w="2403"/>
            <w:tcMar>
              <w:top w:w="50" w:type="dxa"/>
              <w:bottom w:w="50" w:type="dxa"/>
              <w:left w:w="90" w:type="dxa"/>
              <w:right w:w="90" w:type="dxa"/>
            </w:tcMar>
            <w:shd w:val="clear" w:color="auto" w:fill="E5F5FF"/>
          </w:tcPr>
          <w:p>
            <w:pPr>
              <w:pStyle w:val="BDOITable"/>
            </w:pPr>
            <w:r>
              <w:rPr>
                <w:sz w:val="17"/>
              </w:rPr>
              <w:t>Fri 31 Dec 2027</w:t>
            </w:r>
          </w:p>
        </w:tc>
        <w:tc>
          <w:tcPr>
            <w:tcW w:type="dxa" w:w="660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rPr>
          <w:cantSplit w:val="true"/>
        </w:trPr>
        <w:tc>
          <w:tcPr>
            <w:tcW w:type="dxa" w:w="961"/>
            <w:tcMar>
              <w:top w:w="50" w:type="dxa"/>
              <w:bottom w:w="50" w:type="dxa"/>
              <w:left w:w="90" w:type="dxa"/>
              <w:right w:w="90" w:type="dxa"/>
            </w:tcMar>
          </w:tcPr>
          <w:p>
            <w:pPr>
              <w:pStyle w:val="BDOITable"/>
            </w:pPr>
            <w:r>
              <w:rPr>
                <w:b/>
                <w:sz w:val="17"/>
              </w:rPr>
              <w:t>T-2</w:t>
            </w:r>
          </w:p>
        </w:tc>
        <w:tc>
          <w:tcPr>
            <w:tcW w:type="dxa" w:w="2403"/>
            <w:tcMar>
              <w:top w:w="50" w:type="dxa"/>
              <w:bottom w:w="50" w:type="dxa"/>
              <w:left w:w="90" w:type="dxa"/>
              <w:right w:w="90" w:type="dxa"/>
            </w:tcMar>
          </w:tcPr>
          <w:p>
            <w:pPr>
              <w:pStyle w:val="BDOITable"/>
            </w:pPr>
            <w:r>
              <w:rPr>
                <w:sz w:val="17"/>
              </w:rPr>
              <w:t>Sat 1 Jan 2028</w:t>
            </w:r>
          </w:p>
        </w:tc>
        <w:tc>
          <w:tcPr>
            <w:tcW w:type="dxa" w:w="6608"/>
            <w:tcMar>
              <w:top w:w="50" w:type="dxa"/>
              <w:bottom w:w="50" w:type="dxa"/>
              <w:left w:w="90" w:type="dxa"/>
              <w:right w:w="90" w:type="dxa"/>
            </w:tcMar>
          </w:tcPr>
          <w:p>
            <w:pPr>
              <w:pStyle w:val="BDOITable"/>
            </w:pPr>
            <w:r>
              <w:rPr>
                <w:sz w:val="17"/>
              </w:rPr>
              <w:t>New Year's Day - production load, provisional GL opening (cut-over team on duty)</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w:t>
            </w:r>
          </w:p>
        </w:tc>
        <w:tc>
          <w:tcPr>
            <w:tcW w:type="dxa" w:w="2403"/>
            <w:tcMar>
              <w:top w:w="50" w:type="dxa"/>
              <w:bottom w:w="50" w:type="dxa"/>
              <w:left w:w="90" w:type="dxa"/>
              <w:right w:w="90" w:type="dxa"/>
            </w:tcMar>
            <w:shd w:val="clear" w:color="auto" w:fill="E5F5FF"/>
          </w:tcPr>
          <w:p>
            <w:pPr>
              <w:pStyle w:val="BDOITable"/>
            </w:pPr>
            <w:r>
              <w:rPr>
                <w:sz w:val="17"/>
              </w:rPr>
              <w:t>Sun 2 Jan 2028</w:t>
            </w:r>
          </w:p>
        </w:tc>
        <w:tc>
          <w:tcPr>
            <w:tcW w:type="dxa" w:w="660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rPr>
          <w:cantSplit w:val="true"/>
        </w:trPr>
        <w:tc>
          <w:tcPr>
            <w:tcW w:type="dxa" w:w="961"/>
            <w:tcMar>
              <w:top w:w="50" w:type="dxa"/>
              <w:bottom w:w="50" w:type="dxa"/>
              <w:left w:w="90" w:type="dxa"/>
              <w:right w:w="90" w:type="dxa"/>
            </w:tcMar>
          </w:tcPr>
          <w:p>
            <w:pPr>
              <w:pStyle w:val="BDOITable"/>
            </w:pPr>
            <w:r>
              <w:rPr>
                <w:b/>
                <w:sz w:val="17"/>
              </w:rPr>
              <w:t>T</w:t>
            </w:r>
          </w:p>
        </w:tc>
        <w:tc>
          <w:tcPr>
            <w:tcW w:type="dxa" w:w="2403"/>
            <w:tcMar>
              <w:top w:w="50" w:type="dxa"/>
              <w:bottom w:w="50" w:type="dxa"/>
              <w:left w:w="90" w:type="dxa"/>
              <w:right w:w="90" w:type="dxa"/>
            </w:tcMar>
          </w:tcPr>
          <w:p>
            <w:pPr>
              <w:pStyle w:val="BDOITable"/>
            </w:pPr>
            <w:r>
              <w:rPr>
                <w:sz w:val="17"/>
              </w:rPr>
              <w:t>Mon 3 Jan 2028</w:t>
            </w:r>
          </w:p>
        </w:tc>
        <w:tc>
          <w:tcPr>
            <w:tcW w:type="dxa" w:w="660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T+10</w:t>
            </w:r>
          </w:p>
        </w:tc>
        <w:tc>
          <w:tcPr>
            <w:tcW w:type="dxa" w:w="2403"/>
            <w:tcMar>
              <w:top w:w="50" w:type="dxa"/>
              <w:bottom w:w="50" w:type="dxa"/>
              <w:left w:w="90" w:type="dxa"/>
              <w:right w:w="90" w:type="dxa"/>
            </w:tcMar>
            <w:shd w:val="clear" w:color="auto" w:fill="E5F5FF"/>
          </w:tcPr>
          <w:p>
            <w:pPr>
              <w:pStyle w:val="BDOITable"/>
            </w:pPr>
            <w:r>
              <w:rPr>
                <w:sz w:val="17"/>
              </w:rPr>
              <w:t>Thu 13 Jan 2028</w:t>
            </w:r>
          </w:p>
        </w:tc>
        <w:tc>
          <w:tcPr>
            <w:tcW w:type="dxa" w:w="660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rPr>
          <w:cantSplit w:val="true"/>
        </w:trPr>
        <w:tc>
          <w:tcPr>
            <w:tcW w:type="dxa" w:w="961"/>
            <w:tcMar>
              <w:top w:w="50" w:type="dxa"/>
              <w:bottom w:w="50" w:type="dxa"/>
              <w:left w:w="90" w:type="dxa"/>
              <w:right w:w="90" w:type="dxa"/>
            </w:tcMar>
          </w:tcPr>
          <w:p>
            <w:pPr>
              <w:pStyle w:val="BDOITable"/>
            </w:pPr>
            <w:r>
              <w:rPr>
                <w:b/>
                <w:sz w:val="17"/>
              </w:rPr>
              <w:t>T+15</w:t>
            </w:r>
          </w:p>
        </w:tc>
        <w:tc>
          <w:tcPr>
            <w:tcW w:type="dxa" w:w="2403"/>
            <w:tcMar>
              <w:top w:w="50" w:type="dxa"/>
              <w:bottom w:w="50" w:type="dxa"/>
              <w:left w:w="90" w:type="dxa"/>
              <w:right w:w="90" w:type="dxa"/>
            </w:tcMar>
          </w:tcPr>
          <w:p>
            <w:pPr>
              <w:pStyle w:val="BDOITable"/>
            </w:pPr>
            <w:r>
              <w:rPr>
                <w:sz w:val="17"/>
              </w:rPr>
              <w:t>Tue 18 Jan 2028</w:t>
            </w:r>
          </w:p>
        </w:tc>
        <w:tc>
          <w:tcPr>
            <w:tcW w:type="dxa" w:w="6608"/>
            <w:tcMar>
              <w:top w:w="50" w:type="dxa"/>
              <w:bottom w:w="50" w:type="dxa"/>
              <w:left w:w="90" w:type="dxa"/>
              <w:right w:w="90" w:type="dxa"/>
            </w:tcMar>
          </w:tcPr>
          <w:p>
            <w:pPr>
              <w:pStyle w:val="BDOITable"/>
            </w:pPr>
            <w:r>
              <w:rPr>
                <w:sz w:val="17"/>
              </w:rPr>
              <w:t>Legacy FY2027 year-end close complete</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T+18</w:t>
            </w:r>
          </w:p>
        </w:tc>
        <w:tc>
          <w:tcPr>
            <w:tcW w:type="dxa" w:w="2403"/>
            <w:tcMar>
              <w:top w:w="50" w:type="dxa"/>
              <w:bottom w:w="50" w:type="dxa"/>
              <w:left w:w="90" w:type="dxa"/>
              <w:right w:w="90" w:type="dxa"/>
            </w:tcMar>
            <w:shd w:val="clear" w:color="auto" w:fill="E5F5FF"/>
          </w:tcPr>
          <w:p>
            <w:pPr>
              <w:pStyle w:val="BDOITable"/>
            </w:pPr>
            <w:r>
              <w:rPr>
                <w:sz w:val="17"/>
              </w:rPr>
              <w:t>Fri 21 Jan 2028</w:t>
            </w:r>
          </w:p>
        </w:tc>
        <w:tc>
          <w:tcPr>
            <w:tcW w:type="dxa" w:w="6608"/>
            <w:tcMar>
              <w:top w:w="50" w:type="dxa"/>
              <w:bottom w:w="50" w:type="dxa"/>
              <w:left w:w="90" w:type="dxa"/>
              <w:right w:w="90" w:type="dxa"/>
            </w:tcMar>
            <w:shd w:val="clear" w:color="auto" w:fill="E5F5FF"/>
          </w:tcPr>
          <w:p>
            <w:pPr>
              <w:pStyle w:val="BDOITable"/>
            </w:pPr>
            <w:r>
              <w:rPr>
                <w:sz w:val="17"/>
              </w:rPr>
              <w:t>True-up 1 posted, reconciled and signed</w:t>
            </w:r>
          </w:p>
        </w:tc>
      </w:tr>
      <w:tr>
        <w:trPr>
          <w:cantSplit w:val="true"/>
        </w:trPr>
        <w:tc>
          <w:tcPr>
            <w:tcW w:type="dxa" w:w="961"/>
            <w:tcMar>
              <w:top w:w="50" w:type="dxa"/>
              <w:bottom w:w="50" w:type="dxa"/>
              <w:left w:w="90" w:type="dxa"/>
              <w:right w:w="90" w:type="dxa"/>
            </w:tcMar>
          </w:tcPr>
          <w:p>
            <w:pPr>
              <w:pStyle w:val="BDOITable"/>
            </w:pPr>
            <w:r>
              <w:rPr>
                <w:b/>
                <w:sz w:val="17"/>
              </w:rPr>
              <w:t>T+30</w:t>
            </w:r>
          </w:p>
        </w:tc>
        <w:tc>
          <w:tcPr>
            <w:tcW w:type="dxa" w:w="2403"/>
            <w:tcMar>
              <w:top w:w="50" w:type="dxa"/>
              <w:bottom w:w="50" w:type="dxa"/>
              <w:left w:w="90" w:type="dxa"/>
              <w:right w:w="90" w:type="dxa"/>
            </w:tcMar>
          </w:tcPr>
          <w:p>
            <w:pPr>
              <w:pStyle w:val="BDOITable"/>
            </w:pPr>
            <w:r>
              <w:rPr>
                <w:sz w:val="17"/>
              </w:rPr>
              <w:t>Wed 2 Feb 2028</w:t>
            </w:r>
          </w:p>
        </w:tc>
        <w:tc>
          <w:tcPr>
            <w:tcW w:type="dxa" w:w="6608"/>
            <w:tcMar>
              <w:top w:w="50" w:type="dxa"/>
              <w:bottom w:w="50" w:type="dxa"/>
              <w:left w:w="90" w:type="dxa"/>
              <w:right w:w="90" w:type="dxa"/>
            </w:tcMar>
          </w:tcPr>
          <w:p>
            <w:pPr>
              <w:pStyle w:val="BDOITable"/>
            </w:pPr>
            <w:r>
              <w:rPr>
                <w:sz w:val="17"/>
              </w:rPr>
              <w:t>First month-end close (January 2028) completed; hypercare exit decision</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T+60</w:t>
            </w:r>
          </w:p>
        </w:tc>
        <w:tc>
          <w:tcPr>
            <w:tcW w:type="dxa" w:w="2403"/>
            <w:tcMar>
              <w:top w:w="50" w:type="dxa"/>
              <w:bottom w:w="50" w:type="dxa"/>
              <w:left w:w="90" w:type="dxa"/>
              <w:right w:w="90" w:type="dxa"/>
            </w:tcMar>
            <w:shd w:val="clear" w:color="auto" w:fill="E5F5FF"/>
          </w:tcPr>
          <w:p>
            <w:pPr>
              <w:pStyle w:val="BDOITable"/>
            </w:pPr>
            <w:r>
              <w:rPr>
                <w:sz w:val="17"/>
              </w:rPr>
              <w:t>Fri 3 Mar 2028</w:t>
            </w:r>
          </w:p>
        </w:tc>
        <w:tc>
          <w:tcPr>
            <w:tcW w:type="dxa" w:w="6608"/>
            <w:tcMar>
              <w:top w:w="50" w:type="dxa"/>
              <w:bottom w:w="50" w:type="dxa"/>
              <w:left w:w="90" w:type="dxa"/>
              <w:right w:w="90" w:type="dxa"/>
            </w:tcMar>
            <w:shd w:val="clear" w:color="auto" w:fill="E5F5FF"/>
          </w:tcPr>
          <w:p>
            <w:pPr>
              <w:pStyle w:val="BDOITable"/>
            </w:pPr>
            <w:r>
              <w:rPr>
                <w:sz w:val="17"/>
              </w:rPr>
              <w:t>Interim true-up 2, only when needed</w:t>
            </w:r>
          </w:p>
        </w:tc>
      </w:tr>
      <w:tr>
        <w:trPr>
          <w:cantSplit w:val="true"/>
        </w:trPr>
        <w:tc>
          <w:tcPr>
            <w:tcW w:type="dxa" w:w="961"/>
            <w:tcMar>
              <w:top w:w="50" w:type="dxa"/>
              <w:bottom w:w="50" w:type="dxa"/>
              <w:left w:w="90" w:type="dxa"/>
              <w:right w:w="90" w:type="dxa"/>
            </w:tcMar>
          </w:tcPr>
          <w:p>
            <w:pPr>
              <w:pStyle w:val="BDOITable"/>
            </w:pPr>
            <w:r>
              <w:rPr>
                <w:b/>
                <w:sz w:val="17"/>
              </w:rPr>
              <w:t>T+85</w:t>
            </w:r>
          </w:p>
        </w:tc>
        <w:tc>
          <w:tcPr>
            <w:tcW w:type="dxa" w:w="2403"/>
            <w:tcMar>
              <w:top w:w="50" w:type="dxa"/>
              <w:bottom w:w="50" w:type="dxa"/>
              <w:left w:w="90" w:type="dxa"/>
              <w:right w:w="90" w:type="dxa"/>
            </w:tcMar>
          </w:tcPr>
          <w:p>
            <w:pPr>
              <w:pStyle w:val="BDOITable"/>
            </w:pPr>
            <w:r>
              <w:rPr>
                <w:sz w:val="17"/>
              </w:rPr>
              <w:t>Tue 28 Mar 2028</w:t>
            </w:r>
          </w:p>
        </w:tc>
        <w:tc>
          <w:tcPr>
            <w:tcW w:type="dxa" w:w="6608"/>
            <w:tcMar>
              <w:top w:w="50" w:type="dxa"/>
              <w:bottom w:w="50" w:type="dxa"/>
              <w:left w:w="90" w:type="dxa"/>
              <w:right w:w="90" w:type="dxa"/>
            </w:tcMar>
          </w:tcPr>
          <w:p>
            <w:pPr>
              <w:pStyle w:val="BDOITable"/>
            </w:pPr>
            <w:r>
              <w:rPr>
                <w:sz w:val="17"/>
              </w:rPr>
              <w:t>Audited FY2027 financial statements (about March-April 2028; follows the audit timetable)</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T+99</w:t>
            </w:r>
          </w:p>
        </w:tc>
        <w:tc>
          <w:tcPr>
            <w:tcW w:type="dxa" w:w="2403"/>
            <w:tcMar>
              <w:top w:w="50" w:type="dxa"/>
              <w:bottom w:w="50" w:type="dxa"/>
              <w:left w:w="90" w:type="dxa"/>
              <w:right w:w="90" w:type="dxa"/>
            </w:tcMar>
            <w:shd w:val="clear" w:color="auto" w:fill="E5F5FF"/>
          </w:tcPr>
          <w:p>
            <w:pPr>
              <w:pStyle w:val="BDOITable"/>
            </w:pPr>
            <w:r>
              <w:rPr>
                <w:sz w:val="17"/>
              </w:rPr>
              <w:t>Tue 11 Apr 2028</w:t>
            </w:r>
          </w:p>
        </w:tc>
        <w:tc>
          <w:tcPr>
            <w:tcW w:type="dxa" w:w="660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rPr>
          <w:cantSplit w:val="true"/>
        </w:trPr>
        <w:tc>
          <w:tcPr>
            <w:tcW w:type="dxa" w:w="961"/>
            <w:tcMar>
              <w:top w:w="50" w:type="dxa"/>
              <w:bottom w:w="50" w:type="dxa"/>
              <w:left w:w="90" w:type="dxa"/>
              <w:right w:w="90" w:type="dxa"/>
            </w:tcMar>
          </w:tcPr>
          <w:p>
            <w:pPr>
              <w:pStyle w:val="BDOITable"/>
            </w:pPr>
            <w:r>
              <w:rPr>
                <w:b/>
                <w:sz w:val="17"/>
              </w:rPr>
              <w:t>T+106</w:t>
            </w:r>
          </w:p>
        </w:tc>
        <w:tc>
          <w:tcPr>
            <w:tcW w:type="dxa" w:w="2403"/>
            <w:tcMar>
              <w:top w:w="50" w:type="dxa"/>
              <w:bottom w:w="50" w:type="dxa"/>
              <w:left w:w="90" w:type="dxa"/>
              <w:right w:w="90" w:type="dxa"/>
            </w:tcMar>
          </w:tcPr>
          <w:p>
            <w:pPr>
              <w:pStyle w:val="BDOITable"/>
            </w:pPr>
            <w:r>
              <w:rPr>
                <w:sz w:val="17"/>
              </w:rPr>
              <w:t>Tue 18 Apr 2028</w:t>
            </w:r>
          </w:p>
        </w:tc>
        <w:tc>
          <w:tcPr>
            <w:tcW w:type="dxa" w:w="6608"/>
            <w:tcMar>
              <w:top w:w="50" w:type="dxa"/>
              <w:bottom w:w="50" w:type="dxa"/>
              <w:left w:w="90" w:type="dxa"/>
              <w:right w:w="90" w:type="dxa"/>
            </w:tcMar>
          </w:tcPr>
          <w:p>
            <w:pPr>
              <w:pStyle w:val="BDOITable"/>
            </w:pPr>
            <w:r>
              <w:rPr>
                <w:sz w:val="17"/>
              </w:rPr>
              <w:t>Legacy GL locked</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403"/>
            <w:tcMar>
              <w:top w:w="50" w:type="dxa"/>
              <w:bottom w:w="50" w:type="dxa"/>
              <w:left w:w="90" w:type="dxa"/>
              <w:right w:w="90" w:type="dxa"/>
            </w:tcMar>
            <w:shd w:val="clear" w:color="auto" w:fill="E5F5FF"/>
          </w:tcPr>
          <w:p>
            <w:pPr>
              <w:pStyle w:val="BDOITable"/>
            </w:pPr>
            <w:r>
              <w:rPr>
                <w:sz w:val="17"/>
              </w:rPr>
              <w:t>Tue 2 May 2028</w:t>
            </w:r>
          </w:p>
        </w:tc>
        <w:tc>
          <w:tcPr>
            <w:tcW w:type="dxa" w:w="660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4909"/>
            <wp:docPr id="3" name="Picture 3"/>
            <wp:cNvGraphicFramePr>
              <a:graphicFrameLocks noChangeAspect="1"/>
            </wp:cNvGraphicFramePr>
            <a:graphic>
              <a:graphicData uri="http://schemas.openxmlformats.org/drawingml/2006/picture">
                <pic:pic>
                  <pic:nvPicPr>
                    <pic:cNvPr id="0" name="dm_cutover_weekend.png"/>
                    <pic:cNvPicPr/>
                  </pic:nvPicPr>
                  <pic:blipFill>
                    <a:blip r:embed="rId15"/>
                    <a:stretch>
                      <a:fillRect/>
                    </a:stretch>
                  </pic:blipFill>
                  <pic:spPr>
                    <a:xfrm>
                      <a:off x="0" y="0"/>
                      <a:ext cx="5760000" cy="4044909"/>
                    </a:xfrm>
                    <a:prstGeom prst="rect"/>
                  </pic:spPr>
                </pic:pic>
              </a:graphicData>
            </a:graphic>
          </wp:inline>
        </w:drawing>
      </w:r>
    </w:p>
    <w:p>
      <w:pPr>
        <w:pStyle w:val="Caption"/>
        <w:jc w:val="center"/>
      </w:pPr>
      <w:r>
        <w:rPr>
          <w:b/>
          <w:i w:val="0"/>
        </w:rPr>
        <w:t xml:space="preserve">Figure 1: </w:t>
      </w:r>
      <w:r>
        <w:rPr/>
        <w:t>The cutover weekend (T = Monday 3 January 2028, recommended; times PHT)</w:t>
      </w:r>
    </w:p>
    <w:p>
      <w:pPr>
        <w:pStyle w:val="Heading2"/>
      </w:pPr>
      <w:bookmarkStart w:id="107" w:name="_Toc000107"/>
      <w:r>
        <w:rPr/>
        <w:t>3.2 Freeze windows</w:t>
      </w:r>
      <w:bookmarkEnd w:id="107"/>
    </w:p>
    <w:p>
      <w:pPr>
        <w:pStyle w:val="Caption"/>
        <w:keepNext/>
        <w:spacing w:after="60"/>
      </w:pPr>
      <w:r>
        <w:rPr>
          <w:b/>
          <w:i w:val="0"/>
        </w:rPr>
        <w:t xml:space="preserve">Table 4: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rPr>
          <w:cantSplit w:val="true"/>
        </w:trP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rPr>
          <w:cantSplit w:val="true"/>
        </w:trP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rPr>
          <w:cantSplit w:val="true"/>
        </w:trP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defect approved by the go / no-go board</w:t>
            </w:r>
          </w:p>
        </w:tc>
      </w:tr>
    </w:tbl>
    <w:p>
      <w:pPr>
        <w:pStyle w:val="BDOISpacer"/>
      </w:pPr>
    </w:p>
    <w:p>
      <w:pPr>
        <w:pStyle w:val="Heading1"/>
        <w:pBdr>
          <w:bottom w:val="single" w:sz="4" w:space="4" w:color="99C1E7"/>
        </w:pBdr>
      </w:pPr>
      <w:bookmarkStart w:id="108" w:name="_Toc000108"/>
      <w:r>
        <w:rPr/>
        <w:t>4 Go / no-go checkpoints</w:t>
      </w:r>
      <w:bookmarkEnd w:id="108"/>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5: </w:t>
      </w:r>
      <w:r>
        <w:rPr/>
        <w:t>GNG-1 at T-15 -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Legacy control accounts, Migration Clearing and LG_ rule lines approved in production (DMQ18)</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Code map versions for production approved</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9491"/>
            <w:tcMar>
              <w:top w:w="50" w:type="dxa"/>
              <w:bottom w:w="50" w:type="dxa"/>
              <w:left w:w="90" w:type="dxa"/>
              <w:right w:w="90" w:type="dxa"/>
            </w:tcMar>
          </w:tcPr>
          <w:p>
            <w:pPr>
              <w:pStyle w:val="BDOITable"/>
            </w:pPr>
            <w:r>
              <w:rPr>
                <w:sz w:val="17"/>
              </w:rPr>
              <w:t>Transfer path (SFTP or console) tested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9491"/>
            <w:tcMar>
              <w:top w:w="50" w:type="dxa"/>
              <w:bottom w:w="50" w:type="dxa"/>
              <w:left w:w="90" w:type="dxa"/>
              <w:right w:w="90" w:type="dxa"/>
            </w:tcMar>
            <w:shd w:val="clear" w:color="auto" w:fill="E5F5FF"/>
          </w:tcPr>
          <w:p>
            <w:pPr>
              <w:pStyle w:val="BDOITable"/>
            </w:pPr>
            <w:r>
              <w:rPr>
                <w:sz w:val="17"/>
              </w:rPr>
              <w:t>December soft close on track for 20 December 2027</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949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9491"/>
            <w:tcMar>
              <w:top w:w="50" w:type="dxa"/>
              <w:bottom w:w="50" w:type="dxa"/>
              <w:left w:w="90" w:type="dxa"/>
              <w:right w:w="90" w:type="dxa"/>
            </w:tcMar>
            <w:shd w:val="clear" w:color="auto" w:fill="E5F5FF"/>
          </w:tcPr>
          <w:p>
            <w:pPr>
              <w:pStyle w:val="BDOITable"/>
            </w:pPr>
            <w:r>
              <w:rPr>
                <w:sz w:val="17"/>
              </w:rPr>
              <w:t>No open Critical defect of the migration or of a Day-1 module</w:t>
            </w:r>
          </w:p>
        </w:tc>
      </w:tr>
    </w:tbl>
    <w:p>
      <w:pPr>
        <w:pStyle w:val="BDOISpacer"/>
      </w:pPr>
    </w:p>
    <w:p>
      <w:pPr>
        <w:pStyle w:val="Caption"/>
        <w:keepNext/>
        <w:spacing w:after="60"/>
      </w:pPr>
      <w:r>
        <w:rPr>
          <w:b/>
          <w:i w:val="0"/>
        </w:rPr>
        <w:t xml:space="preserve">Table 6: </w:t>
      </w:r>
      <w:r>
        <w:rPr/>
        <w:t>GNG-2 at T-5 -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Reference data and clients loaded and accepted (G6) in production; daily deltas running</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Client review queue empty</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Final extract jobs timed within the window (dry run)</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949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949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9491"/>
            <w:tcMar>
              <w:top w:w="50" w:type="dxa"/>
              <w:bottom w:w="50" w:type="dxa"/>
              <w:left w:w="90" w:type="dxa"/>
              <w:right w:w="90" w:type="dxa"/>
            </w:tcMar>
          </w:tcPr>
          <w:p>
            <w:pPr>
              <w:pStyle w:val="BDOITable"/>
            </w:pPr>
            <w:r>
              <w:rPr>
                <w:sz w:val="17"/>
              </w:rPr>
              <w:t>Comptrollership access list for the legacy GL after the freeze named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949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7: </w:t>
      </w:r>
      <w:r>
        <w:rPr/>
        <w:t>GNG-3 at T-1 18:00 -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Every Day-1 object at G6 (100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9491"/>
            <w:tcMar>
              <w:top w:w="50" w:type="dxa"/>
              <w:bottom w:w="50" w:type="dxa"/>
              <w:left w:w="90" w:type="dxa"/>
              <w:right w:w="90" w:type="dxa"/>
            </w:tcMar>
          </w:tcPr>
          <w:p>
            <w:pPr>
              <w:pStyle w:val="BDOITable"/>
            </w:pPr>
            <w:r>
              <w:rPr>
                <w:sz w:val="17"/>
              </w:rPr>
              <w:t>Migration Clearing - 0.00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949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9491"/>
            <w:tcMar>
              <w:top w:w="50" w:type="dxa"/>
              <w:bottom w:w="50" w:type="dxa"/>
              <w:left w:w="90" w:type="dxa"/>
              <w:right w:w="90" w:type="dxa"/>
            </w:tcMar>
          </w:tcPr>
          <w:p>
            <w:pPr>
              <w:pStyle w:val="BDOITable"/>
            </w:pPr>
            <w:r>
              <w:rPr>
                <w:sz w:val="17"/>
              </w:rPr>
              <w:t>Client review queue empty; screening run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9491"/>
            <w:tcMar>
              <w:top w:w="50" w:type="dxa"/>
              <w:bottom w:w="50" w:type="dxa"/>
              <w:left w:w="90" w:type="dxa"/>
              <w:right w:w="90" w:type="dxa"/>
            </w:tcMar>
            <w:shd w:val="clear" w:color="auto" w:fill="E5F5FF"/>
          </w:tcPr>
          <w:p>
            <w:pPr>
              <w:pStyle w:val="BDOITable"/>
            </w:pPr>
            <w:r>
              <w:rPr>
                <w:sz w:val="17"/>
              </w:rPr>
              <w:t>Business smoke test passed</w:t>
            </w:r>
          </w:p>
        </w:tc>
      </w:tr>
      <w:tr>
        <w:trPr>
          <w:cantSplit w:val="true"/>
        </w:trPr>
        <w:tc>
          <w:tcPr>
            <w:tcW w:type="dxa" w:w="481"/>
            <w:tcMar>
              <w:top w:w="50" w:type="dxa"/>
              <w:bottom w:w="50" w:type="dxa"/>
              <w:left w:w="90" w:type="dxa"/>
              <w:right w:w="90" w:type="dxa"/>
            </w:tcMar>
          </w:tcPr>
          <w:p>
            <w:pPr>
              <w:pStyle w:val="BDOITable"/>
            </w:pPr>
            <w:r>
              <w:rPr>
                <w:sz w:val="17"/>
              </w:rPr>
              <w:t>9</w:t>
            </w:r>
          </w:p>
        </w:tc>
        <w:tc>
          <w:tcPr>
            <w:tcW w:type="dxa" w:w="9491"/>
            <w:tcMar>
              <w:top w:w="50" w:type="dxa"/>
              <w:bottom w:w="50" w:type="dxa"/>
              <w:left w:w="90" w:type="dxa"/>
              <w:right w:w="90" w:type="dxa"/>
            </w:tcMar>
          </w:tcPr>
          <w:p>
            <w:pPr>
              <w:pStyle w:val="BDOITable"/>
            </w:pPr>
            <w:r>
              <w:rPr>
                <w:sz w:val="17"/>
              </w:rPr>
              <w:t>Rollback point (snapshot) 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10</w:t>
            </w:r>
          </w:p>
        </w:tc>
        <w:tc>
          <w:tcPr>
            <w:tcW w:type="dxa" w:w="9491"/>
            <w:tcMar>
              <w:top w:w="50" w:type="dxa"/>
              <w:bottom w:w="50" w:type="dxa"/>
              <w:left w:w="90" w:type="dxa"/>
              <w:right w:w="90" w:type="dxa"/>
            </w:tcMar>
            <w:shd w:val="clear" w:color="auto" w:fill="E5F5FF"/>
          </w:tcPr>
          <w:p>
            <w:pPr>
              <w:pStyle w:val="BDOITable"/>
            </w:pPr>
            <w:r>
              <w:rPr>
                <w:sz w:val="17"/>
              </w:rPr>
              <w:t>Hypercare roster and support channels in place</w:t>
            </w:r>
          </w:p>
        </w:tc>
      </w:tr>
      <w:tr>
        <w:trPr>
          <w:cantSplit w:val="true"/>
        </w:trPr>
        <w:tc>
          <w:tcPr>
            <w:tcW w:type="dxa" w:w="481"/>
            <w:tcMar>
              <w:top w:w="50" w:type="dxa"/>
              <w:bottom w:w="50" w:type="dxa"/>
              <w:left w:w="90" w:type="dxa"/>
              <w:right w:w="90" w:type="dxa"/>
            </w:tcMar>
          </w:tcPr>
          <w:p>
            <w:pPr>
              <w:pStyle w:val="BDOITable"/>
            </w:pPr>
            <w:r>
              <w:rPr>
                <w:sz w:val="17"/>
              </w:rPr>
              <w:t>11</w:t>
            </w:r>
          </w:p>
        </w:tc>
        <w:tc>
          <w:tcPr>
            <w:tcW w:type="dxa" w:w="949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12</w:t>
            </w:r>
          </w:p>
        </w:tc>
        <w:tc>
          <w:tcPr>
            <w:tcW w:type="dxa" w:w="949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8: </w:t>
      </w:r>
      <w:r>
        <w:rPr/>
        <w:t>POINT OF NO RETURN at T 18:00 -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No Critical defect that stops receipts, payment application, remittance or booking</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 </w:t>
      </w:r>
      <w:r>
        <w:rPr/>
        <w:t>TRUE-UP CLOSED at T+120 -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Final true-up reconciled to the audited FY2027 TB and signed by the Head of Comptrollership</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Bdr>
          <w:bottom w:val="single" w:sz="4" w:space="4" w:color="99C1E7"/>
        </w:pBdr>
      </w:pPr>
      <w:bookmarkStart w:id="109" w:name="_Toc000109"/>
      <w:r>
        <w:rPr/>
        <w:t>5 Task list</w:t>
      </w:r>
      <w:bookmarkEnd w:id="109"/>
    </w:p>
    <w:p>
      <w:r>
        <w:rPr/>
        <w:t xml:space="preserve">Columns: </w:t>
      </w:r>
      <w:r>
        <w:rPr>
          <w:b/>
        </w:rPr>
        <w:t>When</w:t>
      </w:r>
      <w:r>
        <w:rPr/>
        <w:t xml:space="preserve"> is the day relative to T and the planned start time; </w:t>
      </w:r>
      <w:r>
        <w:rPr>
          <w:b/>
        </w:rPr>
        <w:t>Owner</w:t>
      </w:r>
      <w:r>
        <w:rPr/>
        <w:t xml:space="preserve"> is the accountable role (codes in section 2.2);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110" w:name="_Toc000110"/>
      <w:r>
        <w:rPr/>
        <w:t>5.1 Phase A - Readiness</w:t>
      </w:r>
      <w:bookmarkEnd w:id="110"/>
    </w:p>
    <w:p>
      <w:pPr>
        <w:pStyle w:val="Caption"/>
        <w:keepNext/>
        <w:spacing w:after="60"/>
      </w:pPr>
      <w:r>
        <w:rPr>
          <w:b/>
          <w:i w:val="0"/>
        </w:rPr>
        <w:t xml:space="preserve">Table 10: </w:t>
      </w:r>
      <w:r>
        <w:rPr/>
        <w:t>Phase A -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rPr>
          <w:cantSplit w:val="true"/>
        </w:trP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MIG-CUTOVER-STATUS shows the plan with every task owned</w:t>
            </w:r>
          </w:p>
        </w:tc>
      </w:tr>
      <w:tr>
        <w:trPr>
          <w:cantSplit w:val="true"/>
        </w:trP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BIBS release of the go-live build deployed, MIG_ENVIRONMENT_CLASS = PRODUCTION, MIG_CUTOVER_DATE = T, MIG_OPENING_VALUE_DATE = 1-Jan-2028, MIG_GOLIVE_RENEWAL_TO = 31-May-2028, MIG_RENEWAL_URGENT_TO = 31-Jan-2028, jobs scheduled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(DATA_MIGRATION_LEAD, DATA_STEWARD, DATA_OWNER, MIGRATION_OPERATOR, MIGRATION_RECON_APPROVER, MIGRATION_GONOGO), the true-up permissions (MIG_TRUEUP_PREPARE, MIG_TRUEUP_APPROVE) and the P03 permissions of the Renewal processing team (MIG_DQ_RESOLVE, MIG_RESUBMIT_APPROVE) through User Access requests; check PH-only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rPr>
          <w:cantSplit w:val="true"/>
        </w:trP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MIG-MAP-VERSIONS lists one APPROVED version per set</w:t>
            </w:r>
          </w:p>
        </w:tc>
      </w:tr>
      <w:tr>
        <w:trPr>
          <w:cantSplit w:val="true"/>
        </w:trP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rPr>
          <w:cantSplit w:val="true"/>
        </w:trP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rPr>
          <w:cantSplit w:val="true"/>
        </w:trP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SFTP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rPr>
          <w:cantSplit w:val="true"/>
        </w:trP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111" w:name="_Toc000111"/>
      <w:r>
        <w:rPr/>
        <w:t>5.2 Phase B - Pre-load and daily deltas</w:t>
      </w:r>
      <w:bookmarkEnd w:id="111"/>
    </w:p>
    <w:p>
      <w:pPr>
        <w:pStyle w:val="Caption"/>
        <w:keepNext/>
        <w:spacing w:after="60"/>
      </w:pPr>
      <w:r>
        <w:rPr>
          <w:b/>
          <w:i w:val="0"/>
        </w:rPr>
        <w:t xml:space="preserve">Table 11: </w:t>
      </w:r>
      <w:r>
        <w:rPr/>
        <w:t>Phase B -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production database snapshot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rPr>
          <w:cantSplit w:val="true"/>
        </w:trP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MIG-UNMAPPED-CODES empty for R objects</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MIG-SIGNOFF-STATUS shows G6 for R01-R08</w:t>
            </w:r>
          </w:p>
        </w:tc>
      </w:tr>
      <w:tr>
        <w:trPr>
          <w:cantSplit w:val="true"/>
        </w:trP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SIGNED_OFF</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rPr>
          <w:cantSplit w:val="true"/>
        </w:trP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MIG-CLIENT-MATCH reviewed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MIG-RECON-SUMMARY all MATCHED or EXPLAINED; G6 signed</w:t>
            </w:r>
          </w:p>
        </w:tc>
      </w:tr>
      <w:tr>
        <w:trPr>
          <w:cantSplit w:val="true"/>
        </w:trP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(job MIG_CLIENT_DELTA)</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SIGNED_OFF each morning by 07:00</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rPr>
          <w:cantSplit w:val="true"/>
        </w:trP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rPr>
          <w:cantSplit w:val="true"/>
        </w:trP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rPr>
          <w:cantSplit w:val="true"/>
        </w:trP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rPr>
          <w:cantSplit w:val="true"/>
        </w:trP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rPr>
          <w:cantSplit w:val="true"/>
        </w:trP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112" w:name="_Toc000112"/>
      <w:r>
        <w:rPr/>
        <w:t>5.3 Phase C - Legacy freeze and final extracts</w:t>
      </w:r>
      <w:bookmarkEnd w:id="112"/>
    </w:p>
    <w:p>
      <w:pPr>
        <w:pStyle w:val="Caption"/>
        <w:keepNext/>
        <w:spacing w:after="60"/>
      </w:pPr>
      <w:r>
        <w:rPr>
          <w:b/>
          <w:i w:val="0"/>
        </w:rPr>
        <w:t xml:space="preserve">Table 12: </w:t>
      </w:r>
      <w:r>
        <w:rPr/>
        <w:t>Phase C -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rPr>
          <w:cantSplit w:val="true"/>
        </w:trP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SIGNED_OFF</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rPr>
          <w:cantSplit w:val="true"/>
        </w:trP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113" w:name="_Toc000113"/>
      <w:r>
        <w:rPr/>
        <w:t>5.4 Phase D - Production load</w:t>
      </w:r>
      <w:bookmarkEnd w:id="113"/>
    </w:p>
    <w:p>
      <w:pPr>
        <w:pStyle w:val="Caption"/>
        <w:keepNext/>
        <w:spacing w:after="60"/>
      </w:pPr>
      <w:r>
        <w:rPr>
          <w:b/>
          <w:i w:val="0"/>
        </w:rPr>
        <w:t xml:space="preserve">Table 13: </w:t>
      </w:r>
      <w:r>
        <w:rPr/>
        <w:t>Phase D -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production database snapshot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rPr>
          <w:cantSplit w:val="true"/>
        </w:trP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MIG-RECON-SUMMARY for P01 MATCHED</w:t>
            </w:r>
          </w:p>
        </w:tc>
      </w:tr>
      <w:tr>
        <w:trPr>
          <w:cantSplit w:val="true"/>
        </w:trP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opening entries MIG_LEGACY_INVOICE_OPENING</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rPr>
          <w:cantSplit w:val="true"/>
        </w:trP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opening entries MIG_UPP_OPENING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rPr>
          <w:cantSplit w:val="true"/>
        </w:trP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MIG-REJECTS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LOADED_WITH_REJECTS; rejection report with correction columns sent</w:t>
            </w:r>
          </w:p>
        </w:tc>
      </w:tr>
      <w:tr>
        <w:trPr>
          <w:cantSplit w:val="true"/>
        </w:trP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MIG-GL-CLEARING shows 0.00 per branch and currency</w:t>
            </w:r>
          </w:p>
        </w:tc>
      </w:tr>
      <w:tr>
        <w:trPr>
          <w:cantSplit w:val="true"/>
        </w:trP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MIG-RECON-SUMMARY all MATCHED or EXPLAINED with approval</w:t>
            </w:r>
          </w:p>
        </w:tc>
      </w:tr>
    </w:tbl>
    <w:p>
      <w:pPr>
        <w:pStyle w:val="BDOISpacer"/>
      </w:pPr>
    </w:p>
    <w:p>
      <w:pPr>
        <w:pStyle w:val="Heading2"/>
      </w:pPr>
      <w:bookmarkStart w:id="114" w:name="_Toc000114"/>
      <w:r>
        <w:rPr/>
        <w:t>5.5 Phase E - Reconciliation, verification and go / no-go</w:t>
      </w:r>
      <w:bookmarkEnd w:id="114"/>
    </w:p>
    <w:p>
      <w:pPr>
        <w:pStyle w:val="Caption"/>
        <w:keepNext/>
        <w:spacing w:after="60"/>
      </w:pPr>
      <w:r>
        <w:rPr>
          <w:b/>
          <w:i w:val="0"/>
        </w:rPr>
        <w:t xml:space="preserve">Table 14: </w:t>
      </w:r>
      <w:r>
        <w:rPr/>
        <w:t>Phase E -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(SCR_PERIODIC_SCREENING, full rescreen)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rPr>
          <w:cantSplit w:val="true"/>
        </w:trP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(MIG_RESUBMIT_DEADLINE);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rPr>
          <w:cantSplit w:val="true"/>
        </w:trP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PAYMENT_AUTOMATCH hourly, payment file handlers,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MIG-GONOGO with measured criteria, open defects,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rPr>
          <w:cantSplit w:val="true"/>
        </w:trP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rPr>
          <w:cantSplit w:val="true"/>
        </w:trP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115" w:name="_Toc000115"/>
      <w:r>
        <w:rPr/>
        <w:t>5.6 Phase F - Go-live</w:t>
      </w:r>
      <w:bookmarkEnd w:id="115"/>
    </w:p>
    <w:p>
      <w:pPr>
        <w:pStyle w:val="Caption"/>
        <w:keepNext/>
        <w:spacing w:after="60"/>
      </w:pPr>
      <w:r>
        <w:rPr>
          <w:b/>
          <w:i w:val="0"/>
        </w:rPr>
        <w:t xml:space="preserve">Table 15: </w:t>
      </w:r>
      <w:r>
        <w:rPr/>
        <w:t>Phase F -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MIG-RENEWAL-GOLIVE</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MIG-RENEWAL-GOLIVE balances for every month January-May 2028; URGENT count = January headers</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rPr>
          <w:cantSplit w:val="true"/>
        </w:trP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rPr>
          <w:cantSplit w:val="true"/>
        </w:trP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rPr>
          <w:cantSplit w:val="true"/>
        </w:trP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defects,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rPr>
          <w:cantSplit w:val="true"/>
        </w:trP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116" w:name="_Toc000116"/>
      <w:r>
        <w:rPr/>
        <w:t>5.7 Phase G - Hypercare</w:t>
      </w:r>
      <w:bookmarkEnd w:id="116"/>
    </w:p>
    <w:p>
      <w:pPr>
        <w:pStyle w:val="Caption"/>
        <w:keepNext/>
        <w:spacing w:after="60"/>
      </w:pPr>
      <w:r>
        <w:rPr>
          <w:b/>
          <w:i w:val="0"/>
        </w:rPr>
        <w:t xml:space="preserve">Table 16: </w:t>
      </w:r>
      <w:r>
        <w:rPr/>
        <w:t>Phase G -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Defect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Defect log updated; severity agreed</w:t>
            </w:r>
          </w:p>
        </w:tc>
      </w:tr>
      <w:tr>
        <w:trPr>
          <w:cantSplit w:val="true"/>
        </w:trP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OPS_REMITTANCE posts to DTIP legacy</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rPr>
          <w:cantSplit w:val="true"/>
        </w:trP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payloads and intake files of the signed-off production batches deleted within 5 days (MIG_STAGING_PURGE)</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staging payload older than 5 days after sign-off; purge log</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defects,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rPr>
          <w:cantSplit w:val="true"/>
        </w:trP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rPr>
          <w:cantSplit w:val="true"/>
        </w:trP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rPr>
          <w:cantSplit w:val="true"/>
        </w:trP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rPr>
          <w:cantSplit w:val="true"/>
        </w:trP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(type OPENING,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(MIG-TRUEUP-RECON)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rPr>
          <w:cantSplit w:val="true"/>
        </w:trP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117" w:name="_Toc000117"/>
      <w:r>
        <w:rPr/>
        <w:t>5.8 Phase H - Final true-up and legacy GL close</w:t>
      </w:r>
      <w:bookmarkEnd w:id="117"/>
    </w:p>
    <w:p>
      <w:pPr>
        <w:pStyle w:val="Caption"/>
        <w:keepNext/>
        <w:spacing w:after="60"/>
      </w:pPr>
      <w:r>
        <w:rPr>
          <w:b/>
          <w:i w:val="0"/>
        </w:rPr>
        <w:t xml:space="preserve">Table 17: </w:t>
      </w:r>
      <w:r>
        <w:rPr/>
        <w:t>Phase H -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rPr>
          <w:cantSplit w:val="true"/>
        </w:trP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rPr>
          <w:cantSplit w:val="true"/>
        </w:trP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rPr>
          <w:cantSplit w:val="true"/>
        </w:trP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rPr>
          <w:cantSplit w:val="true"/>
        </w:trP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(MIG-TRUEUP-RECON);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rPr>
          <w:cantSplit w:val="true"/>
        </w:trP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rPr>
          <w:cantSplit w:val="true"/>
        </w:trP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Bdr>
          <w:bottom w:val="single" w:sz="4" w:space="4" w:color="99C1E7"/>
        </w:pBdr>
      </w:pPr>
      <w:bookmarkStart w:id="118" w:name="_Toc000118"/>
      <w:r>
        <w:rPr/>
        <w:t>6 Rollback</w:t>
      </w:r>
      <w:bookmarkEnd w:id="118"/>
    </w:p>
    <w:p>
      <w:r>
        <w:rPr/>
        <w:t>The rollback returns BDOI to legacy with no loss of data. It is available until the point of no return, the end-of-day review on T at 18:00 (DMQ32). The rollback point is the production database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18: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(PAYMENT_AUTOMATCH, payment file handlers,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rPr>
          <w:cantSplit w:val="true"/>
        </w:trP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MIG-CUTOVER-STATUS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the production database to the rollback-point snapshot (CT-037); restore the object store for attachments of the same time; verify the restore (row counts of key tables,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rPr>
          <w:cantSplit w:val="true"/>
        </w:trP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rPr>
          <w:cantSplit w:val="true"/>
        </w:trP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 defect is fixed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Bdr>
          <w:bottom w:val="single" w:sz="4" w:space="4" w:color="99C1E7"/>
        </w:pBdr>
      </w:pPr>
      <w:bookmarkStart w:id="119" w:name="_Toc000119"/>
      <w:r>
        <w:rPr/>
        <w:t>7 Year-end cut-over and FY2027 true-ups</w:t>
      </w:r>
      <w:bookmarkEnd w:id="119"/>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(Strategy section 11.1). If BDOI wants more assurance in January, Comptrollership compares the key BIBS reports with the opening position instead of keeping two books.</w:t>
      </w:r>
    </w:p>
    <w:p>
      <w:pPr>
        <w:pStyle w:val="Heading1"/>
        <w:pBdr>
          <w:bottom w:val="single" w:sz="4" w:space="4" w:color="99C1E7"/>
        </w:pBdr>
      </w:pPr>
      <w:bookmarkStart w:id="120" w:name="_Toc000120"/>
      <w:r>
        <w:rPr/>
        <w:t>8 Communication plan</w:t>
      </w:r>
      <w:bookmarkEnd w:id="120"/>
    </w:p>
    <w:p>
      <w:pPr>
        <w:pStyle w:val="Caption"/>
        <w:keepNext/>
        <w:spacing w:after="60"/>
      </w:pPr>
      <w:r>
        <w:rPr>
          <w:b/>
          <w:i w:val="0"/>
        </w:rPr>
        <w:t xml:space="preserve">Table 19: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9"/>
        <w:gridCol w:w="3324"/>
        <w:gridCol w:w="2339"/>
        <w:gridCol w:w="1846"/>
        <w:gridCol w:w="1354"/>
        <w:gridCol w:w="738"/>
      </w:tblGrid>
      <w:tr>
        <w:trPr>
          <w:tblHeader w:val="true"/>
          <w:cantSplit w:val="true"/>
        </w:trPr>
        <w:tc>
          <w:tcPr>
            <w:tcW w:type="dxa" w:w="369"/>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39"/>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47"/>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354"/>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739"/>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369"/>
            <w:tcMar>
              <w:top w:w="50" w:type="dxa"/>
              <w:bottom w:w="50" w:type="dxa"/>
              <w:left w:w="90" w:type="dxa"/>
              <w:right w:w="90" w:type="dxa"/>
            </w:tcMar>
          </w:tcPr>
          <w:p>
            <w:pPr>
              <w:pStyle w:val="BDOITable"/>
            </w:pPr>
            <w:r>
              <w:rPr>
                <w:b/>
                <w:sz w:val="16"/>
              </w:rPr>
              <w:t>1</w:t>
            </w:r>
          </w:p>
        </w:tc>
        <w:tc>
          <w:tcPr>
            <w:tcW w:type="dxa" w:w="3324"/>
            <w:tcMar>
              <w:top w:w="50" w:type="dxa"/>
              <w:bottom w:w="50" w:type="dxa"/>
              <w:left w:w="90" w:type="dxa"/>
              <w:right w:w="90" w:type="dxa"/>
            </w:tcMar>
          </w:tcPr>
          <w:p>
            <w:pPr>
              <w:pStyle w:val="BDOITable"/>
            </w:pPr>
            <w:r>
              <w:rPr>
                <w:sz w:val="16"/>
              </w:rPr>
              <w:t>Go-live date, freeze and what changes for each department</w:t>
            </w:r>
          </w:p>
        </w:tc>
        <w:tc>
          <w:tcPr>
            <w:tcW w:type="dxa" w:w="2339"/>
            <w:tcMar>
              <w:top w:w="50" w:type="dxa"/>
              <w:bottom w:w="50" w:type="dxa"/>
              <w:left w:w="90" w:type="dxa"/>
              <w:right w:w="90" w:type="dxa"/>
            </w:tcMar>
          </w:tcPr>
          <w:p>
            <w:pPr>
              <w:pStyle w:val="BDOITable"/>
            </w:pPr>
            <w:r>
              <w:rPr>
                <w:sz w:val="16"/>
              </w:rPr>
              <w:t>All BDOI users, branch heads</w:t>
            </w:r>
          </w:p>
        </w:tc>
        <w:tc>
          <w:tcPr>
            <w:tcW w:type="dxa" w:w="1847"/>
            <w:tcMar>
              <w:top w:w="50" w:type="dxa"/>
              <w:bottom w:w="50" w:type="dxa"/>
              <w:left w:w="90" w:type="dxa"/>
              <w:right w:w="90" w:type="dxa"/>
            </w:tcMar>
          </w:tcPr>
          <w:p>
            <w:pPr>
              <w:pStyle w:val="BDOITable"/>
            </w:pPr>
            <w:r>
              <w:rPr>
                <w:sz w:val="16"/>
              </w:rPr>
              <w:t>E-mail from the Program Manager; team briefings</w:t>
            </w:r>
          </w:p>
        </w:tc>
        <w:tc>
          <w:tcPr>
            <w:tcW w:type="dxa" w:w="1354"/>
            <w:tcMar>
              <w:top w:w="50" w:type="dxa"/>
              <w:bottom w:w="50" w:type="dxa"/>
              <w:left w:w="90" w:type="dxa"/>
              <w:right w:w="90" w:type="dxa"/>
            </w:tcMar>
          </w:tcPr>
          <w:p>
            <w:pPr>
              <w:pStyle w:val="BDOITable"/>
            </w:pPr>
            <w:r>
              <w:rPr>
                <w:sz w:val="16"/>
              </w:rPr>
              <w:t>T-21</w:t>
            </w:r>
          </w:p>
        </w:tc>
        <w:tc>
          <w:tcPr>
            <w:tcW w:type="dxa" w:w="739"/>
            <w:tcMar>
              <w:top w:w="50" w:type="dxa"/>
              <w:bottom w:w="50" w:type="dxa"/>
              <w:left w:w="90" w:type="dxa"/>
              <w:right w:w="90" w:type="dxa"/>
            </w:tcMar>
          </w:tcPr>
          <w:p>
            <w:pPr>
              <w:pStyle w:val="BDOITable"/>
            </w:pPr>
            <w:r>
              <w:rPr>
                <w:sz w:val="16"/>
              </w:rPr>
              <w:t>PM</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2</w:t>
            </w:r>
          </w:p>
        </w:tc>
        <w:tc>
          <w:tcPr>
            <w:tcW w:type="dxa" w:w="3324"/>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39"/>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47"/>
            <w:tcMar>
              <w:top w:w="50" w:type="dxa"/>
              <w:bottom w:w="50" w:type="dxa"/>
              <w:left w:w="90" w:type="dxa"/>
              <w:right w:w="90" w:type="dxa"/>
            </w:tcMar>
            <w:shd w:val="clear" w:color="auto" w:fill="E5F5FF"/>
          </w:tcPr>
          <w:p>
            <w:pPr>
              <w:pStyle w:val="BDOITable"/>
            </w:pPr>
            <w:r>
              <w:rPr>
                <w:sz w:val="16"/>
              </w:rPr>
              <w:t>Letter / e-mail from Operations</w:t>
            </w:r>
          </w:p>
        </w:tc>
        <w:tc>
          <w:tcPr>
            <w:tcW w:type="dxa" w:w="1354"/>
            <w:tcMar>
              <w:top w:w="50" w:type="dxa"/>
              <w:bottom w:w="50" w:type="dxa"/>
              <w:left w:w="90" w:type="dxa"/>
              <w:right w:w="90" w:type="dxa"/>
            </w:tcMar>
            <w:shd w:val="clear" w:color="auto" w:fill="E5F5FF"/>
          </w:tcPr>
          <w:p>
            <w:pPr>
              <w:pStyle w:val="BDOITable"/>
            </w:pPr>
            <w:r>
              <w:rPr>
                <w:sz w:val="16"/>
              </w:rPr>
              <w:t>T-21</w:t>
            </w:r>
          </w:p>
        </w:tc>
        <w:tc>
          <w:tcPr>
            <w:tcW w:type="dxa" w:w="739"/>
            <w:tcMar>
              <w:top w:w="50" w:type="dxa"/>
              <w:bottom w:w="50" w:type="dxa"/>
              <w:left w:w="90" w:type="dxa"/>
              <w:right w:w="90" w:type="dxa"/>
            </w:tcMar>
            <w:shd w:val="clear" w:color="auto" w:fill="E5F5FF"/>
          </w:tcPr>
          <w:p>
            <w:pPr>
              <w:pStyle w:val="BDOITable"/>
            </w:pPr>
            <w:r>
              <w:rPr>
                <w:sz w:val="16"/>
              </w:rPr>
              <w:t>OPS</w:t>
            </w:r>
          </w:p>
        </w:tc>
      </w:tr>
      <w:tr>
        <w:trPr>
          <w:cantSplit w:val="true"/>
        </w:trPr>
        <w:tc>
          <w:tcPr>
            <w:tcW w:type="dxa" w:w="369"/>
            <w:tcMar>
              <w:top w:w="50" w:type="dxa"/>
              <w:bottom w:w="50" w:type="dxa"/>
              <w:left w:w="90" w:type="dxa"/>
              <w:right w:w="90" w:type="dxa"/>
            </w:tcMar>
          </w:tcPr>
          <w:p>
            <w:pPr>
              <w:pStyle w:val="BDOITable"/>
            </w:pPr>
            <w:r>
              <w:rPr>
                <w:b/>
                <w:sz w:val="16"/>
              </w:rPr>
              <w:t>3</w:t>
            </w:r>
          </w:p>
        </w:tc>
        <w:tc>
          <w:tcPr>
            <w:tcW w:type="dxa" w:w="3324"/>
            <w:tcMar>
              <w:top w:w="50" w:type="dxa"/>
              <w:bottom w:w="50" w:type="dxa"/>
              <w:left w:w="90" w:type="dxa"/>
              <w:right w:w="90" w:type="dxa"/>
            </w:tcMar>
          </w:tcPr>
          <w:p>
            <w:pPr>
              <w:pStyle w:val="BDOITable"/>
            </w:pPr>
            <w:r>
              <w:rPr>
                <w:sz w:val="16"/>
              </w:rPr>
              <w:t>Freeze of reference data and the change request route</w:t>
            </w:r>
          </w:p>
        </w:tc>
        <w:tc>
          <w:tcPr>
            <w:tcW w:type="dxa" w:w="2339"/>
            <w:tcMar>
              <w:top w:w="50" w:type="dxa"/>
              <w:bottom w:w="50" w:type="dxa"/>
              <w:left w:w="90" w:type="dxa"/>
              <w:right w:w="90" w:type="dxa"/>
            </w:tcMar>
          </w:tcPr>
          <w:p>
            <w:pPr>
              <w:pStyle w:val="BDOITable"/>
            </w:pPr>
            <w:r>
              <w:rPr>
                <w:sz w:val="16"/>
              </w:rPr>
              <w:t>Product, Marketing and Operations maintainers</w:t>
            </w:r>
          </w:p>
        </w:tc>
        <w:tc>
          <w:tcPr>
            <w:tcW w:type="dxa" w:w="1847"/>
            <w:tcMar>
              <w:top w:w="50" w:type="dxa"/>
              <w:bottom w:w="50" w:type="dxa"/>
              <w:left w:w="90" w:type="dxa"/>
              <w:right w:w="90" w:type="dxa"/>
            </w:tcMar>
          </w:tcPr>
          <w:p>
            <w:pPr>
              <w:pStyle w:val="BDOITable"/>
            </w:pPr>
            <w:r>
              <w:rPr>
                <w:sz w:val="16"/>
              </w:rPr>
              <w:t>E-mail from the Data Migration Lead</w:t>
            </w:r>
          </w:p>
        </w:tc>
        <w:tc>
          <w:tcPr>
            <w:tcW w:type="dxa" w:w="1354"/>
            <w:tcMar>
              <w:top w:w="50" w:type="dxa"/>
              <w:bottom w:w="50" w:type="dxa"/>
              <w:left w:w="90" w:type="dxa"/>
              <w:right w:w="90" w:type="dxa"/>
            </w:tcMar>
          </w:tcPr>
          <w:p>
            <w:pPr>
              <w:pStyle w:val="BDOITable"/>
            </w:pPr>
            <w:r>
              <w:rPr>
                <w:sz w:val="16"/>
              </w:rPr>
              <w:t>T-8</w:t>
            </w:r>
          </w:p>
        </w:tc>
        <w:tc>
          <w:tcPr>
            <w:tcW w:type="dxa" w:w="739"/>
            <w:tcMar>
              <w:top w:w="50" w:type="dxa"/>
              <w:bottom w:w="50" w:type="dxa"/>
              <w:left w:w="90" w:type="dxa"/>
              <w:right w:w="90" w:type="dxa"/>
            </w:tcMar>
          </w:tcPr>
          <w:p>
            <w:pPr>
              <w:pStyle w:val="BDOITable"/>
            </w:pPr>
            <w:r>
              <w:rPr>
                <w:sz w:val="16"/>
              </w:rPr>
              <w:t>DML</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4</w:t>
            </w:r>
          </w:p>
        </w:tc>
        <w:tc>
          <w:tcPr>
            <w:tcW w:type="dxa" w:w="3324"/>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39"/>
            <w:tcMar>
              <w:top w:w="50" w:type="dxa"/>
              <w:bottom w:w="50" w:type="dxa"/>
              <w:left w:w="90" w:type="dxa"/>
              <w:right w:w="90" w:type="dxa"/>
            </w:tcMar>
            <w:shd w:val="clear" w:color="auto" w:fill="E5F5FF"/>
          </w:tcPr>
          <w:p>
            <w:pPr>
              <w:pStyle w:val="BDOITable"/>
            </w:pPr>
            <w:r>
              <w:rPr>
                <w:sz w:val="16"/>
              </w:rPr>
              <w:t>All BIBS users per persona</w:t>
            </w:r>
          </w:p>
        </w:tc>
        <w:tc>
          <w:tcPr>
            <w:tcW w:type="dxa" w:w="1847"/>
            <w:tcMar>
              <w:top w:w="50" w:type="dxa"/>
              <w:bottom w:w="50" w:type="dxa"/>
              <w:left w:w="90" w:type="dxa"/>
              <w:right w:w="90" w:type="dxa"/>
            </w:tcMar>
            <w:shd w:val="clear" w:color="auto" w:fill="E5F5FF"/>
          </w:tcPr>
          <w:p>
            <w:pPr>
              <w:pStyle w:val="BDOITable"/>
            </w:pPr>
            <w:r>
              <w:rPr>
                <w:sz w:val="16"/>
              </w:rPr>
              <w:t>E-mail; training calendar</w:t>
            </w:r>
          </w:p>
        </w:tc>
        <w:tc>
          <w:tcPr>
            <w:tcW w:type="dxa" w:w="1354"/>
            <w:tcMar>
              <w:top w:w="50" w:type="dxa"/>
              <w:bottom w:w="50" w:type="dxa"/>
              <w:left w:w="90" w:type="dxa"/>
              <w:right w:w="90" w:type="dxa"/>
            </w:tcMar>
            <w:shd w:val="clear" w:color="auto" w:fill="E5F5FF"/>
          </w:tcPr>
          <w:p>
            <w:pPr>
              <w:pStyle w:val="BDOITable"/>
            </w:pPr>
            <w:r>
              <w:rPr>
                <w:sz w:val="16"/>
              </w:rPr>
              <w:t>T-20</w:t>
            </w:r>
          </w:p>
        </w:tc>
        <w:tc>
          <w:tcPr>
            <w:tcW w:type="dxa" w:w="739"/>
            <w:tcMar>
              <w:top w:w="50" w:type="dxa"/>
              <w:bottom w:w="50" w:type="dxa"/>
              <w:left w:w="90" w:type="dxa"/>
              <w:right w:w="90" w:type="dxa"/>
            </w:tcMar>
            <w:shd w:val="clear" w:color="auto" w:fill="E5F5FF"/>
          </w:tcPr>
          <w:p>
            <w:pPr>
              <w:pStyle w:val="BDOITable"/>
            </w:pPr>
            <w:r>
              <w:rPr>
                <w:sz w:val="16"/>
              </w:rPr>
              <w:t>PM</w:t>
            </w:r>
          </w:p>
        </w:tc>
      </w:tr>
      <w:tr>
        <w:trPr>
          <w:cantSplit w:val="true"/>
        </w:trPr>
        <w:tc>
          <w:tcPr>
            <w:tcW w:type="dxa" w:w="369"/>
            <w:tcMar>
              <w:top w:w="50" w:type="dxa"/>
              <w:bottom w:w="50" w:type="dxa"/>
              <w:left w:w="90" w:type="dxa"/>
              <w:right w:w="90" w:type="dxa"/>
            </w:tcMar>
          </w:tcPr>
          <w:p>
            <w:pPr>
              <w:pStyle w:val="BDOITable"/>
            </w:pPr>
            <w:r>
              <w:rPr>
                <w:b/>
                <w:sz w:val="16"/>
              </w:rPr>
              <w:t>5</w:t>
            </w:r>
          </w:p>
        </w:tc>
        <w:tc>
          <w:tcPr>
            <w:tcW w:type="dxa" w:w="3324"/>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39"/>
            <w:tcMar>
              <w:top w:w="50" w:type="dxa"/>
              <w:bottom w:w="50" w:type="dxa"/>
              <w:left w:w="90" w:type="dxa"/>
              <w:right w:w="90" w:type="dxa"/>
            </w:tcMar>
          </w:tcPr>
          <w:p>
            <w:pPr>
              <w:pStyle w:val="BDOITable"/>
            </w:pPr>
            <w:r>
              <w:rPr>
                <w:sz w:val="16"/>
              </w:rPr>
              <w:t>Renewal processing team, Retail and Corporate Marketing, branches</w:t>
            </w:r>
          </w:p>
        </w:tc>
        <w:tc>
          <w:tcPr>
            <w:tcW w:type="dxa" w:w="1847"/>
            <w:tcMar>
              <w:top w:w="50" w:type="dxa"/>
              <w:bottom w:w="50" w:type="dxa"/>
              <w:left w:w="90" w:type="dxa"/>
              <w:right w:w="90" w:type="dxa"/>
            </w:tcMar>
          </w:tcPr>
          <w:p>
            <w:pPr>
              <w:pStyle w:val="BDOITable"/>
            </w:pPr>
            <w:r>
              <w:rPr>
                <w:sz w:val="16"/>
              </w:rPr>
              <w:t>E-mail from the Head of the Renewal processing team; team briefing</w:t>
            </w:r>
          </w:p>
        </w:tc>
        <w:tc>
          <w:tcPr>
            <w:tcW w:type="dxa" w:w="1354"/>
            <w:tcMar>
              <w:top w:w="50" w:type="dxa"/>
              <w:bottom w:w="50" w:type="dxa"/>
              <w:left w:w="90" w:type="dxa"/>
              <w:right w:w="90" w:type="dxa"/>
            </w:tcMar>
          </w:tcPr>
          <w:p>
            <w:pPr>
              <w:pStyle w:val="BDOITable"/>
            </w:pPr>
            <w:r>
              <w:rPr>
                <w:sz w:val="16"/>
              </w:rPr>
              <w:t>T-21</w:t>
            </w:r>
          </w:p>
        </w:tc>
        <w:tc>
          <w:tcPr>
            <w:tcW w:type="dxa" w:w="739"/>
            <w:tcMar>
              <w:top w:w="50" w:type="dxa"/>
              <w:bottom w:w="50" w:type="dxa"/>
              <w:left w:w="90" w:type="dxa"/>
              <w:right w:w="90" w:type="dxa"/>
            </w:tcMar>
          </w:tcPr>
          <w:p>
            <w:pPr>
              <w:pStyle w:val="BDOITable"/>
            </w:pPr>
            <w:r>
              <w:rPr>
                <w:sz w:val="16"/>
              </w:rPr>
              <w:t>RNW</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6</w:t>
            </w:r>
          </w:p>
        </w:tc>
        <w:tc>
          <w:tcPr>
            <w:tcW w:type="dxa" w:w="3324"/>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39"/>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47"/>
            <w:tcMar>
              <w:top w:w="50" w:type="dxa"/>
              <w:bottom w:w="50" w:type="dxa"/>
              <w:left w:w="90" w:type="dxa"/>
              <w:right w:w="90" w:type="dxa"/>
            </w:tcMar>
            <w:shd w:val="clear" w:color="auto" w:fill="E5F5FF"/>
          </w:tcPr>
          <w:p>
            <w:pPr>
              <w:pStyle w:val="BDOITable"/>
            </w:pPr>
            <w:r>
              <w:rPr>
                <w:sz w:val="16"/>
              </w:rPr>
              <w:t>Memo from the Head of Comptrollership</w:t>
            </w:r>
          </w:p>
        </w:tc>
        <w:tc>
          <w:tcPr>
            <w:tcW w:type="dxa" w:w="1354"/>
            <w:tcMar>
              <w:top w:w="50" w:type="dxa"/>
              <w:bottom w:w="50" w:type="dxa"/>
              <w:left w:w="90" w:type="dxa"/>
              <w:right w:w="90" w:type="dxa"/>
            </w:tcMar>
            <w:shd w:val="clear" w:color="auto" w:fill="E5F5FF"/>
          </w:tcPr>
          <w:p>
            <w:pPr>
              <w:pStyle w:val="BDOITable"/>
            </w:pPr>
            <w:r>
              <w:rPr>
                <w:sz w:val="16"/>
              </w:rPr>
              <w:t>T-21</w:t>
            </w:r>
          </w:p>
        </w:tc>
        <w:tc>
          <w:tcPr>
            <w:tcW w:type="dxa" w:w="739"/>
            <w:tcMar>
              <w:top w:w="50" w:type="dxa"/>
              <w:bottom w:w="50" w:type="dxa"/>
              <w:left w:w="90" w:type="dxa"/>
              <w:right w:w="90" w:type="dxa"/>
            </w:tcMar>
            <w:shd w:val="clear" w:color="auto" w:fill="E5F5FF"/>
          </w:tcPr>
          <w:p>
            <w:pPr>
              <w:pStyle w:val="BDOITable"/>
            </w:pPr>
            <w:r>
              <w:rPr>
                <w:sz w:val="16"/>
              </w:rPr>
              <w:t>COMP</w:t>
            </w:r>
          </w:p>
        </w:tc>
      </w:tr>
      <w:tr>
        <w:trPr>
          <w:cantSplit w:val="true"/>
        </w:trPr>
        <w:tc>
          <w:tcPr>
            <w:tcW w:type="dxa" w:w="369"/>
            <w:tcMar>
              <w:top w:w="50" w:type="dxa"/>
              <w:bottom w:w="50" w:type="dxa"/>
              <w:left w:w="90" w:type="dxa"/>
              <w:right w:w="90" w:type="dxa"/>
            </w:tcMar>
          </w:tcPr>
          <w:p>
            <w:pPr>
              <w:pStyle w:val="BDOITable"/>
            </w:pPr>
            <w:r>
              <w:rPr>
                <w:b/>
                <w:sz w:val="16"/>
              </w:rPr>
              <w:t>7</w:t>
            </w:r>
          </w:p>
        </w:tc>
        <w:tc>
          <w:tcPr>
            <w:tcW w:type="dxa" w:w="3324"/>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39"/>
            <w:tcMar>
              <w:top w:w="50" w:type="dxa"/>
              <w:bottom w:w="50" w:type="dxa"/>
              <w:left w:w="90" w:type="dxa"/>
              <w:right w:w="90" w:type="dxa"/>
            </w:tcMar>
          </w:tcPr>
          <w:p>
            <w:pPr>
              <w:pStyle w:val="BDOITable"/>
            </w:pPr>
            <w:r>
              <w:rPr>
                <w:sz w:val="16"/>
              </w:rPr>
              <w:t>All users, branches, insurers</w:t>
            </w:r>
          </w:p>
        </w:tc>
        <w:tc>
          <w:tcPr>
            <w:tcW w:type="dxa" w:w="1847"/>
            <w:tcMar>
              <w:top w:w="50" w:type="dxa"/>
              <w:bottom w:w="50" w:type="dxa"/>
              <w:left w:w="90" w:type="dxa"/>
              <w:right w:w="90" w:type="dxa"/>
            </w:tcMar>
          </w:tcPr>
          <w:p>
            <w:pPr>
              <w:pStyle w:val="BDOITable"/>
            </w:pPr>
            <w:r>
              <w:rPr>
                <w:sz w:val="16"/>
              </w:rPr>
              <w:t>E-mail; branch notice</w:t>
            </w:r>
          </w:p>
        </w:tc>
        <w:tc>
          <w:tcPr>
            <w:tcW w:type="dxa" w:w="1354"/>
            <w:tcMar>
              <w:top w:w="50" w:type="dxa"/>
              <w:bottom w:w="50" w:type="dxa"/>
              <w:left w:w="90" w:type="dxa"/>
              <w:right w:w="90" w:type="dxa"/>
            </w:tcMar>
          </w:tcPr>
          <w:p>
            <w:pPr>
              <w:pStyle w:val="BDOITable"/>
            </w:pPr>
            <w:r>
              <w:rPr>
                <w:sz w:val="16"/>
              </w:rPr>
              <w:t>T-5</w:t>
            </w:r>
          </w:p>
        </w:tc>
        <w:tc>
          <w:tcPr>
            <w:tcW w:type="dxa" w:w="739"/>
            <w:tcMar>
              <w:top w:w="50" w:type="dxa"/>
              <w:bottom w:w="50" w:type="dxa"/>
              <w:left w:w="90" w:type="dxa"/>
              <w:right w:w="90" w:type="dxa"/>
            </w:tcMar>
          </w:tcPr>
          <w:p>
            <w:pPr>
              <w:pStyle w:val="BDOITable"/>
            </w:pPr>
            <w:r>
              <w:rPr>
                <w:sz w:val="16"/>
              </w:rPr>
              <w:t>PM</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8</w:t>
            </w:r>
          </w:p>
        </w:tc>
        <w:tc>
          <w:tcPr>
            <w:tcW w:type="dxa" w:w="3324"/>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39"/>
            <w:tcMar>
              <w:top w:w="50" w:type="dxa"/>
              <w:bottom w:w="50" w:type="dxa"/>
              <w:left w:w="90" w:type="dxa"/>
              <w:right w:w="90" w:type="dxa"/>
            </w:tcMar>
            <w:shd w:val="clear" w:color="auto" w:fill="E5F5FF"/>
          </w:tcPr>
          <w:p>
            <w:pPr>
              <w:pStyle w:val="BDOITable"/>
            </w:pPr>
            <w:r>
              <w:rPr>
                <w:sz w:val="16"/>
              </w:rPr>
              <w:t>All users</w:t>
            </w:r>
          </w:p>
        </w:tc>
        <w:tc>
          <w:tcPr>
            <w:tcW w:type="dxa" w:w="1847"/>
            <w:tcMar>
              <w:top w:w="50" w:type="dxa"/>
              <w:bottom w:w="50" w:type="dxa"/>
              <w:left w:w="90" w:type="dxa"/>
              <w:right w:w="90" w:type="dxa"/>
            </w:tcMar>
            <w:shd w:val="clear" w:color="auto" w:fill="E5F5FF"/>
          </w:tcPr>
          <w:p>
            <w:pPr>
              <w:pStyle w:val="BDOITable"/>
            </w:pPr>
            <w:r>
              <w:rPr>
                <w:sz w:val="16"/>
              </w:rPr>
              <w:t>E-mail; intranet</w:t>
            </w:r>
          </w:p>
        </w:tc>
        <w:tc>
          <w:tcPr>
            <w:tcW w:type="dxa" w:w="1354"/>
            <w:tcMar>
              <w:top w:w="50" w:type="dxa"/>
              <w:bottom w:w="50" w:type="dxa"/>
              <w:left w:w="90" w:type="dxa"/>
              <w:right w:w="90" w:type="dxa"/>
            </w:tcMar>
            <w:shd w:val="clear" w:color="auto" w:fill="E5F5FF"/>
          </w:tcPr>
          <w:p>
            <w:pPr>
              <w:pStyle w:val="BDOITable"/>
            </w:pPr>
            <w:r>
              <w:rPr>
                <w:sz w:val="16"/>
              </w:rPr>
              <w:t>T-1 19:00</w:t>
            </w:r>
          </w:p>
        </w:tc>
        <w:tc>
          <w:tcPr>
            <w:tcW w:type="dxa" w:w="739"/>
            <w:tcMar>
              <w:top w:w="50" w:type="dxa"/>
              <w:bottom w:w="50" w:type="dxa"/>
              <w:left w:w="90" w:type="dxa"/>
              <w:right w:w="90" w:type="dxa"/>
            </w:tcMar>
            <w:shd w:val="clear" w:color="auto" w:fill="E5F5FF"/>
          </w:tcPr>
          <w:p>
            <w:pPr>
              <w:pStyle w:val="BDOITable"/>
            </w:pPr>
            <w:r>
              <w:rPr>
                <w:sz w:val="16"/>
              </w:rPr>
              <w:t>PM</w:t>
            </w:r>
          </w:p>
        </w:tc>
      </w:tr>
      <w:tr>
        <w:trPr>
          <w:cantSplit w:val="true"/>
        </w:trPr>
        <w:tc>
          <w:tcPr>
            <w:tcW w:type="dxa" w:w="369"/>
            <w:tcMar>
              <w:top w:w="50" w:type="dxa"/>
              <w:bottom w:w="50" w:type="dxa"/>
              <w:left w:w="90" w:type="dxa"/>
              <w:right w:w="90" w:type="dxa"/>
            </w:tcMar>
          </w:tcPr>
          <w:p>
            <w:pPr>
              <w:pStyle w:val="BDOITable"/>
            </w:pPr>
            <w:r>
              <w:rPr>
                <w:b/>
                <w:sz w:val="16"/>
              </w:rPr>
              <w:t>9</w:t>
            </w:r>
          </w:p>
        </w:tc>
        <w:tc>
          <w:tcPr>
            <w:tcW w:type="dxa" w:w="3324"/>
            <w:tcMar>
              <w:top w:w="50" w:type="dxa"/>
              <w:bottom w:w="50" w:type="dxa"/>
              <w:left w:w="90" w:type="dxa"/>
              <w:right w:w="90" w:type="dxa"/>
            </w:tcMar>
          </w:tcPr>
          <w:p>
            <w:pPr>
              <w:pStyle w:val="BDOITable"/>
            </w:pPr>
            <w:r>
              <w:rPr>
                <w:sz w:val="16"/>
              </w:rPr>
              <w:t>Rollback notice (only if NO-GO) - legacy stays in use; next steps</w:t>
            </w:r>
          </w:p>
        </w:tc>
        <w:tc>
          <w:tcPr>
            <w:tcW w:type="dxa" w:w="2339"/>
            <w:tcMar>
              <w:top w:w="50" w:type="dxa"/>
              <w:bottom w:w="50" w:type="dxa"/>
              <w:left w:w="90" w:type="dxa"/>
              <w:right w:w="90" w:type="dxa"/>
            </w:tcMar>
          </w:tcPr>
          <w:p>
            <w:pPr>
              <w:pStyle w:val="BDOITable"/>
            </w:pPr>
            <w:r>
              <w:rPr>
                <w:sz w:val="16"/>
              </w:rPr>
              <w:t>All users, branches, insurers, bank channels</w:t>
            </w:r>
          </w:p>
        </w:tc>
        <w:tc>
          <w:tcPr>
            <w:tcW w:type="dxa" w:w="1847"/>
            <w:tcMar>
              <w:top w:w="50" w:type="dxa"/>
              <w:bottom w:w="50" w:type="dxa"/>
              <w:left w:w="90" w:type="dxa"/>
              <w:right w:w="90" w:type="dxa"/>
            </w:tcMar>
          </w:tcPr>
          <w:p>
            <w:pPr>
              <w:pStyle w:val="BDOITable"/>
            </w:pPr>
            <w:r>
              <w:rPr>
                <w:sz w:val="16"/>
              </w:rPr>
              <w:t>E-mail; phone tree for branch heads</w:t>
            </w:r>
          </w:p>
        </w:tc>
        <w:tc>
          <w:tcPr>
            <w:tcW w:type="dxa" w:w="1354"/>
            <w:tcMar>
              <w:top w:w="50" w:type="dxa"/>
              <w:bottom w:w="50" w:type="dxa"/>
              <w:left w:w="90" w:type="dxa"/>
              <w:right w:w="90" w:type="dxa"/>
            </w:tcMar>
          </w:tcPr>
          <w:p>
            <w:pPr>
              <w:pStyle w:val="BDOITable"/>
            </w:pPr>
            <w:r>
              <w:rPr>
                <w:sz w:val="16"/>
              </w:rPr>
              <w:t>T-1 on NO-GO</w:t>
            </w:r>
          </w:p>
        </w:tc>
        <w:tc>
          <w:tcPr>
            <w:tcW w:type="dxa" w:w="739"/>
            <w:tcMar>
              <w:top w:w="50" w:type="dxa"/>
              <w:bottom w:w="50" w:type="dxa"/>
              <w:left w:w="90" w:type="dxa"/>
              <w:right w:w="90" w:type="dxa"/>
            </w:tcMar>
          </w:tcPr>
          <w:p>
            <w:pPr>
              <w:pStyle w:val="BDOITable"/>
            </w:pPr>
            <w:r>
              <w:rPr>
                <w:sz w:val="16"/>
              </w:rPr>
              <w:t>PM</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10</w:t>
            </w:r>
          </w:p>
        </w:tc>
        <w:tc>
          <w:tcPr>
            <w:tcW w:type="dxa" w:w="3324"/>
            <w:tcMar>
              <w:top w:w="50" w:type="dxa"/>
              <w:bottom w:w="50" w:type="dxa"/>
              <w:left w:w="90" w:type="dxa"/>
              <w:right w:w="90" w:type="dxa"/>
            </w:tcMar>
            <w:shd w:val="clear" w:color="auto" w:fill="E5F5FF"/>
          </w:tcPr>
          <w:p>
            <w:pPr>
              <w:pStyle w:val="BDOITable"/>
            </w:pPr>
            <w:r>
              <w:rPr>
                <w:sz w:val="16"/>
              </w:rPr>
              <w:t>Daily hypercare status</w:t>
            </w:r>
          </w:p>
        </w:tc>
        <w:tc>
          <w:tcPr>
            <w:tcW w:type="dxa" w:w="2339"/>
            <w:tcMar>
              <w:top w:w="50" w:type="dxa"/>
              <w:bottom w:w="50" w:type="dxa"/>
              <w:left w:w="90" w:type="dxa"/>
              <w:right w:w="90" w:type="dxa"/>
            </w:tcMar>
            <w:shd w:val="clear" w:color="auto" w:fill="E5F5FF"/>
          </w:tcPr>
          <w:p>
            <w:pPr>
              <w:pStyle w:val="BDOITable"/>
            </w:pPr>
            <w:r>
              <w:rPr>
                <w:sz w:val="16"/>
              </w:rPr>
              <w:t>Go / no-go board, department heads</w:t>
            </w:r>
          </w:p>
        </w:tc>
        <w:tc>
          <w:tcPr>
            <w:tcW w:type="dxa" w:w="1847"/>
            <w:tcMar>
              <w:top w:w="50" w:type="dxa"/>
              <w:bottom w:w="50" w:type="dxa"/>
              <w:left w:w="90" w:type="dxa"/>
              <w:right w:w="90" w:type="dxa"/>
            </w:tcMar>
            <w:shd w:val="clear" w:color="auto" w:fill="E5F5FF"/>
          </w:tcPr>
          <w:p>
            <w:pPr>
              <w:pStyle w:val="BDOITable"/>
            </w:pPr>
            <w:r>
              <w:rPr>
                <w:sz w:val="16"/>
              </w:rPr>
              <w:t>Daily report and bridge call 17:00</w:t>
            </w:r>
          </w:p>
        </w:tc>
        <w:tc>
          <w:tcPr>
            <w:tcW w:type="dxa" w:w="1354"/>
            <w:tcMar>
              <w:top w:w="50" w:type="dxa"/>
              <w:bottom w:w="50" w:type="dxa"/>
              <w:left w:w="90" w:type="dxa"/>
              <w:right w:w="90" w:type="dxa"/>
            </w:tcMar>
            <w:shd w:val="clear" w:color="auto" w:fill="E5F5FF"/>
          </w:tcPr>
          <w:p>
            <w:pPr>
              <w:pStyle w:val="BDOITable"/>
            </w:pPr>
            <w:r>
              <w:rPr>
                <w:sz w:val="16"/>
              </w:rPr>
              <w:t>T to hypercare exit</w:t>
            </w:r>
          </w:p>
        </w:tc>
        <w:tc>
          <w:tcPr>
            <w:tcW w:type="dxa" w:w="739"/>
            <w:tcMar>
              <w:top w:w="50" w:type="dxa"/>
              <w:bottom w:w="50" w:type="dxa"/>
              <w:left w:w="90" w:type="dxa"/>
              <w:right w:w="90" w:type="dxa"/>
            </w:tcMar>
            <w:shd w:val="clear" w:color="auto" w:fill="E5F5FF"/>
          </w:tcPr>
          <w:p>
            <w:pPr>
              <w:pStyle w:val="BDOITable"/>
            </w:pPr>
            <w:r>
              <w:rPr>
                <w:sz w:val="16"/>
              </w:rPr>
              <w:t>IPM</w:t>
            </w:r>
          </w:p>
        </w:tc>
      </w:tr>
      <w:tr>
        <w:trPr>
          <w:cantSplit w:val="true"/>
        </w:trPr>
        <w:tc>
          <w:tcPr>
            <w:tcW w:type="dxa" w:w="369"/>
            <w:tcMar>
              <w:top w:w="50" w:type="dxa"/>
              <w:bottom w:w="50" w:type="dxa"/>
              <w:left w:w="90" w:type="dxa"/>
              <w:right w:w="90" w:type="dxa"/>
            </w:tcMar>
          </w:tcPr>
          <w:p>
            <w:pPr>
              <w:pStyle w:val="BDOITable"/>
            </w:pPr>
            <w:r>
              <w:rPr>
                <w:b/>
                <w:sz w:val="16"/>
              </w:rPr>
              <w:t>11</w:t>
            </w:r>
          </w:p>
        </w:tc>
        <w:tc>
          <w:tcPr>
            <w:tcW w:type="dxa" w:w="3324"/>
            <w:tcMar>
              <w:top w:w="50" w:type="dxa"/>
              <w:bottom w:w="50" w:type="dxa"/>
              <w:left w:w="90" w:type="dxa"/>
              <w:right w:w="90" w:type="dxa"/>
            </w:tcMar>
          </w:tcPr>
          <w:p>
            <w:pPr>
              <w:pStyle w:val="BDOITable"/>
            </w:pPr>
            <w:r>
              <w:rPr>
                <w:sz w:val="16"/>
              </w:rPr>
              <w:t>Hypercare exit and hand-over to production support</w:t>
            </w:r>
          </w:p>
        </w:tc>
        <w:tc>
          <w:tcPr>
            <w:tcW w:type="dxa" w:w="2339"/>
            <w:tcMar>
              <w:top w:w="50" w:type="dxa"/>
              <w:bottom w:w="50" w:type="dxa"/>
              <w:left w:w="90" w:type="dxa"/>
              <w:right w:w="90" w:type="dxa"/>
            </w:tcMar>
          </w:tcPr>
          <w:p>
            <w:pPr>
              <w:pStyle w:val="BDOITable"/>
            </w:pPr>
            <w:r>
              <w:rPr>
                <w:sz w:val="16"/>
              </w:rPr>
              <w:t>All users, IT</w:t>
            </w:r>
          </w:p>
        </w:tc>
        <w:tc>
          <w:tcPr>
            <w:tcW w:type="dxa" w:w="1847"/>
            <w:tcMar>
              <w:top w:w="50" w:type="dxa"/>
              <w:bottom w:w="50" w:type="dxa"/>
              <w:left w:w="90" w:type="dxa"/>
              <w:right w:w="90" w:type="dxa"/>
            </w:tcMar>
          </w:tcPr>
          <w:p>
            <w:pPr>
              <w:pStyle w:val="BDOITable"/>
            </w:pPr>
            <w:r>
              <w:rPr>
                <w:sz w:val="16"/>
              </w:rPr>
              <w:t>E-mail</w:t>
            </w:r>
          </w:p>
        </w:tc>
        <w:tc>
          <w:tcPr>
            <w:tcW w:type="dxa" w:w="1354"/>
            <w:tcMar>
              <w:top w:w="50" w:type="dxa"/>
              <w:bottom w:w="50" w:type="dxa"/>
              <w:left w:w="90" w:type="dxa"/>
              <w:right w:w="90" w:type="dxa"/>
            </w:tcMar>
          </w:tcPr>
          <w:p>
            <w:pPr>
              <w:pStyle w:val="BDOITable"/>
            </w:pPr>
            <w:r>
              <w:rPr>
                <w:sz w:val="16"/>
              </w:rPr>
              <w:t>At exit</w:t>
            </w:r>
          </w:p>
        </w:tc>
        <w:tc>
          <w:tcPr>
            <w:tcW w:type="dxa" w:w="739"/>
            <w:tcMar>
              <w:top w:w="50" w:type="dxa"/>
              <w:bottom w:w="50" w:type="dxa"/>
              <w:left w:w="90" w:type="dxa"/>
              <w:right w:w="90" w:type="dxa"/>
            </w:tcMar>
          </w:tcPr>
          <w:p>
            <w:pPr>
              <w:pStyle w:val="BDOITable"/>
            </w:pPr>
            <w:r>
              <w:rPr>
                <w:sz w:val="16"/>
              </w:rPr>
              <w:t>PM</w:t>
            </w:r>
          </w:p>
        </w:tc>
      </w:tr>
      <w:tr>
        <w:trPr>
          <w:cantSplit w:val="true"/>
        </w:trPr>
        <w:tc>
          <w:tcPr>
            <w:tcW w:type="dxa" w:w="369"/>
            <w:tcMar>
              <w:top w:w="50" w:type="dxa"/>
              <w:bottom w:w="50" w:type="dxa"/>
              <w:left w:w="90" w:type="dxa"/>
              <w:right w:w="90" w:type="dxa"/>
            </w:tcMar>
            <w:shd w:val="clear" w:color="auto" w:fill="E5F5FF"/>
          </w:tcPr>
          <w:p>
            <w:pPr>
              <w:pStyle w:val="BDOITable"/>
            </w:pPr>
            <w:r>
              <w:rPr>
                <w:b/>
                <w:sz w:val="16"/>
              </w:rPr>
              <w:t>12</w:t>
            </w:r>
          </w:p>
        </w:tc>
        <w:tc>
          <w:tcPr>
            <w:tcW w:type="dxa" w:w="3324"/>
            <w:tcMar>
              <w:top w:w="50" w:type="dxa"/>
              <w:bottom w:w="50" w:type="dxa"/>
              <w:left w:w="90" w:type="dxa"/>
              <w:right w:w="90" w:type="dxa"/>
            </w:tcMar>
            <w:shd w:val="clear" w:color="auto" w:fill="E5F5FF"/>
          </w:tcPr>
          <w:p>
            <w:pPr>
              <w:pStyle w:val="BDOITable"/>
            </w:pPr>
            <w:r>
              <w:rPr>
                <w:sz w:val="16"/>
              </w:rPr>
              <w:t>True-ups closed; legacy GL locked</w:t>
            </w:r>
          </w:p>
        </w:tc>
        <w:tc>
          <w:tcPr>
            <w:tcW w:type="dxa" w:w="2339"/>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47"/>
            <w:tcMar>
              <w:top w:w="50" w:type="dxa"/>
              <w:bottom w:w="50" w:type="dxa"/>
              <w:left w:w="90" w:type="dxa"/>
              <w:right w:w="90" w:type="dxa"/>
            </w:tcMar>
            <w:shd w:val="clear" w:color="auto" w:fill="E5F5FF"/>
          </w:tcPr>
          <w:p>
            <w:pPr>
              <w:pStyle w:val="BDOITable"/>
            </w:pPr>
            <w:r>
              <w:rPr>
                <w:sz w:val="16"/>
              </w:rPr>
              <w:t>Memo</w:t>
            </w:r>
          </w:p>
        </w:tc>
        <w:tc>
          <w:tcPr>
            <w:tcW w:type="dxa" w:w="1354"/>
            <w:tcMar>
              <w:top w:w="50" w:type="dxa"/>
              <w:bottom w:w="50" w:type="dxa"/>
              <w:left w:w="90" w:type="dxa"/>
              <w:right w:w="90" w:type="dxa"/>
            </w:tcMar>
            <w:shd w:val="clear" w:color="auto" w:fill="E5F5FF"/>
          </w:tcPr>
          <w:p>
            <w:pPr>
              <w:pStyle w:val="BDOITable"/>
            </w:pPr>
            <w:r>
              <w:rPr>
                <w:sz w:val="16"/>
              </w:rPr>
              <w:t>T+120</w:t>
            </w:r>
          </w:p>
        </w:tc>
        <w:tc>
          <w:tcPr>
            <w:tcW w:type="dxa" w:w="739"/>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Bdr>
          <w:bottom w:val="single" w:sz="4" w:space="4" w:color="99C1E7"/>
        </w:pBdr>
      </w:pPr>
      <w:bookmarkStart w:id="121" w:name="_Toc000121"/>
      <w:r>
        <w:rPr/>
        <w:t>9 Hypercare</w:t>
      </w:r>
      <w:bookmarkEnd w:id="121"/>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context LEGACY); automatch runs and the unapplied items they left; URGENT January renewals without an RA sent or an insurer request; payment file results; exception queues (rejected receipts, remittance exclusions, failed postings); failed jobs and alerts; open defects by severity; user tickets by department.</w:t>
      </w:r>
    </w:p>
    <w:p>
      <w:pPr>
        <w:pStyle w:val="Heading2"/>
      </w:pPr>
      <w:bookmarkStart w:id="122" w:name="_Toc000122"/>
      <w:r>
        <w:rPr/>
        <w:t>9.1 Roster</w:t>
      </w:r>
      <w:bookmarkEnd w:id="122"/>
    </w:p>
    <w:p>
      <w:pPr>
        <w:pStyle w:val="Caption"/>
        <w:keepNext/>
        <w:spacing w:after="60"/>
      </w:pPr>
      <w:r>
        <w:rPr>
          <w:b/>
          <w:i w:val="0"/>
        </w:rPr>
        <w:t xml:space="preserve">Table 20: </w:t>
      </w:r>
      <w:r>
        <w:rPr/>
        <w:t>Hypercare roster (names in the task plan, sheet Hypercare Roster)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rPr>
          <w:cantSplit w:val="true"/>
        </w:trP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rPr>
          <w:cantSplit w:val="true"/>
        </w:trP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DevOps</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rPr>
          <w:cantSplit w:val="true"/>
        </w:trP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rPr>
          <w:cantSplit w:val="true"/>
        </w:trP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rPr>
          <w:cantSplit w:val="true"/>
        </w:trP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123" w:name="_Toc000123"/>
      <w:r>
        <w:rPr/>
        <w:t>9.2 Exit criteria</w:t>
      </w:r>
      <w:bookmarkEnd w:id="123"/>
    </w:p>
    <w:p>
      <w:pPr>
        <w:pStyle w:val="Caption"/>
        <w:keepNext/>
        <w:spacing w:after="60"/>
      </w:pPr>
      <w:r>
        <w:rPr>
          <w:b/>
          <w:i w:val="0"/>
        </w:rPr>
        <w:t xml:space="preserve">Table 21: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9491"/>
            <w:tcMar>
              <w:top w:w="50" w:type="dxa"/>
              <w:bottom w:w="50" w:type="dxa"/>
              <w:left w:w="90" w:type="dxa"/>
              <w:right w:w="90" w:type="dxa"/>
            </w:tcMar>
          </w:tcPr>
          <w:p>
            <w:pPr>
              <w:pStyle w:val="BDOITable"/>
            </w:pPr>
            <w:r>
              <w:rPr>
                <w:sz w:val="18"/>
              </w:rPr>
              <w:t>No open Critical or High defect; Medium defects have an agreed fix date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949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949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949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9491"/>
            <w:tcMar>
              <w:top w:w="50" w:type="dxa"/>
              <w:bottom w:w="50" w:type="dxa"/>
              <w:left w:w="90" w:type="dxa"/>
              <w:right w:w="90" w:type="dxa"/>
            </w:tcMar>
          </w:tcPr>
          <w:p>
            <w:pPr>
              <w:pStyle w:val="BDOITable"/>
            </w:pPr>
            <w:r>
              <w:rPr>
                <w:sz w:val="18"/>
              </w:rPr>
              <w:t>Staging and extract files of production purged within 5 days of sign-off (purge log)</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9491"/>
            <w:tcMar>
              <w:top w:w="50" w:type="dxa"/>
              <w:bottom w:w="50" w:type="dxa"/>
              <w:left w:w="90" w:type="dxa"/>
              <w:right w:w="90" w:type="dxa"/>
            </w:tcMar>
            <w:shd w:val="clear" w:color="auto" w:fill="E5F5FF"/>
          </w:tcPr>
          <w:p>
            <w:pPr>
              <w:pStyle w:val="BDOITable"/>
            </w:pPr>
            <w:r>
              <w:rPr>
                <w:sz w:val="18"/>
              </w:rPr>
              <w:t>True-up 1 posted, reconciled and signed</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9491"/>
            <w:tcMar>
              <w:top w:w="50" w:type="dxa"/>
              <w:bottom w:w="50" w:type="dxa"/>
              <w:left w:w="90" w:type="dxa"/>
              <w:right w:w="90" w:type="dxa"/>
            </w:tcMar>
          </w:tcPr>
          <w:p>
            <w:pPr>
              <w:pStyle w:val="BDOITable"/>
            </w:pPr>
            <w:r>
              <w:rPr>
                <w:sz w:val="18"/>
              </w:rPr>
              <w:t>Every URGENT January renewal has an RA sent or an insurer request made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949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Bdr>
          <w:bottom w:val="single" w:sz="4" w:space="4" w:color="99C1E7"/>
        </w:pBdr>
      </w:pPr>
      <w:bookmarkStart w:id="124" w:name="_Toc000124"/>
      <w:r>
        <w:rPr/>
        <w:t>10 Decommissioning checklists</w:t>
      </w:r>
      <w:bookmarkEnd w:id="124"/>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22: </w:t>
      </w:r>
      <w:r>
        <w:rPr/>
        <w:t>Decommissioning checklist -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Final extracts reconciled - F01, F02, F03, F04, F06, G01 and C01 signed off</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949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949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9491"/>
            <w:tcMar>
              <w:top w:w="50" w:type="dxa"/>
              <w:bottom w:w="50" w:type="dxa"/>
              <w:left w:w="90" w:type="dxa"/>
              <w:right w:w="90" w:type="dxa"/>
            </w:tcMar>
          </w:tcPr>
          <w:p>
            <w:pPr>
              <w:pStyle w:val="BDOITable"/>
            </w:pPr>
            <w:r>
              <w:rPr>
                <w:sz w:val="17"/>
              </w:rPr>
              <w:t>Access logs archived - read-only access logs exported to the archive</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9491"/>
            <w:tcMar>
              <w:top w:w="50" w:type="dxa"/>
              <w:bottom w:w="50" w:type="dxa"/>
              <w:left w:w="90" w:type="dxa"/>
              <w:right w:w="90" w:type="dxa"/>
            </w:tcMar>
            <w:shd w:val="clear" w:color="auto" w:fill="E5F5FF"/>
          </w:tcPr>
          <w:p>
            <w:pPr>
              <w:pStyle w:val="BDOITable"/>
            </w:pPr>
            <w:r>
              <w:rPr>
                <w:sz w:val="17"/>
              </w:rPr>
              <w:t>Retention covered - database backup retained per the retention decision (DMQ27); retention obligations covered (5 years online, 15 years archive, umbrella p.45)</w:t>
            </w:r>
          </w:p>
        </w:tc>
      </w:tr>
      <w:tr>
        <w:trPr>
          <w:cantSplit w:val="true"/>
        </w:trPr>
        <w:tc>
          <w:tcPr>
            <w:tcW w:type="dxa" w:w="481"/>
            <w:tcMar>
              <w:top w:w="50" w:type="dxa"/>
              <w:bottom w:w="50" w:type="dxa"/>
              <w:left w:w="90" w:type="dxa"/>
              <w:right w:w="90" w:type="dxa"/>
            </w:tcMar>
          </w:tcPr>
          <w:p>
            <w:pPr>
              <w:pStyle w:val="BDOITable"/>
            </w:pPr>
            <w:r>
              <w:rPr>
                <w:sz w:val="17"/>
              </w:rPr>
              <w:t>9</w:t>
            </w:r>
          </w:p>
        </w:tc>
        <w:tc>
          <w:tcPr>
            <w:tcW w:type="dxa" w:w="949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23: </w:t>
      </w:r>
      <w:r>
        <w:rPr/>
        <w:t>Decommissioning checklist -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Final extracts reconciled - C01, P01, P03 and the R objects signed off</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Archive reconciled - archive objects of QPS loaded and reconciled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Legacy Inquiry verified - by Audit / Compliance</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9491"/>
            <w:tcMar>
              <w:top w:w="50" w:type="dxa"/>
              <w:bottom w:w="50" w:type="dxa"/>
              <w:left w:w="90" w:type="dxa"/>
              <w:right w:w="90" w:type="dxa"/>
            </w:tcMar>
          </w:tcPr>
          <w:p>
            <w:pPr>
              <w:pStyle w:val="BDOITable"/>
            </w:pPr>
            <w:r>
              <w:rPr>
                <w:sz w:val="17"/>
              </w:rPr>
              <w:t>Access logs archived - read-only access logs exported to the archive</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9491"/>
            <w:tcMar>
              <w:top w:w="50" w:type="dxa"/>
              <w:bottom w:w="50" w:type="dxa"/>
              <w:left w:w="90" w:type="dxa"/>
              <w:right w:w="90" w:type="dxa"/>
            </w:tcMar>
            <w:shd w:val="clear" w:color="auto" w:fill="E5F5FF"/>
          </w:tcPr>
          <w:p>
            <w:pPr>
              <w:pStyle w:val="BDOITable"/>
            </w:pPr>
            <w:r>
              <w:rPr>
                <w:sz w:val="17"/>
              </w:rPr>
              <w:t>Retention covered - database backup retained per DMQ27</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949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24: </w:t>
      </w:r>
      <w:r>
        <w:rPr/>
        <w:t>Decommissioning checklist -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Final true-up reconciled - ISYS GL lines of the final true-up signed; ISYS GL locked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25: </w:t>
      </w:r>
      <w:r>
        <w:rPr/>
        <w:t>Decommissioning checklist -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Final extracts reconciled - collection state F03 and UPP F02 reconciled and signed off</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26: </w:t>
      </w:r>
      <w:r>
        <w:rPr/>
        <w:t>Decommissioning checklist -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Final extracts reconciled - submitted-policy masterlists migrated (P04) or archived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Retention covered - folders set to read-only, then removed per the retention decision</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27: </w:t>
      </w:r>
      <w:r>
        <w:rPr/>
        <w:t>Decommissioning checklist -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949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949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9491"/>
            <w:tcMar>
              <w:top w:w="50" w:type="dxa"/>
              <w:bottom w:w="50" w:type="dxa"/>
              <w:left w:w="90" w:type="dxa"/>
              <w:right w:w="90" w:type="dxa"/>
            </w:tcMar>
          </w:tcPr>
          <w:p>
            <w:pPr>
              <w:pStyle w:val="BDOITable"/>
            </w:pPr>
            <w:r>
              <w:rPr>
                <w:sz w:val="17"/>
              </w:rPr>
              <w:t>No open legacy invoice - every legacy invoice paid, reversed, written off or reclassified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949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9491"/>
            <w:tcMar>
              <w:top w:w="50" w:type="dxa"/>
              <w:bottom w:w="50" w:type="dxa"/>
              <w:left w:w="90" w:type="dxa"/>
              <w:right w:w="90" w:type="dxa"/>
            </w:tcMar>
          </w:tcPr>
          <w:p>
            <w:pPr>
              <w:pStyle w:val="BDOITable"/>
            </w:pPr>
            <w:r>
              <w:rPr>
                <w:sz w:val="17"/>
              </w:rPr>
              <w:t>Legacy accounts at zero - legacy control accounts and Migration Clearing at 0.00</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949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Bdr>
          <w:bottom w:val="single" w:sz="4" w:space="4" w:color="99C1E7"/>
        </w:pBdr>
      </w:pPr>
      <w:bookmarkStart w:id="125" w:name="_Toc000125"/>
      <w:r>
        <w:rPr/>
        <w:t>Sign-off</w:t>
      </w:r>
      <w:bookmarkEnd w:id="125"/>
    </w:p>
    <w:p>
      <w:r>
        <w:rPr/>
        <w:t>By signing, BDOI approves this runbook as the plan of the production cutover. The confirmed go-live date and the Comptrollership confirmation of the year-end option A (M6), the named people and the measured durations are added in version 1.3 after the dress rehearsal.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 (chair,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Cutover Runbook BRD-13</w:t>
    </w:r>
    <w:r>
      <w:rPr>
        <w:color w:val="656565"/>
        <w:sz w:val="16"/>
      </w:rPr>
      <w:t xml:space="preserve">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Cutover Runbook BRD-13</w:t>
    </w:r>
    <w:r>
      <w:rPr>
        <w:color w:val="656565"/>
        <w:sz w:val="16"/>
      </w:rPr>
      <w:t xml:space="preserve">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Cutover Runbook BRD-13</w:t>
    </w:r>
    <w:r>
      <w:rPr>
        <w:color w:val="656565"/>
        <w:sz w:val="16"/>
      </w:rPr>
      <w:t xml:space="preserve">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Cutover Runbook</dc:title>
  <dc:subject>BIBS – BDOI Broker System</dc:subject>
  <dc:creator>iorta TechNXT</dc:creator>
  <cp:keywords>Migration, BRD-13,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