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RECONCILIATION APPROACH</w:t>
      </w:r>
    </w:p>
    <w:p>
      <w:pPr>
        <w:spacing w:after="80" w:line="240" w:lineRule="auto"/>
      </w:pPr>
      <w:r>
        <w:rPr>
          <w:b/>
          <w:color w:val="004EA8"/>
          <w:sz w:val="56"/>
        </w:rPr>
        <w:t>Migration Reconciliation Approach and Sign-off</w:t>
      </w:r>
    </w:p>
    <w:p>
      <w:pPr>
        <w:spacing w:after="40"/>
      </w:pPr>
      <w:r>
        <w:rPr>
          <w:color w:val="2E2E2E"/>
          <w:sz w:val="28"/>
        </w:rPr>
        <w:t>BRD-13 Data Migration - how every data object is proven from source to target</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BIBS-DMR-BRD-13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Head, Comptrollership (pending)</w:t>
            </w:r>
          </w:p>
        </w:tc>
        <w:tc>
          <w:tcPr>
            <w:tcW w:type="dxa" w:w="2606"/>
            <w:tcMar>
              <w:top w:w="50" w:type="dxa"/>
              <w:bottom w:w="50" w:type="dxa"/>
              <w:left w:w="90" w:type="dxa"/>
              <w:right w:w="90" w:type="dxa"/>
            </w:tcMar>
          </w:tcPr>
          <w:p>
            <w:pPr>
              <w:pStyle w:val="BDOITable"/>
            </w:pPr>
            <w:r>
              <w:rPr>
                <w:sz w:val="18"/>
              </w:rPr>
              <w:t>First issue for BDOI review, with the Data Migration Strategy and Approach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Head, Comptrollership (pending)</w:t>
            </w:r>
          </w:p>
        </w:tc>
        <w:tc>
          <w:tcPr>
            <w:tcW w:type="dxa" w:w="2606"/>
            <w:tcMar>
              <w:top w:w="50" w:type="dxa"/>
              <w:bottom w:w="50" w:type="dxa"/>
              <w:left w:w="90" w:type="dxa"/>
              <w:right w:w="90" w:type="dxa"/>
            </w:tcMar>
            <w:shd w:val="clear" w:color="auto" w:fill="E5F5FF"/>
          </w:tcPr>
          <w:p>
            <w:pPr>
              <w:pStyle w:val="BDOITable"/>
            </w:pPr>
            <w:r>
              <w:rPr>
                <w:sz w:val="18"/>
              </w:rPr>
              <w:t>With the Strategy v1.1 (BDOI timeline, go-live January 2028; four mocks). L5 compares each legacy control account with the opening detail; sign of a Migration Clearing difference corrected in the worked example; cohort completeness of the carried RMEL cohorts (P03); package remapping samples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 Product Owner FRBS / ACSL</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Reconciliation approver for financial objects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Data owners of each object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Business verification and acceptance (G6)</w:t>
            </w:r>
          </w:p>
        </w:tc>
      </w:tr>
      <w:tr>
        <w:trPr>
          <w:cantSplit w:val="true"/>
        </w:trPr>
        <w:tc>
          <w:tcPr>
            <w:tcW w:type="dxa" w:w="2606"/>
            <w:tcMar>
              <w:top w:w="50" w:type="dxa"/>
              <w:bottom w:w="50" w:type="dxa"/>
              <w:left w:w="90" w:type="dxa"/>
              <w:right w:w="90" w:type="dxa"/>
            </w:tcMar>
          </w:tcPr>
          <w:p>
            <w:pPr>
              <w:pStyle w:val="BDOITable"/>
            </w:pPr>
            <w:r>
              <w:rPr>
                <w:sz w:val="18"/>
              </w:rPr>
              <w:t>BDOI Data Migration Lead; Program Manager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Go / no-go evidence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Audit / Compliance</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Evidence retention; archive reconciliation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Reconciliation runs and reports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and scope</w:t>
        </w:r>
        <w:r>
          <w:t xml:space="preserve">	</w:t>
        </w:r>
        <w:r>
          <w:t xml:space="preserve">4</w:t>
        </w:r>
      </w:hyperlink>
    </w:p>
    <w:p>
      <w:pPr>
        <w:pStyle w:val="toc1"/>
      </w:pPr>
      <w:hyperlink w:anchor="_Toc000102" w:history="1">
        <w:r>
          <w:t xml:space="preserve">2 Reconciliation levels</w:t>
        </w:r>
        <w:r>
          <w:t xml:space="preserve">	</w:t>
        </w:r>
        <w:r>
          <w:t xml:space="preserve">4</w:t>
        </w:r>
      </w:hyperlink>
    </w:p>
    <w:p>
      <w:pPr>
        <w:pStyle w:val="toc1"/>
      </w:pPr>
      <w:hyperlink w:anchor="_Toc000103" w:history="1">
        <w:r>
          <w:t xml:space="preserve">3 Control totals BDOI sends</w:t>
        </w:r>
        <w:r>
          <w:t xml:space="preserve">	</w:t>
        </w:r>
        <w:r>
          <w:t xml:space="preserve">5</w:t>
        </w:r>
      </w:hyperlink>
    </w:p>
    <w:p>
      <w:pPr>
        <w:pStyle w:val="toc1"/>
      </w:pPr>
      <w:hyperlink w:anchor="_Toc000104" w:history="1">
        <w:r>
          <w:t xml:space="preserve">4 Reconciliation per data object</w:t>
        </w:r>
        <w:r>
          <w:t xml:space="preserve">	</w:t>
        </w:r>
        <w:r>
          <w:t xml:space="preserve">6</w:t>
        </w:r>
      </w:hyperlink>
    </w:p>
    <w:p>
      <w:pPr>
        <w:pStyle w:val="toc1"/>
      </w:pPr>
      <w:hyperlink w:anchor="_Toc000105" w:history="1">
        <w:r>
          <w:t xml:space="preserve">5 GL reconciliation: Migration Clearing</w:t>
        </w:r>
        <w:r>
          <w:t xml:space="preserve">	</w:t>
        </w:r>
        <w:r>
          <w:t xml:space="preserve">7</w:t>
        </w:r>
      </w:hyperlink>
    </w:p>
    <w:p>
      <w:pPr>
        <w:pStyle w:val="toc1"/>
      </w:pPr>
      <w:hyperlink w:anchor="_Toc000106" w:history="1">
        <w:r>
          <w:t xml:space="preserve">6 Business verification on screen (gate G6)</w:t>
        </w:r>
        <w:r>
          <w:t xml:space="preserve">	</w:t>
        </w:r>
        <w:r>
          <w:t xml:space="preserve">8</w:t>
        </w:r>
      </w:hyperlink>
    </w:p>
    <w:p>
      <w:pPr>
        <w:pStyle w:val="toc2"/>
      </w:pPr>
      <w:hyperlink w:anchor="_Toc000107" w:history="1">
        <w:r>
          <w:t xml:space="preserve">6.1 Sample plan</w:t>
        </w:r>
        <w:r>
          <w:t xml:space="preserve">	</w:t>
        </w:r>
        <w:r>
          <w:t xml:space="preserve">8</w:t>
        </w:r>
      </w:hyperlink>
    </w:p>
    <w:p>
      <w:pPr>
        <w:pStyle w:val="toc2"/>
      </w:pPr>
      <w:hyperlink w:anchor="_Toc000108" w:history="1">
        <w:r>
          <w:t xml:space="preserve">6.2 Acceptance rule</w:t>
        </w:r>
        <w:r>
          <w:t xml:space="preserve">	</w:t>
        </w:r>
        <w:r>
          <w:t xml:space="preserve">9</w:t>
        </w:r>
      </w:hyperlink>
    </w:p>
    <w:p>
      <w:pPr>
        <w:pStyle w:val="toc1"/>
      </w:pPr>
      <w:hyperlink w:anchor="_Toc000109" w:history="1">
        <w:r>
          <w:t xml:space="preserve">7 Breaks, waivers and exclusions</w:t>
        </w:r>
        <w:r>
          <w:t xml:space="preserve">	</w:t>
        </w:r>
        <w:r>
          <w:t xml:space="preserve">9</w:t>
        </w:r>
      </w:hyperlink>
    </w:p>
    <w:p>
      <w:pPr>
        <w:pStyle w:val="toc1"/>
      </w:pPr>
      <w:hyperlink w:anchor="_Toc000110" w:history="1">
        <w:r>
          <w:t xml:space="preserve">8 Evidence and retention</w:t>
        </w:r>
        <w:r>
          <w:t xml:space="preserve">	</w:t>
        </w:r>
        <w:r>
          <w:t xml:space="preserve">10</w:t>
        </w:r>
      </w:hyperlink>
    </w:p>
    <w:p>
      <w:pPr>
        <w:pStyle w:val="toc1"/>
      </w:pPr>
      <w:hyperlink w:anchor="_Toc000111" w:history="1">
        <w:r>
          <w:t xml:space="preserve">9 Sign-off forms</w:t>
        </w:r>
        <w:r>
          <w:t xml:space="preserve">	</w:t>
        </w:r>
        <w:r>
          <w:t xml:space="preserve">10</w:t>
        </w:r>
      </w:hyperlink>
    </w:p>
    <w:p>
      <w:pPr>
        <w:pStyle w:val="toc2"/>
      </w:pPr>
      <w:hyperlink w:anchor="_Toc000112" w:history="1">
        <w:r>
          <w:t xml:space="preserve">9.1 Object reconciliation and acceptance (G5 and G6)</w:t>
        </w:r>
        <w:r>
          <w:t xml:space="preserve">	</w:t>
        </w:r>
        <w:r>
          <w:t xml:space="preserve">11</w:t>
        </w:r>
      </w:hyperlink>
    </w:p>
    <w:p>
      <w:pPr>
        <w:pStyle w:val="toc2"/>
      </w:pPr>
      <w:hyperlink w:anchor="_Toc000113" w:history="1">
        <w:r>
          <w:t xml:space="preserve">9.2 Cutover reconciliation summary (go / no-go GNG-3)</w:t>
        </w:r>
        <w:r>
          <w:t xml:space="preserve">	</w:t>
        </w:r>
        <w:r>
          <w:t xml:space="preserve">12</w:t>
        </w:r>
      </w:hyperlink>
    </w:p>
    <w:p>
      <w:pPr>
        <w:pStyle w:val="toc2"/>
      </w:pPr>
      <w:hyperlink w:anchor="_Toc000114" w:history="1">
        <w:r>
          <w:t xml:space="preserve">9.3 Archive reconciliation (before decommissioning)</w:t>
        </w:r>
        <w:r>
          <w:t xml:space="preserve">	</w:t>
        </w:r>
        <w:r>
          <w:t xml:space="preserve">13</w:t>
        </w:r>
      </w:hyperlink>
      <w:r>
        <w:fldChar w:fldCharType="end"/>
      </w:r>
    </w:p>
    <w:p>
      <w:pPr>
        <w:pStyle w:val="Heading1"/>
        <w:pageBreakBefore/>
        <w:pBdr>
          <w:bottom w:val="single" w:sz="4" w:space="4" w:color="99C1E7"/>
        </w:pBdr>
      </w:pPr>
      <w:bookmarkStart w:id="101" w:name="_Toc000101"/>
      <w:r>
        <w:rPr/>
        <w:t>1 Purpose and scope</w:t>
      </w:r>
      <w:bookmarkEnd w:id="101"/>
    </w:p>
    <w:p>
      <w:r>
        <w:rPr/>
        <w:t>BRID 1.1b asks that, after cutover, "all data objects and items are reconcilable from source to target" from the generated data migration reports (BRD p.7). This document states how each object is reconciled, what BDOI verifies on the BIBS screens, how breaks are handled, which evidence is kept, and the forms that BDOI signs. It applies to every mock, the dress rehearsal and the production cutover, and to the archive loads before decommissioning.</w:t>
      </w:r>
    </w:p>
    <w:p>
      <w:r>
        <w:rPr/>
        <w:t>It completes the Data Migration Strategy and Approach (section 6.10) and FRS BRD-13 (FR-DM-020, FR-DM-021, FR-DM-003). Account codes are not named: the legacy control accounts and the Migration Clearing account are assigned by Comptrollership (DMQ18, register DCR-197).</w:t>
      </w:r>
    </w:p>
    <w:p>
      <w:pPr>
        <w:pStyle w:val="Heading1"/>
        <w:pBdr>
          <w:bottom w:val="single" w:sz="4" w:space="4" w:color="99C1E7"/>
        </w:pBdr>
      </w:pPr>
      <w:bookmarkStart w:id="102" w:name="_Toc000102"/>
      <w:r>
        <w:rPr/>
        <w:t>2 Reconciliation levels</w:t>
      </w:r>
      <w:bookmarkEnd w:id="102"/>
    </w:p>
    <w:p>
      <w:r>
        <w:rPr/>
        <w:t>Five levels are run by BIBS after each load (job MIG_RECONCILE) and on demand. Levels L1 to L4 apply to every object; L5 to the financial objects.</w:t>
      </w:r>
    </w:p>
    <w:p>
      <w:pPr>
        <w:pStyle w:val="Caption"/>
        <w:keepNext/>
        <w:spacing w:after="60"/>
      </w:pPr>
      <w:r>
        <w:rPr>
          <w:b/>
          <w:i w:val="0"/>
        </w:rPr>
        <w:t xml:space="preserve">Table 1: </w:t>
      </w:r>
      <w:r>
        <w:rPr/>
        <w:t>Reconciliation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802"/>
        <w:gridCol w:w="3724"/>
        <w:gridCol w:w="3724"/>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How it is computed</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Pass rule</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1802"/>
            <w:tcMar>
              <w:top w:w="50" w:type="dxa"/>
              <w:bottom w:w="50" w:type="dxa"/>
              <w:left w:w="90" w:type="dxa"/>
              <w:right w:w="90" w:type="dxa"/>
            </w:tcMar>
          </w:tcPr>
          <w:p>
            <w:pPr>
              <w:pStyle w:val="BDOITable"/>
            </w:pPr>
            <w:r>
              <w:rPr>
                <w:sz w:val="17"/>
              </w:rPr>
              <w:t>Record counts</w:t>
            </w:r>
          </w:p>
        </w:tc>
        <w:tc>
          <w:tcPr>
            <w:tcW w:type="dxa" w:w="3724"/>
            <w:tcMar>
              <w:top w:w="50" w:type="dxa"/>
              <w:bottom w:w="50" w:type="dxa"/>
              <w:left w:w="90" w:type="dxa"/>
              <w:right w:w="90" w:type="dxa"/>
            </w:tcMar>
          </w:tcPr>
          <w:p>
            <w:pPr>
              <w:pStyle w:val="BDOITable"/>
            </w:pPr>
            <w:r>
              <w:rPr>
                <w:sz w:val="17"/>
              </w:rPr>
              <w:t>Control file row count; rows received, staged, valid, warning, invalid, loaded, skipped, rejected, excluded (per batch and its reruns)</w:t>
            </w:r>
          </w:p>
        </w:tc>
        <w:tc>
          <w:tcPr>
            <w:tcW w:type="dxa" w:w="3724"/>
            <w:tcMar>
              <w:top w:w="50" w:type="dxa"/>
              <w:bottom w:w="50" w:type="dxa"/>
              <w:left w:w="90" w:type="dxa"/>
              <w:right w:w="90" w:type="dxa"/>
            </w:tcMar>
          </w:tcPr>
          <w:p>
            <w:pPr>
              <w:pStyle w:val="BDOITable"/>
            </w:pPr>
            <w:r>
              <w:rPr>
                <w:sz w:val="17"/>
              </w:rPr>
              <w:t>Received = control count; loaded + skipped + rejected + excluded = staged; rejected rows are 0 for financial objects or excluded by the owner</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1802"/>
            <w:tcMar>
              <w:top w:w="50" w:type="dxa"/>
              <w:bottom w:w="50" w:type="dxa"/>
              <w:left w:w="90" w:type="dxa"/>
              <w:right w:w="90" w:type="dxa"/>
            </w:tcMar>
            <w:shd w:val="clear" w:color="auto" w:fill="E5F5FF"/>
          </w:tcPr>
          <w:p>
            <w:pPr>
              <w:pStyle w:val="BDOITable"/>
            </w:pPr>
            <w:r>
              <w:rPr>
                <w:sz w:val="17"/>
              </w:rPr>
              <w:t>Amounts</w:t>
            </w:r>
          </w:p>
        </w:tc>
        <w:tc>
          <w:tcPr>
            <w:tcW w:type="dxa" w:w="3724"/>
            <w:tcMar>
              <w:top w:w="50" w:type="dxa"/>
              <w:bottom w:w="50" w:type="dxa"/>
              <w:left w:w="90" w:type="dxa"/>
              <w:right w:w="90" w:type="dxa"/>
            </w:tcMar>
            <w:shd w:val="clear" w:color="auto" w:fill="E5F5FF"/>
          </w:tcPr>
          <w:p>
            <w:pPr>
              <w:pStyle w:val="BDOITable"/>
            </w:pPr>
            <w:r>
              <w:rPr>
                <w:sz w:val="17"/>
              </w:rPr>
              <w:t>Per amount column and currency: control total, staged sum, and the value read from BIBS (ledger components of origin LEGACY, unapplied balances, journal lines)</w:t>
            </w:r>
          </w:p>
        </w:tc>
        <w:tc>
          <w:tcPr>
            <w:tcW w:type="dxa" w:w="3724"/>
            <w:tcMar>
              <w:top w:w="50" w:type="dxa"/>
              <w:bottom w:w="50" w:type="dxa"/>
              <w:left w:w="90" w:type="dxa"/>
              <w:right w:w="90" w:type="dxa"/>
            </w:tcMar>
            <w:shd w:val="clear" w:color="auto" w:fill="E5F5FF"/>
          </w:tcPr>
          <w:p>
            <w:pPr>
              <w:pStyle w:val="BDOITable"/>
            </w:pPr>
            <w:r>
              <w:rPr>
                <w:sz w:val="17"/>
              </w:rPr>
              <w:t>Difference 0.00 (tolerance MIG_AMOUNT_TOLERANCE, default 0.00) at each stage</w:t>
            </w: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1802"/>
            <w:tcMar>
              <w:top w:w="50" w:type="dxa"/>
              <w:bottom w:w="50" w:type="dxa"/>
              <w:left w:w="90" w:type="dxa"/>
              <w:right w:w="90" w:type="dxa"/>
            </w:tcMar>
          </w:tcPr>
          <w:p>
            <w:pPr>
              <w:pStyle w:val="BDOITable"/>
            </w:pPr>
            <w:r>
              <w:rPr>
                <w:sz w:val="17"/>
              </w:rPr>
              <w:t>Hash totals</w:t>
            </w:r>
          </w:p>
        </w:tc>
        <w:tc>
          <w:tcPr>
            <w:tcW w:type="dxa" w:w="3724"/>
            <w:tcMar>
              <w:top w:w="50" w:type="dxa"/>
              <w:bottom w:w="50" w:type="dxa"/>
              <w:left w:w="90" w:type="dxa"/>
              <w:right w:w="90" w:type="dxa"/>
            </w:tcMar>
          </w:tcPr>
          <w:p>
            <w:pPr>
              <w:pStyle w:val="BDOITable"/>
            </w:pPr>
            <w:r>
              <w:rPr>
                <w:sz w:val="17"/>
              </w:rPr>
              <w:t>Hash total of the key column as the layout defines it; SHA-256 per staged row; count of distinct keys in the cross-reference</w:t>
            </w:r>
          </w:p>
        </w:tc>
        <w:tc>
          <w:tcPr>
            <w:tcW w:type="dxa" w:w="3724"/>
            <w:tcMar>
              <w:top w:w="50" w:type="dxa"/>
              <w:bottom w:w="50" w:type="dxa"/>
              <w:left w:w="90" w:type="dxa"/>
              <w:right w:w="90" w:type="dxa"/>
            </w:tcMar>
          </w:tcPr>
          <w:p>
            <w:pPr>
              <w:pStyle w:val="BDOITable"/>
            </w:pPr>
            <w:r>
              <w:rPr>
                <w:sz w:val="17"/>
              </w:rPr>
              <w:t>Control = staged = cross-reference</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1802"/>
            <w:tcMar>
              <w:top w:w="50" w:type="dxa"/>
              <w:bottom w:w="50" w:type="dxa"/>
              <w:left w:w="90" w:type="dxa"/>
              <w:right w:w="90" w:type="dxa"/>
            </w:tcMar>
            <w:shd w:val="clear" w:color="auto" w:fill="E5F5FF"/>
          </w:tcPr>
          <w:p>
            <w:pPr>
              <w:pStyle w:val="BDOITable"/>
            </w:pPr>
            <w:r>
              <w:rPr>
                <w:sz w:val="17"/>
              </w:rPr>
              <w:t>Fields</w:t>
            </w:r>
          </w:p>
        </w:tc>
        <w:tc>
          <w:tcPr>
            <w:tcW w:type="dxa" w:w="3724"/>
            <w:tcMar>
              <w:top w:w="50" w:type="dxa"/>
              <w:bottom w:w="50" w:type="dxa"/>
              <w:left w:w="90" w:type="dxa"/>
              <w:right w:w="90" w:type="dxa"/>
            </w:tcMar>
            <w:shd w:val="clear" w:color="auto" w:fill="E5F5FF"/>
          </w:tcPr>
          <w:p>
            <w:pPr>
              <w:pStyle w:val="BDOITable"/>
            </w:pPr>
            <w:r>
              <w:rPr>
                <w:sz w:val="17"/>
              </w:rPr>
              <w:t>Every mapped field of every loaded row read back through the owning service and compared with the staged, mapped value</w:t>
            </w:r>
          </w:p>
        </w:tc>
        <w:tc>
          <w:tcPr>
            <w:tcW w:type="dxa" w:w="3724"/>
            <w:tcMar>
              <w:top w:w="50" w:type="dxa"/>
              <w:bottom w:w="50" w:type="dxa"/>
              <w:left w:w="90" w:type="dxa"/>
              <w:right w:w="90" w:type="dxa"/>
            </w:tcMar>
            <w:shd w:val="clear" w:color="auto" w:fill="E5F5FF"/>
          </w:tcPr>
          <w:p>
            <w:pPr>
              <w:pStyle w:val="BDOITable"/>
            </w:pPr>
            <w:r>
              <w:rPr>
                <w:sz w:val="17"/>
              </w:rPr>
              <w:t>Equal; a difference explained by the code map (mapped value) is not a break</w:t>
            </w: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1802"/>
            <w:tcMar>
              <w:top w:w="50" w:type="dxa"/>
              <w:bottom w:w="50" w:type="dxa"/>
              <w:left w:w="90" w:type="dxa"/>
              <w:right w:w="90" w:type="dxa"/>
            </w:tcMar>
          </w:tcPr>
          <w:p>
            <w:pPr>
              <w:pStyle w:val="BDOITable"/>
            </w:pPr>
            <w:r>
              <w:rPr>
                <w:sz w:val="17"/>
              </w:rPr>
              <w:t>GL</w:t>
            </w:r>
          </w:p>
        </w:tc>
        <w:tc>
          <w:tcPr>
            <w:tcW w:type="dxa" w:w="3724"/>
            <w:tcMar>
              <w:top w:w="50" w:type="dxa"/>
              <w:bottom w:w="50" w:type="dxa"/>
              <w:left w:w="90" w:type="dxa"/>
              <w:right w:w="90" w:type="dxa"/>
            </w:tcMar>
          </w:tcPr>
          <w:p>
            <w:pPr>
              <w:pStyle w:val="BDOITable"/>
            </w:pPr>
            <w:r>
              <w:rPr>
                <w:sz w:val="17"/>
              </w:rPr>
              <w:t>Migration Clearing balance per branch and currency, analysed per legacy control account (trial balance line against the opening detail posted to that account); each legacy control account against its legacy sub-ledger (ACSL GL-SL reconciliation with ledger context LEGACY)</w:t>
            </w:r>
          </w:p>
        </w:tc>
        <w:tc>
          <w:tcPr>
            <w:tcW w:type="dxa" w:w="3724"/>
            <w:tcMar>
              <w:top w:w="50" w:type="dxa"/>
              <w:bottom w:w="50" w:type="dxa"/>
              <w:left w:w="90" w:type="dxa"/>
              <w:right w:w="90" w:type="dxa"/>
            </w:tcMar>
          </w:tcPr>
          <w:p>
            <w:pPr>
              <w:pStyle w:val="BDOITable"/>
            </w:pPr>
            <w:r>
              <w:rPr>
                <w:sz w:val="17"/>
              </w:rPr>
              <w:t>Migration Clearing 0.00; per control account TB line = opening detail; control account = sub-ledger</w:t>
            </w:r>
          </w:p>
        </w:tc>
      </w:tr>
    </w:tbl>
    <w:p>
      <w:pPr>
        <w:pStyle w:val="BDOISpacer"/>
      </w:pPr>
    </w:p>
    <w:p>
      <w:r>
        <w:rPr>
          <w:b/>
        </w:rPr>
        <w:t>Breaks.</w:t>
      </w:r>
      <w:r>
        <w:rPr/>
        <w:t xml:space="preserve"> Any difference is a break (status BREAK). A break is fixed by a rerun (new extract, new map version or a corrected row) or explained. An explanation gives a reason from the list MIG_BREAK_REASON (rounding at source, record excluded by the owner, mapping difference, legacy data error, late legacy transaction, other) and a text, and is approved by the reconciliation approver. A reconciliation cannot be signed (gate G5) while a break is open.</w:t>
      </w:r>
    </w:p>
    <w:p>
      <w:r>
        <w:rPr>
          <w:b/>
        </w:rPr>
        <w:t>Reports.</w:t>
      </w:r>
      <w:r>
        <w:rPr/>
        <w:t xml:space="preserve"> MIG-RECON-SUMMARY (object by level with status), MIG-RECON-DETAIL (lines, breaks, explanations, approvals), MIG-REJECTS (rejected and invalid rows with their messages), MIG-GL-CLEARING (Migration Clearing per branch and currency; legacy control accounts against sub-ledgers). All export to Excel and PDF.</w:t>
      </w:r>
    </w:p>
    <w:p>
      <w:pPr>
        <w:pStyle w:val="Heading1"/>
        <w:pBdr>
          <w:bottom w:val="single" w:sz="4" w:space="4" w:color="99C1E7"/>
        </w:pBdr>
      </w:pPr>
      <w:bookmarkStart w:id="103" w:name="_Toc000103"/>
      <w:r>
        <w:rPr/>
        <w:t>3 Control totals BDOI sends</w:t>
      </w:r>
      <w:bookmarkEnd w:id="103"/>
    </w:p>
    <w:p>
      <w:r>
        <w:rPr/>
        <w:t xml:space="preserve">Every data file comes with a control file (workbook sheet "Control File" and template </w:t>
      </w:r>
      <w:r>
        <w:rPr>
          <w:rFonts w:ascii="Courier New" w:hAnsi="Courier New" w:cs="Courier New" w:eastAsia="Courier New"/>
          <w:color w:val="2E2E2E"/>
          <w:sz w:val="19"/>
        </w:rPr>
        <w:t>CONTROL_template.ctl.csv</w:t>
      </w:r>
      <w:r>
        <w:rPr/>
        <w:t>). It always carries the row count and the SHA-256 of the data file, plus the hash total of the key and the amount totals of the layout:</w:t>
      </w:r>
    </w:p>
    <w:p>
      <w:pPr>
        <w:pStyle w:val="Caption"/>
        <w:keepNext/>
        <w:spacing w:after="60"/>
      </w:pPr>
      <w:r>
        <w:rPr>
          <w:b/>
          <w:i w:val="0"/>
        </w:rPr>
        <w:t xml:space="preserve">Table 2: </w:t>
      </w:r>
      <w:r>
        <w:rPr/>
        <w:t>Control totals required per layout (row count and SHA-256 for every layout)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3003"/>
        <w:gridCol w:w="3184"/>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Hash total (L3)</w:t>
            </w:r>
          </w:p>
        </w:tc>
        <w:tc>
          <w:tcPr>
            <w:tcW w:type="dxa" w:w="3184"/>
            <w:shd w:val="clear" w:color="auto" w:fill="004EA8"/>
            <w:tcMar>
              <w:top w:w="50" w:type="dxa"/>
              <w:bottom w:w="50" w:type="dxa"/>
              <w:left w:w="90" w:type="dxa"/>
              <w:right w:w="90" w:type="dxa"/>
            </w:tcMar>
            <w:vAlign w:val="center"/>
          </w:tcPr>
          <w:p>
            <w:pPr>
              <w:pStyle w:val="BDOITableHeader"/>
            </w:pPr>
            <w:r>
              <w:rPr>
                <w:b/>
                <w:color w:val="FFFFFF"/>
                <w:sz w:val="16"/>
              </w:rPr>
              <w:t>Amount totals per currency (L2)</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3004"/>
            <w:tcMar>
              <w:top w:w="50" w:type="dxa"/>
              <w:bottom w:w="50" w:type="dxa"/>
              <w:left w:w="90" w:type="dxa"/>
              <w:right w:w="90" w:type="dxa"/>
            </w:tcMar>
          </w:tcPr>
          <w:p>
            <w:pPr>
              <w:pStyle w:val="BDOITable"/>
            </w:pPr>
            <w:r>
              <w:rPr>
                <w:sz w:val="16"/>
              </w:rPr>
              <w:t>Count of distinct (list_type, 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3004"/>
            <w:tcMar>
              <w:top w:w="50" w:type="dxa"/>
              <w:bottom w:w="50" w:type="dxa"/>
              <w:left w:w="90" w:type="dxa"/>
              <w:right w:w="90" w:type="dxa"/>
            </w:tcMar>
            <w:shd w:val="clear" w:color="auto" w:fill="E5F5FF"/>
          </w:tcPr>
          <w:p>
            <w:pPr>
              <w:pStyle w:val="BDOITable"/>
            </w:pPr>
            <w:r>
              <w:rPr>
                <w:sz w:val="16"/>
              </w:rPr>
              <w:t>Count of distinct branch_code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(units and account officers)</w:t>
            </w:r>
          </w:p>
        </w:tc>
        <w:tc>
          <w:tcPr>
            <w:tcW w:type="dxa" w:w="3004"/>
            <w:tcMar>
              <w:top w:w="50" w:type="dxa"/>
              <w:bottom w:w="50" w:type="dxa"/>
              <w:left w:w="90" w:type="dxa"/>
              <w:right w:w="90" w:type="dxa"/>
            </w:tcMar>
          </w:tcPr>
          <w:p>
            <w:pPr>
              <w:pStyle w:val="BDOITable"/>
            </w:pPr>
            <w:r>
              <w:rPr>
                <w:sz w:val="16"/>
              </w:rPr>
              <w:t>Count of rows per record_type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w:t>
            </w:r>
          </w:p>
        </w:tc>
        <w:tc>
          <w:tcPr>
            <w:tcW w:type="dxa" w:w="3004"/>
            <w:tcMar>
              <w:top w:w="50" w:type="dxa"/>
              <w:bottom w:w="50" w:type="dxa"/>
              <w:left w:w="90" w:type="dxa"/>
              <w:right w:w="90" w:type="dxa"/>
            </w:tcMar>
            <w:shd w:val="clear" w:color="auto" w:fill="E5F5FF"/>
          </w:tcPr>
          <w:p>
            <w:pPr>
              <w:pStyle w:val="BDOITable"/>
            </w:pPr>
            <w:r>
              <w:rPr>
                <w:sz w:val="16"/>
              </w:rPr>
              <w:t>Count of distinct insurer_code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3004"/>
            <w:tcMar>
              <w:top w:w="50" w:type="dxa"/>
              <w:bottom w:w="50" w:type="dxa"/>
              <w:left w:w="90" w:type="dxa"/>
              <w:right w:w="90" w:type="dxa"/>
            </w:tcMar>
          </w:tcPr>
          <w:p>
            <w:pPr>
              <w:pStyle w:val="BDOITable"/>
            </w:pPr>
            <w:r>
              <w:rPr>
                <w:sz w:val="16"/>
              </w:rPr>
              <w:t>Insurer branches</w:t>
            </w:r>
          </w:p>
        </w:tc>
        <w:tc>
          <w:tcPr>
            <w:tcW w:type="dxa" w:w="3004"/>
            <w:tcMar>
              <w:top w:w="50" w:type="dxa"/>
              <w:bottom w:w="50" w:type="dxa"/>
              <w:left w:w="90" w:type="dxa"/>
              <w:right w:w="90" w:type="dxa"/>
            </w:tcMar>
          </w:tcPr>
          <w:p>
            <w:pPr>
              <w:pStyle w:val="BDOITable"/>
            </w:pPr>
            <w:r>
              <w:rPr>
                <w:sz w:val="16"/>
              </w:rPr>
              <w:t>Count of distinct (insurer_code, branch_code)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3004"/>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3004"/>
            <w:tcMar>
              <w:top w:w="50" w:type="dxa"/>
              <w:bottom w:w="50" w:type="dxa"/>
              <w:left w:w="90" w:type="dxa"/>
              <w:right w:w="90" w:type="dxa"/>
            </w:tcMar>
            <w:shd w:val="clear" w:color="auto" w:fill="E5F5FF"/>
          </w:tcPr>
          <w:p>
            <w:pPr>
              <w:pStyle w:val="BDOITable"/>
            </w:pPr>
            <w:r>
              <w:rPr>
                <w:sz w:val="16"/>
              </w:rPr>
              <w:t>Count of distinct risk_code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3004"/>
            <w:tcMar>
              <w:top w:w="50" w:type="dxa"/>
              <w:bottom w:w="50" w:type="dxa"/>
              <w:left w:w="90" w:type="dxa"/>
              <w:right w:w="90" w:type="dxa"/>
            </w:tcMar>
          </w:tcPr>
          <w:p>
            <w:pPr>
              <w:pStyle w:val="BDOITable"/>
            </w:pPr>
            <w:r>
              <w:rPr>
                <w:sz w:val="16"/>
              </w:rPr>
              <w:t>Packages (active versions)</w:t>
            </w:r>
          </w:p>
        </w:tc>
        <w:tc>
          <w:tcPr>
            <w:tcW w:type="dxa" w:w="3004"/>
            <w:tcMar>
              <w:top w:w="50" w:type="dxa"/>
              <w:bottom w:w="50" w:type="dxa"/>
              <w:left w:w="90" w:type="dxa"/>
              <w:right w:w="90" w:type="dxa"/>
            </w:tcMar>
          </w:tcPr>
          <w:p>
            <w:pPr>
              <w:pStyle w:val="BDOITable"/>
            </w:pPr>
            <w:r>
              <w:rPr>
                <w:sz w:val="16"/>
              </w:rPr>
              <w:t>Count of distinct (package_code, package_version)</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3004"/>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3004"/>
            <w:tcMar>
              <w:top w:w="50" w:type="dxa"/>
              <w:bottom w:w="50" w:type="dxa"/>
              <w:left w:w="90" w:type="dxa"/>
              <w:right w:w="90" w:type="dxa"/>
            </w:tcMar>
          </w:tcPr>
          <w:p>
            <w:pPr>
              <w:pStyle w:val="BDOITable"/>
            </w:pPr>
            <w:r>
              <w:rPr>
                <w:sz w:val="16"/>
              </w:rPr>
              <w:t>Chart of accounts mapping</w:t>
            </w:r>
          </w:p>
        </w:tc>
        <w:tc>
          <w:tcPr>
            <w:tcW w:type="dxa" w:w="3004"/>
            <w:tcMar>
              <w:top w:w="50" w:type="dxa"/>
              <w:bottom w:w="50" w:type="dxa"/>
              <w:left w:w="90" w:type="dxa"/>
              <w:right w:w="90" w:type="dxa"/>
            </w:tcMar>
          </w:tcPr>
          <w:p>
            <w:pPr>
              <w:pStyle w:val="BDOITable"/>
            </w:pPr>
            <w:r>
              <w:rPr>
                <w:sz w:val="16"/>
              </w:rPr>
              <w:t>Count of distinct legacy_account_code</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3004"/>
            <w:tcMar>
              <w:top w:w="50" w:type="dxa"/>
              <w:bottom w:w="50" w:type="dxa"/>
              <w:left w:w="90" w:type="dxa"/>
              <w:right w:w="90" w:type="dxa"/>
            </w:tcMar>
            <w:shd w:val="clear" w:color="auto" w:fill="E5F5FF"/>
          </w:tcPr>
          <w:p>
            <w:pPr>
              <w:pStyle w:val="BDOITable"/>
            </w:pPr>
            <w:r>
              <w:rPr>
                <w:sz w:val="16"/>
              </w:rPr>
              <w:t>Payees</w:t>
            </w:r>
          </w:p>
        </w:tc>
        <w:tc>
          <w:tcPr>
            <w:tcW w:type="dxa" w:w="3004"/>
            <w:tcMar>
              <w:top w:w="50" w:type="dxa"/>
              <w:bottom w:w="50" w:type="dxa"/>
              <w:left w:w="90" w:type="dxa"/>
              <w:right w:w="90" w:type="dxa"/>
            </w:tcMar>
            <w:shd w:val="clear" w:color="auto" w:fill="E5F5FF"/>
          </w:tcPr>
          <w:p>
            <w:pPr>
              <w:pStyle w:val="BDOITable"/>
            </w:pPr>
            <w:r>
              <w:rPr>
                <w:sz w:val="16"/>
              </w:rPr>
              <w:t>Count of distinct payee_code</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w:t>
            </w:r>
          </w:p>
        </w:tc>
        <w:tc>
          <w:tcPr>
            <w:tcW w:type="dxa" w:w="3004"/>
            <w:tcMar>
              <w:top w:w="50" w:type="dxa"/>
              <w:bottom w:w="50" w:type="dxa"/>
              <w:left w:w="90" w:type="dxa"/>
              <w:right w:w="90" w:type="dxa"/>
            </w:tcMar>
            <w:shd w:val="clear" w:color="auto" w:fill="E5F5FF"/>
          </w:tcPr>
          <w:p>
            <w:pPr>
              <w:pStyle w:val="BDOITable"/>
            </w:pPr>
            <w:r>
              <w:rPr>
                <w:sz w:val="16"/>
              </w:rPr>
              <w:t>Count of distinct legacy_client_no</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3004"/>
            <w:tcMar>
              <w:top w:w="50" w:type="dxa"/>
              <w:bottom w:w="50" w:type="dxa"/>
              <w:left w:w="90" w:type="dxa"/>
              <w:right w:w="90" w:type="dxa"/>
            </w:tcMar>
          </w:tcPr>
          <w:p>
            <w:pPr>
              <w:pStyle w:val="BDOITable"/>
            </w:pPr>
            <w:r>
              <w:rPr>
                <w:sz w:val="16"/>
              </w:rPr>
              <w:t>Client addresses and contacts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3004"/>
            <w:tcMar>
              <w:top w:w="50" w:type="dxa"/>
              <w:bottom w:w="50" w:type="dxa"/>
              <w:left w:w="90" w:type="dxa"/>
              <w:right w:w="90" w:type="dxa"/>
            </w:tcMar>
          </w:tcPr>
          <w:p>
            <w:pPr>
              <w:pStyle w:val="BDOITable"/>
            </w:pPr>
            <w:r>
              <w:rPr>
                <w:sz w:val="16"/>
              </w:rPr>
              <w:t>In-force policy headers</w:t>
            </w:r>
          </w:p>
        </w:tc>
        <w:tc>
          <w:tcPr>
            <w:tcW w:type="dxa" w:w="3004"/>
            <w:tcMar>
              <w:top w:w="50" w:type="dxa"/>
              <w:bottom w:w="50" w:type="dxa"/>
              <w:left w:w="90" w:type="dxa"/>
              <w:right w:w="90" w:type="dxa"/>
            </w:tcMar>
          </w:tcPr>
          <w:p>
            <w:pPr>
              <w:pStyle w:val="BDOITable"/>
            </w:pPr>
            <w:r>
              <w:rPr>
                <w:sz w:val="16"/>
              </w:rPr>
              <w:t>Count of distinct legacy_policy_ref</w:t>
            </w:r>
          </w:p>
        </w:tc>
        <w:tc>
          <w:tcPr>
            <w:tcW w:type="dxa" w:w="3184"/>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3004"/>
            <w:tcMar>
              <w:top w:w="50" w:type="dxa"/>
              <w:bottom w:w="50" w:type="dxa"/>
              <w:left w:w="90" w:type="dxa"/>
              <w:right w:w="90" w:type="dxa"/>
            </w:tcMar>
            <w:shd w:val="clear" w:color="auto" w:fill="E5F5FF"/>
          </w:tcPr>
          <w:p>
            <w:pPr>
              <w:pStyle w:val="BDOITable"/>
            </w:pPr>
            <w:r>
              <w:rPr>
                <w:sz w:val="16"/>
              </w:rPr>
              <w:t>Policy insurer shares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3004"/>
            <w:tcMar>
              <w:top w:w="50" w:type="dxa"/>
              <w:bottom w:w="50" w:type="dxa"/>
              <w:left w:w="90" w:type="dxa"/>
              <w:right w:w="90" w:type="dxa"/>
            </w:tcMar>
          </w:tcPr>
          <w:p>
            <w:pPr>
              <w:pStyle w:val="BDOITable"/>
            </w:pPr>
            <w:r>
              <w:rPr>
                <w:sz w:val="16"/>
              </w:rPr>
              <w:t>RMEL cohorts January to May 2028 (carried renewals)</w:t>
            </w:r>
          </w:p>
        </w:tc>
        <w:tc>
          <w:tcPr>
            <w:tcW w:type="dxa" w:w="3004"/>
            <w:tcMar>
              <w:top w:w="50" w:type="dxa"/>
              <w:bottom w:w="50" w:type="dxa"/>
              <w:left w:w="90" w:type="dxa"/>
              <w:right w:w="90" w:type="dxa"/>
            </w:tcMar>
          </w:tcPr>
          <w:p>
            <w:pPr>
              <w:pStyle w:val="BDOITable"/>
            </w:pPr>
            <w:r>
              <w:rPr>
                <w:sz w:val="16"/>
              </w:rPr>
              <w:t>Count of distinct legacy_policy_ref per rmel_month</w:t>
            </w:r>
          </w:p>
        </w:tc>
        <w:tc>
          <w:tcPr>
            <w:tcW w:type="dxa" w:w="3184"/>
            <w:tcMar>
              <w:top w:w="50" w:type="dxa"/>
              <w:bottom w:w="50" w:type="dxa"/>
              <w:left w:w="90" w:type="dxa"/>
              <w:right w:w="90" w:type="dxa"/>
            </w:tcMar>
          </w:tcPr>
          <w:p>
            <w:pPr>
              <w:pStyle w:val="BDOITable"/>
            </w:pPr>
            <w:r>
              <w:rPr>
                <w:sz w:val="16"/>
              </w:rPr>
              <w:t>expiring_premium, proposed_sum_insured, 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3004"/>
            <w:tcMar>
              <w:top w:w="50" w:type="dxa"/>
              <w:bottom w:w="50" w:type="dxa"/>
              <w:left w:w="90" w:type="dxa"/>
              <w:right w:w="90" w:type="dxa"/>
            </w:tcMar>
            <w:shd w:val="clear" w:color="auto" w:fill="E5F5FF"/>
          </w:tcPr>
          <w:p>
            <w:pPr>
              <w:pStyle w:val="BDOITable"/>
            </w:pPr>
            <w:r>
              <w:rPr>
                <w:sz w:val="16"/>
              </w:rPr>
              <w:t>Open legacy invoices - header</w:t>
            </w:r>
          </w:p>
        </w:tc>
        <w:tc>
          <w:tcPr>
            <w:tcW w:type="dxa" w:w="3004"/>
            <w:tcMar>
              <w:top w:w="50" w:type="dxa"/>
              <w:bottom w:w="50" w:type="dxa"/>
              <w:left w:w="90" w:type="dxa"/>
              <w:right w:w="90" w:type="dxa"/>
            </w:tcMar>
            <w:shd w:val="clear" w:color="auto" w:fill="E5F5FF"/>
          </w:tcPr>
          <w:p>
            <w:pPr>
              <w:pStyle w:val="BDOITable"/>
            </w:pPr>
            <w:r>
              <w:rPr>
                <w:sz w:val="16"/>
              </w:rPr>
              <w:t>Count of distinct legacy_invoice_no</w:t>
            </w:r>
          </w:p>
        </w:tc>
        <w:tc>
          <w:tcPr>
            <w:tcW w:type="dxa" w:w="3184"/>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3004"/>
            <w:tcMar>
              <w:top w:w="50" w:type="dxa"/>
              <w:bottom w:w="50" w:type="dxa"/>
              <w:left w:w="90" w:type="dxa"/>
              <w:right w:w="90" w:type="dxa"/>
            </w:tcMar>
          </w:tcPr>
          <w:p>
            <w:pPr>
              <w:pStyle w:val="BDOITable"/>
            </w:pPr>
            <w:r>
              <w:rPr>
                <w:sz w:val="16"/>
              </w:rPr>
              <w:t>Open legacy invoices - insurer shares</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3004"/>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3004"/>
            <w:tcMar>
              <w:top w:w="50" w:type="dxa"/>
              <w:bottom w:w="50" w:type="dxa"/>
              <w:left w:w="90" w:type="dxa"/>
              <w:right w:w="90" w:type="dxa"/>
            </w:tcMar>
          </w:tcPr>
          <w:p>
            <w:pPr>
              <w:pStyle w:val="BDOITable"/>
            </w:pPr>
            <w:r>
              <w:rPr>
                <w:sz w:val="16"/>
              </w:rPr>
              <w:t>Unapplied premium payments (UPP)</w:t>
            </w:r>
          </w:p>
        </w:tc>
        <w:tc>
          <w:tcPr>
            <w:tcW w:type="dxa" w:w="3004"/>
            <w:tcMar>
              <w:top w:w="50" w:type="dxa"/>
              <w:bottom w:w="50" w:type="dxa"/>
              <w:left w:w="90" w:type="dxa"/>
              <w:right w:w="90" w:type="dxa"/>
            </w:tcMar>
          </w:tcPr>
          <w:p>
            <w:pPr>
              <w:pStyle w:val="BDOITable"/>
            </w:pPr>
            <w:r>
              <w:rPr>
                <w:sz w:val="16"/>
              </w:rPr>
              <w:t>Count of distinct legacy_upp_ref</w:t>
            </w:r>
          </w:p>
        </w:tc>
        <w:tc>
          <w:tcPr>
            <w:tcW w:type="dxa" w:w="3184"/>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3004"/>
            <w:tcMar>
              <w:top w:w="50" w:type="dxa"/>
              <w:bottom w:w="50" w:type="dxa"/>
              <w:left w:w="90" w:type="dxa"/>
              <w:right w:w="90" w:type="dxa"/>
            </w:tcMar>
            <w:shd w:val="clear" w:color="auto" w:fill="E5F5FF"/>
          </w:tcPr>
          <w:p>
            <w:pPr>
              <w:pStyle w:val="BDOITable"/>
            </w:pPr>
            <w:r>
              <w:rPr>
                <w:sz w:val="16"/>
              </w:rPr>
              <w:t>Open collection state</w:t>
            </w:r>
          </w:p>
        </w:tc>
        <w:tc>
          <w:tcPr>
            <w:tcW w:type="dxa" w:w="3004"/>
            <w:tcMar>
              <w:top w:w="50" w:type="dxa"/>
              <w:bottom w:w="50" w:type="dxa"/>
              <w:left w:w="90" w:type="dxa"/>
              <w:right w:w="90" w:type="dxa"/>
            </w:tcMar>
            <w:shd w:val="clear" w:color="auto" w:fill="E5F5FF"/>
          </w:tcPr>
          <w:p>
            <w:pPr>
              <w:pStyle w:val="BDOITable"/>
            </w:pPr>
            <w:r>
              <w:rPr>
                <w:sz w:val="16"/>
              </w:rPr>
              <w:t>Count of rows</w:t>
            </w:r>
          </w:p>
        </w:tc>
        <w:tc>
          <w:tcPr>
            <w:tcW w:type="dxa" w:w="3184"/>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3004"/>
            <w:tcMar>
              <w:top w:w="50" w:type="dxa"/>
              <w:bottom w:w="50" w:type="dxa"/>
              <w:left w:w="90" w:type="dxa"/>
              <w:right w:w="90" w:type="dxa"/>
            </w:tcMar>
          </w:tcPr>
          <w:p>
            <w:pPr>
              <w:pStyle w:val="BDOITable"/>
            </w:pPr>
            <w:r>
              <w:rPr>
                <w:sz w:val="16"/>
              </w:rPr>
              <w:t>Remittance in flight</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3004"/>
            <w:tcMar>
              <w:top w:w="50" w:type="dxa"/>
              <w:bottom w:w="50" w:type="dxa"/>
              <w:left w:w="90" w:type="dxa"/>
              <w:right w:w="90" w:type="dxa"/>
            </w:tcMar>
            <w:shd w:val="clear" w:color="auto" w:fill="E5F5FF"/>
          </w:tcPr>
          <w:p>
            <w:pPr>
              <w:pStyle w:val="BDOITable"/>
            </w:pPr>
            <w:r>
              <w:rPr>
                <w:sz w:val="16"/>
              </w:rPr>
              <w:t>Count of rows per record_type</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3004"/>
            <w:tcMar>
              <w:top w:w="50" w:type="dxa"/>
              <w:bottom w:w="50" w:type="dxa"/>
              <w:left w:w="90" w:type="dxa"/>
              <w:right w:w="90" w:type="dxa"/>
            </w:tcMar>
          </w:tcPr>
          <w:p>
            <w:pPr>
              <w:pStyle w:val="BDOITable"/>
            </w:pPr>
            <w:r>
              <w:rPr>
                <w:sz w:val="16"/>
              </w:rPr>
              <w:t>GL opening trial balance</w:t>
            </w:r>
          </w:p>
        </w:tc>
        <w:tc>
          <w:tcPr>
            <w:tcW w:type="dxa" w:w="3004"/>
            <w:tcMar>
              <w:top w:w="50" w:type="dxa"/>
              <w:bottom w:w="50" w:type="dxa"/>
              <w:left w:w="90" w:type="dxa"/>
              <w:right w:w="90" w:type="dxa"/>
            </w:tcMar>
          </w:tcPr>
          <w:p>
            <w:pPr>
              <w:pStyle w:val="BDOITable"/>
            </w:pPr>
            <w:r>
              <w:rPr>
                <w:sz w:val="16"/>
              </w:rPr>
              <w:t>Count of rows</w:t>
            </w:r>
          </w:p>
        </w:tc>
        <w:tc>
          <w:tcPr>
            <w:tcW w:type="dxa" w:w="3184"/>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3004"/>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3004"/>
            <w:tcMar>
              <w:top w:w="50" w:type="dxa"/>
              <w:bottom w:w="50" w:type="dxa"/>
              <w:left w:w="90" w:type="dxa"/>
              <w:right w:w="90" w:type="dxa"/>
            </w:tcMar>
            <w:shd w:val="clear" w:color="auto" w:fill="E5F5FF"/>
          </w:tcPr>
          <w:p>
            <w:pPr>
              <w:pStyle w:val="BDOITable"/>
            </w:pPr>
            <w:r>
              <w:rPr>
                <w:sz w:val="16"/>
              </w:rPr>
              <w:t>Count of distinct (record_type, legacy_key)</w:t>
            </w:r>
          </w:p>
        </w:tc>
        <w:tc>
          <w:tcPr>
            <w:tcW w:type="dxa" w:w="3184"/>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3004"/>
            <w:tcMar>
              <w:top w:w="50" w:type="dxa"/>
              <w:bottom w:w="50" w:type="dxa"/>
              <w:left w:w="90" w:type="dxa"/>
              <w:right w:w="90" w:type="dxa"/>
            </w:tcMar>
          </w:tcPr>
          <w:p>
            <w:pPr>
              <w:pStyle w:val="BDOITable"/>
            </w:pPr>
            <w:r>
              <w:rPr>
                <w:sz w:val="16"/>
              </w:rPr>
              <w:t>Archive documents index</w:t>
            </w:r>
          </w:p>
        </w:tc>
        <w:tc>
          <w:tcPr>
            <w:tcW w:type="dxa" w:w="3004"/>
            <w:tcMar>
              <w:top w:w="50" w:type="dxa"/>
              <w:bottom w:w="50" w:type="dxa"/>
              <w:left w:w="90" w:type="dxa"/>
              <w:right w:w="90" w:type="dxa"/>
            </w:tcMar>
          </w:tcPr>
          <w:p>
            <w:pPr>
              <w:pStyle w:val="BDOITable"/>
            </w:pPr>
            <w:r>
              <w:rPr>
                <w:sz w:val="16"/>
              </w:rPr>
              <w:t>Count of rows; SHA-256 per file</w:t>
            </w:r>
          </w:p>
        </w:tc>
        <w:tc>
          <w:tcPr>
            <w:tcW w:type="dxa" w:w="3184"/>
            <w:tcMar>
              <w:top w:w="50" w:type="dxa"/>
              <w:bottom w:w="50" w:type="dxa"/>
              <w:left w:w="90" w:type="dxa"/>
              <w:right w:w="90" w:type="dxa"/>
            </w:tcMar>
          </w:tcPr>
          <w:p>
            <w:pPr>
              <w:pStyle w:val="BDOITable"/>
            </w:pPr>
            <w:r>
              <w:rPr>
                <w:sz w:val="16"/>
              </w:rPr>
              <w:t>-</w:t>
            </w:r>
          </w:p>
        </w:tc>
      </w:tr>
    </w:tbl>
    <w:p>
      <w:pPr>
        <w:pStyle w:val="BDOISpacer"/>
      </w:pPr>
    </w:p>
    <w:p>
      <w:r>
        <w:rPr/>
        <w:t>The workbook sheet "Control Totals" lists the same measures one per row, with columns for the value from BDOI, the value in BIBS, the difference and the status. It is the tie-out sheet of L1 to L3 for each cycle.</w:t>
      </w:r>
    </w:p>
    <w:p>
      <w:pPr>
        <w:pStyle w:val="Heading1"/>
        <w:pBdr>
          <w:bottom w:val="single" w:sz="4" w:space="4" w:color="99C1E7"/>
        </w:pBdr>
      </w:pPr>
      <w:bookmarkStart w:id="104" w:name="_Toc000104"/>
      <w:r>
        <w:rPr/>
        <w:t>4 Reconciliation per data object</w:t>
      </w:r>
      <w:bookmarkEnd w:id="104"/>
    </w:p>
    <w:p>
      <w:pPr>
        <w:pStyle w:val="Caption"/>
        <w:keepNext/>
        <w:spacing w:after="60"/>
      </w:pPr>
      <w:r>
        <w:rPr>
          <w:b/>
          <w:i w:val="0"/>
        </w:rPr>
        <w:t xml:space="preserve">Table 3: </w:t>
      </w:r>
      <w:r>
        <w:rPr/>
        <w:t>What is reconciled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1562"/>
        <w:gridCol w:w="2042"/>
        <w:gridCol w:w="1562"/>
        <w:gridCol w:w="1562"/>
        <w:gridCol w:w="252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L1 counts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L2 amounts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L3 hash</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L4 fields</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L5 GL / business check</w:t>
            </w:r>
          </w:p>
        </w:tc>
      </w:tr>
      <w:tr>
        <w:trPr>
          <w:cantSplit w:val="true"/>
        </w:trPr>
        <w:tc>
          <w:tcPr>
            <w:tcW w:type="dxa" w:w="721"/>
            <w:tcMar>
              <w:top w:w="50" w:type="dxa"/>
              <w:bottom w:w="50" w:type="dxa"/>
              <w:left w:w="90" w:type="dxa"/>
              <w:right w:w="90" w:type="dxa"/>
            </w:tcMar>
          </w:tcPr>
          <w:p>
            <w:pPr>
              <w:pStyle w:val="BDOITable"/>
            </w:pPr>
            <w:r>
              <w:rPr>
                <w:sz w:val="16"/>
              </w:rPr>
              <w:t>R01-R08, R11</w:t>
            </w:r>
          </w:p>
        </w:tc>
        <w:tc>
          <w:tcPr>
            <w:tcW w:type="dxa" w:w="1562"/>
            <w:tcMar>
              <w:top w:w="50" w:type="dxa"/>
              <w:bottom w:w="50" w:type="dxa"/>
              <w:left w:w="90" w:type="dxa"/>
              <w:right w:w="90" w:type="dxa"/>
            </w:tcMar>
          </w:tcPr>
          <w:p>
            <w:pPr>
              <w:pStyle w:val="BDOITable"/>
            </w:pPr>
            <w:r>
              <w:rPr>
                <w:sz w:val="16"/>
              </w:rPr>
              <w:t>Values received, mapped, created, rejected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keys</w:t>
            </w:r>
          </w:p>
        </w:tc>
        <w:tc>
          <w:tcPr>
            <w:tcW w:type="dxa" w:w="1562"/>
            <w:tcMar>
              <w:top w:w="50" w:type="dxa"/>
              <w:bottom w:w="50" w:type="dxa"/>
              <w:left w:w="90" w:type="dxa"/>
              <w:right w:w="90" w:type="dxa"/>
            </w:tcMar>
          </w:tcPr>
          <w:p>
            <w:pPr>
              <w:pStyle w:val="BDOITable"/>
            </w:pPr>
            <w:r>
              <w:rPr>
                <w:sz w:val="16"/>
              </w:rPr>
              <w:t>Created values (name, status, dates)</w:t>
            </w:r>
          </w:p>
        </w:tc>
        <w:tc>
          <w:tcPr>
            <w:tcW w:type="dxa" w:w="2523"/>
            <w:tcMar>
              <w:top w:w="50" w:type="dxa"/>
              <w:bottom w:w="50" w:type="dxa"/>
              <w:left w:w="90" w:type="dxa"/>
              <w:right w:w="90" w:type="dxa"/>
            </w:tcMar>
          </w:tcPr>
          <w:p>
            <w:pPr>
              <w:pStyle w:val="BDOITable"/>
            </w:pPr>
            <w:r>
              <w:rPr>
                <w:sz w:val="16"/>
              </w:rPr>
              <w:t>Unmapped-code report empty; every CREATE value authorised in its master; every legacy package in the PACKAGE map</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R09</w:t>
            </w:r>
          </w:p>
        </w:tc>
        <w:tc>
          <w:tcPr>
            <w:tcW w:type="dxa" w:w="1562"/>
            <w:tcMar>
              <w:top w:w="50" w:type="dxa"/>
              <w:bottom w:w="50" w:type="dxa"/>
              <w:left w:w="90" w:type="dxa"/>
              <w:right w:w="90" w:type="dxa"/>
            </w:tcMar>
            <w:shd w:val="clear" w:color="auto" w:fill="E5F5FF"/>
          </w:tcPr>
          <w:p>
            <w:pPr>
              <w:pStyle w:val="BDOITable"/>
            </w:pPr>
            <w:r>
              <w:rPr>
                <w:sz w:val="16"/>
              </w:rPr>
              <w:t>Payees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payee codes</w:t>
            </w:r>
          </w:p>
        </w:tc>
        <w:tc>
          <w:tcPr>
            <w:tcW w:type="dxa" w:w="1562"/>
            <w:tcMar>
              <w:top w:w="50" w:type="dxa"/>
              <w:bottom w:w="50" w:type="dxa"/>
              <w:left w:w="90" w:type="dxa"/>
              <w:right w:w="90" w:type="dxa"/>
            </w:tcMar>
            <w:shd w:val="clear" w:color="auto" w:fill="E5F5FF"/>
          </w:tcPr>
          <w:p>
            <w:pPr>
              <w:pStyle w:val="BDOITable"/>
            </w:pPr>
            <w:r>
              <w:rPr>
                <w:sz w:val="16"/>
              </w:rPr>
              <w:t>All loaded fields</w:t>
            </w:r>
          </w:p>
        </w:tc>
        <w:tc>
          <w:tcPr>
            <w:tcW w:type="dxa" w:w="2523"/>
            <w:tcMar>
              <w:top w:w="50" w:type="dxa"/>
              <w:bottom w:w="50" w:type="dxa"/>
              <w:left w:w="90" w:type="dxa"/>
              <w:right w:w="90" w:type="dxa"/>
            </w:tcMar>
            <w:shd w:val="clear" w:color="auto" w:fill="E5F5FF"/>
          </w:tcPr>
          <w:p>
            <w:pPr>
              <w:pStyle w:val="BDOITable"/>
            </w:pPr>
            <w:r>
              <w:rPr>
                <w:sz w:val="16"/>
              </w:rPr>
              <w:t>Payee list in Disbursement</w:t>
            </w:r>
          </w:p>
        </w:tc>
      </w:tr>
      <w:tr>
        <w:trPr>
          <w:cantSplit w:val="true"/>
        </w:trPr>
        <w:tc>
          <w:tcPr>
            <w:tcW w:type="dxa" w:w="721"/>
            <w:tcMar>
              <w:top w:w="50" w:type="dxa"/>
              <w:bottom w:w="50" w:type="dxa"/>
              <w:left w:w="90" w:type="dxa"/>
              <w:right w:w="90" w:type="dxa"/>
            </w:tcMar>
          </w:tcPr>
          <w:p>
            <w:pPr>
              <w:pStyle w:val="BDOITable"/>
            </w:pPr>
            <w:r>
              <w:rPr>
                <w:sz w:val="16"/>
              </w:rPr>
              <w:t>C01, C02</w:t>
            </w:r>
          </w:p>
        </w:tc>
        <w:tc>
          <w:tcPr>
            <w:tcW w:type="dxa" w:w="1562"/>
            <w:tcMar>
              <w:top w:w="50" w:type="dxa"/>
              <w:bottom w:w="50" w:type="dxa"/>
              <w:left w:w="90" w:type="dxa"/>
              <w:right w:w="90" w:type="dxa"/>
            </w:tcMar>
          </w:tcPr>
          <w:p>
            <w:pPr>
              <w:pStyle w:val="BDOITable"/>
            </w:pPr>
            <w:r>
              <w:rPr>
                <w:sz w:val="16"/>
              </w:rPr>
              <w:t>Legacy clients received, clusters, merged, new, loaded</w:t>
            </w:r>
          </w:p>
        </w:tc>
        <w:tc>
          <w:tcPr>
            <w:tcW w:type="dxa" w:w="2042"/>
            <w:tcMar>
              <w:top w:w="50" w:type="dxa"/>
              <w:bottom w:w="50" w:type="dxa"/>
              <w:left w:w="90" w:type="dxa"/>
              <w:right w:w="90" w:type="dxa"/>
            </w:tcMar>
          </w:tcPr>
          <w:p>
            <w:pPr>
              <w:pStyle w:val="BDOITable"/>
            </w:pPr>
            <w:r>
              <w:rPr>
                <w:sz w:val="16"/>
              </w:rPr>
              <w:t>-</w:t>
            </w:r>
          </w:p>
        </w:tc>
        <w:tc>
          <w:tcPr>
            <w:tcW w:type="dxa" w:w="1562"/>
            <w:tcMar>
              <w:top w:w="50" w:type="dxa"/>
              <w:bottom w:w="50" w:type="dxa"/>
              <w:left w:w="90" w:type="dxa"/>
              <w:right w:w="90" w:type="dxa"/>
            </w:tcMar>
          </w:tcPr>
          <w:p>
            <w:pPr>
              <w:pStyle w:val="BDOITable"/>
            </w:pPr>
            <w:r>
              <w:rPr>
                <w:sz w:val="16"/>
              </w:rPr>
              <w:t>Distinct legacy client numbers = cross-reference entries</w:t>
            </w:r>
          </w:p>
        </w:tc>
        <w:tc>
          <w:tcPr>
            <w:tcW w:type="dxa" w:w="1562"/>
            <w:tcMar>
              <w:top w:w="50" w:type="dxa"/>
              <w:bottom w:w="50" w:type="dxa"/>
              <w:left w:w="90" w:type="dxa"/>
              <w:right w:w="90" w:type="dxa"/>
            </w:tcMar>
          </w:tcPr>
          <w:p>
            <w:pPr>
              <w:pStyle w:val="BDOITable"/>
            </w:pPr>
            <w:r>
              <w:rPr>
                <w:sz w:val="16"/>
              </w:rPr>
              <w:t>Identity, contact, segment, KYC fields of the survivor</w:t>
            </w:r>
          </w:p>
        </w:tc>
        <w:tc>
          <w:tcPr>
            <w:tcW w:type="dxa" w:w="2523"/>
            <w:tcMar>
              <w:top w:w="50" w:type="dxa"/>
              <w:bottom w:w="50" w:type="dxa"/>
              <w:left w:w="90" w:type="dxa"/>
              <w:right w:w="90" w:type="dxa"/>
            </w:tcMar>
          </w:tcPr>
          <w:p>
            <w:pPr>
              <w:pStyle w:val="BDOITable"/>
            </w:pPr>
            <w:r>
              <w:rPr>
                <w:sz w:val="16"/>
              </w:rPr>
              <w:t>Client review queue empty; each legacy number resolves to one BIBS client</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C03</w:t>
            </w:r>
          </w:p>
        </w:tc>
        <w:tc>
          <w:tcPr>
            <w:tcW w:type="dxa" w:w="1562"/>
            <w:tcMar>
              <w:top w:w="50" w:type="dxa"/>
              <w:bottom w:w="50" w:type="dxa"/>
              <w:left w:w="90" w:type="dxa"/>
              <w:right w:w="90" w:type="dxa"/>
            </w:tcMar>
            <w:shd w:val="clear" w:color="auto" w:fill="E5F5FF"/>
          </w:tcPr>
          <w:p>
            <w:pPr>
              <w:pStyle w:val="BDOITable"/>
            </w:pPr>
            <w:r>
              <w:rPr>
                <w:sz w:val="16"/>
              </w:rPr>
              <w:t>Accounts received and loaded</w:t>
            </w:r>
          </w:p>
        </w:tc>
        <w:tc>
          <w:tcPr>
            <w:tcW w:type="dxa" w:w="2042"/>
            <w:tcMar>
              <w:top w:w="50" w:type="dxa"/>
              <w:bottom w:w="50" w:type="dxa"/>
              <w:left w:w="90" w:type="dxa"/>
              <w:right w:w="90" w:type="dxa"/>
            </w:tcMar>
            <w:shd w:val="clear" w:color="auto" w:fill="E5F5FF"/>
          </w:tcPr>
          <w:p>
            <w:pPr>
              <w:pStyle w:val="BDOITable"/>
            </w:pPr>
            <w:r>
              <w:rPr>
                <w:sz w:val="16"/>
              </w:rPr>
              <w:t>-</w:t>
            </w:r>
          </w:p>
        </w:tc>
        <w:tc>
          <w:tcPr>
            <w:tcW w:type="dxa" w:w="1562"/>
            <w:tcMar>
              <w:top w:w="50" w:type="dxa"/>
              <w:bottom w:w="50" w:type="dxa"/>
              <w:left w:w="90" w:type="dxa"/>
              <w:right w:w="90" w:type="dxa"/>
            </w:tcMar>
            <w:shd w:val="clear" w:color="auto" w:fill="E5F5FF"/>
          </w:tcPr>
          <w:p>
            <w:pPr>
              <w:pStyle w:val="BDOITable"/>
            </w:pPr>
            <w:r>
              <w:rPr>
                <w:sz w:val="16"/>
              </w:rPr>
              <w:t>Distinct (client, account)</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21"/>
            <w:tcMar>
              <w:top w:w="50" w:type="dxa"/>
              <w:bottom w:w="50" w:type="dxa"/>
              <w:left w:w="90" w:type="dxa"/>
              <w:right w:w="90" w:type="dxa"/>
            </w:tcMar>
          </w:tcPr>
          <w:p>
            <w:pPr>
              <w:pStyle w:val="BDOITable"/>
            </w:pPr>
            <w:r>
              <w:rPr>
                <w:sz w:val="16"/>
              </w:rPr>
              <w:t>P01, P01S</w:t>
            </w:r>
          </w:p>
        </w:tc>
        <w:tc>
          <w:tcPr>
            <w:tcW w:type="dxa" w:w="1562"/>
            <w:tcMar>
              <w:top w:w="50" w:type="dxa"/>
              <w:bottom w:w="50" w:type="dxa"/>
              <w:left w:w="90" w:type="dxa"/>
              <w:right w:w="90" w:type="dxa"/>
            </w:tcMar>
          </w:tcPr>
          <w:p>
            <w:pPr>
              <w:pStyle w:val="BDOITable"/>
            </w:pPr>
            <w:r>
              <w:rPr>
                <w:sz w:val="16"/>
              </w:rPr>
              <w:t>Headers received and loaded; shares</w:t>
            </w:r>
          </w:p>
        </w:tc>
        <w:tc>
          <w:tcPr>
            <w:tcW w:type="dxa" w:w="2042"/>
            <w:tcMar>
              <w:top w:w="50" w:type="dxa"/>
              <w:bottom w:w="50" w:type="dxa"/>
              <w:left w:w="90" w:type="dxa"/>
              <w:right w:w="90" w:type="dxa"/>
            </w:tcMar>
          </w:tcPr>
          <w:p>
            <w:pPr>
              <w:pStyle w:val="BDOITable"/>
            </w:pPr>
            <w:r>
              <w:rPr>
                <w:sz w:val="16"/>
              </w:rPr>
              <w:t>Sum insured, gross and net premium per currency</w:t>
            </w:r>
          </w:p>
        </w:tc>
        <w:tc>
          <w:tcPr>
            <w:tcW w:type="dxa" w:w="1562"/>
            <w:tcMar>
              <w:top w:w="50" w:type="dxa"/>
              <w:bottom w:w="50" w:type="dxa"/>
              <w:left w:w="90" w:type="dxa"/>
              <w:right w:w="90" w:type="dxa"/>
            </w:tcMar>
          </w:tcPr>
          <w:p>
            <w:pPr>
              <w:pStyle w:val="BDOITable"/>
            </w:pPr>
            <w:r>
              <w:rPr>
                <w:sz w:val="16"/>
              </w:rPr>
              <w:t>Distinct legacy policy references</w:t>
            </w:r>
          </w:p>
        </w:tc>
        <w:tc>
          <w:tcPr>
            <w:tcW w:type="dxa" w:w="1562"/>
            <w:tcMar>
              <w:top w:w="50" w:type="dxa"/>
              <w:bottom w:w="50" w:type="dxa"/>
              <w:left w:w="90" w:type="dxa"/>
              <w:right w:w="90" w:type="dxa"/>
            </w:tcMar>
          </w:tcPr>
          <w:p>
            <w:pPr>
              <w:pStyle w:val="BDOITable"/>
            </w:pPr>
            <w:r>
              <w:rPr>
                <w:sz w:val="16"/>
              </w:rPr>
              <w:t>All header fields and shares</w:t>
            </w:r>
          </w:p>
        </w:tc>
        <w:tc>
          <w:tcPr>
            <w:tcW w:type="dxa" w:w="2523"/>
            <w:tcMar>
              <w:top w:w="50" w:type="dxa"/>
              <w:bottom w:w="50" w:type="dxa"/>
              <w:left w:w="90" w:type="dxa"/>
              <w:right w:w="90" w:type="dxa"/>
            </w:tcMar>
          </w:tcPr>
          <w:p>
            <w:pPr>
              <w:pStyle w:val="BDOITable"/>
            </w:pPr>
            <w:r>
              <w:rPr>
                <w:sz w:val="16"/>
              </w:rPr>
              <w:t>Headers linked to their clients and legacy invoices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P03</w:t>
            </w:r>
          </w:p>
        </w:tc>
        <w:tc>
          <w:tcPr>
            <w:tcW w:type="dxa" w:w="1562"/>
            <w:tcMar>
              <w:top w:w="50" w:type="dxa"/>
              <w:bottom w:w="50" w:type="dxa"/>
              <w:left w:w="90" w:type="dxa"/>
              <w:right w:w="90" w:type="dxa"/>
            </w:tcMar>
            <w:shd w:val="clear" w:color="auto" w:fill="E5F5FF"/>
          </w:tcPr>
          <w:p>
            <w:pPr>
              <w:pStyle w:val="BDOITable"/>
            </w:pPr>
            <w:r>
              <w:rPr>
                <w:sz w:val="16"/>
              </w:rPr>
              <w:t>Candidates per expiry month (January-May 2028)</w:t>
            </w:r>
          </w:p>
        </w:tc>
        <w:tc>
          <w:tcPr>
            <w:tcW w:type="dxa" w:w="2042"/>
            <w:tcMar>
              <w:top w:w="50" w:type="dxa"/>
              <w:bottom w:w="50" w:type="dxa"/>
              <w:left w:w="90" w:type="dxa"/>
              <w:right w:w="90" w:type="dxa"/>
            </w:tcMar>
            <w:shd w:val="clear" w:color="auto" w:fill="E5F5FF"/>
          </w:tcPr>
          <w:p>
            <w:pPr>
              <w:pStyle w:val="BDOITable"/>
            </w:pPr>
            <w:r>
              <w:rPr>
                <w:sz w:val="16"/>
              </w:rPr>
              <w:t>Expiring and proposed premium per currency</w:t>
            </w:r>
          </w:p>
        </w:tc>
        <w:tc>
          <w:tcPr>
            <w:tcW w:type="dxa" w:w="1562"/>
            <w:tcMar>
              <w:top w:w="50" w:type="dxa"/>
              <w:bottom w:w="50" w:type="dxa"/>
              <w:left w:w="90" w:type="dxa"/>
              <w:right w:w="90" w:type="dxa"/>
            </w:tcMar>
            <w:shd w:val="clear" w:color="auto" w:fill="E5F5FF"/>
          </w:tcPr>
          <w:p>
            <w:pPr>
              <w:pStyle w:val="BDOITable"/>
            </w:pPr>
            <w:r>
              <w:rPr>
                <w:sz w:val="16"/>
              </w:rPr>
              <w:t>Distinct references per month</w:t>
            </w:r>
          </w:p>
        </w:tc>
        <w:tc>
          <w:tcPr>
            <w:tcW w:type="dxa" w:w="1562"/>
            <w:tcMar>
              <w:top w:w="50" w:type="dxa"/>
              <w:bottom w:w="50" w:type="dxa"/>
              <w:left w:w="90" w:type="dxa"/>
              <w:right w:w="90" w:type="dxa"/>
            </w:tcMar>
            <w:shd w:val="clear" w:color="auto" w:fill="E5F5FF"/>
          </w:tcPr>
          <w:p>
            <w:pPr>
              <w:pStyle w:val="BDOITable"/>
            </w:pPr>
            <w:r>
              <w:rPr>
                <w:sz w:val="16"/>
              </w:rPr>
              <w:t>Disposition, handler, dates, RA, mapped packages</w:t>
            </w:r>
          </w:p>
        </w:tc>
        <w:tc>
          <w:tcPr>
            <w:tcW w:type="dxa" w:w="2523"/>
            <w:tcMar>
              <w:top w:w="50" w:type="dxa"/>
              <w:bottom w:w="50" w:type="dxa"/>
              <w:left w:w="90" w:type="dxa"/>
              <w:right w:w="90" w:type="dxa"/>
            </w:tcMar>
            <w:shd w:val="clear" w:color="auto" w:fill="E5F5FF"/>
          </w:tcPr>
          <w:p>
            <w:pPr>
              <w:pStyle w:val="BDOITable"/>
            </w:pPr>
            <w:r>
              <w:rPr>
                <w:sz w:val="16"/>
              </w:rPr>
              <w:t>Cohort completeness per month: P01 headers expiring T to T+140 = P03 rows + renewals booked in legacy + rejected rows; candidates in Renewal with source LEGACY; catch-up candidates = headers without a P03 row</w:t>
            </w:r>
          </w:p>
        </w:tc>
      </w:tr>
      <w:tr>
        <w:trPr>
          <w:cantSplit w:val="true"/>
        </w:trPr>
        <w:tc>
          <w:tcPr>
            <w:tcW w:type="dxa" w:w="721"/>
            <w:tcMar>
              <w:top w:w="50" w:type="dxa"/>
              <w:bottom w:w="50" w:type="dxa"/>
              <w:left w:w="90" w:type="dxa"/>
              <w:right w:w="90" w:type="dxa"/>
            </w:tcMar>
          </w:tcPr>
          <w:p>
            <w:pPr>
              <w:pStyle w:val="BDOITable"/>
            </w:pPr>
            <w:r>
              <w:rPr>
                <w:sz w:val="16"/>
              </w:rPr>
              <w:t>F01, F01S, F01C</w:t>
            </w:r>
          </w:p>
        </w:tc>
        <w:tc>
          <w:tcPr>
            <w:tcW w:type="dxa" w:w="1562"/>
            <w:tcMar>
              <w:top w:w="50" w:type="dxa"/>
              <w:bottom w:w="50" w:type="dxa"/>
              <w:left w:w="90" w:type="dxa"/>
              <w:right w:w="90" w:type="dxa"/>
            </w:tcMar>
          </w:tcPr>
          <w:p>
            <w:pPr>
              <w:pStyle w:val="BDOITable"/>
            </w:pPr>
            <w:r>
              <w:rPr>
                <w:sz w:val="16"/>
              </w:rPr>
              <w:t>Invoices, share rows, component rows</w:t>
            </w:r>
          </w:p>
        </w:tc>
        <w:tc>
          <w:tcPr>
            <w:tcW w:type="dxa" w:w="2042"/>
            <w:tcMar>
              <w:top w:w="50" w:type="dxa"/>
              <w:bottom w:w="50" w:type="dxa"/>
              <w:left w:w="90" w:type="dxa"/>
              <w:right w:w="90" w:type="dxa"/>
            </w:tcMar>
          </w:tcPr>
          <w:p>
            <w:pPr>
              <w:pStyle w:val="BDOITable"/>
            </w:pPr>
            <w:r>
              <w:rPr>
                <w:sz w:val="16"/>
              </w:rPr>
              <w:t>Booked, adjusted, paid, remitted, written off and open per component and currency</w:t>
            </w:r>
          </w:p>
        </w:tc>
        <w:tc>
          <w:tcPr>
            <w:tcW w:type="dxa" w:w="1562"/>
            <w:tcMar>
              <w:top w:w="50" w:type="dxa"/>
              <w:bottom w:w="50" w:type="dxa"/>
              <w:left w:w="90" w:type="dxa"/>
              <w:right w:w="90" w:type="dxa"/>
            </w:tcMar>
          </w:tcPr>
          <w:p>
            <w:pPr>
              <w:pStyle w:val="BDOITable"/>
            </w:pPr>
            <w:r>
              <w:rPr>
                <w:sz w:val="16"/>
              </w:rPr>
              <w:t>Distinct invoice numbers</w:t>
            </w:r>
          </w:p>
        </w:tc>
        <w:tc>
          <w:tcPr>
            <w:tcW w:type="dxa" w:w="1562"/>
            <w:tcMar>
              <w:top w:w="50" w:type="dxa"/>
              <w:bottom w:w="50" w:type="dxa"/>
              <w:left w:w="90" w:type="dxa"/>
              <w:right w:w="90" w:type="dxa"/>
            </w:tcMar>
          </w:tcPr>
          <w:p>
            <w:pPr>
              <w:pStyle w:val="BDOITable"/>
            </w:pPr>
            <w:r>
              <w:rPr>
                <w:sz w:val="16"/>
              </w:rPr>
              <w:t>Header fields, shares, every component and bucket</w:t>
            </w:r>
          </w:p>
        </w:tc>
        <w:tc>
          <w:tcPr>
            <w:tcW w:type="dxa" w:w="2523"/>
            <w:tcMar>
              <w:top w:w="50" w:type="dxa"/>
              <w:bottom w:w="50" w:type="dxa"/>
              <w:left w:w="90" w:type="dxa"/>
              <w:right w:w="90" w:type="dxa"/>
            </w:tcMar>
          </w:tcPr>
          <w:p>
            <w:pPr>
              <w:pStyle w:val="BDOITable"/>
            </w:pPr>
            <w:r>
              <w:rPr>
                <w:sz w:val="16"/>
              </w:rPr>
              <w:t>L5 - Premium Receivable, PR2307, DTIP, Commission Receivable (legacy) against the legacy invoices;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F02</w:t>
            </w:r>
          </w:p>
        </w:tc>
        <w:tc>
          <w:tcPr>
            <w:tcW w:type="dxa" w:w="1562"/>
            <w:tcMar>
              <w:top w:w="50" w:type="dxa"/>
              <w:bottom w:w="50" w:type="dxa"/>
              <w:left w:w="90" w:type="dxa"/>
              <w:right w:w="90" w:type="dxa"/>
            </w:tcMar>
            <w:shd w:val="clear" w:color="auto" w:fill="E5F5FF"/>
          </w:tcPr>
          <w:p>
            <w:pPr>
              <w:pStyle w:val="BDOITable"/>
            </w:pPr>
            <w:r>
              <w:rPr>
                <w:sz w:val="16"/>
              </w:rPr>
              <w:t>UPP items</w:t>
            </w:r>
          </w:p>
        </w:tc>
        <w:tc>
          <w:tcPr>
            <w:tcW w:type="dxa" w:w="2042"/>
            <w:tcMar>
              <w:top w:w="50" w:type="dxa"/>
              <w:bottom w:w="50" w:type="dxa"/>
              <w:left w:w="90" w:type="dxa"/>
              <w:right w:w="90" w:type="dxa"/>
            </w:tcMar>
            <w:shd w:val="clear" w:color="auto" w:fill="E5F5FF"/>
          </w:tcPr>
          <w:p>
            <w:pPr>
              <w:pStyle w:val="BDOITable"/>
            </w:pPr>
            <w:r>
              <w:rPr>
                <w:sz w:val="16"/>
              </w:rPr>
              <w:t>Amount and balance per currency</w:t>
            </w:r>
          </w:p>
        </w:tc>
        <w:tc>
          <w:tcPr>
            <w:tcW w:type="dxa" w:w="1562"/>
            <w:tcMar>
              <w:top w:w="50" w:type="dxa"/>
              <w:bottom w:w="50" w:type="dxa"/>
              <w:left w:w="90" w:type="dxa"/>
              <w:right w:w="90" w:type="dxa"/>
            </w:tcMar>
            <w:shd w:val="clear" w:color="auto" w:fill="E5F5FF"/>
          </w:tcPr>
          <w:p>
            <w:pPr>
              <w:pStyle w:val="BDOITable"/>
            </w:pPr>
            <w:r>
              <w:rPr>
                <w:sz w:val="16"/>
              </w:rPr>
              <w:t>Distinct UPP references</w:t>
            </w:r>
          </w:p>
        </w:tc>
        <w:tc>
          <w:tcPr>
            <w:tcW w:type="dxa" w:w="1562"/>
            <w:tcMar>
              <w:top w:w="50" w:type="dxa"/>
              <w:bottom w:w="50" w:type="dxa"/>
              <w:left w:w="90" w:type="dxa"/>
              <w:right w:w="90" w:type="dxa"/>
            </w:tcMar>
            <w:shd w:val="clear" w:color="auto" w:fill="E5F5FF"/>
          </w:tcPr>
          <w:p>
            <w:pPr>
              <w:pStyle w:val="BDOITable"/>
            </w:pPr>
            <w:r>
              <w:rPr>
                <w:sz w:val="16"/>
              </w:rPr>
              <w:t>All fields, stage and disposition</w:t>
            </w:r>
          </w:p>
        </w:tc>
        <w:tc>
          <w:tcPr>
            <w:tcW w:type="dxa" w:w="2523"/>
            <w:tcMar>
              <w:top w:w="50" w:type="dxa"/>
              <w:bottom w:w="50" w:type="dxa"/>
              <w:left w:w="90" w:type="dxa"/>
              <w:right w:w="90" w:type="dxa"/>
            </w:tcMar>
            <w:shd w:val="clear" w:color="auto" w:fill="E5F5FF"/>
          </w:tcPr>
          <w:p>
            <w:pPr>
              <w:pStyle w:val="BDOITable"/>
            </w:pPr>
            <w:r>
              <w:rPr>
                <w:sz w:val="16"/>
              </w:rPr>
              <w:t>L5 - Unapplied Collections (legacy) against the migrated UPP balances</w:t>
            </w:r>
          </w:p>
        </w:tc>
      </w:tr>
      <w:tr>
        <w:trPr>
          <w:cantSplit w:val="true"/>
        </w:trPr>
        <w:tc>
          <w:tcPr>
            <w:tcW w:type="dxa" w:w="721"/>
            <w:tcMar>
              <w:top w:w="50" w:type="dxa"/>
              <w:bottom w:w="50" w:type="dxa"/>
              <w:left w:w="90" w:type="dxa"/>
              <w:right w:w="90" w:type="dxa"/>
            </w:tcMar>
          </w:tcPr>
          <w:p>
            <w:pPr>
              <w:pStyle w:val="BDOITable"/>
            </w:pPr>
            <w:r>
              <w:rPr>
                <w:sz w:val="16"/>
              </w:rPr>
              <w:t>F03</w:t>
            </w:r>
          </w:p>
        </w:tc>
        <w:tc>
          <w:tcPr>
            <w:tcW w:type="dxa" w:w="1562"/>
            <w:tcMar>
              <w:top w:w="50" w:type="dxa"/>
              <w:bottom w:w="50" w:type="dxa"/>
              <w:left w:w="90" w:type="dxa"/>
              <w:right w:w="90" w:type="dxa"/>
            </w:tcMar>
          </w:tcPr>
          <w:p>
            <w:pPr>
              <w:pStyle w:val="BDOITable"/>
            </w:pPr>
            <w:r>
              <w:rPr>
                <w:sz w:val="16"/>
              </w:rPr>
              <w:t>Rows per record type</w:t>
            </w:r>
          </w:p>
        </w:tc>
        <w:tc>
          <w:tcPr>
            <w:tcW w:type="dxa" w:w="2042"/>
            <w:tcMar>
              <w:top w:w="50" w:type="dxa"/>
              <w:bottom w:w="50" w:type="dxa"/>
              <w:left w:w="90" w:type="dxa"/>
              <w:right w:w="90" w:type="dxa"/>
            </w:tcMar>
          </w:tcPr>
          <w:p>
            <w:pPr>
              <w:pStyle w:val="BDOITable"/>
            </w:pPr>
            <w:r>
              <w:rPr>
                <w:sz w:val="16"/>
              </w:rPr>
              <w:t>Promise and installment amounts</w:t>
            </w:r>
          </w:p>
        </w:tc>
        <w:tc>
          <w:tcPr>
            <w:tcW w:type="dxa" w:w="1562"/>
            <w:tcMar>
              <w:top w:w="50" w:type="dxa"/>
              <w:bottom w:w="50" w:type="dxa"/>
              <w:left w:w="90" w:type="dxa"/>
              <w:right w:w="90" w:type="dxa"/>
            </w:tcMar>
          </w:tcPr>
          <w:p>
            <w:pPr>
              <w:pStyle w:val="BDOITable"/>
            </w:pPr>
            <w:r>
              <w:rPr>
                <w:sz w:val="16"/>
              </w:rPr>
              <w:t>Distinct (invoice, type, seq)</w:t>
            </w:r>
          </w:p>
        </w:tc>
        <w:tc>
          <w:tcPr>
            <w:tcW w:type="dxa" w:w="1562"/>
            <w:tcMar>
              <w:top w:w="50" w:type="dxa"/>
              <w:bottom w:w="50" w:type="dxa"/>
              <w:left w:w="90" w:type="dxa"/>
              <w:right w:w="90" w:type="dxa"/>
            </w:tcMar>
          </w:tcPr>
          <w:p>
            <w:pPr>
              <w:pStyle w:val="BDOITable"/>
            </w:pPr>
            <w:r>
              <w:rPr>
                <w:sz w:val="16"/>
              </w:rPr>
              <w:t>All fields</w:t>
            </w:r>
          </w:p>
        </w:tc>
        <w:tc>
          <w:tcPr>
            <w:tcW w:type="dxa" w:w="2523"/>
            <w:tcMar>
              <w:top w:w="50" w:type="dxa"/>
              <w:bottom w:w="50" w:type="dxa"/>
              <w:left w:w="90" w:type="dxa"/>
              <w:right w:w="90" w:type="dxa"/>
            </w:tcMar>
          </w:tcPr>
          <w:p>
            <w:pPr>
              <w:pStyle w:val="BDOITable"/>
            </w:pPr>
            <w:r>
              <w:rPr>
                <w:sz w:val="16"/>
              </w:rPr>
              <w:t>Worklist items show the carried promises and assignments</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F04, F06</w:t>
            </w:r>
          </w:p>
        </w:tc>
        <w:tc>
          <w:tcPr>
            <w:tcW w:type="dxa" w:w="1562"/>
            <w:tcMar>
              <w:top w:w="50" w:type="dxa"/>
              <w:bottom w:w="50" w:type="dxa"/>
              <w:left w:w="90" w:type="dxa"/>
              <w:right w:w="90" w:type="dxa"/>
            </w:tcMar>
            <w:shd w:val="clear" w:color="auto" w:fill="E5F5FF"/>
          </w:tcPr>
          <w:p>
            <w:pPr>
              <w:pStyle w:val="BDOITable"/>
            </w:pPr>
            <w:r>
              <w:rPr>
                <w:sz w:val="16"/>
              </w:rPr>
              <w:t>Rows per record type</w:t>
            </w:r>
          </w:p>
        </w:tc>
        <w:tc>
          <w:tcPr>
            <w:tcW w:type="dxa" w:w="2042"/>
            <w:tcMar>
              <w:top w:w="50" w:type="dxa"/>
              <w:bottom w:w="50" w:type="dxa"/>
              <w:left w:w="90" w:type="dxa"/>
              <w:right w:w="90" w:type="dxa"/>
            </w:tcMar>
            <w:shd w:val="clear" w:color="auto" w:fill="E5F5FF"/>
          </w:tcPr>
          <w:p>
            <w:pPr>
              <w:pStyle w:val="BDOITable"/>
            </w:pPr>
            <w:r>
              <w:rPr>
                <w:sz w:val="16"/>
              </w:rPr>
              <w:t>Amount per currency</w:t>
            </w:r>
          </w:p>
        </w:tc>
        <w:tc>
          <w:tcPr>
            <w:tcW w:type="dxa" w:w="1562"/>
            <w:tcMar>
              <w:top w:w="50" w:type="dxa"/>
              <w:bottom w:w="50" w:type="dxa"/>
              <w:left w:w="90" w:type="dxa"/>
              <w:right w:w="90" w:type="dxa"/>
            </w:tcMar>
            <w:shd w:val="clear" w:color="auto" w:fill="E5F5FF"/>
          </w:tcPr>
          <w:p>
            <w:pPr>
              <w:pStyle w:val="BDOITable"/>
            </w:pPr>
            <w:r>
              <w:rPr>
                <w:sz w:val="16"/>
              </w:rPr>
              <w:t>Distinct keys</w:t>
            </w:r>
          </w:p>
        </w:tc>
        <w:tc>
          <w:tcPr>
            <w:tcW w:type="dxa" w:w="1562"/>
            <w:tcMar>
              <w:top w:w="50" w:type="dxa"/>
              <w:bottom w:w="50" w:type="dxa"/>
              <w:left w:w="90" w:type="dxa"/>
              <w:right w:w="90" w:type="dxa"/>
            </w:tcMar>
            <w:shd w:val="clear" w:color="auto" w:fill="E5F5FF"/>
          </w:tcPr>
          <w:p>
            <w:pPr>
              <w:pStyle w:val="BDOITable"/>
            </w:pPr>
            <w:r>
              <w:rPr>
                <w:sz w:val="16"/>
              </w:rPr>
              <w:t>All fields</w:t>
            </w:r>
          </w:p>
        </w:tc>
        <w:tc>
          <w:tcPr>
            <w:tcW w:type="dxa" w:w="2523"/>
            <w:tcMar>
              <w:top w:w="50" w:type="dxa"/>
              <w:bottom w:w="50" w:type="dxa"/>
              <w:left w:w="90" w:type="dxa"/>
              <w:right w:w="90" w:type="dxa"/>
            </w:tcMar>
            <w:shd w:val="clear" w:color="auto" w:fill="E5F5FF"/>
          </w:tcPr>
          <w:p>
            <w:pPr>
              <w:pStyle w:val="BDOITable"/>
            </w:pPr>
            <w:r>
              <w:rPr>
                <w:sz w:val="16"/>
              </w:rPr>
              <w:t>Holds and PDCs visible in Remittance and Cashiering</w:t>
            </w:r>
          </w:p>
        </w:tc>
      </w:tr>
      <w:tr>
        <w:trPr>
          <w:cantSplit w:val="true"/>
        </w:trPr>
        <w:tc>
          <w:tcPr>
            <w:tcW w:type="dxa" w:w="721"/>
            <w:tcMar>
              <w:top w:w="50" w:type="dxa"/>
              <w:bottom w:w="50" w:type="dxa"/>
              <w:left w:w="90" w:type="dxa"/>
              <w:right w:w="90" w:type="dxa"/>
            </w:tcMar>
          </w:tcPr>
          <w:p>
            <w:pPr>
              <w:pStyle w:val="BDOITable"/>
            </w:pPr>
            <w:r>
              <w:rPr>
                <w:sz w:val="16"/>
              </w:rPr>
              <w:t>G01</w:t>
            </w:r>
          </w:p>
        </w:tc>
        <w:tc>
          <w:tcPr>
            <w:tcW w:type="dxa" w:w="1562"/>
            <w:tcMar>
              <w:top w:w="50" w:type="dxa"/>
              <w:bottom w:w="50" w:type="dxa"/>
              <w:left w:w="90" w:type="dxa"/>
              <w:right w:w="90" w:type="dxa"/>
            </w:tcMar>
          </w:tcPr>
          <w:p>
            <w:pPr>
              <w:pStyle w:val="BDOITable"/>
            </w:pPr>
            <w:r>
              <w:rPr>
                <w:sz w:val="16"/>
              </w:rPr>
              <w:t>Trial balance lines</w:t>
            </w:r>
          </w:p>
        </w:tc>
        <w:tc>
          <w:tcPr>
            <w:tcW w:type="dxa" w:w="2042"/>
            <w:tcMar>
              <w:top w:w="50" w:type="dxa"/>
              <w:bottom w:w="50" w:type="dxa"/>
              <w:left w:w="90" w:type="dxa"/>
              <w:right w:w="90" w:type="dxa"/>
            </w:tcMar>
          </w:tcPr>
          <w:p>
            <w:pPr>
              <w:pStyle w:val="BDOITable"/>
            </w:pPr>
            <w:r>
              <w:rPr>
                <w:sz w:val="16"/>
              </w:rPr>
              <w:t>Debit and credit per branch and currency, in currency and PHP</w:t>
            </w:r>
          </w:p>
        </w:tc>
        <w:tc>
          <w:tcPr>
            <w:tcW w:type="dxa" w:w="1562"/>
            <w:tcMar>
              <w:top w:w="50" w:type="dxa"/>
              <w:bottom w:w="50" w:type="dxa"/>
              <w:left w:w="90" w:type="dxa"/>
              <w:right w:w="90" w:type="dxa"/>
            </w:tcMar>
          </w:tcPr>
          <w:p>
            <w:pPr>
              <w:pStyle w:val="BDOITable"/>
            </w:pPr>
            <w:r>
              <w:rPr>
                <w:sz w:val="16"/>
              </w:rPr>
              <w:t>Lines per branch</w:t>
            </w:r>
          </w:p>
        </w:tc>
        <w:tc>
          <w:tcPr>
            <w:tcW w:type="dxa" w:w="1562"/>
            <w:tcMar>
              <w:top w:w="50" w:type="dxa"/>
              <w:bottom w:w="50" w:type="dxa"/>
              <w:left w:w="90" w:type="dxa"/>
              <w:right w:w="90" w:type="dxa"/>
            </w:tcMar>
          </w:tcPr>
          <w:p>
            <w:pPr>
              <w:pStyle w:val="BDOITable"/>
            </w:pPr>
            <w:r>
              <w:rPr>
                <w:sz w:val="16"/>
              </w:rPr>
              <w:t>Account, branch, currency and amounts per line</w:t>
            </w:r>
          </w:p>
        </w:tc>
        <w:tc>
          <w:tcPr>
            <w:tcW w:type="dxa" w:w="2523"/>
            <w:tcMar>
              <w:top w:w="50" w:type="dxa"/>
              <w:bottom w:w="50" w:type="dxa"/>
              <w:left w:w="90" w:type="dxa"/>
              <w:right w:w="90" w:type="dxa"/>
            </w:tcMar>
          </w:tcPr>
          <w:p>
            <w:pPr>
              <w:pStyle w:val="BDOITable"/>
            </w:pPr>
            <w:r>
              <w:rPr>
                <w:sz w:val="16"/>
              </w:rPr>
              <w:t>Trial balance in BIBS = legacy trial balance per branch and currency; Migration Clearing 0.00</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H01, H02</w:t>
            </w:r>
          </w:p>
        </w:tc>
        <w:tc>
          <w:tcPr>
            <w:tcW w:type="dxa" w:w="1562"/>
            <w:tcMar>
              <w:top w:w="50" w:type="dxa"/>
              <w:bottom w:w="50" w:type="dxa"/>
              <w:left w:w="90" w:type="dxa"/>
              <w:right w:w="90" w:type="dxa"/>
            </w:tcMar>
            <w:shd w:val="clear" w:color="auto" w:fill="E5F5FF"/>
          </w:tcPr>
          <w:p>
            <w:pPr>
              <w:pStyle w:val="BDOITable"/>
            </w:pPr>
            <w:r>
              <w:rPr>
                <w:sz w:val="16"/>
              </w:rPr>
              <w:t>Records per record type; documents</w:t>
            </w:r>
          </w:p>
        </w:tc>
        <w:tc>
          <w:tcPr>
            <w:tcW w:type="dxa" w:w="2042"/>
            <w:tcMar>
              <w:top w:w="50" w:type="dxa"/>
              <w:bottom w:w="50" w:type="dxa"/>
              <w:left w:w="90" w:type="dxa"/>
              <w:right w:w="90" w:type="dxa"/>
            </w:tcMar>
            <w:shd w:val="clear" w:color="auto" w:fill="E5F5FF"/>
          </w:tcPr>
          <w:p>
            <w:pPr>
              <w:pStyle w:val="BDOITable"/>
            </w:pPr>
            <w:r>
              <w:rPr>
                <w:sz w:val="16"/>
              </w:rPr>
              <w:t>Amount per record type and currency</w:t>
            </w:r>
          </w:p>
        </w:tc>
        <w:tc>
          <w:tcPr>
            <w:tcW w:type="dxa" w:w="1562"/>
            <w:tcMar>
              <w:top w:w="50" w:type="dxa"/>
              <w:bottom w:w="50" w:type="dxa"/>
              <w:left w:w="90" w:type="dxa"/>
              <w:right w:w="90" w:type="dxa"/>
            </w:tcMar>
            <w:shd w:val="clear" w:color="auto" w:fill="E5F5FF"/>
          </w:tcPr>
          <w:p>
            <w:pPr>
              <w:pStyle w:val="BDOITable"/>
            </w:pPr>
            <w:r>
              <w:rPr>
                <w:sz w:val="16"/>
              </w:rPr>
              <w:t>Distinct keys per record type; SHA-256 per document</w:t>
            </w:r>
          </w:p>
        </w:tc>
        <w:tc>
          <w:tcPr>
            <w:tcW w:type="dxa" w:w="1562"/>
            <w:tcMar>
              <w:top w:w="50" w:type="dxa"/>
              <w:bottom w:w="50" w:type="dxa"/>
              <w:left w:w="90" w:type="dxa"/>
              <w:right w:w="90" w:type="dxa"/>
            </w:tcMar>
            <w:shd w:val="clear" w:color="auto" w:fill="E5F5FF"/>
          </w:tcPr>
          <w:p>
            <w:pPr>
              <w:pStyle w:val="BDOITable"/>
            </w:pPr>
            <w:r>
              <w:rPr>
                <w:sz w:val="16"/>
              </w:rPr>
              <w:t>Labelled legacy columns</w:t>
            </w:r>
          </w:p>
        </w:tc>
        <w:tc>
          <w:tcPr>
            <w:tcW w:type="dxa" w:w="2523"/>
            <w:tcMar>
              <w:top w:w="50" w:type="dxa"/>
              <w:bottom w:w="50" w:type="dxa"/>
              <w:left w:w="90" w:type="dxa"/>
              <w:right w:w="90" w:type="dxa"/>
            </w:tcMar>
            <w:shd w:val="clear" w:color="auto" w:fill="E5F5FF"/>
          </w:tcPr>
          <w:p>
            <w:pPr>
              <w:pStyle w:val="BDOITable"/>
            </w:pPr>
            <w:r>
              <w:rPr>
                <w:sz w:val="16"/>
              </w:rPr>
              <w:t>Samples found in Legacy Inquiry with their documents</w:t>
            </w:r>
          </w:p>
        </w:tc>
      </w:tr>
    </w:tbl>
    <w:p>
      <w:pPr>
        <w:pStyle w:val="BDOISpacer"/>
      </w:pPr>
    </w:p>
    <w:p>
      <w:pPr>
        <w:pStyle w:val="Heading1"/>
        <w:pBdr>
          <w:bottom w:val="single" w:sz="4" w:space="4" w:color="99C1E7"/>
        </w:pBdr>
      </w:pPr>
      <w:bookmarkStart w:id="105" w:name="_Toc000105"/>
      <w:r>
        <w:rPr/>
        <w:t>5 GL reconciliation: Migration Clearing</w:t>
      </w:r>
      <w:bookmarkEnd w:id="105"/>
    </w:p>
    <w:p>
      <w:r>
        <w:rPr/>
        <w:t>The open-item objects and the trial balance are loaded from two independent sources in legacy: the invoice and UPP detail (F01, F02) and the GL (G01). Migration Clearing proves that they agree (Figure 1):</w:t>
      </w:r>
    </w:p>
    <w:p>
      <w:pPr>
        <w:tabs>
          <w:tab w:pos="312" w:val="left"/>
        </w:tabs>
        <w:spacing w:after="40"/>
        <w:ind w:left="312" w:hanging="283"/>
      </w:pPr>
      <w:r>
        <w:rPr>
          <w:color w:val="004EA8"/>
        </w:rPr>
        <w:t>•</w:t>
        <w:tab/>
      </w:r>
      <w:r>
        <w:rPr/>
        <w:t>each legacy invoice and each UPP item is loaded with an opening entry whose balancing line goes to Migration Clearing;</w:t>
      </w:r>
    </w:p>
    <w:p>
      <w:pPr>
        <w:tabs>
          <w:tab w:pos="312" w:val="left"/>
        </w:tabs>
        <w:spacing w:after="40"/>
        <w:ind w:left="312" w:hanging="283"/>
      </w:pPr>
      <w:r>
        <w:rPr>
          <w:color w:val="004EA8"/>
        </w:rPr>
        <w:t>•</w:t>
        <w:tab/>
      </w:r>
      <w:r>
        <w:rPr/>
        <w:t>the trial balance is loaded as OPENING journals; its lines on the legacy control accounts (premium receivable, PR2307, DTIP, commission receivable, unrealised commission, deferred VAT, unapplied collections) are mapped to Migration Clearing instead of the legacy control accounts, because the opening entries build those balances in detail;</w:t>
      </w:r>
    </w:p>
    <w:p>
      <w:pPr>
        <w:tabs>
          <w:tab w:pos="312" w:val="left"/>
        </w:tabs>
        <w:spacing w:after="120"/>
        <w:ind w:left="312" w:hanging="283"/>
      </w:pPr>
      <w:r>
        <w:rPr>
          <w:color w:val="004EA8"/>
        </w:rPr>
        <w:t>•</w:t>
        <w:tab/>
      </w:r>
      <w:r>
        <w:rPr/>
        <w:t>when the detail equals the GL, Migration Clearing is 0.00 per branch and currency.</w:t>
      </w:r>
    </w:p>
    <w:p>
      <w:pPr>
        <w:keepNext/>
        <w:spacing w:before="80" w:after="0"/>
        <w:jc w:val="center"/>
      </w:pPr>
      <w:r>
        <w:drawing>
          <wp:inline xmlns:a="http://schemas.openxmlformats.org/drawingml/2006/main" xmlns:pic="http://schemas.openxmlformats.org/drawingml/2006/picture">
            <wp:extent cx="5400000" cy="1976505"/>
            <wp:docPr id="3" name="Picture 3"/>
            <wp:cNvGraphicFramePr>
              <a:graphicFrameLocks noChangeAspect="1"/>
            </wp:cNvGraphicFramePr>
            <a:graphic>
              <a:graphicData uri="http://schemas.openxmlformats.org/drawingml/2006/picture">
                <pic:pic>
                  <pic:nvPicPr>
                    <pic:cNvPr id="0" name="dm_clearing.png"/>
                    <pic:cNvPicPr/>
                  </pic:nvPicPr>
                  <pic:blipFill>
                    <a:blip r:embed="rId15"/>
                    <a:stretch>
                      <a:fillRect/>
                    </a:stretch>
                  </pic:blipFill>
                  <pic:spPr>
                    <a:xfrm>
                      <a:off x="0" y="0"/>
                      <a:ext cx="5400000" cy="1976505"/>
                    </a:xfrm>
                    <a:prstGeom prst="rect"/>
                  </pic:spPr>
                </pic:pic>
              </a:graphicData>
            </a:graphic>
          </wp:inline>
        </w:drawing>
      </w:r>
    </w:p>
    <w:p>
      <w:pPr>
        <w:pStyle w:val="Caption"/>
        <w:jc w:val="center"/>
      </w:pPr>
      <w:r>
        <w:rPr>
          <w:b/>
          <w:i w:val="0"/>
        </w:rPr>
        <w:t xml:space="preserve">Figure 1: </w:t>
      </w:r>
      <w:r>
        <w:rPr/>
        <w:t>Migration Clearing nets to zero when the detail equals the legacy GL</w:t>
      </w:r>
    </w:p>
    <w:p>
      <w:r>
        <w:rPr>
          <w:b/>
        </w:rPr>
        <w:t>Worked example</w:t>
      </w:r>
      <w:r>
        <w:rPr/>
        <w:t xml:space="preserve"> (one branch, PHP, one invoice and one UPP item; made-up figures; the unrealised commission follows DMQ13 and is taken here as fully unrealised):</w:t>
      </w:r>
    </w:p>
    <w:p>
      <w:pPr>
        <w:pStyle w:val="Caption"/>
        <w:keepNext/>
        <w:spacing w:after="60"/>
      </w:pPr>
      <w:r>
        <w:rPr>
          <w:b/>
          <w:i w:val="0"/>
        </w:rPr>
        <w:t xml:space="preserve">Table 4: </w:t>
      </w:r>
      <w:r>
        <w:rPr/>
        <w:t>Migration Clearing for one branch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2042"/>
        <w:gridCol w:w="2042"/>
        <w:gridCol w:w="2042"/>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7"/>
              </w:rPr>
              <w:t>Line</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Debit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Credit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Effect on Migration Clearing</w:t>
            </w:r>
          </w:p>
        </w:tc>
      </w:tr>
      <w:tr>
        <w:trPr>
          <w:cantSplit w:val="true"/>
        </w:trPr>
        <w:tc>
          <w:tcPr>
            <w:tcW w:type="dxa" w:w="3845"/>
            <w:tcMar>
              <w:top w:w="50" w:type="dxa"/>
              <w:bottom w:w="50" w:type="dxa"/>
              <w:left w:w="90" w:type="dxa"/>
              <w:right w:w="90" w:type="dxa"/>
            </w:tcMar>
          </w:tcPr>
          <w:p>
            <w:pPr>
              <w:pStyle w:val="BDOITable"/>
            </w:pPr>
            <w:r>
              <w:rPr>
                <w:sz w:val="17"/>
              </w:rPr>
              <w:t>F01 opening of I00123456 - Premium Receivable - Legacy</w:t>
            </w:r>
          </w:p>
        </w:tc>
        <w:tc>
          <w:tcPr>
            <w:tcW w:type="dxa" w:w="2042"/>
            <w:tcMar>
              <w:top w:w="50" w:type="dxa"/>
              <w:bottom w:w="50" w:type="dxa"/>
              <w:left w:w="90" w:type="dxa"/>
              <w:right w:w="90" w:type="dxa"/>
            </w:tcMar>
          </w:tcPr>
          <w:p>
            <w:pPr>
              <w:pStyle w:val="BDOITable"/>
            </w:pPr>
            <w:r>
              <w:rPr>
                <w:sz w:val="17"/>
              </w:rPr>
              <w:t>10,000.00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Commission Receivable - Legacy</w:t>
            </w: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DTIP - Legacy</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23,050.00</w:t>
            </w:r>
          </w:p>
        </w:tc>
        <w:tc>
          <w:tcPr>
            <w:tcW w:type="dxa" w:w="2042"/>
            <w:tcMar>
              <w:top w:w="50" w:type="dxa"/>
              <w:bottom w:w="50" w:type="dxa"/>
              <w:left w:w="90" w:type="dxa"/>
              <w:right w:w="90" w:type="dxa"/>
            </w:tcMar>
          </w:tcPr>
          <w:p>
            <w:pPr>
              <w:pStyle w:val="BDOITable"/>
            </w:pP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F01 opening - Unrealised Commission and Deferred VAT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4,480.00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F01 opening - balancing line to Migration Clearing</w:t>
            </w:r>
          </w:p>
        </w:tc>
        <w:tc>
          <w:tcPr>
            <w:tcW w:type="dxa" w:w="2042"/>
            <w:tcMar>
              <w:top w:w="50" w:type="dxa"/>
              <w:bottom w:w="50" w:type="dxa"/>
              <w:left w:w="90" w:type="dxa"/>
              <w:right w:w="90" w:type="dxa"/>
            </w:tcMar>
          </w:tcPr>
          <w:p>
            <w:pPr>
              <w:pStyle w:val="BDOITable"/>
            </w:pPr>
            <w:r>
              <w:rPr>
                <w:sz w:val="17"/>
              </w:rPr>
              <w:t>13,050.00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13,050.00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F02 opening of UPP-2026-004321 - Unapplied Collections - Legacy</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5,000.00</w:t>
            </w:r>
          </w:p>
        </w:tc>
        <w:tc>
          <w:tcPr>
            <w:tcW w:type="dxa" w:w="2042"/>
            <w:tcMar>
              <w:top w:w="50" w:type="dxa"/>
              <w:bottom w:w="50" w:type="dxa"/>
              <w:left w:w="90" w:type="dxa"/>
              <w:right w:w="90" w:type="dxa"/>
            </w:tcMar>
            <w:shd w:val="clear" w:color="auto" w:fill="E5F5FF"/>
          </w:tcPr>
          <w:p>
            <w:pPr>
              <w:pStyle w:val="BDOITable"/>
            </w:pPr>
          </w:p>
        </w:tc>
      </w:tr>
      <w:tr>
        <w:trPr>
          <w:cantSplit w:val="true"/>
        </w:trPr>
        <w:tc>
          <w:tcPr>
            <w:tcW w:type="dxa" w:w="3845"/>
            <w:tcMar>
              <w:top w:w="50" w:type="dxa"/>
              <w:bottom w:w="50" w:type="dxa"/>
              <w:left w:w="90" w:type="dxa"/>
              <w:right w:w="90" w:type="dxa"/>
            </w:tcMar>
          </w:tcPr>
          <w:p>
            <w:pPr>
              <w:pStyle w:val="BDOITable"/>
            </w:pPr>
            <w:r>
              <w:rPr>
                <w:sz w:val="17"/>
              </w:rPr>
              <w:t>F02 opening - balancing line to Migration Clearing</w:t>
            </w:r>
          </w:p>
        </w:tc>
        <w:tc>
          <w:tcPr>
            <w:tcW w:type="dxa" w:w="2042"/>
            <w:tcMar>
              <w:top w:w="50" w:type="dxa"/>
              <w:bottom w:w="50" w:type="dxa"/>
              <w:left w:w="90" w:type="dxa"/>
              <w:right w:w="90" w:type="dxa"/>
            </w:tcMar>
          </w:tcPr>
          <w:p>
            <w:pPr>
              <w:pStyle w:val="BDOITable"/>
            </w:pPr>
            <w:r>
              <w:rPr>
                <w:sz w:val="17"/>
              </w:rPr>
              <w:t>5,000.00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Debit 5,000.00</w:t>
            </w:r>
          </w:p>
        </w:tc>
      </w:tr>
      <w:tr>
        <w:trPr>
          <w:cantSplit w:val="true"/>
        </w:trPr>
        <w:tc>
          <w:tcPr>
            <w:tcW w:type="dxa" w:w="3845"/>
            <w:tcMar>
              <w:top w:w="50" w:type="dxa"/>
              <w:bottom w:w="50" w:type="dxa"/>
              <w:left w:w="90" w:type="dxa"/>
              <w:right w:w="90" w:type="dxa"/>
            </w:tcMar>
            <w:shd w:val="clear" w:color="auto" w:fill="E5F5FF"/>
          </w:tcPr>
          <w:p>
            <w:pPr>
              <w:pStyle w:val="BDOITable"/>
            </w:pPr>
            <w:r>
              <w:rPr>
                <w:sz w:val="17"/>
              </w:rPr>
              <w:t>G01 trial balance - legacy control-account lines (PR 10,000.00 Dr, commission 4,480.00 Dr, DTIP 23,050.00 Cr, unrealised and deferred 4,480.00 Cr, UPP 5,000.00 Cr) mapped to 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sz w:val="17"/>
              </w:rPr>
              <w:t>18,050.00 (net)</w:t>
            </w:r>
          </w:p>
        </w:tc>
        <w:tc>
          <w:tcPr>
            <w:tcW w:type="dxa" w:w="2042"/>
            <w:tcMar>
              <w:top w:w="50" w:type="dxa"/>
              <w:bottom w:w="50" w:type="dxa"/>
              <w:left w:w="90" w:type="dxa"/>
              <w:right w:w="90" w:type="dxa"/>
            </w:tcMar>
            <w:shd w:val="clear" w:color="auto" w:fill="E5F5FF"/>
          </w:tcPr>
          <w:p>
            <w:pPr>
              <w:pStyle w:val="BDOITable"/>
            </w:pPr>
            <w:r>
              <w:rPr>
                <w:sz w:val="17"/>
              </w:rPr>
              <w:t>Credit 18,050.00</w:t>
            </w:r>
          </w:p>
        </w:tc>
      </w:tr>
      <w:tr>
        <w:trPr>
          <w:cantSplit w:val="true"/>
        </w:trPr>
        <w:tc>
          <w:tcPr>
            <w:tcW w:type="dxa" w:w="3845"/>
            <w:tcMar>
              <w:top w:w="50" w:type="dxa"/>
              <w:bottom w:w="50" w:type="dxa"/>
              <w:left w:w="90" w:type="dxa"/>
              <w:right w:w="90" w:type="dxa"/>
            </w:tcMar>
          </w:tcPr>
          <w:p>
            <w:pPr>
              <w:pStyle w:val="BDOITable"/>
            </w:pPr>
            <w:r>
              <w:rPr>
                <w:sz w:val="17"/>
              </w:rPr>
              <w:t>G01 trial balance - cash in bank 18,050.00 Dr, mapped to the BIBS bank account</w:t>
            </w:r>
          </w:p>
        </w:tc>
        <w:tc>
          <w:tcPr>
            <w:tcW w:type="dxa" w:w="2042"/>
            <w:tcMar>
              <w:top w:w="50" w:type="dxa"/>
              <w:bottom w:w="50" w:type="dxa"/>
              <w:left w:w="90" w:type="dxa"/>
              <w:right w:w="90" w:type="dxa"/>
            </w:tcMar>
          </w:tcPr>
          <w:p>
            <w:pPr>
              <w:pStyle w:val="BDOITable"/>
            </w:pPr>
            <w:r>
              <w:rPr>
                <w:sz w:val="17"/>
              </w:rPr>
              <w:t>18,050.00</w:t>
            </w: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r>
              <w:rPr>
                <w:sz w:val="17"/>
              </w:rPr>
              <w:t>-</w:t>
            </w:r>
          </w:p>
        </w:tc>
      </w:tr>
      <w:tr>
        <w:trPr>
          <w:cantSplit w:val="true"/>
        </w:trPr>
        <w:tc>
          <w:tcPr>
            <w:tcW w:type="dxa" w:w="3845"/>
            <w:tcMar>
              <w:top w:w="50" w:type="dxa"/>
              <w:bottom w:w="50" w:type="dxa"/>
              <w:left w:w="90" w:type="dxa"/>
              <w:right w:w="90" w:type="dxa"/>
            </w:tcMar>
            <w:shd w:val="clear" w:color="auto" w:fill="E5F5FF"/>
          </w:tcPr>
          <w:p>
            <w:pPr>
              <w:pStyle w:val="BDOITable"/>
            </w:pPr>
            <w:r>
              <w:rPr>
                <w:b/>
                <w:sz w:val="17"/>
              </w:rPr>
              <w:t>Migration Clearing</w:t>
            </w: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r>
              <w:rPr>
                <w:b/>
                <w:sz w:val="17"/>
              </w:rPr>
              <w:t>0.00</w:t>
            </w:r>
          </w:p>
        </w:tc>
      </w:tr>
    </w:tbl>
    <w:p>
      <w:pPr>
        <w:pStyle w:val="BDOISpacer"/>
      </w:pPr>
    </w:p>
    <w:p>
      <w:r>
        <w:rPr>
          <w:b/>
        </w:rPr>
        <w:t>A missing invoice.</w:t>
      </w:r>
      <w:r>
        <w:rPr/>
        <w:t xml:space="preserve"> A difference on Migration Clearing has the sign of the trial balance, because the TB puts the legacy control-account lines on Migration Clearing with their own sign and the opening entries put the detail there with the opposite sign. So an invoice missing from F01 leaves a </w:t>
      </w:r>
      <w:r>
        <w:rPr>
          <w:b/>
        </w:rPr>
        <w:t>debit</w:t>
      </w:r>
      <w:r>
        <w:rPr/>
        <w:t xml:space="preserve"> equal to its net receivable position (open premium receivable, PR2307 and commission receivable, less open DTIP, unrealised commission and deferred VAT) when that is positive, and a </w:t>
      </w:r>
      <w:r>
        <w:rPr>
          <w:b/>
        </w:rPr>
        <w:t>credit</w:t>
      </w:r>
      <w:r>
        <w:rPr/>
        <w:t xml:space="preserve"> when it is negative (FR-DM-021 acceptance 3). Two cases, made-up figures:</w:t>
      </w:r>
    </w:p>
    <w:p>
      <w:pPr>
        <w:tabs>
          <w:tab w:pos="312" w:val="left"/>
        </w:tabs>
        <w:spacing w:after="40"/>
        <w:ind w:left="312" w:hanging="283"/>
      </w:pPr>
      <w:r>
        <w:rPr>
          <w:color w:val="004EA8"/>
        </w:rPr>
        <w:t>•</w:t>
        <w:tab/>
      </w:r>
      <w:r>
        <w:rPr/>
        <w:t xml:space="preserve">F01 missed an invoice paid in full and not remitted, with DTIP 5,000.00 open and commission receivable 800.00 (realised on collection): Migration Clearing shows a </w:t>
      </w:r>
      <w:r>
        <w:rPr>
          <w:b/>
        </w:rPr>
        <w:t>credit of 4,200.00</w:t>
      </w:r>
      <w:r>
        <w:rPr/>
        <w:t xml:space="preserve"> in that branch.</w:t>
      </w:r>
    </w:p>
    <w:p>
      <w:pPr>
        <w:tabs>
          <w:tab w:pos="312" w:val="left"/>
        </w:tabs>
        <w:spacing w:after="120"/>
        <w:ind w:left="312" w:hanging="283"/>
      </w:pPr>
      <w:r>
        <w:rPr>
          <w:color w:val="004EA8"/>
        </w:rPr>
        <w:t>•</w:t>
        <w:tab/>
      </w:r>
      <w:r>
        <w:rPr/>
        <w:t>F01 missed an unpaid invoice with premium receivable 3,000.00, DTIP 3,000.00, commission receivable 480.00 and the same 480.00 unrealised: Migration Clearing nets to 0.00. The per-account comparison of MIG-GL-CLEARING finds it: the TB is 3,000.00 debit higher than the detail on Premium Receivable - Legacy, 3,000.00 credit higher on DTIP - Legacy, and 480.00 higher on each commission account.</w:t>
      </w:r>
    </w:p>
    <w:p>
      <w:r>
        <w:rPr/>
        <w:t>Either break is investigated and fixed or explained before go / no-go.</w:t>
      </w:r>
    </w:p>
    <w:p>
      <w:r>
        <w:rPr>
          <w:b/>
        </w:rPr>
        <w:t>Legacy control accounts against sub-ledgers.</w:t>
      </w:r>
      <w:r>
        <w:rPr/>
        <w:t xml:space="preserve"> After the loads, the ACSL GL to Sub-ledger Reconciliation is run with ledger context LEGACY: each legacy control account must equal the open positions of the legacy invoices (or legacy UPP) behind it. This is criterion 6 of the go / no-go and is repeated daily in hypercare and at every month-end until the legacy context closes.</w:t>
      </w:r>
    </w:p>
    <w:p>
      <w:pPr>
        <w:pStyle w:val="Heading1"/>
        <w:pBdr>
          <w:bottom w:val="single" w:sz="4" w:space="4" w:color="99C1E7"/>
        </w:pBdr>
      </w:pPr>
      <w:bookmarkStart w:id="106" w:name="_Toc000106"/>
      <w:r>
        <w:rPr/>
        <w:t>6 Business verification on screen (gate G6)</w:t>
      </w:r>
      <w:bookmarkEnd w:id="106"/>
    </w:p>
    <w:p>
      <w:r>
        <w:rPr/>
        <w:t>L1 to L5 prove that what BDOI sent is what BIBS holds. Business verification proves that what BIBS holds means what the business expects: the right client, the right policy, the right balance, on the screens users will work with. The data owner (or the steward on the owner's behalf) checks a sample per object in the environment of the cycle and signs the object acceptance.</w:t>
      </w:r>
    </w:p>
    <w:p>
      <w:pPr>
        <w:pStyle w:val="Heading2"/>
      </w:pPr>
      <w:bookmarkStart w:id="107" w:name="_Toc000107"/>
      <w:r>
        <w:rPr/>
        <w:t>6.1 Sample plan</w:t>
      </w:r>
      <w:bookmarkEnd w:id="107"/>
    </w:p>
    <w:p>
      <w:r>
        <w:rPr/>
        <w:t>The Migration Lead draws the samples from the loaded batch (random with a fixed seed recorded on the form, plus the targeted records). Samples are checked against the legacy screen or a legacy report of the same as-of date.</w:t>
      </w:r>
    </w:p>
    <w:p>
      <w:pPr>
        <w:pStyle w:val="Caption"/>
        <w:keepNext/>
        <w:spacing w:after="60"/>
      </w:pPr>
      <w:r>
        <w:rPr>
          <w:b/>
          <w:i w:val="0"/>
        </w:rPr>
        <w:t xml:space="preserve">Table 5: </w:t>
      </w:r>
      <w:r>
        <w:rPr/>
        <w:t>Business verification samples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4686"/>
        <w:gridCol w:w="4325"/>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6"/>
              </w:rPr>
              <w:t>Sample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What is checked on the BIBS screen</w:t>
            </w:r>
          </w:p>
        </w:tc>
      </w:tr>
      <w:tr>
        <w:trPr>
          <w:cantSplit w:val="true"/>
        </w:trPr>
        <w:tc>
          <w:tcPr>
            <w:tcW w:type="dxa" w:w="961"/>
            <w:tcMar>
              <w:top w:w="50" w:type="dxa"/>
              <w:bottom w:w="50" w:type="dxa"/>
              <w:left w:w="90" w:type="dxa"/>
              <w:right w:w="90" w:type="dxa"/>
            </w:tcMar>
          </w:tcPr>
          <w:p>
            <w:pPr>
              <w:pStyle w:val="BDOITable"/>
            </w:pPr>
            <w:r>
              <w:rPr>
                <w:sz w:val="16"/>
              </w:rPr>
              <w:t>R01-R08, R11</w:t>
            </w:r>
          </w:p>
        </w:tc>
        <w:tc>
          <w:tcPr>
            <w:tcW w:type="dxa" w:w="4686"/>
            <w:tcMar>
              <w:top w:w="50" w:type="dxa"/>
              <w:bottom w:w="50" w:type="dxa"/>
              <w:left w:w="90" w:type="dxa"/>
              <w:right w:w="90" w:type="dxa"/>
            </w:tcMar>
          </w:tcPr>
          <w:p>
            <w:pPr>
              <w:pStyle w:val="BDOITable"/>
            </w:pPr>
            <w:r>
              <w:rPr>
                <w:sz w:val="16"/>
              </w:rPr>
              <w:t>Every CREATE value; 10 mapped values per map set; every legacy package with more than one BIBS target (conditional PACKAGE entries); every receipt series</w:t>
            </w:r>
          </w:p>
        </w:tc>
        <w:tc>
          <w:tcPr>
            <w:tcW w:type="dxa" w:w="4325"/>
            <w:tcMar>
              <w:top w:w="50" w:type="dxa"/>
              <w:bottom w:w="50" w:type="dxa"/>
              <w:left w:w="90" w:type="dxa"/>
              <w:right w:w="90" w:type="dxa"/>
            </w:tcMar>
          </w:tcPr>
          <w:p>
            <w:pPr>
              <w:pStyle w:val="BDOITable"/>
            </w:pPr>
            <w:r>
              <w:rPr>
                <w:sz w:val="16"/>
              </w:rPr>
              <w:t>Value, description and status in the master; the package version chosen for sample headers and renewals of each split; next AR / OR number = legacy last used + 1</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C01-C03</w:t>
            </w:r>
          </w:p>
        </w:tc>
        <w:tc>
          <w:tcPr>
            <w:tcW w:type="dxa" w:w="4686"/>
            <w:tcMar>
              <w:top w:w="50" w:type="dxa"/>
              <w:bottom w:w="50" w:type="dxa"/>
              <w:left w:w="90" w:type="dxa"/>
              <w:right w:w="90" w:type="dxa"/>
            </w:tcMar>
            <w:shd w:val="clear" w:color="auto" w:fill="E5F5FF"/>
          </w:tcPr>
          <w:p>
            <w:pPr>
              <w:pStyle w:val="BDOITable"/>
            </w:pPr>
            <w:r>
              <w:rPr>
                <w:sz w:val="16"/>
              </w:rPr>
              <w:t>30 random clients per source system; 20 merged clusters; 10 decisions of the review queue; 10 corporate clients</w:t>
            </w:r>
          </w:p>
        </w:tc>
        <w:tc>
          <w:tcPr>
            <w:tcW w:type="dxa" w:w="4325"/>
            <w:tcMar>
              <w:top w:w="50" w:type="dxa"/>
              <w:bottom w:w="50" w:type="dxa"/>
              <w:left w:w="90" w:type="dxa"/>
              <w:right w:w="90" w:type="dxa"/>
            </w:tcMar>
            <w:shd w:val="clear" w:color="auto" w:fill="E5F5FF"/>
          </w:tcPr>
          <w:p>
            <w:pPr>
              <w:pStyle w:val="BDOITable"/>
            </w:pPr>
            <w:r>
              <w:rPr>
                <w:sz w:val="16"/>
              </w:rPr>
              <w:t>Client search by legacy number; name, identity, contacts, segment, AO, KYC status and review date; cluster shows every legacy number</w:t>
            </w:r>
          </w:p>
        </w:tc>
      </w:tr>
      <w:tr>
        <w:trPr>
          <w:cantSplit w:val="true"/>
        </w:trPr>
        <w:tc>
          <w:tcPr>
            <w:tcW w:type="dxa" w:w="961"/>
            <w:tcMar>
              <w:top w:w="50" w:type="dxa"/>
              <w:bottom w:w="50" w:type="dxa"/>
              <w:left w:w="90" w:type="dxa"/>
              <w:right w:w="90" w:type="dxa"/>
            </w:tcMar>
          </w:tcPr>
          <w:p>
            <w:pPr>
              <w:pStyle w:val="BDOITable"/>
            </w:pPr>
            <w:r>
              <w:rPr>
                <w:sz w:val="16"/>
              </w:rPr>
              <w:t>P01</w:t>
            </w:r>
          </w:p>
        </w:tc>
        <w:tc>
          <w:tcPr>
            <w:tcW w:type="dxa" w:w="4686"/>
            <w:tcMar>
              <w:top w:w="50" w:type="dxa"/>
              <w:bottom w:w="50" w:type="dxa"/>
              <w:left w:w="90" w:type="dxa"/>
              <w:right w:w="90" w:type="dxa"/>
            </w:tcMar>
          </w:tcPr>
          <w:p>
            <w:pPr>
              <w:pStyle w:val="BDOITable"/>
            </w:pPr>
            <w:r>
              <w:rPr>
                <w:sz w:val="16"/>
              </w:rPr>
              <w:t>30 random headers; 10 with several insurers; 10 expiring within 140 days</w:t>
            </w:r>
          </w:p>
        </w:tc>
        <w:tc>
          <w:tcPr>
            <w:tcW w:type="dxa" w:w="4325"/>
            <w:tcMar>
              <w:top w:w="50" w:type="dxa"/>
              <w:bottom w:w="50" w:type="dxa"/>
              <w:left w:w="90" w:type="dxa"/>
              <w:right w:w="90" w:type="dxa"/>
            </w:tcMar>
          </w:tcPr>
          <w:p>
            <w:pPr>
              <w:pStyle w:val="BDOITable"/>
            </w:pPr>
            <w:r>
              <w:rPr>
                <w:sz w:val="16"/>
              </w:rPr>
              <w:t>Account search by policy and legacy reference; dates, insurer and shares, sum insured, premium, client link, legacy invoices listed</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P03</w:t>
            </w:r>
          </w:p>
        </w:tc>
        <w:tc>
          <w:tcPr>
            <w:tcW w:type="dxa" w:w="4686"/>
            <w:tcMar>
              <w:top w:w="50" w:type="dxa"/>
              <w:bottom w:w="50" w:type="dxa"/>
              <w:left w:w="90" w:type="dxa"/>
              <w:right w:w="90" w:type="dxa"/>
            </w:tcMar>
            <w:shd w:val="clear" w:color="auto" w:fill="E5F5FF"/>
          </w:tcPr>
          <w:p>
            <w:pPr>
              <w:pStyle w:val="BDOITable"/>
            </w:pPr>
            <w:r>
              <w:rPr>
                <w:sz w:val="16"/>
              </w:rPr>
              <w:t>20 candidates per carried expiry month (January-May 2028); every candidate with package UNRESOLVED (up to 30); 10 catch-up candidates</w:t>
            </w:r>
          </w:p>
        </w:tc>
        <w:tc>
          <w:tcPr>
            <w:tcW w:type="dxa" w:w="4325"/>
            <w:tcMar>
              <w:top w:w="50" w:type="dxa"/>
              <w:bottom w:w="50" w:type="dxa"/>
              <w:left w:w="90" w:type="dxa"/>
              <w:right w:w="90" w:type="dxa"/>
            </w:tcMar>
            <w:shd w:val="clear" w:color="auto" w:fill="E5F5FF"/>
          </w:tcPr>
          <w:p>
            <w:pPr>
              <w:pStyle w:val="BDOITable"/>
            </w:pPr>
            <w:r>
              <w:rPr>
                <w:sz w:val="16"/>
              </w:rPr>
              <w:t>Candidate in Renewal with disposition, handler, RA status, proposed terms, package and remarks; UNRESOLVED candidates in the Exception bucket; catch-up candidates at the first stage</w:t>
            </w:r>
          </w:p>
        </w:tc>
      </w:tr>
      <w:tr>
        <w:trPr>
          <w:cantSplit w:val="true"/>
        </w:trPr>
        <w:tc>
          <w:tcPr>
            <w:tcW w:type="dxa" w:w="961"/>
            <w:tcMar>
              <w:top w:w="50" w:type="dxa"/>
              <w:bottom w:w="50" w:type="dxa"/>
              <w:left w:w="90" w:type="dxa"/>
              <w:right w:w="90" w:type="dxa"/>
            </w:tcMar>
          </w:tcPr>
          <w:p>
            <w:pPr>
              <w:pStyle w:val="BDOITable"/>
            </w:pPr>
            <w:r>
              <w:rPr>
                <w:sz w:val="16"/>
              </w:rPr>
              <w:t>F01</w:t>
            </w:r>
          </w:p>
        </w:tc>
        <w:tc>
          <w:tcPr>
            <w:tcW w:type="dxa" w:w="4686"/>
            <w:tcMar>
              <w:top w:w="50" w:type="dxa"/>
              <w:bottom w:w="50" w:type="dxa"/>
              <w:left w:w="90" w:type="dxa"/>
              <w:right w:w="90" w:type="dxa"/>
            </w:tcMar>
          </w:tcPr>
          <w:p>
            <w:pPr>
              <w:pStyle w:val="BDOITable"/>
            </w:pPr>
            <w:r>
              <w:rPr>
                <w:sz w:val="16"/>
              </w:rPr>
              <w:t>20 largest open balances per currency; 30 random; 10 endorsement or cancellation invoices; 10 direct-payment; 10 with 2307; up to 20 foreign-currency</w:t>
            </w:r>
          </w:p>
        </w:tc>
        <w:tc>
          <w:tcPr>
            <w:tcW w:type="dxa" w:w="4325"/>
            <w:tcMar>
              <w:top w:w="50" w:type="dxa"/>
              <w:bottom w:w="50" w:type="dxa"/>
              <w:left w:w="90" w:type="dxa"/>
              <w:right w:w="90" w:type="dxa"/>
            </w:tcMar>
          </w:tcPr>
          <w:p>
            <w:pPr>
              <w:pStyle w:val="BDOITable"/>
            </w:pPr>
            <w:r>
              <w:rPr>
                <w:sz w:val="16"/>
              </w:rPr>
              <w:t>Invoice 360: legacy badge, source, legacy number, original values, booked / paid / remitted / open per component, shares; Collections item for open premium</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F02</w:t>
            </w:r>
          </w:p>
        </w:tc>
        <w:tc>
          <w:tcPr>
            <w:tcW w:type="dxa" w:w="4686"/>
            <w:tcMar>
              <w:top w:w="50" w:type="dxa"/>
              <w:bottom w:w="50" w:type="dxa"/>
              <w:left w:w="90" w:type="dxa"/>
              <w:right w:w="90" w:type="dxa"/>
            </w:tcMar>
            <w:shd w:val="clear" w:color="auto" w:fill="E5F5FF"/>
          </w:tcPr>
          <w:p>
            <w:pPr>
              <w:pStyle w:val="BDOITable"/>
            </w:pPr>
            <w:r>
              <w:rPr>
                <w:sz w:val="16"/>
              </w:rPr>
              <w:t>20 largest balances; 20 random; every item with a disposition in progress (up to 30)</w:t>
            </w:r>
          </w:p>
        </w:tc>
        <w:tc>
          <w:tcPr>
            <w:tcW w:type="dxa" w:w="4325"/>
            <w:tcMar>
              <w:top w:w="50" w:type="dxa"/>
              <w:bottom w:w="50" w:type="dxa"/>
              <w:left w:w="90" w:type="dxa"/>
              <w:right w:w="90" w:type="dxa"/>
            </w:tcMar>
            <w:shd w:val="clear" w:color="auto" w:fill="E5F5FF"/>
          </w:tcPr>
          <w:p>
            <w:pPr>
              <w:pStyle w:val="BDOITable"/>
            </w:pPr>
            <w:r>
              <w:rPr>
                <w:sz w:val="16"/>
              </w:rPr>
              <w:t>Unapplied Payments workbench: legacy AR, amount, balance, tab, references, disposition</w:t>
            </w:r>
          </w:p>
        </w:tc>
      </w:tr>
      <w:tr>
        <w:trPr>
          <w:cantSplit w:val="true"/>
        </w:trPr>
        <w:tc>
          <w:tcPr>
            <w:tcW w:type="dxa" w:w="961"/>
            <w:tcMar>
              <w:top w:w="50" w:type="dxa"/>
              <w:bottom w:w="50" w:type="dxa"/>
              <w:left w:w="90" w:type="dxa"/>
              <w:right w:w="90" w:type="dxa"/>
            </w:tcMar>
          </w:tcPr>
          <w:p>
            <w:pPr>
              <w:pStyle w:val="BDOITable"/>
            </w:pPr>
            <w:r>
              <w:rPr>
                <w:sz w:val="16"/>
              </w:rPr>
              <w:t>F03, F04, F06</w:t>
            </w:r>
          </w:p>
        </w:tc>
        <w:tc>
          <w:tcPr>
            <w:tcW w:type="dxa" w:w="4686"/>
            <w:tcMar>
              <w:top w:w="50" w:type="dxa"/>
              <w:bottom w:w="50" w:type="dxa"/>
              <w:left w:w="90" w:type="dxa"/>
              <w:right w:w="90" w:type="dxa"/>
            </w:tcMar>
          </w:tcPr>
          <w:p>
            <w:pPr>
              <w:pStyle w:val="BDOITable"/>
            </w:pPr>
            <w:r>
              <w:rPr>
                <w:sz w:val="16"/>
              </w:rPr>
              <w:t>20 random per object</w:t>
            </w:r>
          </w:p>
        </w:tc>
        <w:tc>
          <w:tcPr>
            <w:tcW w:type="dxa" w:w="4325"/>
            <w:tcMar>
              <w:top w:w="50" w:type="dxa"/>
              <w:bottom w:w="50" w:type="dxa"/>
              <w:left w:w="90" w:type="dxa"/>
              <w:right w:w="90" w:type="dxa"/>
            </w:tcMar>
          </w:tcPr>
          <w:p>
            <w:pPr>
              <w:pStyle w:val="BDOITable"/>
            </w:pPr>
            <w:r>
              <w:rPr>
                <w:sz w:val="16"/>
              </w:rPr>
              <w:t>Promise and assignment on the Collections item; hold or special request in Remittance; PDC in the warehouse list</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G01</w:t>
            </w:r>
          </w:p>
        </w:tc>
        <w:tc>
          <w:tcPr>
            <w:tcW w:type="dxa" w:w="4686"/>
            <w:tcMar>
              <w:top w:w="50" w:type="dxa"/>
              <w:bottom w:w="50" w:type="dxa"/>
              <w:left w:w="90" w:type="dxa"/>
              <w:right w:w="90" w:type="dxa"/>
            </w:tcMar>
            <w:shd w:val="clear" w:color="auto" w:fill="E5F5FF"/>
          </w:tcPr>
          <w:p>
            <w:pPr>
              <w:pStyle w:val="BDOITable"/>
            </w:pPr>
            <w:r>
              <w:rPr>
                <w:sz w:val="16"/>
              </w:rPr>
              <w:t>Every branch and currency total; 20 largest account lines</w:t>
            </w:r>
          </w:p>
        </w:tc>
        <w:tc>
          <w:tcPr>
            <w:tcW w:type="dxa" w:w="4325"/>
            <w:tcMar>
              <w:top w:w="50" w:type="dxa"/>
              <w:bottom w:w="50" w:type="dxa"/>
              <w:left w:w="90" w:type="dxa"/>
              <w:right w:w="90" w:type="dxa"/>
            </w:tcMar>
            <w:shd w:val="clear" w:color="auto" w:fill="E5F5FF"/>
          </w:tcPr>
          <w:p>
            <w:pPr>
              <w:pStyle w:val="BDOITable"/>
            </w:pPr>
            <w:r>
              <w:rPr>
                <w:sz w:val="16"/>
              </w:rPr>
              <w:t>Trial balance report in BIBS against the legacy trial balance</w:t>
            </w:r>
          </w:p>
        </w:tc>
      </w:tr>
      <w:tr>
        <w:trPr>
          <w:cantSplit w:val="true"/>
        </w:trPr>
        <w:tc>
          <w:tcPr>
            <w:tcW w:type="dxa" w:w="961"/>
            <w:tcMar>
              <w:top w:w="50" w:type="dxa"/>
              <w:bottom w:w="50" w:type="dxa"/>
              <w:left w:w="90" w:type="dxa"/>
              <w:right w:w="90" w:type="dxa"/>
            </w:tcMar>
          </w:tcPr>
          <w:p>
            <w:pPr>
              <w:pStyle w:val="BDOITable"/>
            </w:pPr>
            <w:r>
              <w:rPr>
                <w:sz w:val="16"/>
              </w:rPr>
              <w:t>H01, H02</w:t>
            </w:r>
          </w:p>
        </w:tc>
        <w:tc>
          <w:tcPr>
            <w:tcW w:type="dxa" w:w="4686"/>
            <w:tcMar>
              <w:top w:w="50" w:type="dxa"/>
              <w:bottom w:w="50" w:type="dxa"/>
              <w:left w:w="90" w:type="dxa"/>
              <w:right w:w="90" w:type="dxa"/>
            </w:tcMar>
          </w:tcPr>
          <w:p>
            <w:pPr>
              <w:pStyle w:val="BDOITable"/>
            </w:pPr>
            <w:r>
              <w:rPr>
                <w:sz w:val="16"/>
              </w:rPr>
              <w:t>10 records per record type; 10 documents</w:t>
            </w:r>
          </w:p>
        </w:tc>
        <w:tc>
          <w:tcPr>
            <w:tcW w:type="dxa" w:w="4325"/>
            <w:tcMar>
              <w:top w:w="50" w:type="dxa"/>
              <w:bottom w:w="50" w:type="dxa"/>
              <w:left w:w="90" w:type="dxa"/>
              <w:right w:w="90" w:type="dxa"/>
            </w:tcMar>
          </w:tcPr>
          <w:p>
            <w:pPr>
              <w:pStyle w:val="BDOITable"/>
            </w:pPr>
            <w:r>
              <w:rPr>
                <w:sz w:val="16"/>
              </w:rPr>
              <w:t>Legacy Inquiry search by the legacy key; labelled columns; document opens and matches its checksum</w:t>
            </w:r>
          </w:p>
        </w:tc>
      </w:tr>
    </w:tbl>
    <w:p>
      <w:pPr>
        <w:pStyle w:val="BDOISpacer"/>
      </w:pPr>
    </w:p>
    <w:p>
      <w:pPr>
        <w:pStyle w:val="Heading2"/>
      </w:pPr>
      <w:bookmarkStart w:id="108" w:name="_Toc000108"/>
      <w:r>
        <w:rPr/>
        <w:t>6.2 Acceptance rule</w:t>
      </w:r>
      <w:bookmarkEnd w:id="108"/>
    </w:p>
    <w:p>
      <w:pPr>
        <w:tabs>
          <w:tab w:pos="312" w:val="left"/>
        </w:tabs>
        <w:spacing w:after="40"/>
        <w:ind w:left="312" w:hanging="283"/>
      </w:pPr>
      <w:r>
        <w:rPr>
          <w:color w:val="004EA8"/>
        </w:rPr>
        <w:t>•</w:t>
        <w:tab/>
      </w:r>
      <w:r>
        <w:rPr>
          <w:b/>
        </w:rPr>
        <w:t>Financial objects (F01, F02, G01) and identity fields of clients:</w:t>
      </w:r>
      <w:r>
        <w:rPr/>
        <w:t xml:space="preserve"> no error is accepted. One error stops the sign-off: the cause is found, fixed at source, in the map or in the loader, the batch is rerun, and a new sample is drawn.</w:t>
      </w:r>
    </w:p>
    <w:p>
      <w:pPr>
        <w:tabs>
          <w:tab w:pos="312" w:val="left"/>
        </w:tabs>
        <w:spacing w:after="40"/>
        <w:ind w:left="312" w:hanging="283"/>
      </w:pPr>
      <w:r>
        <w:rPr>
          <w:color w:val="004EA8"/>
        </w:rPr>
        <w:t>•</w:t>
        <w:tab/>
      </w:r>
      <w:r>
        <w:rPr>
          <w:b/>
        </w:rPr>
        <w:t>Other fields:</w:t>
      </w:r>
      <w:r>
        <w:rPr/>
        <w:t xml:space="preserve"> an error that is isolated and cosmetic (for example capitalisation of an address) is listed on the form with its fix (legacy correction before the next extract, or correction in BIBS after go-live by the owner). Two or more errors of the same kind in a sample are treated as systematic: the sample is doubled and the cause is fixed before sign-off.</w:t>
      </w:r>
    </w:p>
    <w:p>
      <w:pPr>
        <w:tabs>
          <w:tab w:pos="312" w:val="left"/>
        </w:tabs>
        <w:spacing w:after="120"/>
        <w:ind w:left="312" w:hanging="283"/>
      </w:pPr>
      <w:r>
        <w:rPr>
          <w:color w:val="004EA8"/>
        </w:rPr>
        <w:t>•</w:t>
        <w:tab/>
      </w:r>
      <w:r>
        <w:rPr/>
        <w:t>The result is recorded on the object sign-off form (section 9.1) with the sample seed, the records checked and the errors found.</w:t>
      </w:r>
    </w:p>
    <w:p>
      <w:pPr>
        <w:pStyle w:val="Heading1"/>
        <w:pBdr>
          <w:bottom w:val="single" w:sz="4" w:space="4" w:color="99C1E7"/>
        </w:pBdr>
      </w:pPr>
      <w:bookmarkStart w:id="109" w:name="_Toc000109"/>
      <w:r>
        <w:rPr/>
        <w:t>7 Breaks, waivers and exclusions</w:t>
      </w:r>
      <w:bookmarkEnd w:id="109"/>
    </w:p>
    <w:p>
      <w:pPr>
        <w:pStyle w:val="Caption"/>
        <w:keepNext/>
        <w:spacing w:after="60"/>
      </w:pPr>
      <w:r>
        <w:rPr>
          <w:b/>
          <w:i w:val="0"/>
        </w:rPr>
        <w:t xml:space="preserve">Table 6: </w:t>
      </w:r>
      <w:r>
        <w:rPr/>
        <w:t>How differences are closed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965"/>
        <w:gridCol w:w="3484"/>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Situation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Handling</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Approved by</w:t>
            </w:r>
          </w:p>
        </w:tc>
      </w:tr>
      <w:tr>
        <w:trPr>
          <w:cantSplit w:val="true"/>
        </w:trPr>
        <w:tc>
          <w:tcPr>
            <w:tcW w:type="dxa" w:w="2523"/>
            <w:tcMar>
              <w:top w:w="50" w:type="dxa"/>
              <w:bottom w:w="50" w:type="dxa"/>
              <w:left w:w="90" w:type="dxa"/>
              <w:right w:w="90" w:type="dxa"/>
            </w:tcMar>
          </w:tcPr>
          <w:p>
            <w:pPr>
              <w:pStyle w:val="BDOITable"/>
            </w:pPr>
            <w:r>
              <w:rPr>
                <w:sz w:val="17"/>
              </w:rPr>
              <w:t>Row rejected by a data-quality rule</w:t>
            </w:r>
          </w:p>
        </w:tc>
        <w:tc>
          <w:tcPr>
            <w:tcW w:type="dxa" w:w="3965"/>
            <w:tcMar>
              <w:top w:w="50" w:type="dxa"/>
              <w:bottom w:w="50" w:type="dxa"/>
              <w:left w:w="90" w:type="dxa"/>
              <w:right w:w="90" w:type="dxa"/>
            </w:tcMar>
          </w:tcPr>
          <w:p>
            <w:pPr>
              <w:pStyle w:val="BDOITable"/>
            </w:pPr>
            <w:r>
              <w:rPr>
                <w:sz w:val="17"/>
              </w:rPr>
              <w:t>Fixed at source and re-extracted, fixed by a new map version, or waived (master data only)</w:t>
            </w:r>
          </w:p>
        </w:tc>
        <w:tc>
          <w:tcPr>
            <w:tcW w:type="dxa" w:w="3484"/>
            <w:tcMar>
              <w:top w:w="50" w:type="dxa"/>
              <w:bottom w:w="50" w:type="dxa"/>
              <w:left w:w="90" w:type="dxa"/>
              <w:right w:w="90" w:type="dxa"/>
            </w:tcMar>
          </w:tcPr>
          <w:p>
            <w:pPr>
              <w:pStyle w:val="BDOITable"/>
            </w:pPr>
            <w:r>
              <w:rPr>
                <w:sz w:val="17"/>
              </w:rPr>
              <w:t>Data steward; waiver by the data owner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Financial row that cannot be fixed before go-live</w:t>
            </w:r>
          </w:p>
        </w:tc>
        <w:tc>
          <w:tcPr>
            <w:tcW w:type="dxa" w:w="3965"/>
            <w:tcMar>
              <w:top w:w="50" w:type="dxa"/>
              <w:bottom w:w="50" w:type="dxa"/>
              <w:left w:w="90" w:type="dxa"/>
              <w:right w:w="90" w:type="dxa"/>
            </w:tcMar>
            <w:shd w:val="clear" w:color="auto" w:fill="E5F5FF"/>
          </w:tcPr>
          <w:p>
            <w:pPr>
              <w:pStyle w:val="BDOITable"/>
            </w:pPr>
            <w:r>
              <w:rPr>
                <w:sz w:val="17"/>
              </w:rPr>
              <w:t>Excluded from the batch with a manual-entry plan (who keys it in BIBS after go-live, when, and the amount)</w:t>
            </w:r>
          </w:p>
        </w:tc>
        <w:tc>
          <w:tcPr>
            <w:tcW w:type="dxa" w:w="3484"/>
            <w:tcMar>
              <w:top w:w="50" w:type="dxa"/>
              <w:bottom w:w="50" w:type="dxa"/>
              <w:left w:w="90" w:type="dxa"/>
              <w:right w:w="90" w:type="dxa"/>
            </w:tcMar>
            <w:shd w:val="clear" w:color="auto" w:fill="E5F5FF"/>
          </w:tcPr>
          <w:p>
            <w:pPr>
              <w:pStyle w:val="BDOITable"/>
            </w:pPr>
            <w:r>
              <w:rPr>
                <w:sz w:val="17"/>
              </w:rPr>
              <w:t>Data owner and Comptrollership</w:t>
            </w:r>
          </w:p>
        </w:tc>
      </w:tr>
      <w:tr>
        <w:trPr>
          <w:cantSplit w:val="true"/>
        </w:trPr>
        <w:tc>
          <w:tcPr>
            <w:tcW w:type="dxa" w:w="2523"/>
            <w:tcMar>
              <w:top w:w="50" w:type="dxa"/>
              <w:bottom w:w="50" w:type="dxa"/>
              <w:left w:w="90" w:type="dxa"/>
              <w:right w:w="90" w:type="dxa"/>
            </w:tcMar>
          </w:tcPr>
          <w:p>
            <w:pPr>
              <w:pStyle w:val="BDOITable"/>
            </w:pPr>
            <w:r>
              <w:rPr>
                <w:sz w:val="17"/>
              </w:rPr>
              <w:t>Amount or count difference between control file and staging</w:t>
            </w:r>
          </w:p>
        </w:tc>
        <w:tc>
          <w:tcPr>
            <w:tcW w:type="dxa" w:w="3965"/>
            <w:tcMar>
              <w:top w:w="50" w:type="dxa"/>
              <w:bottom w:w="50" w:type="dxa"/>
              <w:left w:w="90" w:type="dxa"/>
              <w:right w:w="90" w:type="dxa"/>
            </w:tcMar>
          </w:tcPr>
          <w:p>
            <w:pPr>
              <w:pStyle w:val="BDOITable"/>
            </w:pPr>
            <w:r>
              <w:rPr>
                <w:sz w:val="17"/>
              </w:rPr>
              <w:t>The extract is rejected at intake; BDOI IT re-sends</w:t>
            </w:r>
          </w:p>
        </w:tc>
        <w:tc>
          <w:tcPr>
            <w:tcW w:type="dxa" w:w="3484"/>
            <w:tcMar>
              <w:top w:w="50" w:type="dxa"/>
              <w:bottom w:w="50" w:type="dxa"/>
              <w:left w:w="90" w:type="dxa"/>
              <w:right w:w="90" w:type="dxa"/>
            </w:tcMar>
          </w:tcPr>
          <w:p>
            <w:pPr>
              <w:pStyle w:val="BDOITable"/>
            </w:pPr>
            <w:r>
              <w:rPr>
                <w:sz w:val="17"/>
              </w:rPr>
              <w: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Difference between staging and BIBS (L2, L4)</w:t>
            </w:r>
          </w:p>
        </w:tc>
        <w:tc>
          <w:tcPr>
            <w:tcW w:type="dxa" w:w="3965"/>
            <w:tcMar>
              <w:top w:w="50" w:type="dxa"/>
              <w:bottom w:w="50" w:type="dxa"/>
              <w:left w:w="90" w:type="dxa"/>
              <w:right w:w="90" w:type="dxa"/>
            </w:tcMar>
            <w:shd w:val="clear" w:color="auto" w:fill="E5F5FF"/>
          </w:tcPr>
          <w:p>
            <w:pPr>
              <w:pStyle w:val="BDOITable"/>
            </w:pPr>
            <w:r>
              <w:rPr>
                <w:sz w:val="17"/>
              </w:rPr>
              <w:t>Loader or mapping defect: fixed and rerun; never explained away</w:t>
            </w:r>
          </w:p>
        </w:tc>
        <w:tc>
          <w:tcPr>
            <w:tcW w:type="dxa" w:w="3484"/>
            <w:tcMar>
              <w:top w:w="50" w:type="dxa"/>
              <w:bottom w:w="50" w:type="dxa"/>
              <w:left w:w="90" w:type="dxa"/>
              <w:right w:w="90" w:type="dxa"/>
            </w:tcMar>
            <w:shd w:val="clear" w:color="auto" w:fill="E5F5FF"/>
          </w:tcPr>
          <w:p>
            <w:pPr>
              <w:pStyle w:val="BDOITable"/>
            </w:pPr>
            <w:r>
              <w:rPr>
                <w:sz w:val="17"/>
              </w:rPr>
              <w:t>iorta Migration Lead</w:t>
            </w:r>
          </w:p>
        </w:tc>
      </w:tr>
      <w:tr>
        <w:trPr>
          <w:cantSplit w:val="true"/>
        </w:trPr>
        <w:tc>
          <w:tcPr>
            <w:tcW w:type="dxa" w:w="2523"/>
            <w:tcMar>
              <w:top w:w="50" w:type="dxa"/>
              <w:bottom w:w="50" w:type="dxa"/>
              <w:left w:w="90" w:type="dxa"/>
              <w:right w:w="90" w:type="dxa"/>
            </w:tcMar>
          </w:tcPr>
          <w:p>
            <w:pPr>
              <w:pStyle w:val="BDOITable"/>
            </w:pPr>
            <w:r>
              <w:rPr>
                <w:sz w:val="17"/>
              </w:rPr>
              <w:t>Migration Clearing not 0.00</w:t>
            </w:r>
          </w:p>
        </w:tc>
        <w:tc>
          <w:tcPr>
            <w:tcW w:type="dxa" w:w="3965"/>
            <w:tcMar>
              <w:top w:w="50" w:type="dxa"/>
              <w:bottom w:w="50" w:type="dxa"/>
              <w:left w:w="90" w:type="dxa"/>
              <w:right w:w="90" w:type="dxa"/>
            </w:tcMar>
          </w:tcPr>
          <w:p>
            <w:pPr>
              <w:pStyle w:val="BDOITable"/>
            </w:pPr>
            <w:r>
              <w:rPr>
                <w:sz w:val="17"/>
              </w:rPr>
              <w:t>Traced to the invoice, UPP or TB line; fixed by rerun or by a legacy correction and a new extract; a residual rounding difference is explained with its amount</w:t>
            </w:r>
          </w:p>
        </w:tc>
        <w:tc>
          <w:tcPr>
            <w:tcW w:type="dxa" w:w="3484"/>
            <w:tcMar>
              <w:top w:w="50" w:type="dxa"/>
              <w:bottom w:w="50" w:type="dxa"/>
              <w:left w:w="90" w:type="dxa"/>
              <w:right w:w="90" w:type="dxa"/>
            </w:tcMar>
          </w:tcPr>
          <w:p>
            <w:pPr>
              <w:pStyle w:val="BDOITable"/>
            </w:pPr>
            <w:r>
              <w:rPr>
                <w:sz w:val="17"/>
              </w:rPr>
              <w:t>Reconciliation approver (Comptrollership)</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Late legacy transaction after the freeze</w:t>
            </w:r>
          </w:p>
        </w:tc>
        <w:tc>
          <w:tcPr>
            <w:tcW w:type="dxa" w:w="3965"/>
            <w:tcMar>
              <w:top w:w="50" w:type="dxa"/>
              <w:bottom w:w="50" w:type="dxa"/>
              <w:left w:w="90" w:type="dxa"/>
              <w:right w:w="90" w:type="dxa"/>
            </w:tcMar>
            <w:shd w:val="clear" w:color="auto" w:fill="E5F5FF"/>
          </w:tcPr>
          <w:p>
            <w:pPr>
              <w:pStyle w:val="BDOITable"/>
            </w:pPr>
            <w:r>
              <w:rPr>
                <w:sz w:val="17"/>
              </w:rPr>
              <w:t>Recorded as a break; the transaction is re-keyed in BIBS after go-live and the legacy system owner explains the access</w:t>
            </w:r>
          </w:p>
        </w:tc>
        <w:tc>
          <w:tcPr>
            <w:tcW w:type="dxa" w:w="3484"/>
            <w:tcMar>
              <w:top w:w="50" w:type="dxa"/>
              <w:bottom w:w="50" w:type="dxa"/>
              <w:left w:w="90" w:type="dxa"/>
              <w:right w:w="90" w:type="dxa"/>
            </w:tcMar>
            <w:shd w:val="clear" w:color="auto" w:fill="E5F5FF"/>
          </w:tcPr>
          <w:p>
            <w:pPr>
              <w:pStyle w:val="BDOITable"/>
            </w:pPr>
            <w:r>
              <w:rPr>
                <w:sz w:val="17"/>
              </w:rPr>
              <w:t>Data owner; BDOI IT</w:t>
            </w:r>
          </w:p>
        </w:tc>
      </w:tr>
    </w:tbl>
    <w:p>
      <w:pPr>
        <w:pStyle w:val="BDOISpacer"/>
      </w:pPr>
    </w:p>
    <w:p>
      <w:pPr>
        <w:pStyle w:val="Heading1"/>
        <w:pBdr>
          <w:bottom w:val="single" w:sz="4" w:space="4" w:color="99C1E7"/>
        </w:pBdr>
      </w:pPr>
      <w:bookmarkStart w:id="110" w:name="_Toc000110"/>
      <w:r>
        <w:rPr/>
        <w:t>8 Evidence and retention</w:t>
      </w:r>
      <w:bookmarkEnd w:id="110"/>
    </w:p>
    <w:p>
      <w:r>
        <w:rPr/>
        <w:t>For each object and cycle the evidence pack holds: the extract numbers with file names, SHA-256 and control totals; the map versions used; MIG-DQ-ISSUES with waivers; MIG-REJECTS; MIG-RECON-SUMMARY and MIG-RECON-DETAIL; MIG-GL-CLEARING for financial objects; the sample list with the check results; and the signed forms of section 9. The pack is exported from the Migration Console and filed in the project records. Staging rows and files are purged within 5 days of sign-off, but counts, hashes, totals, reports and sign-offs are kept (proposed 10 years, DMQ29).</w:t>
      </w:r>
    </w:p>
    <w:p>
      <w:pPr>
        <w:pStyle w:val="Heading1"/>
        <w:pBdr>
          <w:bottom w:val="single" w:sz="4" w:space="4" w:color="99C1E7"/>
        </w:pBdr>
      </w:pPr>
      <w:bookmarkStart w:id="111" w:name="_Toc000111"/>
      <w:r>
        <w:rPr/>
        <w:t>9 Sign-off forms</w:t>
      </w:r>
      <w:bookmarkEnd w:id="111"/>
    </w:p>
    <w:p>
      <w:r>
        <w:rPr/>
        <w:t>The forms below are signed in the Migration Console (gates G5 and G6) and printed for the project file. One form per object and cycle.</w:t>
      </w:r>
    </w:p>
    <w:p>
      <w:pPr>
        <w:spacing w:after="0"/>
      </w:pPr>
      <w:r>
        <w:br w:type="page"/>
      </w:r>
    </w:p>
    <w:p>
      <w:pPr>
        <w:pStyle w:val="Heading2"/>
      </w:pPr>
      <w:bookmarkStart w:id="112" w:name="_Toc000112"/>
      <w:r>
        <w:rPr/>
        <w:t>9.1 Object reconciliation and acceptance (G5 and G6)</w:t>
      </w:r>
      <w:bookmarkEnd w:id="1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Object and name</w:t>
            </w:r>
          </w:p>
        </w:tc>
        <w:tc>
          <w:tcPr>
            <w:tcW w:type="dxa" w:w="7704"/>
            <w:tcMar>
              <w:top w:w="50" w:type="dxa"/>
              <w:bottom w:w="50" w:type="dxa"/>
              <w:left w:w="90" w:type="dxa"/>
              <w:right w:w="90" w:type="dxa"/>
            </w:tcMar>
          </w:tcPr>
          <w:p>
            <w:pPr>
              <w:pStyle w:val="BDOITable"/>
              <w:keepNext/>
            </w:pPr>
            <w:r>
              <w:rPr>
                <w:sz w:val="18"/>
              </w:rPr>
              <w: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Cycle and environment</w:t>
            </w:r>
          </w:p>
        </w:tc>
        <w:tc>
          <w:tcPr>
            <w:tcW w:type="dxa" w:w="7704"/>
            <w:tcMar>
              <w:top w:w="50" w:type="dxa"/>
              <w:bottom w:w="50" w:type="dxa"/>
              <w:left w:w="90" w:type="dxa"/>
              <w:right w:w="90" w:type="dxa"/>
            </w:tcMar>
          </w:tcPr>
          <w:p>
            <w:pPr>
              <w:pStyle w:val="BDOITable"/>
              <w:keepNext/>
            </w:pPr>
            <w:r>
              <w:rPr>
                <w:sz w:val="18"/>
              </w:rPr>
              <w:t>Mock 1 / Mock 2 / Mock 3 / Mock 4 / Dress rehearsal / Production     Environment: ................</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Batch numbers (MGB-)</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Extract numbers (MGX-) and as-of</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Code map versions used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Sample seed and size</w:t>
            </w:r>
          </w:p>
        </w:tc>
        <w:tc>
          <w:tcPr>
            <w:tcW w:type="dxa" w:w="7704"/>
            <w:tcMar>
              <w:top w:w="50" w:type="dxa"/>
              <w:bottom w:w="50" w:type="dxa"/>
              <w:left w:w="90" w:type="dxa"/>
              <w:right w:w="90" w:type="dxa"/>
            </w:tcMar>
          </w:tcPr>
          <w:p>
            <w:pPr>
              <w:pStyle w:val="BDOITable"/>
              <w:keepNext/>
            </w:pPr>
            <w:r>
              <w:rPr>
                <w:sz w:val="18"/>
              </w:rPr>
              <w:t>Seed ............     Records checked ............</w:t>
            </w:r>
          </w:p>
        </w:tc>
      </w:tr>
    </w:tbl>
    <w:p>
      <w:pPr>
        <w:pStyle w:val="BDOISpacer"/>
      </w:pPr>
    </w:p>
    <w:p>
      <w:pPr>
        <w:pStyle w:val="Caption"/>
        <w:keepNext/>
        <w:spacing w:after="60"/>
      </w:pPr>
      <w:r>
        <w:rPr>
          <w:b/>
          <w:i w:val="0"/>
        </w:rPr>
        <w:t xml:space="preserve">Table 7: </w:t>
      </w:r>
      <w:r>
        <w:rPr/>
        <w:t>Reconciliation results (from MIG-RECON-SUMMARY)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2883"/>
        <w:gridCol w:w="1441"/>
        <w:gridCol w:w="1441"/>
        <w:gridCol w:w="1321"/>
        <w:gridCol w:w="21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Level</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Measure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Source (control)</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BIBS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Difference</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Status (MATCHED / EXPLAINED)</w:t>
            </w:r>
          </w:p>
        </w:tc>
      </w:tr>
      <w:tr>
        <w:trPr>
          <w:cantSplit w:val="true"/>
        </w:trPr>
        <w:tc>
          <w:tcPr>
            <w:tcW w:type="dxa" w:w="721"/>
            <w:tcMar>
              <w:top w:w="50" w:type="dxa"/>
              <w:bottom w:w="50" w:type="dxa"/>
              <w:left w:w="90" w:type="dxa"/>
              <w:right w:w="90" w:type="dxa"/>
            </w:tcMar>
          </w:tcPr>
          <w:p>
            <w:pPr>
              <w:pStyle w:val="BDOITable"/>
            </w:pPr>
            <w:r>
              <w:rPr>
                <w:sz w:val="17"/>
              </w:rPr>
              <w:t>L1</w:t>
            </w:r>
          </w:p>
        </w:tc>
        <w:tc>
          <w:tcPr>
            <w:tcW w:type="dxa" w:w="2883"/>
            <w:tcMar>
              <w:top w:w="50" w:type="dxa"/>
              <w:bottom w:w="50" w:type="dxa"/>
              <w:left w:w="90" w:type="dxa"/>
              <w:right w:w="90" w:type="dxa"/>
            </w:tcMar>
          </w:tcPr>
          <w:p>
            <w:pPr>
              <w:pStyle w:val="BDOITable"/>
            </w:pPr>
            <w:r>
              <w:rPr>
                <w:sz w:val="17"/>
              </w:rPr>
              <w:t>Rows received / staged / loaded / skipped / rejected / excluded</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L2</w:t>
            </w:r>
          </w:p>
        </w:tc>
        <w:tc>
          <w:tcPr>
            <w:tcW w:type="dxa" w:w="2883"/>
            <w:tcMar>
              <w:top w:w="50" w:type="dxa"/>
              <w:bottom w:w="50" w:type="dxa"/>
              <w:left w:w="90" w:type="dxa"/>
              <w:right w:w="90" w:type="dxa"/>
            </w:tcMar>
            <w:shd w:val="clear" w:color="auto" w:fill="E5F5FF"/>
          </w:tcPr>
          <w:p>
            <w:pPr>
              <w:pStyle w:val="BDOITable"/>
            </w:pPr>
            <w:r>
              <w:rPr>
                <w:sz w:val="17"/>
              </w:rPr>
              <w:t>Amount totals per currency (list)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L3</w:t>
            </w:r>
          </w:p>
        </w:tc>
        <w:tc>
          <w:tcPr>
            <w:tcW w:type="dxa" w:w="2883"/>
            <w:tcMar>
              <w:top w:w="50" w:type="dxa"/>
              <w:bottom w:w="50" w:type="dxa"/>
              <w:left w:w="90" w:type="dxa"/>
              <w:right w:w="90" w:type="dxa"/>
            </w:tcMar>
          </w:tcPr>
          <w:p>
            <w:pPr>
              <w:pStyle w:val="BDOITable"/>
            </w:pPr>
            <w:r>
              <w:rPr>
                <w:sz w:val="17"/>
              </w:rPr>
              <w:t>Hash total of the key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L4</w:t>
            </w:r>
          </w:p>
        </w:tc>
        <w:tc>
          <w:tcPr>
            <w:tcW w:type="dxa" w:w="2883"/>
            <w:tcMar>
              <w:top w:w="50" w:type="dxa"/>
              <w:bottom w:w="50" w:type="dxa"/>
              <w:left w:w="90" w:type="dxa"/>
              <w:right w:w="90" w:type="dxa"/>
            </w:tcMar>
            <w:shd w:val="clear" w:color="auto" w:fill="E5F5FF"/>
          </w:tcPr>
          <w:p>
            <w:pPr>
              <w:pStyle w:val="BDOITable"/>
            </w:pPr>
            <w:r>
              <w:rPr>
                <w:sz w:val="17"/>
              </w:rPr>
              <w:t>Field differences (count)</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r>
        <w:trPr>
          <w:cantSplit w:val="true"/>
        </w:trPr>
        <w:tc>
          <w:tcPr>
            <w:tcW w:type="dxa" w:w="721"/>
            <w:tcMar>
              <w:top w:w="50" w:type="dxa"/>
              <w:bottom w:w="50" w:type="dxa"/>
              <w:left w:w="90" w:type="dxa"/>
              <w:right w:w="90" w:type="dxa"/>
            </w:tcMar>
          </w:tcPr>
          <w:p>
            <w:pPr>
              <w:pStyle w:val="BDOITable"/>
            </w:pPr>
            <w:r>
              <w:rPr>
                <w:sz w:val="17"/>
              </w:rPr>
              <w:t>L5</w:t>
            </w:r>
          </w:p>
        </w:tc>
        <w:tc>
          <w:tcPr>
            <w:tcW w:type="dxa" w:w="2883"/>
            <w:tcMar>
              <w:top w:w="50" w:type="dxa"/>
              <w:bottom w:w="50" w:type="dxa"/>
              <w:left w:w="90" w:type="dxa"/>
              <w:right w:w="90" w:type="dxa"/>
            </w:tcMar>
          </w:tcPr>
          <w:p>
            <w:pPr>
              <w:pStyle w:val="BDOITable"/>
            </w:pPr>
            <w:r>
              <w:rPr>
                <w:sz w:val="17"/>
              </w:rPr>
              <w:t>Migration Clearing; control account vs sub-ledger</w:t>
            </w:r>
          </w:p>
        </w:tc>
        <w:tc>
          <w:tcPr>
            <w:tcW w:type="dxa" w:w="1442"/>
            <w:tcMar>
              <w:top w:w="50" w:type="dxa"/>
              <w:bottom w:w="50" w:type="dxa"/>
              <w:left w:w="90" w:type="dxa"/>
              <w:right w:w="90" w:type="dxa"/>
            </w:tcMar>
          </w:tcPr>
          <w:p>
            <w:pPr>
              <w:pStyle w:val="BDOITable"/>
            </w:pPr>
            <w:r>
              <w:rPr>
                <w:sz w:val="17"/>
              </w:rPr>
              <w:t>-</w:t>
            </w:r>
          </w:p>
        </w:tc>
        <w:tc>
          <w:tcPr>
            <w:tcW w:type="dxa" w:w="1442"/>
            <w:tcMar>
              <w:top w:w="50" w:type="dxa"/>
              <w:bottom w:w="50" w:type="dxa"/>
              <w:left w:w="90" w:type="dxa"/>
              <w:right w:w="90" w:type="dxa"/>
            </w:tcMar>
          </w:tcPr>
          <w:p>
            <w:pPr>
              <w:pStyle w:val="BDOITable"/>
            </w:pPr>
          </w:p>
        </w:tc>
        <w:tc>
          <w:tcPr>
            <w:tcW w:type="dxa" w:w="1322"/>
            <w:tcMar>
              <w:top w:w="50" w:type="dxa"/>
              <w:bottom w:w="50" w:type="dxa"/>
              <w:left w:w="90" w:type="dxa"/>
              <w:right w:w="90" w:type="dxa"/>
            </w:tcMar>
          </w:tcPr>
          <w:p>
            <w:pPr>
              <w:pStyle w:val="BDOITable"/>
            </w:pPr>
          </w:p>
        </w:tc>
        <w:tc>
          <w:tcPr>
            <w:tcW w:type="dxa" w:w="216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G6</w:t>
            </w:r>
          </w:p>
        </w:tc>
        <w:tc>
          <w:tcPr>
            <w:tcW w:type="dxa" w:w="2883"/>
            <w:tcMar>
              <w:top w:w="50" w:type="dxa"/>
              <w:bottom w:w="50" w:type="dxa"/>
              <w:left w:w="90" w:type="dxa"/>
              <w:right w:w="90" w:type="dxa"/>
            </w:tcMar>
            <w:shd w:val="clear" w:color="auto" w:fill="E5F5FF"/>
          </w:tcPr>
          <w:p>
            <w:pPr>
              <w:pStyle w:val="BDOITable"/>
            </w:pPr>
            <w:r>
              <w:rPr>
                <w:sz w:val="17"/>
              </w:rPr>
              <w:t>Business verification sample - errors found</w:t>
            </w:r>
          </w:p>
        </w:tc>
        <w:tc>
          <w:tcPr>
            <w:tcW w:type="dxa" w:w="1442"/>
            <w:tcMar>
              <w:top w:w="50" w:type="dxa"/>
              <w:bottom w:w="50" w:type="dxa"/>
              <w:left w:w="90" w:type="dxa"/>
              <w:right w:w="90" w:type="dxa"/>
            </w:tcMar>
            <w:shd w:val="clear" w:color="auto" w:fill="E5F5FF"/>
          </w:tcPr>
          <w:p>
            <w:pPr>
              <w:pStyle w:val="BDOITable"/>
            </w:pPr>
            <w:r>
              <w:rPr>
                <w:sz w:val="17"/>
              </w:rPr>
              <w:t>-</w:t>
            </w:r>
          </w:p>
        </w:tc>
        <w:tc>
          <w:tcPr>
            <w:tcW w:type="dxa" w:w="1442"/>
            <w:tcMar>
              <w:top w:w="50" w:type="dxa"/>
              <w:bottom w:w="50" w:type="dxa"/>
              <w:left w:w="90" w:type="dxa"/>
              <w:right w:w="90" w:type="dxa"/>
            </w:tcMar>
            <w:shd w:val="clear" w:color="auto" w:fill="E5F5FF"/>
          </w:tcPr>
          <w:p>
            <w:pPr>
              <w:pStyle w:val="BDOITable"/>
            </w:pPr>
          </w:p>
        </w:tc>
        <w:tc>
          <w:tcPr>
            <w:tcW w:type="dxa" w:w="1322"/>
            <w:tcMar>
              <w:top w:w="50" w:type="dxa"/>
              <w:bottom w:w="50" w:type="dxa"/>
              <w:left w:w="90" w:type="dxa"/>
              <w:right w:w="90" w:type="dxa"/>
            </w:tcMar>
            <w:shd w:val="clear" w:color="auto" w:fill="E5F5FF"/>
          </w:tcPr>
          <w:p>
            <w:pPr>
              <w:pStyle w:val="BDOITable"/>
            </w:pPr>
          </w:p>
        </w:tc>
        <w:tc>
          <w:tcPr>
            <w:tcW w:type="dxa" w:w="2163"/>
            <w:tcMar>
              <w:top w:w="50" w:type="dxa"/>
              <w:bottom w:w="50" w:type="dxa"/>
              <w:left w:w="90" w:type="dxa"/>
              <w:right w:w="90" w:type="dxa"/>
            </w:tcMar>
            <w:shd w:val="clear" w:color="auto" w:fill="E5F5FF"/>
          </w:tcPr>
          <w:p>
            <w:pPr>
              <w:pStyle w:val="BDOITable"/>
            </w:pPr>
          </w:p>
        </w:tc>
      </w:tr>
    </w:tbl>
    <w:p>
      <w:pPr>
        <w:pStyle w:val="BDOISpacer"/>
      </w:pPr>
    </w:p>
    <w:p>
      <w:pPr>
        <w:pStyle w:val="Caption"/>
        <w:keepNext/>
        <w:spacing w:after="60"/>
      </w:pPr>
      <w:r>
        <w:rPr>
          <w:b/>
          <w:i w:val="0"/>
        </w:rPr>
        <w:t xml:space="preserve">Table 8: </w:t>
      </w:r>
      <w:r>
        <w:rPr/>
        <w:t>Breaks explained, waivers and exclusions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845"/>
        <w:gridCol w:w="3003"/>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Break, waiver or exclusion</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Reason and explanation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Approved by / manual-entry plan</w:t>
            </w:r>
          </w:p>
        </w:tc>
      </w:tr>
      <w:tr>
        <w:trPr>
          <w:cantSplit w:val="true"/>
        </w:trPr>
        <w:tc>
          <w:tcPr>
            <w:tcW w:type="dxa" w:w="721"/>
            <w:tcMar>
              <w:top w:w="50" w:type="dxa"/>
              <w:bottom w:w="50" w:type="dxa"/>
              <w:left w:w="90" w:type="dxa"/>
              <w:right w:w="90" w:type="dxa"/>
            </w:tcMar>
          </w:tcPr>
          <w:p>
            <w:pPr>
              <w:pStyle w:val="BDOITable"/>
            </w:pPr>
            <w:r>
              <w:rPr>
                <w:sz w:val="17"/>
              </w:rPr>
              <w:t>1</w:t>
            </w:r>
          </w:p>
        </w:tc>
        <w:tc>
          <w:tcPr>
            <w:tcW w:type="dxa" w:w="3845"/>
            <w:tcMar>
              <w:top w:w="50" w:type="dxa"/>
              <w:bottom w:w="50" w:type="dxa"/>
              <w:left w:w="90" w:type="dxa"/>
              <w:right w:w="90" w:type="dxa"/>
            </w:tcMar>
          </w:tcPr>
          <w:p>
            <w:pPr>
              <w:pStyle w:val="BDOITable"/>
            </w:pPr>
          </w:p>
        </w:tc>
        <w:tc>
          <w:tcPr>
            <w:tcW w:type="dxa" w:w="3004"/>
            <w:tcMar>
              <w:top w:w="50" w:type="dxa"/>
              <w:bottom w:w="50" w:type="dxa"/>
              <w:left w:w="90" w:type="dxa"/>
              <w:right w:w="90" w:type="dxa"/>
            </w:tcMar>
          </w:tcPr>
          <w:p>
            <w:pPr>
              <w:pStyle w:val="BDOITable"/>
            </w:pPr>
          </w:p>
        </w:tc>
        <w:tc>
          <w:tcPr>
            <w:tcW w:type="dxa" w:w="2403"/>
            <w:tcMar>
              <w:top w:w="50" w:type="dxa"/>
              <w:bottom w:w="50" w:type="dxa"/>
              <w:left w:w="90" w:type="dxa"/>
              <w:right w:w="90" w:type="dxa"/>
            </w:tcMar>
          </w:tcPr>
          <w:p>
            <w:pPr>
              <w:pStyle w:val="BDOITable"/>
            </w:pP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2</w:t>
            </w:r>
          </w:p>
        </w:tc>
        <w:tc>
          <w:tcPr>
            <w:tcW w:type="dxa" w:w="3845"/>
            <w:tcMar>
              <w:top w:w="50" w:type="dxa"/>
              <w:bottom w:w="50" w:type="dxa"/>
              <w:left w:w="90" w:type="dxa"/>
              <w:right w:w="90" w:type="dxa"/>
            </w:tcMar>
            <w:shd w:val="clear" w:color="auto" w:fill="E5F5FF"/>
          </w:tcPr>
          <w:p>
            <w:pPr>
              <w:pStyle w:val="BDOITable"/>
            </w:pPr>
          </w:p>
        </w:tc>
        <w:tc>
          <w:tcPr>
            <w:tcW w:type="dxa" w:w="3004"/>
            <w:tcMar>
              <w:top w:w="50" w:type="dxa"/>
              <w:bottom w:w="50" w:type="dxa"/>
              <w:left w:w="90" w:type="dxa"/>
              <w:right w:w="90" w:type="dxa"/>
            </w:tcMar>
            <w:shd w:val="clear" w:color="auto" w:fill="E5F5FF"/>
          </w:tcPr>
          <w:p>
            <w:pPr>
              <w:pStyle w:val="BDOITable"/>
            </w:pPr>
          </w:p>
        </w:tc>
        <w:tc>
          <w:tcPr>
            <w:tcW w:type="dxa" w:w="2403"/>
            <w:tcMar>
              <w:top w:w="50" w:type="dxa"/>
              <w:bottom w:w="50" w:type="dxa"/>
              <w:left w:w="90" w:type="dxa"/>
              <w:right w:w="90" w:type="dxa"/>
            </w:tcMar>
            <w:shd w:val="clear" w:color="auto" w:fill="E5F5FF"/>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Reconciliation approver - G5 (Comptrollership for financial objects)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owner - G6 object accepted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 - G6</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Migration Lead (reconciliation run)</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3" w:name="_Toc000113"/>
      <w:r>
        <w:rPr/>
        <w:t>9.2 Cutover reconciliation summary (go / no-go GNG-3)</w:t>
      </w:r>
      <w:bookmarkEnd w:id="11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Cutover</w:t>
            </w:r>
          </w:p>
        </w:tc>
        <w:tc>
          <w:tcPr>
            <w:tcW w:type="dxa" w:w="7704"/>
            <w:tcMar>
              <w:top w:w="50" w:type="dxa"/>
              <w:bottom w:w="50" w:type="dxa"/>
              <w:left w:w="90" w:type="dxa"/>
              <w:right w:w="90" w:type="dxa"/>
            </w:tcMar>
          </w:tcPr>
          <w:p>
            <w:pPr>
              <w:pStyle w:val="BDOITable"/>
              <w:keepNext/>
            </w:pPr>
            <w:r>
              <w:rPr>
                <w:sz w:val="18"/>
              </w:rPr>
              <w:t>Production     Go-live date (T): ................     Freeze: T-3 22:00</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Rollback point (snapshot ID and time)</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9: </w:t>
      </w:r>
      <w:r>
        <w:rPr/>
        <w:t>Day-1 objects at go / no-go</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3003"/>
        <w:gridCol w:w="2042"/>
        <w:gridCol w:w="1441"/>
        <w:gridCol w:w="2643"/>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Batch</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Loaded / staged</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G5 signed</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G6 signed</w:t>
            </w:r>
          </w:p>
        </w:tc>
      </w:tr>
      <w:tr>
        <w:trPr>
          <w:cantSplit w:val="true"/>
        </w:trPr>
        <w:tc>
          <w:tcPr>
            <w:tcW w:type="dxa" w:w="841"/>
            <w:tcMar>
              <w:top w:w="50" w:type="dxa"/>
              <w:bottom w:w="50" w:type="dxa"/>
              <w:left w:w="90" w:type="dxa"/>
              <w:right w:w="90" w:type="dxa"/>
            </w:tcMar>
          </w:tcPr>
          <w:p>
            <w:pPr>
              <w:pStyle w:val="BDOITable"/>
            </w:pPr>
            <w:r>
              <w:rPr>
                <w:sz w:val="17"/>
              </w:rPr>
              <w:t>R01-R08, R11</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C01-C03</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P01, P03</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F01</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F02</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F03, F04, F06</w:t>
            </w:r>
          </w:p>
        </w:tc>
        <w:tc>
          <w:tcPr>
            <w:tcW w:type="dxa" w:w="300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841"/>
            <w:tcMar>
              <w:top w:w="50" w:type="dxa"/>
              <w:bottom w:w="50" w:type="dxa"/>
              <w:left w:w="90" w:type="dxa"/>
              <w:right w:w="90" w:type="dxa"/>
            </w:tcMar>
          </w:tcPr>
          <w:p>
            <w:pPr>
              <w:pStyle w:val="BDOITable"/>
            </w:pPr>
            <w:r>
              <w:rPr>
                <w:sz w:val="17"/>
              </w:rPr>
              <w:t>G01</w:t>
            </w:r>
          </w:p>
        </w:tc>
        <w:tc>
          <w:tcPr>
            <w:tcW w:type="dxa" w:w="300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p>
      <w:pPr>
        <w:pStyle w:val="Caption"/>
        <w:keepNext/>
        <w:spacing w:after="60"/>
      </w:pPr>
      <w:r>
        <w:rPr>
          <w:b/>
          <w:i w:val="0"/>
        </w:rPr>
        <w:t xml:space="preserve">Table 10: </w:t>
      </w:r>
      <w:r>
        <w:rPr/>
        <w:t>Migration Clearing and legacy control accounts per branch and currency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042"/>
        <w:gridCol w:w="2042"/>
        <w:gridCol w:w="2643"/>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Branch / currency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Migration Clearing</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Control accounts vs sub-ledgers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r>
        <w:trPr>
          <w:cantSplit w:val="true"/>
        </w:trPr>
        <w:tc>
          <w:tcPr>
            <w:tcW w:type="dxa" w:w="3244"/>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042"/>
            <w:tcMar>
              <w:top w:w="50" w:type="dxa"/>
              <w:bottom w:w="50" w:type="dxa"/>
              <w:left w:w="90" w:type="dxa"/>
              <w:right w:w="90" w:type="dxa"/>
            </w:tcMar>
            <w:shd w:val="clear" w:color="auto" w:fill="E5F5FF"/>
          </w:tcPr>
          <w:p>
            <w:pPr>
              <w:pStyle w:val="BDOITable"/>
            </w:pPr>
          </w:p>
        </w:tc>
        <w:tc>
          <w:tcPr>
            <w:tcW w:type="dxa" w:w="2643"/>
            <w:tcMar>
              <w:top w:w="50" w:type="dxa"/>
              <w:bottom w:w="50" w:type="dxa"/>
              <w:left w:w="90" w:type="dxa"/>
              <w:right w:w="90" w:type="dxa"/>
            </w:tcMar>
            <w:shd w:val="clear" w:color="auto" w:fill="E5F5FF"/>
          </w:tcPr>
          <w:p>
            <w:pPr>
              <w:pStyle w:val="BDOITable"/>
            </w:pPr>
          </w:p>
        </w:tc>
      </w:tr>
      <w:tr>
        <w:trPr>
          <w:cantSplit w:val="true"/>
        </w:trPr>
        <w:tc>
          <w:tcPr>
            <w:tcW w:type="dxa" w:w="3244"/>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042"/>
            <w:tcMar>
              <w:top w:w="50" w:type="dxa"/>
              <w:bottom w:w="50" w:type="dxa"/>
              <w:left w:w="90" w:type="dxa"/>
              <w:right w:w="90" w:type="dxa"/>
            </w:tcMar>
          </w:tcPr>
          <w:p>
            <w:pPr>
              <w:pStyle w:val="BDOITable"/>
            </w:pPr>
          </w:p>
        </w:tc>
        <w:tc>
          <w:tcPr>
            <w:tcW w:type="dxa" w:w="2643"/>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(for the go / no-go board)</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2"/>
      </w:pPr>
      <w:bookmarkStart w:id="114" w:name="_Toc000114"/>
      <w:r>
        <w:rPr/>
        <w:t>9.3 Archive reconciliation (before decommissioning)</w:t>
      </w:r>
      <w:bookmarkEnd w:id="1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Legacy system</w:t>
            </w:r>
          </w:p>
        </w:tc>
        <w:tc>
          <w:tcPr>
            <w:tcW w:type="dxa" w:w="7704"/>
            <w:tcMar>
              <w:top w:w="50" w:type="dxa"/>
              <w:bottom w:w="50" w:type="dxa"/>
              <w:left w:w="90" w:type="dxa"/>
              <w:right w:w="90" w:type="dxa"/>
            </w:tcMar>
          </w:tcPr>
          <w:p>
            <w:pPr>
              <w:pStyle w:val="BDOITable"/>
              <w:keepNext/>
            </w:pPr>
            <w:r>
              <w:rPr>
                <w:sz w:val="18"/>
              </w:rPr>
              <w:t>EBIX / QPS / ISYS / CMS / File shares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Record types archived</w:t>
            </w:r>
          </w:p>
        </w:tc>
        <w:tc>
          <w:tcPr>
            <w:tcW w:type="dxa" w:w="7704"/>
            <w:tcMar>
              <w:top w:w="50" w:type="dxa"/>
              <w:bottom w:w="50" w:type="dxa"/>
              <w:left w:w="90" w:type="dxa"/>
              <w:right w:w="90" w:type="dxa"/>
            </w:tcMar>
          </w:tcPr>
          <w:p>
            <w:pPr>
              <w:pStyle w:val="BDOITable"/>
              <w:keepNext/>
            </w:pPr>
            <w:r>
              <w:rPr>
                <w:sz w:val="18"/>
              </w:rPr>
              <w: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Archive batches (MGB-)</w:t>
            </w:r>
          </w:p>
        </w:tc>
        <w:tc>
          <w:tcPr>
            <w:tcW w:type="dxa" w:w="7704"/>
            <w:tcMar>
              <w:top w:w="50" w:type="dxa"/>
              <w:bottom w:w="50" w:type="dxa"/>
              <w:left w:w="90" w:type="dxa"/>
              <w:right w:w="90" w:type="dxa"/>
            </w:tcMar>
          </w:tcPr>
          <w:p>
            <w:pPr>
              <w:pStyle w:val="BDOITable"/>
              <w:keepNext/>
            </w:pPr>
            <w:r>
              <w:rPr>
                <w:sz w:val="18"/>
              </w:rPr>
              <w:t>........................................................................</w:t>
            </w:r>
          </w:p>
        </w:tc>
      </w:tr>
    </w:tbl>
    <w:p>
      <w:pPr>
        <w:pStyle w:val="BDOISpacer"/>
      </w:pPr>
    </w:p>
    <w:p>
      <w:pPr>
        <w:pStyle w:val="Caption"/>
        <w:keepNext/>
        <w:spacing w:after="60"/>
      </w:pPr>
      <w:r>
        <w:rPr>
          <w:b/>
          <w:i w:val="0"/>
        </w:rPr>
        <w:t xml:space="preserve">Table 11: </w:t>
      </w:r>
      <w:r>
        <w:rPr/>
        <w:t>Archive counts and totals per record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562"/>
        <w:gridCol w:w="1562"/>
        <w:gridCol w:w="1562"/>
        <w:gridCol w:w="1562"/>
        <w:gridCol w:w="1682"/>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Record type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Legacy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Archived count</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legacy</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Amount total archive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Samples checked in Legacy Inquiry</w:t>
            </w: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r>
        <w:trPr>
          <w:cantSplit w:val="true"/>
        </w:trPr>
        <w:tc>
          <w:tcPr>
            <w:tcW w:type="dxa" w:w="204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562"/>
            <w:tcMar>
              <w:top w:w="50" w:type="dxa"/>
              <w:bottom w:w="50" w:type="dxa"/>
              <w:left w:w="90" w:type="dxa"/>
              <w:right w:w="90" w:type="dxa"/>
            </w:tcMar>
            <w:shd w:val="clear" w:color="auto" w:fill="E5F5FF"/>
          </w:tcPr>
          <w:p>
            <w:pPr>
              <w:pStyle w:val="BDOITable"/>
            </w:pPr>
          </w:p>
        </w:tc>
        <w:tc>
          <w:tcPr>
            <w:tcW w:type="dxa" w:w="1682"/>
            <w:tcMar>
              <w:top w:w="50" w:type="dxa"/>
              <w:bottom w:w="50" w:type="dxa"/>
              <w:left w:w="90" w:type="dxa"/>
              <w:right w:w="90" w:type="dxa"/>
            </w:tcMar>
            <w:shd w:val="clear" w:color="auto" w:fill="E5F5FF"/>
          </w:tcPr>
          <w:p>
            <w:pPr>
              <w:pStyle w:val="BDOITable"/>
            </w:pPr>
          </w:p>
        </w:tc>
      </w:tr>
      <w:tr>
        <w:trPr>
          <w:cantSplit w:val="true"/>
        </w:trPr>
        <w:tc>
          <w:tcPr>
            <w:tcW w:type="dxa" w:w="204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562"/>
            <w:tcMar>
              <w:top w:w="50" w:type="dxa"/>
              <w:bottom w:w="50" w:type="dxa"/>
              <w:left w:w="90" w:type="dxa"/>
              <w:right w:w="90" w:type="dxa"/>
            </w:tcMar>
          </w:tcPr>
          <w:p>
            <w:pPr>
              <w:pStyle w:val="BDOITable"/>
            </w:pPr>
          </w:p>
        </w:tc>
        <w:tc>
          <w:tcPr>
            <w:tcW w:type="dxa" w:w="1682"/>
            <w:tcMar>
              <w:top w:w="50" w:type="dxa"/>
              <w:bottom w:w="50" w:type="dxa"/>
              <w:left w:w="90" w:type="dxa"/>
              <w:right w:w="90" w:type="dxa"/>
            </w:tcMar>
          </w:tcPr>
          <w:p>
            <w:pPr>
              <w:pStyle w:val="BDOITable"/>
            </w:pPr>
          </w:p>
        </w:tc>
      </w:tr>
    </w:tbl>
    <w:p>
      <w:pPr>
        <w:pStyle w:val="BDOISpacer"/>
      </w:pP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Legacy system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Audit / 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Migration Reconciliation Approach and Sign-off</w:t>
    </w:r>
    <w:r>
      <w:rPr>
        <w:color w:val="656565"/>
        <w:sz w:val="16"/>
      </w:rPr>
      <w:t xml:space="preserve">   Reconciliation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Approach Migration Reconciliation Approach and Sign-off</dc:title>
  <dc:subject>BIBS – BDOI Broker System</dc:subject>
  <dc:creator>iorta TechNXT</dc:creator>
  <cp:keywords>Migration, BRD-13, BIBS, BDOI</cp:keywords>
  <dc:description>Version 1.1. Confidential.</dc:description>
  <cp:lastModifiedBy>iorta TechNXT</cp:lastModifiedBy>
  <cp:revision>1</cp:revision>
  <dcterms:created xsi:type="dcterms:W3CDTF">2013-12-23T23:15:00Z</dcterms:created>
  <dcterms:modified xsi:type="dcterms:W3CDTF">2013-12-23T23:15:00Z</dcterms:modified>
  <cp:category/>
</cp:coreProperties>
</file>