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Data Migration Test Plan</w:t>
      </w:r>
    </w:p>
    <w:p>
      <w:pPr>
        <w:spacing w:after="40"/>
      </w:pPr>
      <w:r>
        <w:rPr>
          <w:color w:val="2E2E2E"/>
          <w:sz w:val="28"/>
        </w:rPr>
        <w:t>BRD-13 Data Migration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for BDOI review, from FRS BRD-13 v1.0, with the Excel workbook of the same version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From FRS BRD-13 v1.1 - cases for FR-DM-034 (package remapping) and FR-DM-124 (carried renewals of the January-May 2028 expiries), the mock-load order (FR-DM-120), the sign of a Migration Clearing difference (FR-DM-021), the excluded rows in the error rate (FR-DM-013), MIG_UPP_ISSUE_AR (FR-DM-051), QPS invoice numbers before DMQ11 (FR-DM-061) and the quoted messages of FR-DM-091, 110 and 123; test levels on the BDOI timeline; the seven findings of v1.0 are resolved in the FRS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 FRBS /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legacy sub-ledgers, reversals</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endorsements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MBS;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Audit / Compliance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Inquiry and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mocks, defect fixing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1.3 Relation to the migration cycles</w:t>
        </w:r>
        <w:r>
          <w:t xml:space="preserve">	</w:t>
        </w:r>
        <w:r>
          <w:t xml:space="preserve">4</w:t>
        </w:r>
      </w:hyperlink>
    </w:p>
    <w:p>
      <w:pPr>
        <w:pStyle w:val="toc2"/>
      </w:pPr>
      <w:hyperlink w:anchor="_Toc000105" w:history="1">
        <w:r>
          <w:t xml:space="preserve">1.4 Out of scope</w:t>
        </w:r>
        <w:r>
          <w:t xml:space="preserve">	</w:t>
        </w:r>
        <w:r>
          <w:t xml:space="preserve">5</w:t>
        </w:r>
      </w:hyperlink>
    </w:p>
    <w:p>
      <w:pPr>
        <w:pStyle w:val="toc2"/>
      </w:pPr>
      <w:hyperlink w:anchor="_Toc000106" w:history="1">
        <w:r>
          <w:t xml:space="preserve">1.5 References</w:t>
        </w:r>
        <w:r>
          <w:t xml:space="preserve">	</w:t>
        </w:r>
        <w:r>
          <w:t xml:space="preserve">5</w:t>
        </w:r>
      </w:hyperlink>
    </w:p>
    <w:p>
      <w:pPr>
        <w:pStyle w:val="toc1"/>
      </w:pPr>
      <w:hyperlink w:anchor="_Toc000107" w:history="1">
        <w:r>
          <w:t xml:space="preserve">2 Test approach</w:t>
        </w:r>
        <w:r>
          <w:t xml:space="preserve">	</w:t>
        </w:r>
        <w:r>
          <w:t xml:space="preserve">5</w:t>
        </w:r>
      </w:hyperlink>
    </w:p>
    <w:p>
      <w:pPr>
        <w:pStyle w:val="toc2"/>
      </w:pPr>
      <w:hyperlink w:anchor="_Toc000108" w:history="1">
        <w:r>
          <w:t xml:space="preserve">2.1 Test levels</w:t>
        </w:r>
        <w:r>
          <w:t xml:space="preserve">	</w:t>
        </w:r>
        <w:r>
          <w:t xml:space="preserve">5</w:t>
        </w:r>
      </w:hyperlink>
    </w:p>
    <w:p>
      <w:pPr>
        <w:pStyle w:val="toc2"/>
      </w:pPr>
      <w:hyperlink w:anchor="_Toc000109" w:history="1">
        <w:r>
          <w:t xml:space="preserve">2.2 How the cases were derived</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1"/>
      </w:pPr>
      <w:hyperlink w:anchor="_Toc000118" w:history="1">
        <w:r>
          <w:t xml:space="preserve">7 Coverage summary</w:t>
        </w:r>
        <w:r>
          <w:t xml:space="preserve">	</w:t>
        </w:r>
        <w:r>
          <w:t xml:space="preserve">9</w:t>
        </w:r>
      </w:hyperlink>
    </w:p>
    <w:p>
      <w:pPr>
        <w:pStyle w:val="toc2"/>
      </w:pPr>
      <w:hyperlink w:anchor="_Toc000119" w:history="1">
        <w:r>
          <w:t xml:space="preserve">7.1 Totals</w:t>
        </w:r>
        <w:r>
          <w:t xml:space="preserve">	</w:t>
        </w:r>
        <w:r>
          <w:t xml:space="preserve">9</w:t>
        </w:r>
      </w:hyperlink>
    </w:p>
    <w:p>
      <w:pPr>
        <w:pStyle w:val="toc2"/>
      </w:pPr>
      <w:hyperlink w:anchor="_Toc000120" w:history="1">
        <w:r>
          <w:t xml:space="preserve">7.2 Coverage by FR</w:t>
        </w:r>
        <w:r>
          <w:t xml:space="preserve">	</w:t>
        </w:r>
        <w:r>
          <w:t xml:space="preserve">10</w:t>
        </w:r>
      </w:hyperlink>
    </w:p>
    <w:p>
      <w:pPr>
        <w:pStyle w:val="toc2"/>
      </w:pPr>
      <w:hyperlink w:anchor="_Toc000121" w:history="1">
        <w:r>
          <w:t xml:space="preserve">7.3 Coverage by BRD ID</w:t>
        </w:r>
        <w:r>
          <w:t xml:space="preserve">	</w:t>
        </w:r>
        <w:r>
          <w:t xml:space="preserve">11</w:t>
        </w:r>
      </w:hyperlink>
    </w:p>
    <w:p>
      <w:pPr>
        <w:pStyle w:val="toc2"/>
      </w:pPr>
      <w:hyperlink w:anchor="_Toc000122" w:history="1">
        <w:r>
          <w:t xml:space="preserve">7.4 Scenarios</w:t>
        </w:r>
        <w:r>
          <w:t xml:space="preserve">	</w:t>
        </w:r>
        <w:r>
          <w:t xml:space="preserve">12</w:t>
        </w:r>
      </w:hyperlink>
    </w:p>
    <w:p>
      <w:pPr>
        <w:pStyle w:val="toc2"/>
      </w:pPr>
      <w:hyperlink w:anchor="_Toc000123" w:history="1">
        <w:r>
          <w:t xml:space="preserve">7.5 Roles and access</w:t>
        </w:r>
        <w:r>
          <w:t xml:space="preserve">	</w:t>
        </w:r>
        <w:r>
          <w:t xml:space="preserve">12</w:t>
        </w:r>
      </w:hyperlink>
    </w:p>
    <w:p>
      <w:pPr>
        <w:pStyle w:val="toc2"/>
      </w:pPr>
      <w:hyperlink w:anchor="_Toc000124" w:history="1">
        <w:r>
          <w:t xml:space="preserve">7.6 Automated tests referenced</w:t>
        </w:r>
        <w:r>
          <w:t xml:space="preserve">	</w:t>
        </w:r>
        <w:r>
          <w:t xml:space="preserve">13</w:t>
        </w:r>
      </w:hyperlink>
    </w:p>
    <w:p>
      <w:pPr>
        <w:pStyle w:val="toc1"/>
      </w:pPr>
      <w:hyperlink w:anchor="_Toc000125" w:history="1">
        <w:r>
          <w:t xml:space="preserve">8 Risks</w:t>
        </w:r>
        <w:r>
          <w:t xml:space="preserve">	</w:t>
        </w:r>
        <w:r>
          <w:t xml:space="preserve">13</w:t>
        </w:r>
      </w:hyperlink>
    </w:p>
    <w:p>
      <w:pPr>
        <w:pStyle w:val="toc1"/>
      </w:pPr>
      <w:hyperlink w:anchor="_Toc000126" w:history="1">
        <w:r>
          <w:t xml:space="preserve">9 FRS findings</w:t>
        </w:r>
        <w:r>
          <w:t xml:space="preserve">	</w:t>
        </w:r>
        <w:r>
          <w:t xml:space="preserve">13</w:t>
        </w:r>
      </w:hyperlink>
    </w:p>
    <w:p>
      <w:pPr>
        <w:pStyle w:val="toc1"/>
      </w:pPr>
      <w:hyperlink w:anchor="_Toc000127" w:history="1">
        <w:r>
          <w:t xml:space="preserve">10 Sign-off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BRD-13 Data Migration in BIBS (BDOI Broker System, on iNXT BrokerVerse). It tells the Data Migration Lead, the data owners and stewards, Comptrollership, Operations, Marketing and Compliance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BIBS_TestPlan_BRD-13_Data_Migration_v1.1.xlsx</w:t>
      </w:r>
      <w:r>
        <w:rPr/>
        <w:t>.</w:t>
      </w:r>
    </w:p>
    <w:p>
      <w:r>
        <w:rPr/>
        <w:t>Every case traces to a functional requirement (FR) of FRS BRD-13 v1.1 and to the BRD requirement IDs (BRID 1.1a to 12.1) that the FR meets.</w:t>
      </w:r>
    </w:p>
    <w:p>
      <w:r>
        <w:rPr/>
        <w:t>Data Migration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the version issued after the module is built;</w:t>
      </w:r>
    </w:p>
    <w:p>
      <w:pPr>
        <w:tabs>
          <w:tab w:pos="312" w:val="left"/>
        </w:tabs>
        <w:spacing w:after="40"/>
        <w:ind w:left="312" w:hanging="283"/>
      </w:pPr>
      <w:r>
        <w:rPr>
          <w:color w:val="004EA8"/>
        </w:rPr>
        <w:t>•</w:t>
        <w:tab/>
      </w:r>
      <w:r>
        <w:rPr/>
        <w:t>the automation reference column is blank; the automated tests written during the build are referenced in that version;</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pPr>
        <w:pStyle w:val="Heading2"/>
      </w:pPr>
      <w:bookmarkStart w:id="103" w:name="_Toc000103"/>
      <w:r>
        <w:rPr/>
        <w:t>1.2 Scope</w:t>
      </w:r>
      <w:bookmarkEnd w:id="103"/>
    </w:p>
    <w:p>
      <w:r>
        <w:rPr/>
        <w:t>In scope are all 40 FRs of FRS BRD-13 v1.1:</w:t>
      </w:r>
    </w:p>
    <w:p>
      <w:pPr>
        <w:tabs>
          <w:tab w:pos="312" w:val="left"/>
        </w:tabs>
        <w:spacing w:after="40"/>
        <w:ind w:left="312" w:hanging="283"/>
      </w:pPr>
      <w:r>
        <w:rPr>
          <w:color w:val="004EA8"/>
        </w:rPr>
        <w:t>•</w:t>
        <w:tab/>
      </w:r>
      <w:r>
        <w:rPr/>
        <w:t>governance: data object register, decisions and sign-off gates (FR-DM-001 to 003);</w:t>
      </w:r>
    </w:p>
    <w:p>
      <w:pPr>
        <w:tabs>
          <w:tab w:pos="312" w:val="left"/>
        </w:tabs>
        <w:spacing w:after="40"/>
        <w:ind w:left="312" w:hanging="283"/>
      </w:pPr>
      <w:r>
        <w:rPr>
          <w:color w:val="004EA8"/>
        </w:rPr>
        <w:t>•</w:t>
        <w:tab/>
      </w:r>
      <w:r>
        <w:rPr/>
        <w:t>extract intake with control totals, code maps, unmapped codes, validation, load, rerun and rollback (FR-DM-010 to 015);</w:t>
      </w:r>
    </w:p>
    <w:p>
      <w:pPr>
        <w:tabs>
          <w:tab w:pos="312" w:val="left"/>
        </w:tabs>
        <w:spacing w:after="40"/>
        <w:ind w:left="312" w:hanging="283"/>
      </w:pPr>
      <w:r>
        <w:rPr>
          <w:color w:val="004EA8"/>
        </w:rPr>
        <w:t>•</w:t>
        <w:tab/>
      </w:r>
      <w:r>
        <w:rPr/>
        <w:t>reconciliation L1 to L5 and Migration Clearing (FR-DM-020, 021);</w:t>
      </w:r>
    </w:p>
    <w:p>
      <w:pPr>
        <w:tabs>
          <w:tab w:pos="312" w:val="left"/>
        </w:tabs>
        <w:spacing w:after="40"/>
        <w:ind w:left="312" w:hanging="283"/>
      </w:pPr>
      <w:r>
        <w:rPr>
          <w:color w:val="004EA8"/>
        </w:rPr>
        <w:t>•</w:t>
        <w:tab/>
      </w:r>
      <w:r>
        <w:rPr/>
        <w:t>reference data, client matching and the migrated client master, search by legacy reference, package remapping (FR-DM-030 to 034);</w:t>
      </w:r>
    </w:p>
    <w:p>
      <w:pPr>
        <w:tabs>
          <w:tab w:pos="312" w:val="left"/>
        </w:tabs>
        <w:spacing w:after="40"/>
        <w:ind w:left="312" w:hanging="283"/>
      </w:pPr>
      <w:r>
        <w:rPr>
          <w:color w:val="004EA8"/>
        </w:rPr>
        <w:t>•</w:t>
        <w:tab/>
      </w:r>
      <w:r>
        <w:rPr/>
        <w:t>in-force policy headers (FR-DM-040, 041);</w:t>
      </w:r>
    </w:p>
    <w:p>
      <w:pPr>
        <w:tabs>
          <w:tab w:pos="312" w:val="left"/>
        </w:tabs>
        <w:spacing w:after="40"/>
        <w:ind w:left="312" w:hanging="283"/>
      </w:pPr>
      <w:r>
        <w:rPr>
          <w:color w:val="004EA8"/>
        </w:rPr>
        <w:t>•</w:t>
        <w:tab/>
      </w:r>
      <w:r>
        <w:rPr/>
        <w:t>legacy invoices and UPP and their processing: automatch, dispositions, refund, reclassification to income, OTC and autopay, DPPR and PR2307 reversals, remittance, endorsements, Prod Recon change report (FR-DM-050 to 100);</w:t>
      </w:r>
    </w:p>
    <w:p>
      <w:pPr>
        <w:tabs>
          <w:tab w:pos="312" w:val="left"/>
        </w:tabs>
        <w:spacing w:after="40"/>
        <w:ind w:left="312" w:hanging="283"/>
      </w:pPr>
      <w:r>
        <w:rPr>
          <w:color w:val="004EA8"/>
        </w:rPr>
        <w:t>•</w:t>
        <w:tab/>
      </w:r>
      <w:r>
        <w:rPr/>
        <w:t>legacy archive inquiry and access log (FR-DM-110, 111);</w:t>
      </w:r>
    </w:p>
    <w:p>
      <w:pPr>
        <w:tabs>
          <w:tab w:pos="312" w:val="left"/>
        </w:tabs>
        <w:spacing w:after="120"/>
        <w:ind w:left="312" w:hanging="283"/>
      </w:pPr>
      <w:r>
        <w:rPr>
          <w:color w:val="004EA8"/>
        </w:rPr>
        <w:t>•</w:t>
        <w:tab/>
      </w:r>
      <w:r>
        <w:rPr/>
        <w:t>cutover plan with the mock-load order, go / no-go, RMEL transition, decommissioning, and the renewals of the January-May 2028 expiries carried at cut-over (FR-DM-120 to 124).</w:t>
      </w:r>
    </w:p>
    <w:p>
      <w:r>
        <w:rPr/>
        <w:t>The early renewal release of the concept paper of 6 September 2026 is superseded by the single January 2028 go-live (register DCR-240); no case tests a production use of BIBS before the cut-over.</w:t>
      </w:r>
    </w:p>
    <w:p>
      <w:pPr>
        <w:pStyle w:val="Heading2"/>
      </w:pPr>
      <w:bookmarkStart w:id="104" w:name="_Toc000104"/>
      <w:r>
        <w:rPr/>
        <w:t>1.3 Relation to the migration cycles</w:t>
      </w:r>
      <w:bookmarkEnd w:id="104"/>
    </w:p>
    <w:p>
      <w:r>
        <w:rPr/>
        <w:t xml:space="preserve">This plan tests the </w:t>
      </w:r>
      <w:r>
        <w:rPr>
          <w:b/>
        </w:rPr>
        <w:t>functions</w:t>
      </w:r>
      <w:r>
        <w:rPr/>
        <w:t xml:space="preserve"> of the migration and of legacy item processing. The </w:t>
      </w:r>
      <w:r>
        <w:rPr>
          <w:b/>
        </w:rPr>
        <w:t>data</w:t>
      </w:r>
      <w:r>
        <w:rPr/>
        <w:t xml:space="preserve"> of each cycle (Mock 1 and Mock 2 in SIT in April and July 2027, Mock 3 and Mock 4 in UAT in August and October 2027, the dress rehearsal in November 2027, production in January 2028) is proven by the reconciliation and sign-off of every object, as set out in the Migration Reconciliation Approach and Sign-off. The system test runs before Mock 1 on the test extracts of section 4; Mock 2 is the "data migration dry run with reconciliation of migrated balances" of the UAT readiness programme (item 11); Mock 3 is the UAT load, and UAT runs on migrated data.</w:t>
      </w:r>
    </w:p>
    <w:p>
      <w:pPr>
        <w:pStyle w:val="Heading2"/>
      </w:pPr>
      <w:bookmarkStart w:id="105" w:name="_Toc000105"/>
      <w:r>
        <w:rPr/>
        <w:t>1.4 Out of scope</w:t>
      </w:r>
      <w:bookmarkEnd w:id="105"/>
    </w:p>
    <w:p>
      <w:pPr>
        <w:tabs>
          <w:tab w:pos="312" w:val="left"/>
        </w:tabs>
        <w:spacing w:after="40"/>
        <w:ind w:left="312" w:hanging="283"/>
      </w:pPr>
      <w:r>
        <w:rPr>
          <w:color w:val="004EA8"/>
        </w:rPr>
        <w:t>•</w:t>
        <w:tab/>
      </w:r>
      <w:r>
        <w:rPr/>
        <w:t>Loaders owned by other modules and decided under DMQ30: open claims (Claims), EB programmes, submitted-policy masterlists; they are tested in those modules' plans when BDOI brings them into scope.</w:t>
      </w:r>
    </w:p>
    <w:p>
      <w:pPr>
        <w:tabs>
          <w:tab w:pos="312" w:val="left"/>
        </w:tabs>
        <w:spacing w:after="40"/>
        <w:ind w:left="312" w:hanging="283"/>
      </w:pPr>
      <w:r>
        <w:rPr>
          <w:color w:val="004EA8"/>
        </w:rPr>
        <w:t>•</w:t>
        <w:tab/>
      </w:r>
      <w:r>
        <w:rPr/>
        <w:t>Performance at full volume (1,000,000 client rows, 500,000 open items): tested in the dress rehearsal and the performance plan (deliverable 28).</w:t>
      </w:r>
    </w:p>
    <w:p>
      <w:pPr>
        <w:tabs>
          <w:tab w:pos="312" w:val="left"/>
        </w:tabs>
        <w:spacing w:after="120"/>
        <w:ind w:left="312" w:hanging="283"/>
      </w:pPr>
      <w:r>
        <w:rPr>
          <w:color w:val="004EA8"/>
        </w:rPr>
        <w:t>•</w:t>
        <w:tab/>
      </w:r>
      <w:r>
        <w:rPr/>
        <w:t>The SFTP drop and the legacy read-only links (parked seams); the cases use console uploads.</w:t>
      </w:r>
    </w:p>
    <w:p>
      <w:pPr>
        <w:pStyle w:val="Heading2"/>
      </w:pPr>
      <w:bookmarkStart w:id="106" w:name="_Toc000106"/>
      <w:r>
        <w:rPr/>
        <w:t>1.5 References</w:t>
      </w:r>
      <w:bookmarkEnd w:id="106"/>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BRD-13 Data Migration (</w:t>
            </w:r>
            <w:r>
              <w:rPr>
                <w:rFonts w:ascii="Courier New" w:hAnsi="Courier New" w:cs="Courier New" w:eastAsia="Courier New"/>
                <w:color w:val="2E2E2E"/>
                <w:sz w:val="16"/>
              </w:rPr>
              <w:t>BIBS_FRS_BRD-13_Data_Migration_v1.1.docx</w:t>
            </w:r>
            <w:r>
              <w:rPr>
                <w:sz w:val="18"/>
              </w:rPr>
              <w:t>)</w:t>
            </w:r>
          </w:p>
        </w:tc>
        <w:tc>
          <w:tcPr>
            <w:tcW w:type="dxa" w:w="2992"/>
            <w:tcMar>
              <w:top w:w="50" w:type="dxa"/>
              <w:bottom w:w="50" w:type="dxa"/>
              <w:left w:w="90" w:type="dxa"/>
              <w:right w:w="90" w:type="dxa"/>
            </w:tcMar>
          </w:tcPr>
          <w:p>
            <w:pPr>
              <w:pStyle w:val="BDOITable"/>
            </w:pPr>
            <w:r>
              <w:rPr>
                <w:sz w:val="18"/>
              </w:rPr>
              <w:t>1.1,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Data Migration BRD (</w:t>
            </w:r>
            <w:r>
              <w:rPr>
                <w:rFonts w:ascii="Courier New" w:hAnsi="Courier New" w:cs="Courier New" w:eastAsia="Courier New"/>
                <w:color w:val="2E2E2E"/>
                <w:sz w:val="16"/>
              </w:rPr>
              <w:t>docs/source-documents/BRD - Data Migration - draft V0.01.pdf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draft v0.01, 14-Apr-2026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Data Migration build design (</w:t>
            </w:r>
            <w:r>
              <w:rPr>
                <w:rFonts w:ascii="Courier New" w:hAnsi="Courier New" w:cs="Courier New" w:eastAsia="Courier New"/>
                <w:color w:val="2E2E2E"/>
                <w:sz w:val="16"/>
              </w:rPr>
              <w:t>docs/architecture/DATA_MIGRATION_DESIGN.md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Data Migration Strategy and Approach; Reconciliation Approach and Sign-off; Cutover Runbook</w:t>
            </w:r>
          </w:p>
        </w:tc>
        <w:tc>
          <w:tcPr>
            <w:tcW w:type="dxa" w:w="2992"/>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BDOI Data Requirements Workbook and extract templates</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2992"/>
            <w:tcMar>
              <w:top w:w="50" w:type="dxa"/>
              <w:bottom w:w="50" w:type="dxa"/>
              <w:left w:w="90" w:type="dxa"/>
              <w:right w:w="90" w:type="dxa"/>
            </w:tcMar>
            <w:shd w:val="clear" w:color="auto" w:fill="E5F5FF"/>
          </w:tcPr>
          <w:p>
            <w:pPr>
              <w:pStyle w:val="BDOITable"/>
            </w:pPr>
            <w:r>
              <w:rPr>
                <w:sz w:val="18"/>
              </w:rPr>
              <w:t>1.1</w:t>
            </w:r>
          </w:p>
        </w:tc>
      </w:tr>
    </w:tbl>
    <w:p>
      <w:pPr>
        <w:pStyle w:val="BDOISpacer"/>
      </w:pPr>
    </w:p>
    <w:p>
      <w:pPr>
        <w:pStyle w:val="Heading1"/>
        <w:pBdr>
          <w:bottom w:val="single" w:sz="4" w:space="4" w:color="99C1E7"/>
        </w:pBdr>
      </w:pPr>
      <w:bookmarkStart w:id="107" w:name="_Toc000107"/>
      <w:r>
        <w:rPr/>
        <w:t>2 Test approach</w:t>
      </w:r>
      <w:bookmarkEnd w:id="107"/>
    </w:p>
    <w:p>
      <w:pPr>
        <w:pStyle w:val="Heading2"/>
      </w:pPr>
      <w:bookmarkStart w:id="108" w:name="_Toc000108"/>
      <w:r>
        <w:rPr/>
        <w:t>2.1 Test levels</w:t>
      </w:r>
      <w:bookmarkEnd w:id="108"/>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Intake checks, masking, rule engine, matching, loaders through the services, reconciliation, gates, legacy postings per module,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During the build waves DM0 to DM3; in CI on every change</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test extracts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each build wave is deployed on SIT (DM0 and DM1-C by 9 Apr 2027, the rest by 18 Jun 2027), before the mock that needs 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by the persona that owns each step</w:t>
            </w:r>
          </w:p>
        </w:tc>
        <w:tc>
          <w:tcPr>
            <w:tcW w:type="dxa" w:w="2163"/>
            <w:tcMar>
              <w:top w:w="50" w:type="dxa"/>
              <w:bottom w:w="50" w:type="dxa"/>
              <w:left w:w="90" w:type="dxa"/>
              <w:right w:w="90" w:type="dxa"/>
            </w:tcMar>
          </w:tcPr>
          <w:p>
            <w:pPr>
              <w:pStyle w:val="BDOITable"/>
            </w:pPr>
            <w:r>
              <w:rPr>
                <w:sz w:val="18"/>
              </w:rPr>
              <w:t>iorta TechNXT QA with BDOI testers</w:t>
            </w:r>
          </w:p>
        </w:tc>
        <w:tc>
          <w:tcPr>
            <w:tcW w:type="dxa" w:w="2163"/>
            <w:tcMar>
              <w:top w:w="50" w:type="dxa"/>
              <w:bottom w:w="50" w:type="dxa"/>
              <w:left w:w="90" w:type="dxa"/>
              <w:right w:w="90" w:type="dxa"/>
            </w:tcMar>
          </w:tcPr>
          <w:p>
            <w:pPr>
              <w:pStyle w:val="BDOITable"/>
            </w:pPr>
            <w:r>
              <w:rPr>
                <w:sz w:val="18"/>
              </w:rPr>
              <w:t>Before Mock 2</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Mocks and dress rehearsal</w:t>
            </w:r>
          </w:p>
        </w:tc>
        <w:tc>
          <w:tcPr>
            <w:tcW w:type="dxa" w:w="3724"/>
            <w:tcMar>
              <w:top w:w="50" w:type="dxa"/>
              <w:bottom w:w="50" w:type="dxa"/>
              <w:left w:w="90" w:type="dxa"/>
              <w:right w:w="90" w:type="dxa"/>
            </w:tcMar>
            <w:shd w:val="clear" w:color="auto" w:fill="E5F5FF"/>
          </w:tcPr>
          <w:p>
            <w:pPr>
              <w:pStyle w:val="BDOITable"/>
            </w:pPr>
            <w:r>
              <w:rPr>
                <w:sz w:val="18"/>
              </w:rPr>
              <w:t>Full cutover with masked full extracts, reference data and clients first; reconciliation and sign-off per object</w:t>
            </w:r>
          </w:p>
        </w:tc>
        <w:tc>
          <w:tcPr>
            <w:tcW w:type="dxa" w:w="2163"/>
            <w:tcMar>
              <w:top w:w="50" w:type="dxa"/>
              <w:bottom w:w="50" w:type="dxa"/>
              <w:left w:w="90" w:type="dxa"/>
              <w:right w:w="90" w:type="dxa"/>
            </w:tcMar>
            <w:shd w:val="clear" w:color="auto" w:fill="E5F5FF"/>
          </w:tcPr>
          <w:p>
            <w:pPr>
              <w:pStyle w:val="BDOITable"/>
            </w:pPr>
            <w:r>
              <w:rPr>
                <w:sz w:val="18"/>
              </w:rPr>
              <w:t>Migration team with BDOI owners</w:t>
            </w:r>
          </w:p>
        </w:tc>
        <w:tc>
          <w:tcPr>
            <w:tcW w:type="dxa" w:w="2163"/>
            <w:tcMar>
              <w:top w:w="50" w:type="dxa"/>
              <w:bottom w:w="50" w:type="dxa"/>
              <w:left w:w="90" w:type="dxa"/>
              <w:right w:w="90" w:type="dxa"/>
            </w:tcMar>
            <w:shd w:val="clear" w:color="auto" w:fill="E5F5FF"/>
          </w:tcPr>
          <w:p>
            <w:pPr>
              <w:pStyle w:val="BDOITable"/>
            </w:pPr>
            <w:r>
              <w:rPr>
                <w:sz w:val="18"/>
              </w:rPr>
              <w:t>Mock 1 19-30 Apr 2027, Mock 2 5-16 Jul 2027 (SIT); Mock 3 2-13 Aug 2027, Mock 4 4-15 Oct 2027 (UAT); dress rehearsal 15-26 Nov 2027</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Scenarios SC-DM-05 to SC-DM-08 and the High-priority cases on the Mock 3 and Mock 4 data</w:t>
            </w:r>
          </w:p>
        </w:tc>
        <w:tc>
          <w:tcPr>
            <w:tcW w:type="dxa" w:w="2163"/>
            <w:tcMar>
              <w:top w:w="50" w:type="dxa"/>
              <w:bottom w:w="50" w:type="dxa"/>
              <w:left w:w="90" w:type="dxa"/>
              <w:right w:w="90" w:type="dxa"/>
            </w:tcMar>
          </w:tcPr>
          <w:p>
            <w:pPr>
              <w:pStyle w:val="BDOITable"/>
            </w:pPr>
            <w:r>
              <w:rPr>
                <w:sz w:val="18"/>
              </w:rPr>
              <w:t>BDOI testers</w:t>
            </w:r>
          </w:p>
        </w:tc>
        <w:tc>
          <w:tcPr>
            <w:tcW w:type="dxa" w:w="2163"/>
            <w:tcMar>
              <w:top w:w="50" w:type="dxa"/>
              <w:bottom w:w="50" w:type="dxa"/>
              <w:left w:w="90" w:type="dxa"/>
              <w:right w:w="90" w:type="dxa"/>
            </w:tcMar>
          </w:tcPr>
          <w:p>
            <w:pPr>
              <w:pStyle w:val="BDOITable"/>
            </w:pPr>
            <w:r>
              <w:rPr>
                <w:sz w:val="18"/>
              </w:rPr>
              <w:t>UAT migration window (August-October 2027)</w:t>
            </w:r>
          </w:p>
        </w:tc>
      </w:tr>
    </w:tbl>
    <w:p>
      <w:pPr>
        <w:pStyle w:val="BDOISpacer"/>
      </w:pPr>
    </w:p>
    <w:p>
      <w:pPr>
        <w:pStyle w:val="Heading2"/>
      </w:pPr>
      <w:bookmarkStart w:id="109" w:name="_Toc000109"/>
      <w:r>
        <w:rPr/>
        <w:t>2.2 How the cases were derived</w:t>
      </w:r>
      <w:bookmarkEnd w:id="109"/>
    </w:p>
    <w:p>
      <w:pPr>
        <w:tabs>
          <w:tab w:pos="312" w:val="left"/>
        </w:tabs>
        <w:spacing w:after="40"/>
        <w:ind w:left="312" w:hanging="283"/>
      </w:pPr>
      <w:r>
        <w:rPr>
          <w:color w:val="004EA8"/>
        </w:rPr>
        <w:t>•</w:t>
        <w:tab/>
      </w:r>
      <w:r>
        <w:rPr/>
        <w:t xml:space="preserve">Each FR's acceptance criteria, business rules, validations and alternate flows became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the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error-rate threshold (0.5 percent of master rows) and the archive export limit (1,000 rows).</w:t>
      </w:r>
    </w:p>
    <w:p>
      <w:pPr>
        <w:tabs>
          <w:tab w:pos="312" w:val="left"/>
        </w:tabs>
        <w:spacing w:after="120"/>
        <w:ind w:left="312" w:hanging="283"/>
      </w:pPr>
      <w:r>
        <w:rPr>
          <w:color w:val="004EA8"/>
        </w:rPr>
        <w:t>•</w:t>
        <w:tab/>
      </w:r>
      <w:r>
        <w:rPr/>
        <w:t>Amounts in the expected results come from the made-up data sets (for example invoice I00123456: basic 20,000.00, paid 10,000.00 before cutover) so testers can check the figures on the screen and in the journals. Accounts are named, not numbered: the legacy control accounts and Migration Clearing are assigned by Comptrollership (DMQ18).</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and next to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and actions open only to the roles that hold the permission; maker-checker and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object, map version, batch, reclassification or reversal batch, plan or checklist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Extract and control files, payment files, runbook export</w:t>
            </w:r>
          </w:p>
        </w:tc>
      </w:tr>
    </w:tbl>
    <w:p>
      <w:pPr>
        <w:pStyle w:val="BDOISpacer"/>
      </w:pP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wave under test is deployed on SIT with its roles, parameters, lists and demo data (V1980-V1982); legacy control accounts, Migration Clearing and the LG_ rule lines are on the test chart; the test extracts of section 4 are prepared in the workbook layouts; CI is green.</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run; no open Critical defect; Renewal (for FR-DM-122) and the Operations modules deployed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BRD-13 v1.1 signed or its comments agreed; the M1 decisions of the Strategy applied; Mock 2 exit criteria met; UAT holds the Mock 3 data; BDOI testers have their users.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postings, reconciliation results and notifications.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process owner; no open Critical or High defect; the sign-off of section 10 is signed.</w:t>
            </w:r>
          </w:p>
        </w:tc>
      </w:tr>
    </w:tbl>
    <w:p>
      <w:pPr>
        <w:pStyle w:val="BDOISpacer"/>
      </w:pPr>
    </w:p>
    <w:p>
      <w:r>
        <w:rPr>
          <w:b/>
        </w:rPr>
        <w:t>Suspension.</w:t>
      </w:r>
      <w:r>
        <w:rPr/>
        <w:t xml:space="preserve"> Testing stops when a Critical defect blocks a scenario, when a test extract leaves the environment unusable (staging or ledger corrupted), or when unmasked data is found outside production. It resumes after the fix or after the environment is restored from its snapshot.</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tests on every change</w:t>
            </w:r>
          </w:p>
        </w:tc>
        <w:tc>
          <w:tcPr>
            <w:tcW w:type="dxa" w:w="3739"/>
            <w:tcMar>
              <w:top w:w="50" w:type="dxa"/>
              <w:bottom w:w="50" w:type="dxa"/>
              <w:left w:w="90" w:type="dxa"/>
              <w:right w:w="90" w:type="dxa"/>
            </w:tcMar>
          </w:tcPr>
          <w:p>
            <w:pPr>
              <w:pStyle w:val="BDOITable"/>
            </w:pPr>
            <w:r>
              <w:rPr>
                <w:sz w:val="18"/>
              </w:rPr>
              <w:t>Created by each test</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persona runs, Mocks 1 and 2</w:t>
            </w:r>
          </w:p>
        </w:tc>
        <w:tc>
          <w:tcPr>
            <w:tcW w:type="dxa" w:w="3739"/>
            <w:tcMar>
              <w:top w:w="50" w:type="dxa"/>
              <w:bottom w:w="50" w:type="dxa"/>
              <w:left w:w="90" w:type="dxa"/>
              <w:right w:w="90" w:type="dxa"/>
            </w:tcMar>
            <w:shd w:val="clear" w:color="auto" w:fill="E5F5FF"/>
          </w:tcPr>
          <w:p>
            <w:pPr>
              <w:pStyle w:val="BDOITable"/>
            </w:pPr>
            <w:r>
              <w:rPr>
                <w:sz w:val="18"/>
              </w:rPr>
              <w:t>Test extracts of section 4.2; masked full extracts for the mocks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Mocks 3 and 4 and UAT</w:t>
            </w:r>
          </w:p>
        </w:tc>
        <w:tc>
          <w:tcPr>
            <w:tcW w:type="dxa" w:w="3739"/>
            <w:tcMar>
              <w:top w:w="50" w:type="dxa"/>
              <w:bottom w:w="50" w:type="dxa"/>
              <w:left w:w="90" w:type="dxa"/>
              <w:right w:w="90" w:type="dxa"/>
            </w:tcMar>
          </w:tcPr>
          <w:p>
            <w:pPr>
              <w:pStyle w:val="BDOITable"/>
            </w:pPr>
            <w:r>
              <w:rPr>
                <w:sz w:val="18"/>
              </w:rPr>
              <w:t>Masked full extracts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Production-sized</w:t>
            </w:r>
          </w:p>
        </w:tc>
        <w:tc>
          <w:tcPr>
            <w:tcW w:type="dxa" w:w="4432"/>
            <w:tcMar>
              <w:top w:w="50" w:type="dxa"/>
              <w:bottom w:w="50" w:type="dxa"/>
              <w:left w:w="90" w:type="dxa"/>
              <w:right w:w="90" w:type="dxa"/>
            </w:tcMar>
            <w:shd w:val="clear" w:color="auto" w:fill="E5F5FF"/>
          </w:tcPr>
          <w:p>
            <w:pPr>
              <w:pStyle w:val="BDOITable"/>
            </w:pPr>
            <w:r>
              <w:rPr>
                <w:sz w:val="18"/>
              </w:rPr>
              <w:t>Dress rehearsal</w:t>
            </w:r>
          </w:p>
        </w:tc>
        <w:tc>
          <w:tcPr>
            <w:tcW w:type="dxa" w:w="3739"/>
            <w:tcMar>
              <w:top w:w="50" w:type="dxa"/>
              <w:bottom w:w="50" w:type="dxa"/>
              <w:left w:w="90" w:type="dxa"/>
              <w:right w:w="90" w:type="dxa"/>
            </w:tcMar>
            <w:shd w:val="clear" w:color="auto" w:fill="E5F5FF"/>
          </w:tcPr>
          <w:p>
            <w:pPr>
              <w:pStyle w:val="BDOITable"/>
            </w:pPr>
            <w:r>
              <w:rPr>
                <w:sz w:val="18"/>
              </w:rPr>
              <w:t>Masked full-volume extracts</w:t>
            </w:r>
          </w:p>
        </w:tc>
      </w:tr>
    </w:tbl>
    <w:p>
      <w:pPr>
        <w:pStyle w:val="BDOISpacer"/>
      </w:pPr>
    </w:p>
    <w:p>
      <w:r>
        <w:rPr/>
        <w:t>Non-production data is always masked at intake (names, addresses, TIN, ID, account and phone numbers, e-mail, birth dates). Staging and files are purged within 5 days of sign-off in every environment.</w:t>
      </w:r>
    </w:p>
    <w:p>
      <w:pPr>
        <w:pStyle w:val="Heading2"/>
      </w:pPr>
      <w:bookmarkStart w:id="115" w:name="_Toc000115"/>
      <w:r>
        <w:rPr/>
        <w:t>4.2 Named data sets</w:t>
      </w:r>
      <w:bookmarkEnd w:id="115"/>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TD-DM-01</w:t>
            </w:r>
          </w:p>
        </w:tc>
        <w:tc>
          <w:tcPr>
            <w:tcW w:type="dxa" w:w="3520"/>
            <w:tcMar>
              <w:top w:w="50" w:type="dxa"/>
              <w:bottom w:w="50" w:type="dxa"/>
              <w:left w:w="90" w:type="dxa"/>
              <w:right w:w="90" w:type="dxa"/>
            </w:tcMar>
          </w:tcPr>
          <w:p>
            <w:pPr>
              <w:pStyle w:val="BDOITable"/>
            </w:pPr>
            <w:r>
              <w:rPr>
                <w:sz w:val="17"/>
              </w:rPr>
              <w:t>Test users per migration role</w:t>
            </w:r>
          </w:p>
        </w:tc>
        <w:tc>
          <w:tcPr>
            <w:tcW w:type="dxa" w:w="5279"/>
            <w:tcMar>
              <w:top w:w="50" w:type="dxa"/>
              <w:bottom w:w="50" w:type="dxa"/>
              <w:left w:w="90" w:type="dxa"/>
              <w:right w:w="90" w:type="dxa"/>
            </w:tcMar>
          </w:tcPr>
          <w:p>
            <w:pPr>
              <w:pStyle w:val="BDOITable"/>
            </w:pPr>
            <w:r>
              <w:rPr>
                <w:sz w:val="17"/>
              </w:rPr>
              <w:t>Planned demo seed V1980 of the build design; existing Operations demo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TD-DM-02</w:t>
            </w:r>
          </w:p>
        </w:tc>
        <w:tc>
          <w:tcPr>
            <w:tcW w:type="dxa" w:w="3520"/>
            <w:tcMar>
              <w:top w:w="50" w:type="dxa"/>
              <w:bottom w:w="50" w:type="dxa"/>
              <w:left w:w="90" w:type="dxa"/>
              <w:right w:w="90" w:type="dxa"/>
            </w:tcMar>
            <w:shd w:val="clear" w:color="auto" w:fill="E5F5FF"/>
          </w:tcPr>
          <w:p>
            <w:pPr>
              <w:pStyle w:val="BDOITable"/>
            </w:pPr>
            <w:r>
              <w:rPr>
                <w:sz w:val="17"/>
              </w:rPr>
              <w:t>Reference extracts</w:t>
            </w:r>
          </w:p>
        </w:tc>
        <w:tc>
          <w:tcPr>
            <w:tcW w:type="dxa" w:w="5279"/>
            <w:tcMar>
              <w:top w:w="50" w:type="dxa"/>
              <w:bottom w:w="50" w:type="dxa"/>
              <w:left w:w="90" w:type="dxa"/>
              <w:right w:w="90" w:type="dxa"/>
            </w:tcMar>
            <w:shd w:val="clear" w:color="auto" w:fill="E5F5FF"/>
          </w:tcPr>
          <w:p>
            <w:pPr>
              <w:pStyle w:val="BDOITable"/>
            </w:pPr>
            <w:r>
              <w:rPr>
                <w:sz w:val="17"/>
              </w:rPr>
              <w:t>Masked sample extracts in backend/src/main/resources/demo/migration/ (build wave DM3) prepared by the test lead in the workbook layouts</w:t>
            </w:r>
          </w:p>
        </w:tc>
      </w:tr>
      <w:tr>
        <w:trPr>
          <w:cantSplit w:val="true"/>
        </w:trPr>
        <w:tc>
          <w:tcPr>
            <w:tcW w:type="dxa" w:w="1173"/>
            <w:tcMar>
              <w:top w:w="50" w:type="dxa"/>
              <w:bottom w:w="50" w:type="dxa"/>
              <w:left w:w="90" w:type="dxa"/>
              <w:right w:w="90" w:type="dxa"/>
            </w:tcMar>
          </w:tcPr>
          <w:p>
            <w:pPr>
              <w:pStyle w:val="BDOITable"/>
            </w:pPr>
            <w:r>
              <w:rPr>
                <w:sz w:val="17"/>
              </w:rPr>
              <w:t>TD-DM-03</w:t>
            </w:r>
          </w:p>
        </w:tc>
        <w:tc>
          <w:tcPr>
            <w:tcW w:type="dxa" w:w="3520"/>
            <w:tcMar>
              <w:top w:w="50" w:type="dxa"/>
              <w:bottom w:w="50" w:type="dxa"/>
              <w:left w:w="90" w:type="dxa"/>
              <w:right w:w="90" w:type="dxa"/>
            </w:tcMar>
          </w:tcPr>
          <w:p>
            <w:pPr>
              <w:pStyle w:val="BDOITable"/>
            </w:pPr>
            <w:r>
              <w:rPr>
                <w:sz w:val="17"/>
              </w:rPr>
              <w:t>Client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TD-DM-04</w:t>
            </w:r>
          </w:p>
        </w:tc>
        <w:tc>
          <w:tcPr>
            <w:tcW w:type="dxa" w:w="3520"/>
            <w:tcMar>
              <w:top w:w="50" w:type="dxa"/>
              <w:bottom w:w="50" w:type="dxa"/>
              <w:left w:w="90" w:type="dxa"/>
              <w:right w:w="90" w:type="dxa"/>
            </w:tcMar>
            <w:shd w:val="clear" w:color="auto" w:fill="E5F5FF"/>
          </w:tcPr>
          <w:p>
            <w:pPr>
              <w:pStyle w:val="BDOITable"/>
            </w:pPr>
            <w:r>
              <w:rPr>
                <w:sz w:val="17"/>
              </w:rPr>
              <w:t>Policy header and RMEL cohort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TD-DM-05</w:t>
            </w:r>
          </w:p>
        </w:tc>
        <w:tc>
          <w:tcPr>
            <w:tcW w:type="dxa" w:w="3520"/>
            <w:tcMar>
              <w:top w:w="50" w:type="dxa"/>
              <w:bottom w:w="50" w:type="dxa"/>
              <w:left w:w="90" w:type="dxa"/>
              <w:right w:w="90" w:type="dxa"/>
            </w:tcMar>
          </w:tcPr>
          <w:p>
            <w:pPr>
              <w:pStyle w:val="BDOITable"/>
            </w:pPr>
            <w:r>
              <w:rPr>
                <w:sz w:val="17"/>
              </w:rPr>
              <w:t>Open legacy invoices</w:t>
            </w:r>
          </w:p>
        </w:tc>
        <w:tc>
          <w:tcPr>
            <w:tcW w:type="dxa" w:w="5279"/>
            <w:tcMar>
              <w:top w:w="50" w:type="dxa"/>
              <w:bottom w:w="50" w:type="dxa"/>
              <w:left w:w="90" w:type="dxa"/>
              <w:right w:w="90" w:type="dxa"/>
            </w:tcMar>
          </w:tcPr>
          <w:p>
            <w:pPr>
              <w:pStyle w:val="BDOITable"/>
            </w:pPr>
            <w:r>
              <w:rPr>
                <w:sz w:val="17"/>
              </w:rPr>
              <w:t>Masked extracts 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TD-DM-06</w:t>
            </w:r>
          </w:p>
        </w:tc>
        <w:tc>
          <w:tcPr>
            <w:tcW w:type="dxa" w:w="3520"/>
            <w:tcMar>
              <w:top w:w="50" w:type="dxa"/>
              <w:bottom w:w="50" w:type="dxa"/>
              <w:left w:w="90" w:type="dxa"/>
              <w:right w:w="90" w:type="dxa"/>
            </w:tcMar>
            <w:shd w:val="clear" w:color="auto" w:fill="E5F5FF"/>
          </w:tcPr>
          <w:p>
            <w:pPr>
              <w:pStyle w:val="BDOITable"/>
            </w:pPr>
            <w:r>
              <w:rPr>
                <w:sz w:val="17"/>
              </w:rPr>
              <w:t>Legacy UPP</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TD-DM-07</w:t>
            </w:r>
          </w:p>
        </w:tc>
        <w:tc>
          <w:tcPr>
            <w:tcW w:type="dxa" w:w="3520"/>
            <w:tcMar>
              <w:top w:w="50" w:type="dxa"/>
              <w:bottom w:w="50" w:type="dxa"/>
              <w:left w:w="90" w:type="dxa"/>
              <w:right w:w="90" w:type="dxa"/>
            </w:tcMar>
          </w:tcPr>
          <w:p>
            <w:pPr>
              <w:pStyle w:val="BDOITable"/>
            </w:pPr>
            <w:r>
              <w:rPr>
                <w:sz w:val="17"/>
              </w:rPr>
              <w:t>GL trial balance</w:t>
            </w:r>
          </w:p>
        </w:tc>
        <w:tc>
          <w:tcPr>
            <w:tcW w:type="dxa" w:w="5279"/>
            <w:tcMar>
              <w:top w:w="50" w:type="dxa"/>
              <w:bottom w:w="50" w:type="dxa"/>
              <w:left w:w="90" w:type="dxa"/>
              <w:right w:w="90" w:type="dxa"/>
            </w:tcMar>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TD-DM-08</w:t>
            </w:r>
          </w:p>
        </w:tc>
        <w:tc>
          <w:tcPr>
            <w:tcW w:type="dxa" w:w="3520"/>
            <w:tcMar>
              <w:top w:w="50" w:type="dxa"/>
              <w:bottom w:w="50" w:type="dxa"/>
              <w:left w:w="90" w:type="dxa"/>
              <w:right w:w="90" w:type="dxa"/>
            </w:tcMar>
            <w:shd w:val="clear" w:color="auto" w:fill="E5F5FF"/>
          </w:tcPr>
          <w:p>
            <w:pPr>
              <w:pStyle w:val="BDOITable"/>
            </w:pPr>
            <w:r>
              <w:rPr>
                <w:sz w:val="17"/>
              </w:rPr>
              <w:t>Archive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TD-DM-09</w:t>
            </w:r>
          </w:p>
        </w:tc>
        <w:tc>
          <w:tcPr>
            <w:tcW w:type="dxa" w:w="3520"/>
            <w:tcMar>
              <w:top w:w="50" w:type="dxa"/>
              <w:bottom w:w="50" w:type="dxa"/>
              <w:left w:w="90" w:type="dxa"/>
              <w:right w:w="90" w:type="dxa"/>
            </w:tcMar>
          </w:tcPr>
          <w:p>
            <w:pPr>
              <w:pStyle w:val="BDOITable"/>
            </w:pPr>
            <w:r>
              <w:rPr>
                <w:sz w:val="17"/>
              </w:rPr>
              <w:t>Configuration for the tests</w:t>
            </w:r>
          </w:p>
        </w:tc>
        <w:tc>
          <w:tcPr>
            <w:tcW w:type="dxa" w:w="5279"/>
            <w:tcMar>
              <w:top w:w="50" w:type="dxa"/>
              <w:bottom w:w="50" w:type="dxa"/>
              <w:left w:w="90" w:type="dxa"/>
              <w:right w:w="90" w:type="dxa"/>
            </w:tcMar>
          </w:tcPr>
          <w:p>
            <w:pPr>
              <w:pStyle w:val="BDOITable"/>
            </w:pPr>
            <w:r>
              <w:rPr>
                <w:sz w:val="17"/>
              </w:rPr>
              <w:t>Configuration delivered with the build (FRS section 9); demo V1982</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TD-DM-10</w:t>
            </w:r>
          </w:p>
        </w:tc>
        <w:tc>
          <w:tcPr>
            <w:tcW w:type="dxa" w:w="3520"/>
            <w:tcMar>
              <w:top w:w="50" w:type="dxa"/>
              <w:bottom w:w="50" w:type="dxa"/>
              <w:left w:w="90" w:type="dxa"/>
              <w:right w:w="90" w:type="dxa"/>
            </w:tcMar>
            <w:shd w:val="clear" w:color="auto" w:fill="E5F5FF"/>
          </w:tcPr>
          <w:p>
            <w:pPr>
              <w:pStyle w:val="BDOITable"/>
            </w:pPr>
            <w:r>
              <w:rPr>
                <w:sz w:val="17"/>
              </w:rPr>
              <w:t>New BIBS invoices and payments</w:t>
            </w:r>
          </w:p>
        </w:tc>
        <w:tc>
          <w:tcPr>
            <w:tcW w:type="dxa" w:w="5279"/>
            <w:tcMar>
              <w:top w:w="50" w:type="dxa"/>
              <w:bottom w:w="50" w:type="dxa"/>
              <w:left w:w="90" w:type="dxa"/>
              <w:right w:w="90" w:type="dxa"/>
            </w:tcMar>
            <w:shd w:val="clear" w:color="auto" w:fill="E5F5FF"/>
          </w:tcPr>
          <w:p>
            <w:pPr>
              <w:pStyle w:val="BDOITable"/>
            </w:pPr>
            <w:r>
              <w:rPr>
                <w:sz w:val="17"/>
              </w:rPr>
              <w:t>Built Operations demo data; payment file prepared by the test lead</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the test extracts with the stewards; runs the defect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persona scenarios</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Automated tests; defect fixes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testers</w:t>
            </w:r>
          </w:p>
        </w:tc>
        <w:tc>
          <w:tcPr>
            <w:tcW w:type="dxa" w:w="3739"/>
            <w:tcMar>
              <w:top w:w="50" w:type="dxa"/>
              <w:bottom w:w="50" w:type="dxa"/>
              <w:left w:w="90" w:type="dxa"/>
              <w:right w:w="90" w:type="dxa"/>
            </w:tcMar>
            <w:shd w:val="clear" w:color="auto" w:fill="E5F5FF"/>
          </w:tcPr>
          <w:p>
            <w:pPr>
              <w:pStyle w:val="BDOITable"/>
            </w:pPr>
            <w:r>
              <w:rPr>
                <w:sz w:val="18"/>
              </w:rPr>
              <w:t>Data Migration Lead, stewards, owners, Comptrollership, Cashiering, Remittance, Adjustment, Marketing, Compliance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expected results and figures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Program Manager with the Head of Comptrollership</w:t>
            </w:r>
          </w:p>
        </w:tc>
        <w:tc>
          <w:tcPr>
            <w:tcW w:type="dxa" w:w="3462"/>
            <w:tcMar>
              <w:top w:w="50" w:type="dxa"/>
              <w:bottom w:w="50" w:type="dxa"/>
              <w:left w:w="90" w:type="dxa"/>
              <w:right w:w="90" w:type="dxa"/>
            </w:tcMar>
          </w:tcPr>
          <w:p>
            <w:pPr>
              <w:pStyle w:val="BDOITable"/>
            </w:pPr>
            <w:r>
              <w:rPr>
                <w:sz w:val="18"/>
              </w:rPr>
              <w:t>Decides disputed expected results and accepted defects; signs off UAT</w:t>
            </w:r>
          </w:p>
        </w:tc>
      </w:tr>
    </w:tbl>
    <w:p>
      <w:pPr>
        <w:pStyle w:val="BDOISpacer"/>
      </w:pPr>
    </w:p>
    <w:p>
      <w:r>
        <w:rPr/>
        <w:t>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DML</w:t>
            </w:r>
          </w:p>
        </w:tc>
        <w:tc>
          <w:tcPr>
            <w:tcW w:type="dxa" w:w="6648"/>
            <w:tcMar>
              <w:top w:w="50" w:type="dxa"/>
              <w:bottom w:w="50" w:type="dxa"/>
              <w:left w:w="90" w:type="dxa"/>
              <w:right w:w="90" w:type="dxa"/>
            </w:tcMar>
          </w:tcPr>
          <w:p>
            <w:pPr>
              <w:pStyle w:val="BDOITable"/>
            </w:pPr>
            <w:r>
              <w:rPr>
                <w:sz w:val="17"/>
              </w:rPr>
              <w:t>Data Migration Lead</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STEWARD</w:t>
            </w:r>
          </w:p>
        </w:tc>
        <w:tc>
          <w:tcPr>
            <w:tcW w:type="dxa" w:w="6648"/>
            <w:tcMar>
              <w:top w:w="50" w:type="dxa"/>
              <w:bottom w:w="50" w:type="dxa"/>
              <w:left w:w="90" w:type="dxa"/>
              <w:right w:w="90" w:type="dxa"/>
            </w:tcMar>
            <w:shd w:val="clear" w:color="auto" w:fill="E5F5FF"/>
          </w:tcPr>
          <w:p>
            <w:pPr>
              <w:pStyle w:val="BDOITable"/>
            </w:pPr>
            <w:r>
              <w:rPr>
                <w:sz w:val="17"/>
              </w:rPr>
              <w:t>Data Steward</w:t>
            </w:r>
          </w:p>
        </w:tc>
        <w:tc>
          <w:tcPr>
            <w:tcW w:type="dxa" w:w="1023"/>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2301"/>
            <w:tcMar>
              <w:top w:w="50" w:type="dxa"/>
              <w:bottom w:w="50" w:type="dxa"/>
              <w:left w:w="90" w:type="dxa"/>
              <w:right w:w="90" w:type="dxa"/>
            </w:tcMar>
          </w:tcPr>
          <w:p>
            <w:pPr>
              <w:pStyle w:val="BDOITable"/>
            </w:pPr>
            <w:r>
              <w:rPr>
                <w:sz w:val="17"/>
              </w:rPr>
              <w:t>OWNER</w:t>
            </w:r>
          </w:p>
        </w:tc>
        <w:tc>
          <w:tcPr>
            <w:tcW w:type="dxa" w:w="6648"/>
            <w:tcMar>
              <w:top w:w="50" w:type="dxa"/>
              <w:bottom w:w="50" w:type="dxa"/>
              <w:left w:w="90" w:type="dxa"/>
              <w:right w:w="90" w:type="dxa"/>
            </w:tcMar>
          </w:tcPr>
          <w:p>
            <w:pPr>
              <w:pStyle w:val="BDOITable"/>
            </w:pPr>
            <w:r>
              <w:rPr>
                <w:sz w:val="17"/>
              </w:rPr>
              <w:t>Data owner (business owner of the object)</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OPERATOR</w:t>
            </w:r>
          </w:p>
        </w:tc>
        <w:tc>
          <w:tcPr>
            <w:tcW w:type="dxa" w:w="6648"/>
            <w:tcMar>
              <w:top w:w="50" w:type="dxa"/>
              <w:bottom w:w="50" w:type="dxa"/>
              <w:left w:w="90" w:type="dxa"/>
              <w:right w:w="90" w:type="dxa"/>
            </w:tcMar>
            <w:shd w:val="clear" w:color="auto" w:fill="E5F5FF"/>
          </w:tcPr>
          <w:p>
            <w:pPr>
              <w:pStyle w:val="BDOITable"/>
            </w:pPr>
            <w:r>
              <w:rPr>
                <w:sz w:val="17"/>
              </w:rPr>
              <w:t>Migration Operator</w:t>
            </w:r>
          </w:p>
        </w:tc>
        <w:tc>
          <w:tcPr>
            <w:tcW w:type="dxa" w:w="1023"/>
            <w:tcMar>
              <w:top w:w="50" w:type="dxa"/>
              <w:bottom w:w="50" w:type="dxa"/>
              <w:left w:w="90" w:type="dxa"/>
              <w:right w:w="90" w:type="dxa"/>
            </w:tcMar>
            <w:shd w:val="clear" w:color="auto" w:fill="E5F5FF"/>
          </w:tcPr>
          <w:p>
            <w:pPr>
              <w:pStyle w:val="BDOITable"/>
            </w:pPr>
            <w:r>
              <w:rPr>
                <w:sz w:val="17"/>
              </w:rPr>
              <w:t>32</w:t>
            </w:r>
          </w:p>
        </w:tc>
      </w:tr>
      <w:tr>
        <w:trPr>
          <w:cantSplit w:val="true"/>
        </w:trPr>
        <w:tc>
          <w:tcPr>
            <w:tcW w:type="dxa" w:w="2301"/>
            <w:tcMar>
              <w:top w:w="50" w:type="dxa"/>
              <w:bottom w:w="50" w:type="dxa"/>
              <w:left w:w="90" w:type="dxa"/>
              <w:right w:w="90" w:type="dxa"/>
            </w:tcMar>
          </w:tcPr>
          <w:p>
            <w:pPr>
              <w:pStyle w:val="BDOITable"/>
            </w:pPr>
            <w:r>
              <w:rPr>
                <w:sz w:val="17"/>
              </w:rPr>
              <w:t>RECON</w:t>
            </w:r>
          </w:p>
        </w:tc>
        <w:tc>
          <w:tcPr>
            <w:tcW w:type="dxa" w:w="6648"/>
            <w:tcMar>
              <w:top w:w="50" w:type="dxa"/>
              <w:bottom w:w="50" w:type="dxa"/>
              <w:left w:w="90" w:type="dxa"/>
              <w:right w:w="90" w:type="dxa"/>
            </w:tcMar>
          </w:tcPr>
          <w:p>
            <w:pPr>
              <w:pStyle w:val="BDOITable"/>
            </w:pPr>
            <w:r>
              <w:rPr>
                <w:sz w:val="17"/>
              </w:rPr>
              <w:t>Reconciliation approver (Comptrollership)</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GONOGO</w:t>
            </w:r>
          </w:p>
        </w:tc>
        <w:tc>
          <w:tcPr>
            <w:tcW w:type="dxa" w:w="6648"/>
            <w:tcMar>
              <w:top w:w="50" w:type="dxa"/>
              <w:bottom w:w="50" w:type="dxa"/>
              <w:left w:w="90" w:type="dxa"/>
              <w:right w:w="90" w:type="dxa"/>
            </w:tcMar>
            <w:shd w:val="clear" w:color="auto" w:fill="E5F5FF"/>
          </w:tcPr>
          <w:p>
            <w:pPr>
              <w:pStyle w:val="BDOITable"/>
            </w:pPr>
            <w:r>
              <w:rPr>
                <w:sz w:val="17"/>
              </w:rPr>
              <w:t>Go / no-go board member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PM</w:t>
            </w:r>
          </w:p>
        </w:tc>
        <w:tc>
          <w:tcPr>
            <w:tcW w:type="dxa" w:w="6648"/>
            <w:tcMar>
              <w:top w:w="50" w:type="dxa"/>
              <w:bottom w:w="50" w:type="dxa"/>
              <w:left w:w="90" w:type="dxa"/>
              <w:right w:w="90" w:type="dxa"/>
            </w:tcMar>
          </w:tcPr>
          <w:p>
            <w:pPr>
              <w:pStyle w:val="BDOITable"/>
            </w:pPr>
            <w:r>
              <w:rPr>
                <w:sz w:val="17"/>
              </w:rPr>
              <w:t>Program Manager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User (AO)</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301"/>
            <w:tcMar>
              <w:top w:w="50" w:type="dxa"/>
              <w:bottom w:w="50" w:type="dxa"/>
              <w:left w:w="90" w:type="dxa"/>
              <w:right w:w="90" w:type="dxa"/>
            </w:tcMar>
          </w:tcPr>
          <w:p>
            <w:pPr>
              <w:pStyle w:val="BDOITable"/>
            </w:pPr>
            <w:r>
              <w:rPr>
                <w:sz w:val="17"/>
              </w:rPr>
              <w:t>OPS_USER</w:t>
            </w:r>
          </w:p>
        </w:tc>
        <w:tc>
          <w:tcPr>
            <w:tcW w:type="dxa" w:w="6648"/>
            <w:tcMar>
              <w:top w:w="50" w:type="dxa"/>
              <w:bottom w:w="50" w:type="dxa"/>
              <w:left w:w="90" w:type="dxa"/>
              <w:right w:w="90" w:type="dxa"/>
            </w:tcMar>
          </w:tcPr>
          <w:p>
            <w:pPr>
              <w:pStyle w:val="BDOITable"/>
            </w:pPr>
            <w:r>
              <w:rPr>
                <w:sz w:val="17"/>
              </w:rPr>
              <w:t>Operations User (Adjustment processor)</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ADJ_TL</w:t>
            </w:r>
          </w:p>
        </w:tc>
        <w:tc>
          <w:tcPr>
            <w:tcW w:type="dxa" w:w="6648"/>
            <w:tcMar>
              <w:top w:w="50" w:type="dxa"/>
              <w:bottom w:w="50" w:type="dxa"/>
              <w:left w:w="90" w:type="dxa"/>
              <w:right w:w="90" w:type="dxa"/>
            </w:tcMar>
            <w:shd w:val="clear" w:color="auto" w:fill="E5F5FF"/>
          </w:tcPr>
          <w:p>
            <w:pPr>
              <w:pStyle w:val="BDOITable"/>
            </w:pPr>
            <w:r>
              <w:rPr>
                <w:sz w:val="17"/>
              </w:rPr>
              <w:t>Adjustment 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CASHIER</w:t>
            </w:r>
          </w:p>
        </w:tc>
        <w:tc>
          <w:tcPr>
            <w:tcW w:type="dxa" w:w="6648"/>
            <w:tcMar>
              <w:top w:w="50" w:type="dxa"/>
              <w:bottom w:w="50" w:type="dxa"/>
              <w:left w:w="90" w:type="dxa"/>
              <w:right w:w="90" w:type="dxa"/>
            </w:tcMar>
          </w:tcPr>
          <w:p>
            <w:pPr>
              <w:pStyle w:val="BDOITable"/>
            </w:pPr>
            <w:r>
              <w:rPr>
                <w:sz w:val="17"/>
              </w:rPr>
              <w:t>Cashiering User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CASHIER_TL</w:t>
            </w:r>
          </w:p>
        </w:tc>
        <w:tc>
          <w:tcPr>
            <w:tcW w:type="dxa" w:w="6648"/>
            <w:tcMar>
              <w:top w:w="50" w:type="dxa"/>
              <w:bottom w:w="50" w:type="dxa"/>
              <w:left w:w="90" w:type="dxa"/>
              <w:right w:w="90" w:type="dxa"/>
            </w:tcMar>
            <w:shd w:val="clear" w:color="auto" w:fill="E5F5FF"/>
          </w:tcPr>
          <w:p>
            <w:pPr>
              <w:pStyle w:val="BDOITable"/>
            </w:pPr>
            <w:r>
              <w:rPr>
                <w:sz w:val="17"/>
              </w:rPr>
              <w:t>Cashiering 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TOPMGMT</w:t>
            </w:r>
          </w:p>
        </w:tc>
        <w:tc>
          <w:tcPr>
            <w:tcW w:type="dxa" w:w="6648"/>
            <w:tcMar>
              <w:top w:w="50" w:type="dxa"/>
              <w:bottom w:w="50" w:type="dxa"/>
              <w:left w:w="90" w:type="dxa"/>
              <w:right w:w="90" w:type="dxa"/>
            </w:tcMar>
          </w:tcPr>
          <w:p>
            <w:pPr>
              <w:pStyle w:val="BDOITable"/>
            </w:pPr>
            <w:r>
              <w:rPr>
                <w:sz w:val="17"/>
              </w:rPr>
              <w:t>Finance Approver (top management)</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ACCT</w:t>
            </w:r>
          </w:p>
        </w:tc>
        <w:tc>
          <w:tcPr>
            <w:tcW w:type="dxa" w:w="6648"/>
            <w:tcMar>
              <w:top w:w="50" w:type="dxa"/>
              <w:bottom w:w="50" w:type="dxa"/>
              <w:left w:w="90" w:type="dxa"/>
              <w:right w:w="90" w:type="dxa"/>
            </w:tcMar>
            <w:shd w:val="clear" w:color="auto" w:fill="E5F5FF"/>
          </w:tcPr>
          <w:p>
            <w:pPr>
              <w:pStyle w:val="BDOITable"/>
            </w:pPr>
            <w:r>
              <w:rPr>
                <w:sz w:val="17"/>
              </w:rPr>
              <w:t>Accounting User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COMMREC_TL</w:t>
            </w:r>
          </w:p>
        </w:tc>
        <w:tc>
          <w:tcPr>
            <w:tcW w:type="dxa" w:w="6648"/>
            <w:tcMar>
              <w:top w:w="50" w:type="dxa"/>
              <w:bottom w:w="50" w:type="dxa"/>
              <w:left w:w="90" w:type="dxa"/>
              <w:right w:w="90" w:type="dxa"/>
            </w:tcMar>
          </w:tcPr>
          <w:p>
            <w:pPr>
              <w:pStyle w:val="BDOITable"/>
            </w:pPr>
            <w:r>
              <w:rPr>
                <w:sz w:val="17"/>
              </w:rPr>
              <w:t>Commission TL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w:t>
            </w:r>
          </w:p>
        </w:tc>
        <w:tc>
          <w:tcPr>
            <w:tcW w:type="dxa" w:w="6648"/>
            <w:tcMar>
              <w:top w:w="50" w:type="dxa"/>
              <w:bottom w:w="50" w:type="dxa"/>
              <w:left w:w="90" w:type="dxa"/>
              <w:right w:w="90" w:type="dxa"/>
            </w:tcMar>
            <w:shd w:val="clear" w:color="auto" w:fill="E5F5FF"/>
          </w:tcPr>
          <w:p>
            <w:pPr>
              <w:pStyle w:val="BDOITable"/>
            </w:pPr>
            <w:r>
              <w:rPr>
                <w:sz w:val="17"/>
              </w:rPr>
              <w:t>Remittance User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PRC</w:t>
            </w:r>
          </w:p>
        </w:tc>
        <w:tc>
          <w:tcPr>
            <w:tcW w:type="dxa" w:w="6648"/>
            <w:tcMar>
              <w:top w:w="50" w:type="dxa"/>
              <w:bottom w:w="50" w:type="dxa"/>
              <w:left w:w="90" w:type="dxa"/>
              <w:right w:w="90" w:type="dxa"/>
            </w:tcMar>
          </w:tcPr>
          <w:p>
            <w:pPr>
              <w:pStyle w:val="BDOITable"/>
            </w:pPr>
            <w:r>
              <w:rPr>
                <w:sz w:val="17"/>
              </w:rPr>
              <w:t>Prod Recon Analyst</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w:t>
            </w:r>
          </w:p>
        </w:tc>
        <w:tc>
          <w:tcPr>
            <w:tcW w:type="dxa" w:w="6648"/>
            <w:tcMar>
              <w:top w:w="50" w:type="dxa"/>
              <w:bottom w:w="50" w:type="dxa"/>
              <w:left w:w="90" w:type="dxa"/>
              <w:right w:w="90" w:type="dxa"/>
            </w:tcMar>
            <w:shd w:val="clear" w:color="auto" w:fill="E5F5FF"/>
          </w:tcPr>
          <w:p>
            <w:pPr>
              <w:pStyle w:val="BDOITable"/>
            </w:pPr>
            <w:r>
              <w:rPr>
                <w:sz w:val="17"/>
              </w:rPr>
              <w:t>Audit / Compliance User (Legacy Inquiry)</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ACCESS_REV</w:t>
            </w:r>
          </w:p>
        </w:tc>
        <w:tc>
          <w:tcPr>
            <w:tcW w:type="dxa" w:w="6648"/>
            <w:tcMar>
              <w:top w:w="50" w:type="dxa"/>
              <w:bottom w:w="50" w:type="dxa"/>
              <w:left w:w="90" w:type="dxa"/>
              <w:right w:w="90" w:type="dxa"/>
            </w:tcMar>
          </w:tcPr>
          <w:p>
            <w:pPr>
              <w:pStyle w:val="BDOITable"/>
            </w:pPr>
            <w:r>
              <w:rPr>
                <w:sz w:val="17"/>
              </w:rPr>
              <w:t>Compliance reviewer (access log)</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2</w:t>
            </w:r>
          </w:p>
        </w:tc>
      </w:tr>
    </w:tbl>
    <w:p>
      <w:pPr>
        <w:pStyle w:val="BDOISpacer"/>
      </w:pPr>
    </w:p>
    <w:p>
      <w:pPr>
        <w:pStyle w:val="Heading1"/>
        <w:pBdr>
          <w:bottom w:val="single" w:sz="4" w:space="4" w:color="99C1E7"/>
        </w:pBdr>
      </w:pPr>
      <w:bookmarkStart w:id="117" w:name="_Toc000117"/>
      <w:r>
        <w:rPr/>
        <w:t>6 Defect management</w:t>
      </w:r>
      <w:bookmarkEnd w:id="117"/>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Data Migration</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load, posting or reconciliation gives a wrong financial result, data is lost, or a control (gate, maker-checker, masking) is broken</w:t>
            </w:r>
          </w:p>
        </w:tc>
        <w:tc>
          <w:tcPr>
            <w:tcW w:type="dxa" w:w="3196"/>
            <w:tcMar>
              <w:top w:w="50" w:type="dxa"/>
              <w:bottom w:w="50" w:type="dxa"/>
              <w:left w:w="90" w:type="dxa"/>
              <w:right w:w="90" w:type="dxa"/>
            </w:tcMar>
          </w:tcPr>
          <w:p>
            <w:pPr>
              <w:pStyle w:val="BDOITable"/>
            </w:pPr>
            <w:r>
              <w:rPr>
                <w:sz w:val="18"/>
              </w:rPr>
              <w:t>Migration Clearing not zero for a correct extract; unmasked data in SIT; operator signs own reconciliation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w:t>
            </w:r>
          </w:p>
        </w:tc>
        <w:tc>
          <w:tcPr>
            <w:tcW w:type="dxa" w:w="3196"/>
            <w:tcMar>
              <w:top w:w="50" w:type="dxa"/>
              <w:bottom w:w="50" w:type="dxa"/>
              <w:left w:w="90" w:type="dxa"/>
              <w:right w:w="90" w:type="dxa"/>
            </w:tcMar>
            <w:shd w:val="clear" w:color="auto" w:fill="E5F5FF"/>
          </w:tcPr>
          <w:p>
            <w:pPr>
              <w:pStyle w:val="BDOITable"/>
            </w:pPr>
            <w:r>
              <w:rPr>
                <w:sz w:val="18"/>
              </w:rPr>
              <w:t>Rerun loads rows already loaded; automatch ignores migrated UPP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Works with a workaround, or a message, label or report column is wrong</w:t>
            </w:r>
          </w:p>
        </w:tc>
        <w:tc>
          <w:tcPr>
            <w:tcW w:type="dxa" w:w="3196"/>
            <w:tcMar>
              <w:top w:w="50" w:type="dxa"/>
              <w:bottom w:w="50" w:type="dxa"/>
              <w:left w:w="90" w:type="dxa"/>
              <w:right w:w="90" w:type="dxa"/>
            </w:tcMar>
          </w:tcPr>
          <w:p>
            <w:pPr>
              <w:pStyle w:val="BDOITable"/>
            </w:pPr>
            <w:r>
              <w:rPr>
                <w:sz w:val="18"/>
              </w:rPr>
              <w:t>A report column missing; wrong break reason list</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w:t>
            </w:r>
          </w:p>
        </w:tc>
        <w:tc>
          <w:tcPr>
            <w:tcW w:type="dxa" w:w="3196"/>
            <w:tcMar>
              <w:top w:w="50" w:type="dxa"/>
              <w:bottom w:w="50" w:type="dxa"/>
              <w:left w:w="90" w:type="dxa"/>
              <w:right w:w="90" w:type="dxa"/>
            </w:tcMar>
            <w:shd w:val="clear" w:color="auto" w:fill="E5F5FF"/>
          </w:tcPr>
          <w:p>
            <w:pPr>
              <w:pStyle w:val="BDOITable"/>
            </w:pPr>
            <w:r>
              <w:rPr>
                <w:sz w:val="18"/>
              </w:rPr>
              <w:t>Alignment, spelling</w:t>
            </w:r>
          </w:p>
        </w:tc>
      </w:tr>
    </w:tbl>
    <w:p>
      <w:pPr>
        <w:pStyle w:val="BDOISpacer"/>
      </w:pPr>
    </w:p>
    <w:p>
      <w:r>
        <w:rPr/>
        <w:t>Defects are triaged daily; Critical within 1 working day, High within 3. A fixed defect is retested with its case and the cases of the same condition.</w:t>
      </w:r>
    </w:p>
    <w:p>
      <w:pPr>
        <w:pStyle w:val="Heading1"/>
        <w:pBdr>
          <w:bottom w:val="single" w:sz="4" w:space="4" w:color="99C1E7"/>
        </w:pBdr>
      </w:pPr>
      <w:bookmarkStart w:id="118" w:name="_Toc000118"/>
      <w:r>
        <w:rPr/>
        <w:t>7 Coverage summary</w:t>
      </w:r>
      <w:bookmarkEnd w:id="118"/>
    </w:p>
    <w:p>
      <w:pPr>
        <w:pStyle w:val="Heading2"/>
      </w:pPr>
      <w:bookmarkStart w:id="119" w:name="_Toc000119"/>
      <w:r>
        <w:rPr/>
        <w:t>7.1 Totals</w:t>
      </w:r>
      <w:bookmarkEnd w:id="119"/>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40 of 40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23 of 23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152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77 / 75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47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2"/>
      </w:pPr>
      <w:bookmarkStart w:id="120" w:name="_Toc000120"/>
      <w:r>
        <w:rPr/>
        <w:t>7.2 Coverage by FR</w:t>
      </w:r>
      <w:bookmarkEnd w:id="120"/>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FR-DM-001</w:t>
            </w:r>
          </w:p>
        </w:tc>
        <w:tc>
          <w:tcPr>
            <w:tcW w:type="dxa" w:w="3307"/>
            <w:tcMar>
              <w:top w:w="50" w:type="dxa"/>
              <w:bottom w:w="50" w:type="dxa"/>
              <w:left w:w="90" w:type="dxa"/>
              <w:right w:w="90" w:type="dxa"/>
            </w:tcMar>
          </w:tcPr>
          <w:p>
            <w:pPr>
              <w:pStyle w:val="BDOITable"/>
            </w:pPr>
            <w:r>
              <w:rPr>
                <w:sz w:val="16"/>
              </w:rPr>
              <w:t>Maintain the data object register</w:t>
            </w:r>
          </w:p>
        </w:tc>
        <w:tc>
          <w:tcPr>
            <w:tcW w:type="dxa" w:w="1653"/>
            <w:tcMar>
              <w:top w:w="50" w:type="dxa"/>
              <w:bottom w:w="50" w:type="dxa"/>
              <w:left w:w="90" w:type="dxa"/>
              <w:right w:w="90" w:type="dxa"/>
            </w:tcMar>
          </w:tcPr>
          <w:p>
            <w:pPr>
              <w:pStyle w:val="BDOITable"/>
            </w:pPr>
            <w:r>
              <w:rPr>
                <w:sz w:val="16"/>
              </w:rPr>
              <w:t>BRID 1.1a</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FR-DM-002</w:t>
            </w:r>
          </w:p>
        </w:tc>
        <w:tc>
          <w:tcPr>
            <w:tcW w:type="dxa" w:w="3307"/>
            <w:tcMar>
              <w:top w:w="50" w:type="dxa"/>
              <w:bottom w:w="50" w:type="dxa"/>
              <w:left w:w="90" w:type="dxa"/>
              <w:right w:w="90" w:type="dxa"/>
            </w:tcMar>
            <w:shd w:val="clear" w:color="auto" w:fill="E5F5FF"/>
          </w:tcPr>
          <w:p>
            <w:pPr>
              <w:pStyle w:val="BDOITable"/>
            </w:pPr>
            <w:r>
              <w:rPr>
                <w:sz w:val="16"/>
              </w:rPr>
              <w:t>Decide the migration class of a data object</w:t>
            </w:r>
          </w:p>
        </w:tc>
        <w:tc>
          <w:tcPr>
            <w:tcW w:type="dxa" w:w="1653"/>
            <w:tcMar>
              <w:top w:w="50" w:type="dxa"/>
              <w:bottom w:w="50" w:type="dxa"/>
              <w:left w:w="90" w:type="dxa"/>
              <w:right w:w="90" w:type="dxa"/>
            </w:tcMar>
            <w:shd w:val="clear" w:color="auto" w:fill="E5F5FF"/>
          </w:tcPr>
          <w:p>
            <w:pPr>
              <w:pStyle w:val="BDOITable"/>
            </w:pPr>
            <w:r>
              <w:rPr>
                <w:sz w:val="16"/>
              </w:rPr>
              <w:t>BRID 1.1a</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FR-DM-003</w:t>
            </w:r>
          </w:p>
        </w:tc>
        <w:tc>
          <w:tcPr>
            <w:tcW w:type="dxa" w:w="3307"/>
            <w:tcMar>
              <w:top w:w="50" w:type="dxa"/>
              <w:bottom w:w="50" w:type="dxa"/>
              <w:left w:w="90" w:type="dxa"/>
              <w:right w:w="90" w:type="dxa"/>
            </w:tcMar>
          </w:tcPr>
          <w:p>
            <w:pPr>
              <w:pStyle w:val="BDOITable"/>
            </w:pPr>
            <w:r>
              <w:rPr>
                <w:sz w:val="16"/>
              </w:rPr>
              <w:t>Sign off each object through gates</w:t>
            </w:r>
          </w:p>
        </w:tc>
        <w:tc>
          <w:tcPr>
            <w:tcW w:type="dxa" w:w="1653"/>
            <w:tcMar>
              <w:top w:w="50" w:type="dxa"/>
              <w:bottom w:w="50" w:type="dxa"/>
              <w:left w:w="90" w:type="dxa"/>
              <w:right w:w="90" w:type="dxa"/>
            </w:tcMar>
          </w:tcPr>
          <w:p>
            <w:pPr>
              <w:pStyle w:val="BDOITable"/>
            </w:pPr>
            <w:r>
              <w:rPr>
                <w:sz w:val="16"/>
              </w:rPr>
              <w:t>BRID 1.1a, BRID 1.1b</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FR-DM-010</w:t>
            </w:r>
          </w:p>
        </w:tc>
        <w:tc>
          <w:tcPr>
            <w:tcW w:type="dxa" w:w="3307"/>
            <w:tcMar>
              <w:top w:w="50" w:type="dxa"/>
              <w:bottom w:w="50" w:type="dxa"/>
              <w:left w:w="90" w:type="dxa"/>
              <w:right w:w="90" w:type="dxa"/>
            </w:tcMar>
            <w:shd w:val="clear" w:color="auto" w:fill="E5F5FF"/>
          </w:tcPr>
          <w:p>
            <w:pPr>
              <w:pStyle w:val="BDOITable"/>
            </w:pPr>
            <w:r>
              <w:rPr>
                <w:sz w:val="16"/>
              </w:rPr>
              <w:t>Receive a source extract with control totals</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FR-DM-011</w:t>
            </w:r>
          </w:p>
        </w:tc>
        <w:tc>
          <w:tcPr>
            <w:tcW w:type="dxa" w:w="3307"/>
            <w:tcMar>
              <w:top w:w="50" w:type="dxa"/>
              <w:bottom w:w="50" w:type="dxa"/>
              <w:left w:w="90" w:type="dxa"/>
              <w:right w:w="90" w:type="dxa"/>
            </w:tcMar>
          </w:tcPr>
          <w:p>
            <w:pPr>
              <w:pStyle w:val="BDOITable"/>
            </w:pPr>
            <w:r>
              <w:rPr>
                <w:sz w:val="16"/>
              </w:rPr>
              <w:t>Maintain and approve versioned code maps</w:t>
            </w:r>
          </w:p>
        </w:tc>
        <w:tc>
          <w:tcPr>
            <w:tcW w:type="dxa" w:w="1653"/>
            <w:tcMar>
              <w:top w:w="50" w:type="dxa"/>
              <w:bottom w:w="50" w:type="dxa"/>
              <w:left w:w="90" w:type="dxa"/>
              <w:right w:w="90" w:type="dxa"/>
            </w:tcMar>
          </w:tcPr>
          <w:p>
            <w:pPr>
              <w:pStyle w:val="BDOITable"/>
            </w:pPr>
            <w:r>
              <w:rPr>
                <w:sz w:val="16"/>
              </w:rPr>
              <w:t>BRID 3.1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FR-DM-012</w:t>
            </w:r>
          </w:p>
        </w:tc>
        <w:tc>
          <w:tcPr>
            <w:tcW w:type="dxa" w:w="3307"/>
            <w:tcMar>
              <w:top w:w="50" w:type="dxa"/>
              <w:bottom w:w="50" w:type="dxa"/>
              <w:left w:w="90" w:type="dxa"/>
              <w:right w:w="90" w:type="dxa"/>
            </w:tcMar>
            <w:shd w:val="clear" w:color="auto" w:fill="E5F5FF"/>
          </w:tcPr>
          <w:p>
            <w:pPr>
              <w:pStyle w:val="BDOITable"/>
            </w:pPr>
            <w:r>
              <w:rPr>
                <w:sz w:val="16"/>
              </w:rPr>
              <w:t>Report unmapped and invalid codes before load</w:t>
            </w:r>
          </w:p>
        </w:tc>
        <w:tc>
          <w:tcPr>
            <w:tcW w:type="dxa" w:w="1653"/>
            <w:tcMar>
              <w:top w:w="50" w:type="dxa"/>
              <w:bottom w:w="50" w:type="dxa"/>
              <w:left w:w="90" w:type="dxa"/>
              <w:right w:w="90" w:type="dxa"/>
            </w:tcMar>
            <w:shd w:val="clear" w:color="auto" w:fill="E5F5FF"/>
          </w:tcPr>
          <w:p>
            <w:pPr>
              <w:pStyle w:val="BDOITable"/>
            </w:pPr>
            <w:r>
              <w:rPr>
                <w:sz w:val="16"/>
              </w:rPr>
              <w:t>BRID 3.1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FR-DM-013</w:t>
            </w:r>
          </w:p>
        </w:tc>
        <w:tc>
          <w:tcPr>
            <w:tcW w:type="dxa" w:w="3307"/>
            <w:tcMar>
              <w:top w:w="50" w:type="dxa"/>
              <w:bottom w:w="50" w:type="dxa"/>
              <w:left w:w="90" w:type="dxa"/>
              <w:right w:w="90" w:type="dxa"/>
            </w:tcMar>
          </w:tcPr>
          <w:p>
            <w:pPr>
              <w:pStyle w:val="BDOITable"/>
            </w:pPr>
            <w:r>
              <w:rPr>
                <w:sz w:val="16"/>
              </w:rPr>
              <w:t>Validate staged data against data-quality rules</w:t>
            </w:r>
          </w:p>
        </w:tc>
        <w:tc>
          <w:tcPr>
            <w:tcW w:type="dxa" w:w="1653"/>
            <w:tcMar>
              <w:top w:w="50" w:type="dxa"/>
              <w:bottom w:w="50" w:type="dxa"/>
              <w:left w:w="90" w:type="dxa"/>
              <w:right w:w="90" w:type="dxa"/>
            </w:tcMar>
          </w:tcPr>
          <w:p>
            <w:pPr>
              <w:pStyle w:val="BDOITable"/>
            </w:pPr>
            <w:r>
              <w:rPr>
                <w:sz w:val="16"/>
              </w:rPr>
              <w:t>BRID 1.1b, BRID 2.1, BRID 3.1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FR-DM-014</w:t>
            </w:r>
          </w:p>
        </w:tc>
        <w:tc>
          <w:tcPr>
            <w:tcW w:type="dxa" w:w="3307"/>
            <w:tcMar>
              <w:top w:w="50" w:type="dxa"/>
              <w:bottom w:w="50" w:type="dxa"/>
              <w:left w:w="90" w:type="dxa"/>
              <w:right w:w="90" w:type="dxa"/>
            </w:tcMar>
            <w:shd w:val="clear" w:color="auto" w:fill="E5F5FF"/>
          </w:tcPr>
          <w:p>
            <w:pPr>
              <w:pStyle w:val="BDOITable"/>
            </w:pPr>
            <w:r>
              <w:rPr>
                <w:sz w:val="16"/>
              </w:rPr>
              <w:t>Load a batch through the BIBS services</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FR-DM-015</w:t>
            </w:r>
          </w:p>
        </w:tc>
        <w:tc>
          <w:tcPr>
            <w:tcW w:type="dxa" w:w="3307"/>
            <w:tcMar>
              <w:top w:w="50" w:type="dxa"/>
              <w:bottom w:w="50" w:type="dxa"/>
              <w:left w:w="90" w:type="dxa"/>
              <w:right w:w="90" w:type="dxa"/>
            </w:tcMar>
          </w:tcPr>
          <w:p>
            <w:pPr>
              <w:pStyle w:val="BDOITable"/>
            </w:pPr>
            <w:r>
              <w:rPr>
                <w:sz w:val="16"/>
              </w:rPr>
              <w:t>Rerun and roll back a batch</w:t>
            </w:r>
          </w:p>
        </w:tc>
        <w:tc>
          <w:tcPr>
            <w:tcW w:type="dxa" w:w="1653"/>
            <w:tcMar>
              <w:top w:w="50" w:type="dxa"/>
              <w:bottom w:w="50" w:type="dxa"/>
              <w:left w:w="90" w:type="dxa"/>
              <w:right w:w="90" w:type="dxa"/>
            </w:tcMar>
          </w:tcPr>
          <w:p>
            <w:pPr>
              <w:pStyle w:val="BDOITable"/>
            </w:pPr>
            <w:r>
              <w:rPr>
                <w:sz w:val="16"/>
              </w:rPr>
              <w:t>BRID 1.1b</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FR-DM-020</w:t>
            </w:r>
          </w:p>
        </w:tc>
        <w:tc>
          <w:tcPr>
            <w:tcW w:type="dxa" w:w="3307"/>
            <w:tcMar>
              <w:top w:w="50" w:type="dxa"/>
              <w:bottom w:w="50" w:type="dxa"/>
              <w:left w:w="90" w:type="dxa"/>
              <w:right w:w="90" w:type="dxa"/>
            </w:tcMar>
            <w:shd w:val="clear" w:color="auto" w:fill="E5F5FF"/>
          </w:tcPr>
          <w:p>
            <w:pPr>
              <w:pStyle w:val="BDOITable"/>
            </w:pPr>
            <w:r>
              <w:rPr>
                <w:sz w:val="16"/>
              </w:rPr>
              <w:t>Reconcile each data object from source to target</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FR-DM-021</w:t>
            </w:r>
          </w:p>
        </w:tc>
        <w:tc>
          <w:tcPr>
            <w:tcW w:type="dxa" w:w="3307"/>
            <w:tcMar>
              <w:top w:w="50" w:type="dxa"/>
              <w:bottom w:w="50" w:type="dxa"/>
              <w:left w:w="90" w:type="dxa"/>
              <w:right w:w="90" w:type="dxa"/>
            </w:tcMar>
          </w:tcPr>
          <w:p>
            <w:pPr>
              <w:pStyle w:val="BDOITable"/>
            </w:pPr>
            <w:r>
              <w:rPr>
                <w:sz w:val="16"/>
              </w:rPr>
              <w:t>Reconcile carried-forward balances to the GL</w:t>
            </w:r>
          </w:p>
        </w:tc>
        <w:tc>
          <w:tcPr>
            <w:tcW w:type="dxa" w:w="1653"/>
            <w:tcMar>
              <w:top w:w="50" w:type="dxa"/>
              <w:bottom w:w="50" w:type="dxa"/>
              <w:left w:w="90" w:type="dxa"/>
              <w:right w:w="90" w:type="dxa"/>
            </w:tcMar>
          </w:tcPr>
          <w:p>
            <w:pPr>
              <w:pStyle w:val="BDOITable"/>
            </w:pPr>
            <w:r>
              <w:rPr>
                <w:sz w:val="16"/>
              </w:rPr>
              <w:t>BRID 1.1b, BRID 5.1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FR-DM-030</w:t>
            </w:r>
          </w:p>
        </w:tc>
        <w:tc>
          <w:tcPr>
            <w:tcW w:type="dxa" w:w="3307"/>
            <w:tcMar>
              <w:top w:w="50" w:type="dxa"/>
              <w:bottom w:w="50" w:type="dxa"/>
              <w:left w:w="90" w:type="dxa"/>
              <w:right w:w="90" w:type="dxa"/>
            </w:tcMar>
            <w:shd w:val="clear" w:color="auto" w:fill="E5F5FF"/>
          </w:tcPr>
          <w:p>
            <w:pPr>
              <w:pStyle w:val="BDOITable"/>
            </w:pPr>
            <w:r>
              <w:rPr>
                <w:sz w:val="16"/>
              </w:rPr>
              <w:t>Load reference data through the code maps</w:t>
            </w:r>
          </w:p>
        </w:tc>
        <w:tc>
          <w:tcPr>
            <w:tcW w:type="dxa" w:w="1653"/>
            <w:tcMar>
              <w:top w:w="50" w:type="dxa"/>
              <w:bottom w:w="50" w:type="dxa"/>
              <w:left w:w="90" w:type="dxa"/>
              <w:right w:w="90" w:type="dxa"/>
            </w:tcMar>
            <w:shd w:val="clear" w:color="auto" w:fill="E5F5FF"/>
          </w:tcPr>
          <w:p>
            <w:pPr>
              <w:pStyle w:val="BDOITable"/>
            </w:pPr>
            <w:r>
              <w:rPr>
                <w:sz w:val="16"/>
              </w:rPr>
              <w:t>BRID 3.1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FR-DM-031</w:t>
            </w:r>
          </w:p>
        </w:tc>
        <w:tc>
          <w:tcPr>
            <w:tcW w:type="dxa" w:w="3307"/>
            <w:tcMar>
              <w:top w:w="50" w:type="dxa"/>
              <w:bottom w:w="50" w:type="dxa"/>
              <w:left w:w="90" w:type="dxa"/>
              <w:right w:w="90" w:type="dxa"/>
            </w:tcMar>
          </w:tcPr>
          <w:p>
            <w:pPr>
              <w:pStyle w:val="BDOITable"/>
            </w:pPr>
            <w:r>
              <w:rPr>
                <w:sz w:val="16"/>
              </w:rPr>
              <w:t>Match and deduplicate legacy clients</w:t>
            </w:r>
          </w:p>
        </w:tc>
        <w:tc>
          <w:tcPr>
            <w:tcW w:type="dxa" w:w="1653"/>
            <w:tcMar>
              <w:top w:w="50" w:type="dxa"/>
              <w:bottom w:w="50" w:type="dxa"/>
              <w:left w:w="90" w:type="dxa"/>
              <w:right w:w="90" w:type="dxa"/>
            </w:tcMar>
          </w:tcPr>
          <w:p>
            <w:pPr>
              <w:pStyle w:val="BDOITable"/>
            </w:pPr>
            <w:r>
              <w:rPr>
                <w:sz w:val="16"/>
              </w:rPr>
              <w:t>BRID 2.1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FR-DM-032</w:t>
            </w:r>
          </w:p>
        </w:tc>
        <w:tc>
          <w:tcPr>
            <w:tcW w:type="dxa" w:w="3307"/>
            <w:tcMar>
              <w:top w:w="50" w:type="dxa"/>
              <w:bottom w:w="50" w:type="dxa"/>
              <w:left w:w="90" w:type="dxa"/>
              <w:right w:w="90" w:type="dxa"/>
            </w:tcMar>
            <w:shd w:val="clear" w:color="auto" w:fill="E5F5FF"/>
          </w:tcPr>
          <w:p>
            <w:pPr>
              <w:pStyle w:val="BDOITable"/>
            </w:pPr>
            <w:r>
              <w:rPr>
                <w:sz w:val="16"/>
              </w:rPr>
              <w:t>Create migrated clients in the Client Master</w:t>
            </w:r>
          </w:p>
        </w:tc>
        <w:tc>
          <w:tcPr>
            <w:tcW w:type="dxa" w:w="1653"/>
            <w:tcMar>
              <w:top w:w="50" w:type="dxa"/>
              <w:bottom w:w="50" w:type="dxa"/>
              <w:left w:w="90" w:type="dxa"/>
              <w:right w:w="90" w:type="dxa"/>
            </w:tcMar>
            <w:shd w:val="clear" w:color="auto" w:fill="E5F5FF"/>
          </w:tcPr>
          <w:p>
            <w:pPr>
              <w:pStyle w:val="BDOITable"/>
            </w:pPr>
            <w:r>
              <w:rPr>
                <w:sz w:val="16"/>
              </w:rPr>
              <w:t>BRID 2.1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FR-DM-033</w:t>
            </w:r>
          </w:p>
        </w:tc>
        <w:tc>
          <w:tcPr>
            <w:tcW w:type="dxa" w:w="3307"/>
            <w:tcMar>
              <w:top w:w="50" w:type="dxa"/>
              <w:bottom w:w="50" w:type="dxa"/>
              <w:left w:w="90" w:type="dxa"/>
              <w:right w:w="90" w:type="dxa"/>
            </w:tcMar>
          </w:tcPr>
          <w:p>
            <w:pPr>
              <w:pStyle w:val="BDOITable"/>
            </w:pPr>
            <w:r>
              <w:rPr>
                <w:sz w:val="16"/>
              </w:rPr>
              <w:t>Find migrated clients and policies by legacy reference</w:t>
            </w:r>
          </w:p>
        </w:tc>
        <w:tc>
          <w:tcPr>
            <w:tcW w:type="dxa" w:w="1653"/>
            <w:tcMar>
              <w:top w:w="50" w:type="dxa"/>
              <w:bottom w:w="50" w:type="dxa"/>
              <w:left w:w="90" w:type="dxa"/>
              <w:right w:w="90" w:type="dxa"/>
            </w:tcMar>
          </w:tcPr>
          <w:p>
            <w:pPr>
              <w:pStyle w:val="BDOITable"/>
            </w:pPr>
            <w:r>
              <w:rPr>
                <w:sz w:val="16"/>
              </w:rPr>
              <w:t>BRID 2.1, BRID 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FR-DM-034</w:t>
            </w:r>
          </w:p>
        </w:tc>
        <w:tc>
          <w:tcPr>
            <w:tcW w:type="dxa" w:w="3307"/>
            <w:tcMar>
              <w:top w:w="50" w:type="dxa"/>
              <w:bottom w:w="50" w:type="dxa"/>
              <w:left w:w="90" w:type="dxa"/>
              <w:right w:w="90" w:type="dxa"/>
            </w:tcMar>
            <w:shd w:val="clear" w:color="auto" w:fill="E5F5FF"/>
          </w:tcPr>
          <w:p>
            <w:pPr>
              <w:pStyle w:val="BDOITable"/>
            </w:pPr>
            <w:r>
              <w:rPr>
                <w:sz w:val="16"/>
              </w:rPr>
              <w:t>Remap legacy packages to the BIBS package names</w:t>
            </w:r>
          </w:p>
        </w:tc>
        <w:tc>
          <w:tcPr>
            <w:tcW w:type="dxa" w:w="1653"/>
            <w:tcMar>
              <w:top w:w="50" w:type="dxa"/>
              <w:bottom w:w="50" w:type="dxa"/>
              <w:left w:w="90" w:type="dxa"/>
              <w:right w:w="90" w:type="dxa"/>
            </w:tcMar>
            <w:shd w:val="clear" w:color="auto" w:fill="E5F5FF"/>
          </w:tcPr>
          <w:p>
            <w:pPr>
              <w:pStyle w:val="BDOITable"/>
            </w:pPr>
            <w:r>
              <w:rPr>
                <w:sz w:val="16"/>
              </w:rPr>
              <w:t>BRID 3.1, BRID 12.1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FR-DM-040</w:t>
            </w:r>
          </w:p>
        </w:tc>
        <w:tc>
          <w:tcPr>
            <w:tcW w:type="dxa" w:w="3307"/>
            <w:tcMar>
              <w:top w:w="50" w:type="dxa"/>
              <w:bottom w:w="50" w:type="dxa"/>
              <w:left w:w="90" w:type="dxa"/>
              <w:right w:w="90" w:type="dxa"/>
            </w:tcMar>
          </w:tcPr>
          <w:p>
            <w:pPr>
              <w:pStyle w:val="BDOITable"/>
            </w:pPr>
            <w:r>
              <w:rPr>
                <w:sz w:val="16"/>
              </w:rPr>
              <w:t>Load in-force policy headers</w:t>
            </w:r>
          </w:p>
        </w:tc>
        <w:tc>
          <w:tcPr>
            <w:tcW w:type="dxa" w:w="1653"/>
            <w:tcMar>
              <w:top w:w="50" w:type="dxa"/>
              <w:bottom w:w="50" w:type="dxa"/>
              <w:left w:w="90" w:type="dxa"/>
              <w:right w:w="90" w:type="dxa"/>
            </w:tcMar>
          </w:tcPr>
          <w:p>
            <w:pPr>
              <w:pStyle w:val="BDOITable"/>
            </w:pPr>
            <w:r>
              <w:rPr>
                <w:sz w:val="16"/>
              </w:rPr>
              <w:t>BRID 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FR-DM-041</w:t>
            </w:r>
          </w:p>
        </w:tc>
        <w:tc>
          <w:tcPr>
            <w:tcW w:type="dxa" w:w="3307"/>
            <w:tcMar>
              <w:top w:w="50" w:type="dxa"/>
              <w:bottom w:w="50" w:type="dxa"/>
              <w:left w:w="90" w:type="dxa"/>
              <w:right w:w="90" w:type="dxa"/>
            </w:tcMar>
            <w:shd w:val="clear" w:color="auto" w:fill="E5F5FF"/>
          </w:tcPr>
          <w:p>
            <w:pPr>
              <w:pStyle w:val="BDOITable"/>
            </w:pPr>
            <w:r>
              <w:rPr>
                <w:sz w:val="16"/>
              </w:rPr>
              <w:t>Search migrated policies for servicing</w:t>
            </w:r>
          </w:p>
        </w:tc>
        <w:tc>
          <w:tcPr>
            <w:tcW w:type="dxa" w:w="1653"/>
            <w:tcMar>
              <w:top w:w="50" w:type="dxa"/>
              <w:bottom w:w="50" w:type="dxa"/>
              <w:left w:w="90" w:type="dxa"/>
              <w:right w:w="90" w:type="dxa"/>
            </w:tcMar>
            <w:shd w:val="clear" w:color="auto" w:fill="E5F5FF"/>
          </w:tcPr>
          <w:p>
            <w:pPr>
              <w:pStyle w:val="BDOITable"/>
            </w:pPr>
            <w:r>
              <w:rPr>
                <w:sz w:val="16"/>
              </w:rPr>
              <w:t>BRID 4.1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FR-DM-050</w:t>
            </w:r>
          </w:p>
        </w:tc>
        <w:tc>
          <w:tcPr>
            <w:tcW w:type="dxa" w:w="3307"/>
            <w:tcMar>
              <w:top w:w="50" w:type="dxa"/>
              <w:bottom w:w="50" w:type="dxa"/>
              <w:left w:w="90" w:type="dxa"/>
              <w:right w:w="90" w:type="dxa"/>
            </w:tcMar>
          </w:tcPr>
          <w:p>
            <w:pPr>
              <w:pStyle w:val="BDOITable"/>
            </w:pPr>
            <w:r>
              <w:rPr>
                <w:sz w:val="16"/>
              </w:rPr>
              <w:t>Carry forward legacy invoices with their open balances</w:t>
            </w:r>
          </w:p>
        </w:tc>
        <w:tc>
          <w:tcPr>
            <w:tcW w:type="dxa" w:w="1653"/>
            <w:tcMar>
              <w:top w:w="50" w:type="dxa"/>
              <w:bottom w:w="50" w:type="dxa"/>
              <w:left w:w="90" w:type="dxa"/>
              <w:right w:w="90" w:type="dxa"/>
            </w:tcMar>
          </w:tcPr>
          <w:p>
            <w:pPr>
              <w:pStyle w:val="BDOITable"/>
            </w:pPr>
            <w:r>
              <w:rPr>
                <w:sz w:val="16"/>
              </w:rPr>
              <w:t>BRID 5.2, BRID 6.1, BRID 8.1, BRID 10.1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FR-DM-051</w:t>
            </w:r>
          </w:p>
        </w:tc>
        <w:tc>
          <w:tcPr>
            <w:tcW w:type="dxa" w:w="3307"/>
            <w:tcMar>
              <w:top w:w="50" w:type="dxa"/>
              <w:bottom w:w="50" w:type="dxa"/>
              <w:left w:w="90" w:type="dxa"/>
              <w:right w:w="90" w:type="dxa"/>
            </w:tcMar>
            <w:shd w:val="clear" w:color="auto" w:fill="E5F5FF"/>
          </w:tcPr>
          <w:p>
            <w:pPr>
              <w:pStyle w:val="BDOITable"/>
            </w:pPr>
            <w:r>
              <w:rPr>
                <w:sz w:val="16"/>
              </w:rPr>
              <w:t>Carry forward legacy UPP</w:t>
            </w:r>
          </w:p>
        </w:tc>
        <w:tc>
          <w:tcPr>
            <w:tcW w:type="dxa" w:w="1653"/>
            <w:tcMar>
              <w:top w:w="50" w:type="dxa"/>
              <w:bottom w:w="50" w:type="dxa"/>
              <w:left w:w="90" w:type="dxa"/>
              <w:right w:w="90" w:type="dxa"/>
            </w:tcMar>
            <w:shd w:val="clear" w:color="auto" w:fill="E5F5FF"/>
          </w:tcPr>
          <w:p>
            <w:pPr>
              <w:pStyle w:val="BDOITable"/>
            </w:pPr>
            <w:r>
              <w:rPr>
                <w:sz w:val="16"/>
              </w:rPr>
              <w:t>BRID 5.1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FR-DM-052</w:t>
            </w:r>
          </w:p>
        </w:tc>
        <w:tc>
          <w:tcPr>
            <w:tcW w:type="dxa" w:w="3307"/>
            <w:tcMar>
              <w:top w:w="50" w:type="dxa"/>
              <w:bottom w:w="50" w:type="dxa"/>
              <w:left w:w="90" w:type="dxa"/>
              <w:right w:w="90" w:type="dxa"/>
            </w:tcMar>
          </w:tcPr>
          <w:p>
            <w:pPr>
              <w:pStyle w:val="BDOITable"/>
            </w:pPr>
            <w:r>
              <w:rPr>
                <w:sz w:val="16"/>
              </w:rPr>
              <w:t>Automatch rerun of UPP across legacy and new invoices</w:t>
            </w:r>
          </w:p>
        </w:tc>
        <w:tc>
          <w:tcPr>
            <w:tcW w:type="dxa" w:w="1653"/>
            <w:tcMar>
              <w:top w:w="50" w:type="dxa"/>
              <w:bottom w:w="50" w:type="dxa"/>
              <w:left w:w="90" w:type="dxa"/>
              <w:right w:w="90" w:type="dxa"/>
            </w:tcMar>
          </w:tcPr>
          <w:p>
            <w:pPr>
              <w:pStyle w:val="BDOITable"/>
            </w:pPr>
            <w:r>
              <w:rPr>
                <w:sz w:val="16"/>
              </w:rPr>
              <w:t>BRID 5.2, BRID 6.3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FR-DM-053</w:t>
            </w:r>
          </w:p>
        </w:tc>
        <w:tc>
          <w:tcPr>
            <w:tcW w:type="dxa" w:w="3307"/>
            <w:tcMar>
              <w:top w:w="50" w:type="dxa"/>
              <w:bottom w:w="50" w:type="dxa"/>
              <w:left w:w="90" w:type="dxa"/>
              <w:right w:w="90" w:type="dxa"/>
            </w:tcMar>
            <w:shd w:val="clear" w:color="auto" w:fill="E5F5FF"/>
          </w:tcPr>
          <w:p>
            <w:pPr>
              <w:pStyle w:val="BDOITable"/>
            </w:pPr>
            <w:r>
              <w:rPr>
                <w:sz w:val="16"/>
              </w:rPr>
              <w:t>Apply legacy UPP to another invoice</w:t>
            </w:r>
          </w:p>
        </w:tc>
        <w:tc>
          <w:tcPr>
            <w:tcW w:type="dxa" w:w="1653"/>
            <w:tcMar>
              <w:top w:w="50" w:type="dxa"/>
              <w:bottom w:w="50" w:type="dxa"/>
              <w:left w:w="90" w:type="dxa"/>
              <w:right w:w="90" w:type="dxa"/>
            </w:tcMar>
            <w:shd w:val="clear" w:color="auto" w:fill="E5F5FF"/>
          </w:tcPr>
          <w:p>
            <w:pPr>
              <w:pStyle w:val="BDOITable"/>
            </w:pPr>
            <w:r>
              <w:rPr>
                <w:sz w:val="16"/>
              </w:rPr>
              <w:t>BRID 5.3, BRID 6.4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FR-DM-054</w:t>
            </w:r>
          </w:p>
        </w:tc>
        <w:tc>
          <w:tcPr>
            <w:tcW w:type="dxa" w:w="3307"/>
            <w:tcMar>
              <w:top w:w="50" w:type="dxa"/>
              <w:bottom w:w="50" w:type="dxa"/>
              <w:left w:w="90" w:type="dxa"/>
              <w:right w:w="90" w:type="dxa"/>
            </w:tcMar>
          </w:tcPr>
          <w:p>
            <w:pPr>
              <w:pStyle w:val="BDOITable"/>
            </w:pPr>
            <w:r>
              <w:rPr>
                <w:sz w:val="16"/>
              </w:rPr>
              <w:t>Refund legacy UPP</w:t>
            </w:r>
          </w:p>
        </w:tc>
        <w:tc>
          <w:tcPr>
            <w:tcW w:type="dxa" w:w="1653"/>
            <w:tcMar>
              <w:top w:w="50" w:type="dxa"/>
              <w:bottom w:w="50" w:type="dxa"/>
              <w:left w:w="90" w:type="dxa"/>
              <w:right w:w="90" w:type="dxa"/>
            </w:tcMar>
          </w:tcPr>
          <w:p>
            <w:pPr>
              <w:pStyle w:val="BDOITable"/>
            </w:pPr>
            <w:r>
              <w:rPr>
                <w:sz w:val="16"/>
              </w:rPr>
              <w:t>BRID 5.4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FR-DM-055</w:t>
            </w:r>
          </w:p>
        </w:tc>
        <w:tc>
          <w:tcPr>
            <w:tcW w:type="dxa" w:w="3307"/>
            <w:tcMar>
              <w:top w:w="50" w:type="dxa"/>
              <w:bottom w:w="50" w:type="dxa"/>
              <w:left w:w="90" w:type="dxa"/>
              <w:right w:w="90" w:type="dxa"/>
            </w:tcMar>
            <w:shd w:val="clear" w:color="auto" w:fill="E5F5FF"/>
          </w:tcPr>
          <w:p>
            <w:pPr>
              <w:pStyle w:val="BDOITable"/>
            </w:pPr>
            <w:r>
              <w:rPr>
                <w:sz w:val="16"/>
              </w:rPr>
              <w:t>Reclassify UPP to other income with top-management approval</w:t>
            </w:r>
          </w:p>
        </w:tc>
        <w:tc>
          <w:tcPr>
            <w:tcW w:type="dxa" w:w="1653"/>
            <w:tcMar>
              <w:top w:w="50" w:type="dxa"/>
              <w:bottom w:w="50" w:type="dxa"/>
              <w:left w:w="90" w:type="dxa"/>
              <w:right w:w="90" w:type="dxa"/>
            </w:tcMar>
            <w:shd w:val="clear" w:color="auto" w:fill="E5F5FF"/>
          </w:tcPr>
          <w:p>
            <w:pPr>
              <w:pStyle w:val="BDOITable"/>
            </w:pPr>
            <w:r>
              <w:rPr>
                <w:sz w:val="16"/>
              </w:rPr>
              <w:t>BRID 5.5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FR-DM-060</w:t>
            </w:r>
          </w:p>
        </w:tc>
        <w:tc>
          <w:tcPr>
            <w:tcW w:type="dxa" w:w="3307"/>
            <w:tcMar>
              <w:top w:w="50" w:type="dxa"/>
              <w:bottom w:w="50" w:type="dxa"/>
              <w:left w:w="90" w:type="dxa"/>
              <w:right w:w="90" w:type="dxa"/>
            </w:tcMar>
          </w:tcPr>
          <w:p>
            <w:pPr>
              <w:pStyle w:val="BDOITable"/>
            </w:pPr>
            <w:r>
              <w:rPr>
                <w:sz w:val="16"/>
              </w:rPr>
              <w:t>Apply an OTC payment to a legacy invoice</w:t>
            </w:r>
          </w:p>
        </w:tc>
        <w:tc>
          <w:tcPr>
            <w:tcW w:type="dxa" w:w="1653"/>
            <w:tcMar>
              <w:top w:w="50" w:type="dxa"/>
              <w:bottom w:w="50" w:type="dxa"/>
              <w:left w:w="90" w:type="dxa"/>
              <w:right w:w="90" w:type="dxa"/>
            </w:tcMar>
          </w:tcPr>
          <w:p>
            <w:pPr>
              <w:pStyle w:val="BDOITable"/>
            </w:pPr>
            <w:r>
              <w:rPr>
                <w:sz w:val="16"/>
              </w:rPr>
              <w:t>BRID 6.1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FR-DM-061</w:t>
            </w:r>
          </w:p>
        </w:tc>
        <w:tc>
          <w:tcPr>
            <w:tcW w:type="dxa" w:w="3307"/>
            <w:tcMar>
              <w:top w:w="50" w:type="dxa"/>
              <w:bottom w:w="50" w:type="dxa"/>
              <w:left w:w="90" w:type="dxa"/>
              <w:right w:w="90" w:type="dxa"/>
            </w:tcMar>
            <w:shd w:val="clear" w:color="auto" w:fill="E5F5FF"/>
          </w:tcPr>
          <w:p>
            <w:pPr>
              <w:pStyle w:val="BDOITable"/>
            </w:pPr>
            <w:r>
              <w:rPr>
                <w:sz w:val="16"/>
              </w:rPr>
              <w:t>Match autopay payments to legacy invoices</w:t>
            </w:r>
          </w:p>
        </w:tc>
        <w:tc>
          <w:tcPr>
            <w:tcW w:type="dxa" w:w="1653"/>
            <w:tcMar>
              <w:top w:w="50" w:type="dxa"/>
              <w:bottom w:w="50" w:type="dxa"/>
              <w:left w:w="90" w:type="dxa"/>
              <w:right w:w="90" w:type="dxa"/>
            </w:tcMar>
            <w:shd w:val="clear" w:color="auto" w:fill="E5F5FF"/>
          </w:tcPr>
          <w:p>
            <w:pPr>
              <w:pStyle w:val="BDOITable"/>
            </w:pPr>
            <w:r>
              <w:rPr>
                <w:sz w:val="16"/>
              </w:rPr>
              <w:t>BRID 6.2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FR-DM-070</w:t>
            </w:r>
          </w:p>
        </w:tc>
        <w:tc>
          <w:tcPr>
            <w:tcW w:type="dxa" w:w="3307"/>
            <w:tcMar>
              <w:top w:w="50" w:type="dxa"/>
              <w:bottom w:w="50" w:type="dxa"/>
              <w:left w:w="90" w:type="dxa"/>
              <w:right w:w="90" w:type="dxa"/>
            </w:tcMar>
          </w:tcPr>
          <w:p>
            <w:pPr>
              <w:pStyle w:val="BDOITable"/>
            </w:pPr>
            <w:r>
              <w:rPr>
                <w:sz w:val="16"/>
              </w:rPr>
              <w:t>Reverse DPPR legacy invoices in batch</w:t>
            </w:r>
          </w:p>
        </w:tc>
        <w:tc>
          <w:tcPr>
            <w:tcW w:type="dxa" w:w="1653"/>
            <w:tcMar>
              <w:top w:w="50" w:type="dxa"/>
              <w:bottom w:w="50" w:type="dxa"/>
              <w:left w:w="90" w:type="dxa"/>
              <w:right w:w="90" w:type="dxa"/>
            </w:tcMar>
          </w:tcPr>
          <w:p>
            <w:pPr>
              <w:pStyle w:val="BDOITable"/>
            </w:pPr>
            <w:r>
              <w:rPr>
                <w:sz w:val="16"/>
              </w:rPr>
              <w:t>BRID 7.1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FR-DM-071</w:t>
            </w:r>
          </w:p>
        </w:tc>
        <w:tc>
          <w:tcPr>
            <w:tcW w:type="dxa" w:w="3307"/>
            <w:tcMar>
              <w:top w:w="50" w:type="dxa"/>
              <w:bottom w:w="50" w:type="dxa"/>
              <w:left w:w="90" w:type="dxa"/>
              <w:right w:w="90" w:type="dxa"/>
            </w:tcMar>
            <w:shd w:val="clear" w:color="auto" w:fill="E5F5FF"/>
          </w:tcPr>
          <w:p>
            <w:pPr>
              <w:pStyle w:val="BDOITable"/>
            </w:pPr>
            <w:r>
              <w:rPr>
                <w:sz w:val="16"/>
              </w:rPr>
              <w:t>Reverse PR2307 legacy invoices in batch</w:t>
            </w:r>
          </w:p>
        </w:tc>
        <w:tc>
          <w:tcPr>
            <w:tcW w:type="dxa" w:w="1653"/>
            <w:tcMar>
              <w:top w:w="50" w:type="dxa"/>
              <w:bottom w:w="50" w:type="dxa"/>
              <w:left w:w="90" w:type="dxa"/>
              <w:right w:w="90" w:type="dxa"/>
            </w:tcMar>
            <w:shd w:val="clear" w:color="auto" w:fill="E5F5FF"/>
          </w:tcPr>
          <w:p>
            <w:pPr>
              <w:pStyle w:val="BDOITable"/>
            </w:pPr>
            <w:r>
              <w:rPr>
                <w:sz w:val="16"/>
              </w:rPr>
              <w:t>BRID 7.2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FR-DM-080</w:t>
            </w:r>
          </w:p>
        </w:tc>
        <w:tc>
          <w:tcPr>
            <w:tcW w:type="dxa" w:w="3307"/>
            <w:tcMar>
              <w:top w:w="50" w:type="dxa"/>
              <w:bottom w:w="50" w:type="dxa"/>
              <w:left w:w="90" w:type="dxa"/>
              <w:right w:w="90" w:type="dxa"/>
            </w:tcMar>
          </w:tcPr>
          <w:p>
            <w:pPr>
              <w:pStyle w:val="BDOITable"/>
            </w:pPr>
            <w:r>
              <w:rPr>
                <w:sz w:val="16"/>
              </w:rPr>
              <w:t>Include legacy invoices in remittance extracts</w:t>
            </w:r>
          </w:p>
        </w:tc>
        <w:tc>
          <w:tcPr>
            <w:tcW w:type="dxa" w:w="1653"/>
            <w:tcMar>
              <w:top w:w="50" w:type="dxa"/>
              <w:bottom w:w="50" w:type="dxa"/>
              <w:left w:w="90" w:type="dxa"/>
              <w:right w:w="90" w:type="dxa"/>
            </w:tcMar>
          </w:tcPr>
          <w:p>
            <w:pPr>
              <w:pStyle w:val="BDOITable"/>
            </w:pPr>
            <w:r>
              <w:rPr>
                <w:sz w:val="16"/>
              </w:rPr>
              <w:t>BRID 8.1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FR-DM-090</w:t>
            </w:r>
          </w:p>
        </w:tc>
        <w:tc>
          <w:tcPr>
            <w:tcW w:type="dxa" w:w="3307"/>
            <w:tcMar>
              <w:top w:w="50" w:type="dxa"/>
              <w:bottom w:w="50" w:type="dxa"/>
              <w:left w:w="90" w:type="dxa"/>
              <w:right w:w="90" w:type="dxa"/>
            </w:tcMar>
            <w:shd w:val="clear" w:color="auto" w:fill="E5F5FF"/>
          </w:tcPr>
          <w:p>
            <w:pPr>
              <w:pStyle w:val="BDOITable"/>
            </w:pPr>
            <w:r>
              <w:rPr>
                <w:sz w:val="16"/>
              </w:rPr>
              <w:t>Process a positive endorsement on a legacy invoice</w:t>
            </w:r>
          </w:p>
        </w:tc>
        <w:tc>
          <w:tcPr>
            <w:tcW w:type="dxa" w:w="1653"/>
            <w:tcMar>
              <w:top w:w="50" w:type="dxa"/>
              <w:bottom w:w="50" w:type="dxa"/>
              <w:left w:w="90" w:type="dxa"/>
              <w:right w:w="90" w:type="dxa"/>
            </w:tcMar>
            <w:shd w:val="clear" w:color="auto" w:fill="E5F5FF"/>
          </w:tcPr>
          <w:p>
            <w:pPr>
              <w:pStyle w:val="BDOITable"/>
            </w:pPr>
            <w:r>
              <w:rPr>
                <w:sz w:val="16"/>
              </w:rPr>
              <w:t>BRID 9.1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FR-DM-091</w:t>
            </w:r>
          </w:p>
        </w:tc>
        <w:tc>
          <w:tcPr>
            <w:tcW w:type="dxa" w:w="3307"/>
            <w:tcMar>
              <w:top w:w="50" w:type="dxa"/>
              <w:bottom w:w="50" w:type="dxa"/>
              <w:left w:w="90" w:type="dxa"/>
              <w:right w:w="90" w:type="dxa"/>
            </w:tcMar>
          </w:tcPr>
          <w:p>
            <w:pPr>
              <w:pStyle w:val="BDOITable"/>
            </w:pPr>
            <w:r>
              <w:rPr>
                <w:sz w:val="16"/>
              </w:rPr>
              <w:t>Process a negative endorsement on a legacy invoice</w:t>
            </w:r>
          </w:p>
        </w:tc>
        <w:tc>
          <w:tcPr>
            <w:tcW w:type="dxa" w:w="1653"/>
            <w:tcMar>
              <w:top w:w="50" w:type="dxa"/>
              <w:bottom w:w="50" w:type="dxa"/>
              <w:left w:w="90" w:type="dxa"/>
              <w:right w:w="90" w:type="dxa"/>
            </w:tcMar>
          </w:tcPr>
          <w:p>
            <w:pPr>
              <w:pStyle w:val="BDOITable"/>
            </w:pPr>
            <w:r>
              <w:rPr>
                <w:sz w:val="16"/>
              </w:rPr>
              <w:t>BRID 9.2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FR-DM-092</w:t>
            </w:r>
          </w:p>
        </w:tc>
        <w:tc>
          <w:tcPr>
            <w:tcW w:type="dxa" w:w="3307"/>
            <w:tcMar>
              <w:top w:w="50" w:type="dxa"/>
              <w:bottom w:w="50" w:type="dxa"/>
              <w:left w:w="90" w:type="dxa"/>
              <w:right w:w="90" w:type="dxa"/>
            </w:tcMar>
            <w:shd w:val="clear" w:color="auto" w:fill="E5F5FF"/>
          </w:tcPr>
          <w:p>
            <w:pPr>
              <w:pStyle w:val="BDOITable"/>
            </w:pPr>
            <w:r>
              <w:rPr>
                <w:sz w:val="16"/>
              </w:rPr>
              <w:t>Process a non-financial endorsement on a legacy policy</w:t>
            </w:r>
          </w:p>
        </w:tc>
        <w:tc>
          <w:tcPr>
            <w:tcW w:type="dxa" w:w="1653"/>
            <w:tcMar>
              <w:top w:w="50" w:type="dxa"/>
              <w:bottom w:w="50" w:type="dxa"/>
              <w:left w:w="90" w:type="dxa"/>
              <w:right w:w="90" w:type="dxa"/>
            </w:tcMar>
            <w:shd w:val="clear" w:color="auto" w:fill="E5F5FF"/>
          </w:tcPr>
          <w:p>
            <w:pPr>
              <w:pStyle w:val="BDOITable"/>
            </w:pPr>
            <w:r>
              <w:rPr>
                <w:sz w:val="16"/>
              </w:rPr>
              <w:t>BRID 9.3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FR-DM-100</w:t>
            </w:r>
          </w:p>
        </w:tc>
        <w:tc>
          <w:tcPr>
            <w:tcW w:type="dxa" w:w="3307"/>
            <w:tcMar>
              <w:top w:w="50" w:type="dxa"/>
              <w:bottom w:w="50" w:type="dxa"/>
              <w:left w:w="90" w:type="dxa"/>
              <w:right w:w="90" w:type="dxa"/>
            </w:tcMar>
          </w:tcPr>
          <w:p>
            <w:pPr>
              <w:pStyle w:val="BDOITable"/>
            </w:pPr>
            <w:r>
              <w:rPr>
                <w:sz w:val="16"/>
              </w:rPr>
              <w:t>Report changes made to legacy invoices</w:t>
            </w:r>
          </w:p>
        </w:tc>
        <w:tc>
          <w:tcPr>
            <w:tcW w:type="dxa" w:w="1653"/>
            <w:tcMar>
              <w:top w:w="50" w:type="dxa"/>
              <w:bottom w:w="50" w:type="dxa"/>
              <w:left w:w="90" w:type="dxa"/>
              <w:right w:w="90" w:type="dxa"/>
            </w:tcMar>
          </w:tcPr>
          <w:p>
            <w:pPr>
              <w:pStyle w:val="BDOITable"/>
            </w:pPr>
            <w:r>
              <w:rPr>
                <w:sz w:val="16"/>
              </w:rPr>
              <w:t>BRID 10.1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FR-DM-110</w:t>
            </w:r>
          </w:p>
        </w:tc>
        <w:tc>
          <w:tcPr>
            <w:tcW w:type="dxa" w:w="3307"/>
            <w:tcMar>
              <w:top w:w="50" w:type="dxa"/>
              <w:bottom w:w="50" w:type="dxa"/>
              <w:left w:w="90" w:type="dxa"/>
              <w:right w:w="90" w:type="dxa"/>
            </w:tcMar>
            <w:shd w:val="clear" w:color="auto" w:fill="E5F5FF"/>
          </w:tcPr>
          <w:p>
            <w:pPr>
              <w:pStyle w:val="BDOITable"/>
            </w:pPr>
            <w:r>
              <w:rPr>
                <w:sz w:val="16"/>
              </w:rPr>
              <w:t>Search the legacy archive</w:t>
            </w:r>
          </w:p>
        </w:tc>
        <w:tc>
          <w:tcPr>
            <w:tcW w:type="dxa" w:w="1653"/>
            <w:tcMar>
              <w:top w:w="50" w:type="dxa"/>
              <w:bottom w:w="50" w:type="dxa"/>
              <w:left w:w="90" w:type="dxa"/>
              <w:right w:w="90" w:type="dxa"/>
            </w:tcMar>
            <w:shd w:val="clear" w:color="auto" w:fill="E5F5FF"/>
          </w:tcPr>
          <w:p>
            <w:pPr>
              <w:pStyle w:val="BDOITable"/>
            </w:pPr>
            <w:r>
              <w:rPr>
                <w:sz w:val="16"/>
              </w:rPr>
              <w:t>BRID 11.1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FR-DM-111</w:t>
            </w:r>
          </w:p>
        </w:tc>
        <w:tc>
          <w:tcPr>
            <w:tcW w:type="dxa" w:w="3307"/>
            <w:tcMar>
              <w:top w:w="50" w:type="dxa"/>
              <w:bottom w:w="50" w:type="dxa"/>
              <w:left w:w="90" w:type="dxa"/>
              <w:right w:w="90" w:type="dxa"/>
            </w:tcMar>
          </w:tcPr>
          <w:p>
            <w:pPr>
              <w:pStyle w:val="BDOITable"/>
            </w:pPr>
            <w:r>
              <w:rPr>
                <w:sz w:val="16"/>
              </w:rPr>
              <w:t>Log and review access to legacy history</w:t>
            </w:r>
          </w:p>
        </w:tc>
        <w:tc>
          <w:tcPr>
            <w:tcW w:type="dxa" w:w="1653"/>
            <w:tcMar>
              <w:top w:w="50" w:type="dxa"/>
              <w:bottom w:w="50" w:type="dxa"/>
              <w:left w:w="90" w:type="dxa"/>
              <w:right w:w="90" w:type="dxa"/>
            </w:tcMar>
          </w:tcPr>
          <w:p>
            <w:pPr>
              <w:pStyle w:val="BDOITable"/>
            </w:pPr>
            <w:r>
              <w:rPr>
                <w:sz w:val="16"/>
              </w:rPr>
              <w:t>BRID 11.1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FR-DM-120</w:t>
            </w:r>
          </w:p>
        </w:tc>
        <w:tc>
          <w:tcPr>
            <w:tcW w:type="dxa" w:w="3307"/>
            <w:tcMar>
              <w:top w:w="50" w:type="dxa"/>
              <w:bottom w:w="50" w:type="dxa"/>
              <w:left w:w="90" w:type="dxa"/>
              <w:right w:w="90" w:type="dxa"/>
            </w:tcMar>
            <w:shd w:val="clear" w:color="auto" w:fill="E5F5FF"/>
          </w:tcPr>
          <w:p>
            <w:pPr>
              <w:pStyle w:val="BDOITable"/>
            </w:pPr>
            <w:r>
              <w:rPr>
                <w:sz w:val="16"/>
              </w:rPr>
              <w:t>Plan the cutover and run rehearsals</w:t>
            </w:r>
          </w:p>
        </w:tc>
        <w:tc>
          <w:tcPr>
            <w:tcW w:type="dxa" w:w="1653"/>
            <w:tcMar>
              <w:top w:w="50" w:type="dxa"/>
              <w:bottom w:w="50" w:type="dxa"/>
              <w:left w:w="90" w:type="dxa"/>
              <w:right w:w="90" w:type="dxa"/>
            </w:tcMar>
            <w:shd w:val="clear" w:color="auto" w:fill="E5F5FF"/>
          </w:tcPr>
          <w:p>
            <w:pPr>
              <w:pStyle w:val="BDOITable"/>
            </w:pPr>
            <w:r>
              <w:rPr>
                <w:sz w:val="16"/>
              </w:rPr>
              <w:t>BRID 12.1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FR-DM-121</w:t>
            </w:r>
          </w:p>
        </w:tc>
        <w:tc>
          <w:tcPr>
            <w:tcW w:type="dxa" w:w="3307"/>
            <w:tcMar>
              <w:top w:w="50" w:type="dxa"/>
              <w:bottom w:w="50" w:type="dxa"/>
              <w:left w:w="90" w:type="dxa"/>
              <w:right w:w="90" w:type="dxa"/>
            </w:tcMar>
          </w:tcPr>
          <w:p>
            <w:pPr>
              <w:pStyle w:val="BDOITable"/>
            </w:pPr>
            <w:r>
              <w:rPr>
                <w:sz w:val="16"/>
              </w:rPr>
              <w:t>Decide go / no-go on measured criteria</w:t>
            </w:r>
          </w:p>
        </w:tc>
        <w:tc>
          <w:tcPr>
            <w:tcW w:type="dxa" w:w="1653"/>
            <w:tcMar>
              <w:top w:w="50" w:type="dxa"/>
              <w:bottom w:w="50" w:type="dxa"/>
              <w:left w:w="90" w:type="dxa"/>
              <w:right w:w="90" w:type="dxa"/>
            </w:tcMar>
          </w:tcPr>
          <w:p>
            <w:pPr>
              <w:pStyle w:val="BDOITable"/>
            </w:pPr>
            <w:r>
              <w:rPr>
                <w:sz w:val="16"/>
              </w:rPr>
              <w:t>BRID 12.1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FR-DM-122</w:t>
            </w:r>
          </w:p>
        </w:tc>
        <w:tc>
          <w:tcPr>
            <w:tcW w:type="dxa" w:w="3307"/>
            <w:tcMar>
              <w:top w:w="50" w:type="dxa"/>
              <w:bottom w:w="50" w:type="dxa"/>
              <w:left w:w="90" w:type="dxa"/>
              <w:right w:w="90" w:type="dxa"/>
            </w:tcMar>
            <w:shd w:val="clear" w:color="auto" w:fill="E5F5FF"/>
          </w:tcPr>
          <w:p>
            <w:pPr>
              <w:pStyle w:val="BDOITable"/>
            </w:pPr>
            <w:r>
              <w:rPr>
                <w:sz w:val="16"/>
              </w:rPr>
              <w:t>Transition renewals by RMEL cohort and track the run-off</w:t>
            </w:r>
          </w:p>
        </w:tc>
        <w:tc>
          <w:tcPr>
            <w:tcW w:type="dxa" w:w="1653"/>
            <w:tcMar>
              <w:top w:w="50" w:type="dxa"/>
              <w:bottom w:w="50" w:type="dxa"/>
              <w:left w:w="90" w:type="dxa"/>
              <w:right w:w="90" w:type="dxa"/>
            </w:tcMar>
            <w:shd w:val="clear" w:color="auto" w:fill="E5F5FF"/>
          </w:tcPr>
          <w:p>
            <w:pPr>
              <w:pStyle w:val="BDOITable"/>
            </w:pPr>
            <w:r>
              <w:rPr>
                <w:sz w:val="16"/>
              </w:rPr>
              <w:t>BRID 12.1, BRID 4.1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FR-DM-123</w:t>
            </w:r>
          </w:p>
        </w:tc>
        <w:tc>
          <w:tcPr>
            <w:tcW w:type="dxa" w:w="3307"/>
            <w:tcMar>
              <w:top w:w="50" w:type="dxa"/>
              <w:bottom w:w="50" w:type="dxa"/>
              <w:left w:w="90" w:type="dxa"/>
              <w:right w:w="90" w:type="dxa"/>
            </w:tcMar>
          </w:tcPr>
          <w:p>
            <w:pPr>
              <w:pStyle w:val="BDOITable"/>
            </w:pPr>
            <w:r>
              <w:rPr>
                <w:sz w:val="16"/>
              </w:rPr>
              <w:t>Decommission legacy systems on agreed criteria</w:t>
            </w:r>
          </w:p>
        </w:tc>
        <w:tc>
          <w:tcPr>
            <w:tcW w:type="dxa" w:w="1653"/>
            <w:tcMar>
              <w:top w:w="50" w:type="dxa"/>
              <w:bottom w:w="50" w:type="dxa"/>
              <w:left w:w="90" w:type="dxa"/>
              <w:right w:w="90" w:type="dxa"/>
            </w:tcMar>
          </w:tcPr>
          <w:p>
            <w:pPr>
              <w:pStyle w:val="BDOITable"/>
            </w:pPr>
            <w:r>
              <w:rPr>
                <w:sz w:val="16"/>
              </w:rPr>
              <w:t>BRID 12.1, BRID 11.1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FR-DM-124</w:t>
            </w:r>
          </w:p>
        </w:tc>
        <w:tc>
          <w:tcPr>
            <w:tcW w:type="dxa" w:w="3307"/>
            <w:tcMar>
              <w:top w:w="50" w:type="dxa"/>
              <w:bottom w:w="50" w:type="dxa"/>
              <w:left w:w="90" w:type="dxa"/>
              <w:right w:w="90" w:type="dxa"/>
            </w:tcMar>
            <w:shd w:val="clear" w:color="auto" w:fill="E5F5FF"/>
          </w:tcPr>
          <w:p>
            <w:pPr>
              <w:pStyle w:val="BDOITable"/>
            </w:pPr>
            <w:r>
              <w:rPr>
                <w:sz w:val="16"/>
              </w:rPr>
              <w:t>Carry the renewals of the January to May 2028 expiries into BIBS</w:t>
            </w:r>
          </w:p>
        </w:tc>
        <w:tc>
          <w:tcPr>
            <w:tcW w:type="dxa" w:w="1653"/>
            <w:tcMar>
              <w:top w:w="50" w:type="dxa"/>
              <w:bottom w:w="50" w:type="dxa"/>
              <w:left w:w="90" w:type="dxa"/>
              <w:right w:w="90" w:type="dxa"/>
            </w:tcMar>
            <w:shd w:val="clear" w:color="auto" w:fill="E5F5FF"/>
          </w:tcPr>
          <w:p>
            <w:pPr>
              <w:pStyle w:val="BDOITable"/>
            </w:pPr>
            <w:r>
              <w:rPr>
                <w:sz w:val="16"/>
              </w:rPr>
              <w:t>BRID 12.1, BRID 4.1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bl>
    <w:p>
      <w:pPr>
        <w:pStyle w:val="BDOISpacer"/>
      </w:pPr>
    </w:p>
    <w:p>
      <w:pPr>
        <w:pStyle w:val="Heading2"/>
      </w:pPr>
      <w:bookmarkStart w:id="121" w:name="_Toc000121"/>
      <w:r>
        <w:rPr/>
        <w:t>7.3 Coverage by BRD ID</w:t>
      </w:r>
      <w:bookmarkEnd w:id="121"/>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 1.1a</w:t>
            </w:r>
          </w:p>
        </w:tc>
        <w:tc>
          <w:tcPr>
            <w:tcW w:type="dxa" w:w="4638"/>
            <w:tcMar>
              <w:top w:w="50" w:type="dxa"/>
              <w:bottom w:w="50" w:type="dxa"/>
              <w:left w:w="90" w:type="dxa"/>
              <w:right w:w="90" w:type="dxa"/>
            </w:tcMar>
          </w:tcPr>
          <w:p>
            <w:pPr>
              <w:pStyle w:val="BDOITable"/>
            </w:pPr>
            <w:r>
              <w:rPr>
                <w:sz w:val="16"/>
              </w:rPr>
              <w:t>FR-DM-001, FR-DM-002, FR-DM-003</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1.1b</w:t>
            </w:r>
          </w:p>
        </w:tc>
        <w:tc>
          <w:tcPr>
            <w:tcW w:type="dxa" w:w="4638"/>
            <w:tcMar>
              <w:top w:w="50" w:type="dxa"/>
              <w:bottom w:w="50" w:type="dxa"/>
              <w:left w:w="90" w:type="dxa"/>
              <w:right w:w="90" w:type="dxa"/>
            </w:tcMar>
            <w:shd w:val="clear" w:color="auto" w:fill="E5F5FF"/>
          </w:tcPr>
          <w:p>
            <w:pPr>
              <w:pStyle w:val="BDOITable"/>
            </w:pPr>
            <w:r>
              <w:rPr>
                <w:sz w:val="16"/>
              </w:rPr>
              <w:t>FR-DM-003, FR-DM-010, FR-DM-013, FR-DM-014, FR-DM-015, FR-DM-020, FR-DM-021</w:t>
            </w:r>
          </w:p>
        </w:tc>
        <w:tc>
          <w:tcPr>
            <w:tcW w:type="dxa" w:w="1044"/>
            <w:tcMar>
              <w:top w:w="50" w:type="dxa"/>
              <w:bottom w:w="50" w:type="dxa"/>
              <w:left w:w="90" w:type="dxa"/>
              <w:right w:w="90" w:type="dxa"/>
            </w:tcMar>
            <w:shd w:val="clear" w:color="auto" w:fill="E5F5FF"/>
          </w:tcPr>
          <w:p>
            <w:pPr>
              <w:pStyle w:val="BDOITable"/>
            </w:pPr>
            <w:r>
              <w:rPr>
                <w:sz w:val="16"/>
              </w:rPr>
              <w:t>28</w:t>
            </w:r>
          </w:p>
        </w:tc>
        <w:tc>
          <w:tcPr>
            <w:tcW w:type="dxa" w:w="928"/>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18</w:t>
            </w:r>
          </w:p>
        </w:tc>
        <w:tc>
          <w:tcPr>
            <w:tcW w:type="dxa" w:w="928"/>
            <w:tcMar>
              <w:top w:w="50" w:type="dxa"/>
              <w:bottom w:w="50" w:type="dxa"/>
              <w:left w:w="90" w:type="dxa"/>
              <w:right w:w="90" w:type="dxa"/>
            </w:tcMar>
            <w:shd w:val="clear" w:color="auto" w:fill="E5F5FF"/>
          </w:tcPr>
          <w:p>
            <w:pPr>
              <w:pStyle w:val="BDOITable"/>
            </w:pPr>
            <w:r>
              <w:rPr>
                <w:sz w:val="16"/>
              </w:rPr>
              <w:t>33</w:t>
            </w:r>
          </w:p>
        </w:tc>
      </w:tr>
      <w:tr>
        <w:trPr>
          <w:cantSplit w:val="true"/>
        </w:trPr>
        <w:tc>
          <w:tcPr>
            <w:tcW w:type="dxa" w:w="1507"/>
            <w:tcMar>
              <w:top w:w="50" w:type="dxa"/>
              <w:bottom w:w="50" w:type="dxa"/>
              <w:left w:w="90" w:type="dxa"/>
              <w:right w:w="90" w:type="dxa"/>
            </w:tcMar>
          </w:tcPr>
          <w:p>
            <w:pPr>
              <w:pStyle w:val="BDOITable"/>
            </w:pPr>
            <w:r>
              <w:rPr>
                <w:sz w:val="16"/>
              </w:rPr>
              <w:t>BRID 10.1</w:t>
            </w:r>
          </w:p>
        </w:tc>
        <w:tc>
          <w:tcPr>
            <w:tcW w:type="dxa" w:w="4638"/>
            <w:tcMar>
              <w:top w:w="50" w:type="dxa"/>
              <w:bottom w:w="50" w:type="dxa"/>
              <w:left w:w="90" w:type="dxa"/>
              <w:right w:w="90" w:type="dxa"/>
            </w:tcMar>
          </w:tcPr>
          <w:p>
            <w:pPr>
              <w:pStyle w:val="BDOITable"/>
            </w:pPr>
            <w:r>
              <w:rPr>
                <w:sz w:val="16"/>
              </w:rPr>
              <w:t>FR-DM-050, FR-DM-100</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11.1</w:t>
            </w:r>
          </w:p>
        </w:tc>
        <w:tc>
          <w:tcPr>
            <w:tcW w:type="dxa" w:w="4638"/>
            <w:tcMar>
              <w:top w:w="50" w:type="dxa"/>
              <w:bottom w:w="50" w:type="dxa"/>
              <w:left w:w="90" w:type="dxa"/>
              <w:right w:w="90" w:type="dxa"/>
            </w:tcMar>
            <w:shd w:val="clear" w:color="auto" w:fill="E5F5FF"/>
          </w:tcPr>
          <w:p>
            <w:pPr>
              <w:pStyle w:val="BDOITable"/>
            </w:pPr>
            <w:r>
              <w:rPr>
                <w:sz w:val="16"/>
              </w:rPr>
              <w:t>FR-DM-110, FR-DM-111, FR-DM-123</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BRID 12.1</w:t>
            </w:r>
          </w:p>
        </w:tc>
        <w:tc>
          <w:tcPr>
            <w:tcW w:type="dxa" w:w="4638"/>
            <w:tcMar>
              <w:top w:w="50" w:type="dxa"/>
              <w:bottom w:w="50" w:type="dxa"/>
              <w:left w:w="90" w:type="dxa"/>
              <w:right w:w="90" w:type="dxa"/>
            </w:tcMar>
          </w:tcPr>
          <w:p>
            <w:pPr>
              <w:pStyle w:val="BDOITable"/>
            </w:pPr>
            <w:r>
              <w:rPr>
                <w:sz w:val="16"/>
              </w:rPr>
              <w:t>FR-DM-034, FR-DM-120, FR-DM-121, FR-DM-122, FR-DM-123, FR-DM-124</w:t>
            </w:r>
          </w:p>
        </w:tc>
        <w:tc>
          <w:tcPr>
            <w:tcW w:type="dxa" w:w="1044"/>
            <w:tcMar>
              <w:top w:w="50" w:type="dxa"/>
              <w:bottom w:w="50" w:type="dxa"/>
              <w:left w:w="90" w:type="dxa"/>
              <w:right w:w="90" w:type="dxa"/>
            </w:tcMar>
          </w:tcPr>
          <w:p>
            <w:pPr>
              <w:pStyle w:val="BDOITable"/>
            </w:pPr>
            <w:r>
              <w:rPr>
                <w:sz w:val="16"/>
              </w:rPr>
              <w:t>24</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24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2.1</w:t>
            </w:r>
          </w:p>
        </w:tc>
        <w:tc>
          <w:tcPr>
            <w:tcW w:type="dxa" w:w="4638"/>
            <w:tcMar>
              <w:top w:w="50" w:type="dxa"/>
              <w:bottom w:w="50" w:type="dxa"/>
              <w:left w:w="90" w:type="dxa"/>
              <w:right w:w="90" w:type="dxa"/>
            </w:tcMar>
            <w:shd w:val="clear" w:color="auto" w:fill="E5F5FF"/>
          </w:tcPr>
          <w:p>
            <w:pPr>
              <w:pStyle w:val="BDOITable"/>
            </w:pPr>
            <w:r>
              <w:rPr>
                <w:sz w:val="16"/>
              </w:rPr>
              <w:t>FR-DM-013, FR-DM-031, FR-DM-032, FR-DM-033</w:t>
            </w:r>
          </w:p>
        </w:tc>
        <w:tc>
          <w:tcPr>
            <w:tcW w:type="dxa" w:w="1044"/>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BRID 3.1</w:t>
            </w:r>
          </w:p>
        </w:tc>
        <w:tc>
          <w:tcPr>
            <w:tcW w:type="dxa" w:w="4638"/>
            <w:tcMar>
              <w:top w:w="50" w:type="dxa"/>
              <w:bottom w:w="50" w:type="dxa"/>
              <w:left w:w="90" w:type="dxa"/>
              <w:right w:w="90" w:type="dxa"/>
            </w:tcMar>
          </w:tcPr>
          <w:p>
            <w:pPr>
              <w:pStyle w:val="BDOITable"/>
            </w:pPr>
            <w:r>
              <w:rPr>
                <w:sz w:val="16"/>
              </w:rPr>
              <w:t>FR-DM-011, FR-DM-012, FR-DM-013, FR-DM-030, FR-DM-034</w:t>
            </w:r>
          </w:p>
        </w:tc>
        <w:tc>
          <w:tcPr>
            <w:tcW w:type="dxa" w:w="1044"/>
            <w:tcMar>
              <w:top w:w="50" w:type="dxa"/>
              <w:bottom w:w="50" w:type="dxa"/>
              <w:left w:w="90" w:type="dxa"/>
              <w:right w:w="90" w:type="dxa"/>
            </w:tcMar>
          </w:tcPr>
          <w:p>
            <w:pPr>
              <w:pStyle w:val="BDOITable"/>
            </w:pPr>
            <w:r>
              <w:rPr>
                <w:sz w:val="16"/>
              </w:rPr>
              <w:t>19</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21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4.1</w:t>
            </w:r>
          </w:p>
        </w:tc>
        <w:tc>
          <w:tcPr>
            <w:tcW w:type="dxa" w:w="4638"/>
            <w:tcMar>
              <w:top w:w="50" w:type="dxa"/>
              <w:bottom w:w="50" w:type="dxa"/>
              <w:left w:w="90" w:type="dxa"/>
              <w:right w:w="90" w:type="dxa"/>
            </w:tcMar>
            <w:shd w:val="clear" w:color="auto" w:fill="E5F5FF"/>
          </w:tcPr>
          <w:p>
            <w:pPr>
              <w:pStyle w:val="BDOITable"/>
            </w:pPr>
            <w:r>
              <w:rPr>
                <w:sz w:val="16"/>
              </w:rPr>
              <w:t>FR-DM-033, FR-DM-040, FR-DM-041, FR-DM-122, FR-DM-124</w:t>
            </w:r>
          </w:p>
        </w:tc>
        <w:tc>
          <w:tcPr>
            <w:tcW w:type="dxa" w:w="1044"/>
            <w:tcMar>
              <w:top w:w="50" w:type="dxa"/>
              <w:bottom w:w="50" w:type="dxa"/>
              <w:left w:w="90" w:type="dxa"/>
              <w:right w:w="90" w:type="dxa"/>
            </w:tcMar>
            <w:shd w:val="clear" w:color="auto" w:fill="E5F5FF"/>
          </w:tcPr>
          <w:p>
            <w:pPr>
              <w:pStyle w:val="BDOITable"/>
            </w:pPr>
            <w:r>
              <w:rPr>
                <w:sz w:val="16"/>
              </w:rPr>
              <w:t>18</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18</w:t>
            </w:r>
          </w:p>
        </w:tc>
      </w:tr>
      <w:tr>
        <w:trPr>
          <w:cantSplit w:val="true"/>
        </w:trPr>
        <w:tc>
          <w:tcPr>
            <w:tcW w:type="dxa" w:w="1507"/>
            <w:tcMar>
              <w:top w:w="50" w:type="dxa"/>
              <w:bottom w:w="50" w:type="dxa"/>
              <w:left w:w="90" w:type="dxa"/>
              <w:right w:w="90" w:type="dxa"/>
            </w:tcMar>
          </w:tcPr>
          <w:p>
            <w:pPr>
              <w:pStyle w:val="BDOITable"/>
            </w:pPr>
            <w:r>
              <w:rPr>
                <w:sz w:val="16"/>
              </w:rPr>
              <w:t>BRID 5.1</w:t>
            </w:r>
          </w:p>
        </w:tc>
        <w:tc>
          <w:tcPr>
            <w:tcW w:type="dxa" w:w="4638"/>
            <w:tcMar>
              <w:top w:w="50" w:type="dxa"/>
              <w:bottom w:w="50" w:type="dxa"/>
              <w:left w:w="90" w:type="dxa"/>
              <w:right w:w="90" w:type="dxa"/>
            </w:tcMar>
          </w:tcPr>
          <w:p>
            <w:pPr>
              <w:pStyle w:val="BDOITable"/>
            </w:pPr>
            <w:r>
              <w:rPr>
                <w:sz w:val="16"/>
              </w:rPr>
              <w:t>FR-DM-021, FR-DM-051</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5.2</w:t>
            </w:r>
          </w:p>
        </w:tc>
        <w:tc>
          <w:tcPr>
            <w:tcW w:type="dxa" w:w="4638"/>
            <w:tcMar>
              <w:top w:w="50" w:type="dxa"/>
              <w:bottom w:w="50" w:type="dxa"/>
              <w:left w:w="90" w:type="dxa"/>
              <w:right w:w="90" w:type="dxa"/>
            </w:tcMar>
            <w:shd w:val="clear" w:color="auto" w:fill="E5F5FF"/>
          </w:tcPr>
          <w:p>
            <w:pPr>
              <w:pStyle w:val="BDOITable"/>
            </w:pPr>
            <w:r>
              <w:rPr>
                <w:sz w:val="16"/>
              </w:rPr>
              <w:t>FR-DM-050, FR-DM-052</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 5.3</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5.4</w:t>
            </w:r>
          </w:p>
        </w:tc>
        <w:tc>
          <w:tcPr>
            <w:tcW w:type="dxa" w:w="4638"/>
            <w:tcMar>
              <w:top w:w="50" w:type="dxa"/>
              <w:bottom w:w="50" w:type="dxa"/>
              <w:left w:w="90" w:type="dxa"/>
              <w:right w:w="90" w:type="dxa"/>
            </w:tcMar>
            <w:shd w:val="clear" w:color="auto" w:fill="E5F5FF"/>
          </w:tcPr>
          <w:p>
            <w:pPr>
              <w:pStyle w:val="BDOITable"/>
            </w:pPr>
            <w:r>
              <w:rPr>
                <w:sz w:val="16"/>
              </w:rPr>
              <w:t>FR-DM-054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 5.5</w:t>
            </w:r>
          </w:p>
        </w:tc>
        <w:tc>
          <w:tcPr>
            <w:tcW w:type="dxa" w:w="4638"/>
            <w:tcMar>
              <w:top w:w="50" w:type="dxa"/>
              <w:bottom w:w="50" w:type="dxa"/>
              <w:left w:w="90" w:type="dxa"/>
              <w:right w:w="90" w:type="dxa"/>
            </w:tcMar>
          </w:tcPr>
          <w:p>
            <w:pPr>
              <w:pStyle w:val="BDOITable"/>
            </w:pPr>
            <w:r>
              <w:rPr>
                <w:sz w:val="16"/>
              </w:rPr>
              <w:t>FR-DM-055</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6.1</w:t>
            </w:r>
          </w:p>
        </w:tc>
        <w:tc>
          <w:tcPr>
            <w:tcW w:type="dxa" w:w="4638"/>
            <w:tcMar>
              <w:top w:w="50" w:type="dxa"/>
              <w:bottom w:w="50" w:type="dxa"/>
              <w:left w:w="90" w:type="dxa"/>
              <w:right w:w="90" w:type="dxa"/>
            </w:tcMar>
            <w:shd w:val="clear" w:color="auto" w:fill="E5F5FF"/>
          </w:tcPr>
          <w:p>
            <w:pPr>
              <w:pStyle w:val="BDOITable"/>
            </w:pPr>
            <w:r>
              <w:rPr>
                <w:sz w:val="16"/>
              </w:rPr>
              <w:t>FR-DM-050, FR-DM-060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6.2</w:t>
            </w:r>
          </w:p>
        </w:tc>
        <w:tc>
          <w:tcPr>
            <w:tcW w:type="dxa" w:w="4638"/>
            <w:tcMar>
              <w:top w:w="50" w:type="dxa"/>
              <w:bottom w:w="50" w:type="dxa"/>
              <w:left w:w="90" w:type="dxa"/>
              <w:right w:w="90" w:type="dxa"/>
            </w:tcMar>
          </w:tcPr>
          <w:p>
            <w:pPr>
              <w:pStyle w:val="BDOITable"/>
            </w:pPr>
            <w:r>
              <w:rPr>
                <w:sz w:val="16"/>
              </w:rPr>
              <w:t>FR-DM-061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6.3</w:t>
            </w:r>
          </w:p>
        </w:tc>
        <w:tc>
          <w:tcPr>
            <w:tcW w:type="dxa" w:w="4638"/>
            <w:tcMar>
              <w:top w:w="50" w:type="dxa"/>
              <w:bottom w:w="50" w:type="dxa"/>
              <w:left w:w="90" w:type="dxa"/>
              <w:right w:w="90" w:type="dxa"/>
            </w:tcMar>
            <w:shd w:val="clear" w:color="auto" w:fill="E5F5FF"/>
          </w:tcPr>
          <w:p>
            <w:pPr>
              <w:pStyle w:val="BDOITable"/>
            </w:pPr>
            <w:r>
              <w:rPr>
                <w:sz w:val="16"/>
              </w:rPr>
              <w:t>FR-DM-052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6.4</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7.1</w:t>
            </w:r>
          </w:p>
        </w:tc>
        <w:tc>
          <w:tcPr>
            <w:tcW w:type="dxa" w:w="4638"/>
            <w:tcMar>
              <w:top w:w="50" w:type="dxa"/>
              <w:bottom w:w="50" w:type="dxa"/>
              <w:left w:w="90" w:type="dxa"/>
              <w:right w:w="90" w:type="dxa"/>
            </w:tcMar>
            <w:shd w:val="clear" w:color="auto" w:fill="E5F5FF"/>
          </w:tcPr>
          <w:p>
            <w:pPr>
              <w:pStyle w:val="BDOITable"/>
            </w:pPr>
            <w:r>
              <w:rPr>
                <w:sz w:val="16"/>
              </w:rPr>
              <w:t>FR-DM-070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7.2</w:t>
            </w:r>
          </w:p>
        </w:tc>
        <w:tc>
          <w:tcPr>
            <w:tcW w:type="dxa" w:w="4638"/>
            <w:tcMar>
              <w:top w:w="50" w:type="dxa"/>
              <w:bottom w:w="50" w:type="dxa"/>
              <w:left w:w="90" w:type="dxa"/>
              <w:right w:w="90" w:type="dxa"/>
            </w:tcMar>
          </w:tcPr>
          <w:p>
            <w:pPr>
              <w:pStyle w:val="BDOITable"/>
            </w:pPr>
            <w:r>
              <w:rPr>
                <w:sz w:val="16"/>
              </w:rPr>
              <w:t>FR-DM-071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8.1</w:t>
            </w:r>
          </w:p>
        </w:tc>
        <w:tc>
          <w:tcPr>
            <w:tcW w:type="dxa" w:w="4638"/>
            <w:tcMar>
              <w:top w:w="50" w:type="dxa"/>
              <w:bottom w:w="50" w:type="dxa"/>
              <w:left w:w="90" w:type="dxa"/>
              <w:right w:w="90" w:type="dxa"/>
            </w:tcMar>
            <w:shd w:val="clear" w:color="auto" w:fill="E5F5FF"/>
          </w:tcPr>
          <w:p>
            <w:pPr>
              <w:pStyle w:val="BDOITable"/>
            </w:pPr>
            <w:r>
              <w:rPr>
                <w:sz w:val="16"/>
              </w:rPr>
              <w:t>FR-DM-050, FR-DM-080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9.1</w:t>
            </w:r>
          </w:p>
        </w:tc>
        <w:tc>
          <w:tcPr>
            <w:tcW w:type="dxa" w:w="4638"/>
            <w:tcMar>
              <w:top w:w="50" w:type="dxa"/>
              <w:bottom w:w="50" w:type="dxa"/>
              <w:left w:w="90" w:type="dxa"/>
              <w:right w:w="90" w:type="dxa"/>
            </w:tcMar>
          </w:tcPr>
          <w:p>
            <w:pPr>
              <w:pStyle w:val="BDOITable"/>
            </w:pPr>
            <w:r>
              <w:rPr>
                <w:sz w:val="16"/>
              </w:rPr>
              <w:t>FR-DM-090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9.2</w:t>
            </w:r>
          </w:p>
        </w:tc>
        <w:tc>
          <w:tcPr>
            <w:tcW w:type="dxa" w:w="4638"/>
            <w:tcMar>
              <w:top w:w="50" w:type="dxa"/>
              <w:bottom w:w="50" w:type="dxa"/>
              <w:left w:w="90" w:type="dxa"/>
              <w:right w:w="90" w:type="dxa"/>
            </w:tcMar>
            <w:shd w:val="clear" w:color="auto" w:fill="E5F5FF"/>
          </w:tcPr>
          <w:p>
            <w:pPr>
              <w:pStyle w:val="BDOITable"/>
            </w:pPr>
            <w:r>
              <w:rPr>
                <w:sz w:val="16"/>
              </w:rPr>
              <w:t>FR-DM-091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 9.3</w:t>
            </w:r>
          </w:p>
        </w:tc>
        <w:tc>
          <w:tcPr>
            <w:tcW w:type="dxa" w:w="4638"/>
            <w:tcMar>
              <w:top w:w="50" w:type="dxa"/>
              <w:bottom w:w="50" w:type="dxa"/>
              <w:left w:w="90" w:type="dxa"/>
              <w:right w:w="90" w:type="dxa"/>
            </w:tcMar>
          </w:tcPr>
          <w:p>
            <w:pPr>
              <w:pStyle w:val="BDOITable"/>
            </w:pPr>
            <w:r>
              <w:rPr>
                <w:sz w:val="16"/>
              </w:rPr>
              <w:t>FR-DM-092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2" w:name="_Toc000122"/>
      <w:r>
        <w:rPr/>
        <w:t>7.4 Scenarios</w:t>
      </w:r>
      <w:bookmarkEnd w:id="122"/>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SC-DM-01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Governance. The Data Migration Lead registers the objects, the owners decide their class, and every object passes the sign-off gates in order.</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SC-DM-02</w:t>
            </w:r>
          </w:p>
        </w:tc>
        <w:tc>
          <w:tcPr>
            <w:tcW w:type="dxa" w:w="2464"/>
            <w:tcMar>
              <w:top w:w="50" w:type="dxa"/>
              <w:bottom w:w="50" w:type="dxa"/>
              <w:left w:w="90" w:type="dxa"/>
              <w:right w:w="90" w:type="dxa"/>
            </w:tcMar>
            <w:shd w:val="clear" w:color="auto" w:fill="E5F5FF"/>
          </w:tcPr>
          <w:p>
            <w:pPr>
              <w:pStyle w:val="BDOITable"/>
            </w:pPr>
            <w:r>
              <w:rPr>
                <w:sz w:val="17"/>
              </w:rPr>
              <w:t>OPERATOR – Migration Operator</w:t>
            </w:r>
          </w:p>
        </w:tc>
        <w:tc>
          <w:tcPr>
            <w:tcW w:type="dxa" w:w="5631"/>
            <w:tcMar>
              <w:top w:w="50" w:type="dxa"/>
              <w:bottom w:w="50" w:type="dxa"/>
              <w:left w:w="90" w:type="dxa"/>
              <w:right w:w="90" w:type="dxa"/>
            </w:tcMar>
            <w:shd w:val="clear" w:color="auto" w:fill="E5F5FF"/>
          </w:tcPr>
          <w:p>
            <w:pPr>
              <w:pStyle w:val="BDOITable"/>
            </w:pPr>
            <w:r>
              <w:rPr>
                <w:sz w:val="17"/>
              </w:rPr>
              <w:t>Intake to load. Extracts are received with control files, staged, mapped, validated, loaded through the BIBS services, rerun and rolled back.</w:t>
            </w:r>
          </w:p>
        </w:tc>
        <w:tc>
          <w:tcPr>
            <w:tcW w:type="dxa" w:w="821"/>
            <w:tcMar>
              <w:top w:w="50" w:type="dxa"/>
              <w:bottom w:w="50" w:type="dxa"/>
              <w:left w:w="90" w:type="dxa"/>
              <w:right w:w="90" w:type="dxa"/>
            </w:tcMar>
            <w:shd w:val="clear" w:color="auto" w:fill="E5F5FF"/>
          </w:tcPr>
          <w:p>
            <w:pPr>
              <w:pStyle w:val="BDOITable"/>
            </w:pPr>
            <w:r>
              <w:rPr>
                <w:sz w:val="17"/>
              </w:rPr>
              <w:t>23</w:t>
            </w:r>
          </w:p>
        </w:tc>
      </w:tr>
      <w:tr>
        <w:trPr>
          <w:cantSplit w:val="true"/>
        </w:trPr>
        <w:tc>
          <w:tcPr>
            <w:tcW w:type="dxa" w:w="1056"/>
            <w:tcMar>
              <w:top w:w="50" w:type="dxa"/>
              <w:bottom w:w="50" w:type="dxa"/>
              <w:left w:w="90" w:type="dxa"/>
              <w:right w:w="90" w:type="dxa"/>
            </w:tcMar>
          </w:tcPr>
          <w:p>
            <w:pPr>
              <w:pStyle w:val="BDOITable"/>
            </w:pPr>
            <w:r>
              <w:rPr>
                <w:sz w:val="17"/>
              </w:rPr>
              <w:t>SC-DM-03</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Reconciliation. Each object is reconciled at L1-L4 and the financial objects at L5; Migration Clearing nets to zero.</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SC-DM-04</w:t>
            </w:r>
          </w:p>
        </w:tc>
        <w:tc>
          <w:tcPr>
            <w:tcW w:type="dxa" w:w="2464"/>
            <w:tcMar>
              <w:top w:w="50" w:type="dxa"/>
              <w:bottom w:w="50" w:type="dxa"/>
              <w:left w:w="90" w:type="dxa"/>
              <w:right w:w="90" w:type="dxa"/>
            </w:tcMar>
            <w:shd w:val="clear" w:color="auto" w:fill="E5F5FF"/>
          </w:tcPr>
          <w:p>
            <w:pPr>
              <w:pStyle w:val="BDOITable"/>
            </w:pPr>
            <w:r>
              <w:rPr>
                <w:sz w:val="17"/>
              </w:rPr>
              <w:t>STEWARD – Data Steward</w:t>
            </w:r>
          </w:p>
        </w:tc>
        <w:tc>
          <w:tcPr>
            <w:tcW w:type="dxa" w:w="5631"/>
            <w:tcMar>
              <w:top w:w="50" w:type="dxa"/>
              <w:bottom w:w="50" w:type="dxa"/>
              <w:left w:w="90" w:type="dxa"/>
              <w:right w:w="90" w:type="dxa"/>
            </w:tcMar>
            <w:shd w:val="clear" w:color="auto" w:fill="E5F5FF"/>
          </w:tcPr>
          <w:p>
            <w:pPr>
              <w:pStyle w:val="BDOITable"/>
            </w:pPr>
            <w:r>
              <w:rPr>
                <w:sz w:val="17"/>
              </w:rPr>
              <w:t>Client master and reference data. Codes are mapped and created, legacy packages are remapped to the BIBS packages, legacy clients are matched, deduplicated and created as active clients; reference data and clients load first in every mock.</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SC-DM-05</w:t>
            </w:r>
          </w:p>
        </w:tc>
        <w:tc>
          <w:tcPr>
            <w:tcW w:type="dxa" w:w="2464"/>
            <w:tcMar>
              <w:top w:w="50" w:type="dxa"/>
              <w:bottom w:w="50" w:type="dxa"/>
              <w:left w:w="90" w:type="dxa"/>
              <w:right w:w="90" w:type="dxa"/>
            </w:tcMar>
          </w:tcPr>
          <w:p>
            <w:pPr>
              <w:pStyle w:val="BDOITable"/>
            </w:pPr>
            <w:r>
              <w:rPr>
                <w:sz w:val="17"/>
              </w:rPr>
              <w:t>CASHIER – Cashiering User</w:t>
            </w:r>
          </w:p>
        </w:tc>
        <w:tc>
          <w:tcPr>
            <w:tcW w:type="dxa" w:w="5631"/>
            <w:tcMar>
              <w:top w:w="50" w:type="dxa"/>
              <w:bottom w:w="50" w:type="dxa"/>
              <w:left w:w="90" w:type="dxa"/>
              <w:right w:w="90" w:type="dxa"/>
            </w:tcMar>
          </w:tcPr>
          <w:p>
            <w:pPr>
              <w:pStyle w:val="BDOITable"/>
            </w:pPr>
            <w:r>
              <w:rPr>
                <w:sz w:val="17"/>
              </w:rPr>
              <w:t>Legacy open items. Legacy invoices and UPP are processed with the BIBS screens - OTC, autopay, automatch, dispositions, refund and reclassification to income.</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SC-DM-06</w:t>
            </w:r>
          </w:p>
        </w:tc>
        <w:tc>
          <w:tcPr>
            <w:tcW w:type="dxa" w:w="2464"/>
            <w:tcMar>
              <w:top w:w="50" w:type="dxa"/>
              <w:bottom w:w="50" w:type="dxa"/>
              <w:left w:w="90" w:type="dxa"/>
              <w:right w:w="90" w:type="dxa"/>
            </w:tcMar>
            <w:shd w:val="clear" w:color="auto" w:fill="E5F5FF"/>
          </w:tcPr>
          <w:p>
            <w:pPr>
              <w:pStyle w:val="BDOITable"/>
            </w:pPr>
            <w:r>
              <w:rPr>
                <w:sz w:val="17"/>
              </w:rPr>
              <w:t>ACCT – Accounting User</w:t>
            </w:r>
          </w:p>
        </w:tc>
        <w:tc>
          <w:tcPr>
            <w:tcW w:type="dxa" w:w="5631"/>
            <w:tcMar>
              <w:top w:w="50" w:type="dxa"/>
              <w:bottom w:w="50" w:type="dxa"/>
              <w:left w:w="90" w:type="dxa"/>
              <w:right w:w="90" w:type="dxa"/>
            </w:tcMar>
            <w:shd w:val="clear" w:color="auto" w:fill="E5F5FF"/>
          </w:tcPr>
          <w:p>
            <w:pPr>
              <w:pStyle w:val="BDOITable"/>
            </w:pPr>
            <w:r>
              <w:rPr>
                <w:sz w:val="17"/>
              </w:rPr>
              <w:t>Reversals, remittance and endorsements on legacy invoices, and the Prod Recon change report.</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SC-DM-07</w:t>
            </w:r>
          </w:p>
        </w:tc>
        <w:tc>
          <w:tcPr>
            <w:tcW w:type="dxa" w:w="2464"/>
            <w:tcMar>
              <w:top w:w="50" w:type="dxa"/>
              <w:bottom w:w="50" w:type="dxa"/>
              <w:left w:w="90" w:type="dxa"/>
              <w:right w:w="90" w:type="dxa"/>
            </w:tcMar>
          </w:tcPr>
          <w:p>
            <w:pPr>
              <w:pStyle w:val="BDOITable"/>
            </w:pPr>
            <w:r>
              <w:rPr>
                <w:sz w:val="17"/>
              </w:rPr>
              <w:t>AUDIT – Audit / Compliance User</w:t>
            </w:r>
          </w:p>
        </w:tc>
        <w:tc>
          <w:tcPr>
            <w:tcW w:type="dxa" w:w="5631"/>
            <w:tcMar>
              <w:top w:w="50" w:type="dxa"/>
              <w:bottom w:w="50" w:type="dxa"/>
              <w:left w:w="90" w:type="dxa"/>
              <w:right w:w="90" w:type="dxa"/>
            </w:tcMar>
          </w:tcPr>
          <w:p>
            <w:pPr>
              <w:pStyle w:val="BDOITable"/>
            </w:pPr>
            <w:r>
              <w:rPr>
                <w:sz w:val="17"/>
              </w:rPr>
              <w:t>History. Archived records are searched in Legacy Inquiry and every access is logged and reviewed.</w:t>
            </w:r>
          </w:p>
        </w:tc>
        <w:tc>
          <w:tcPr>
            <w:tcW w:type="dxa" w:w="821"/>
            <w:tcMar>
              <w:top w:w="50" w:type="dxa"/>
              <w:bottom w:w="50" w:type="dxa"/>
              <w:left w:w="90" w:type="dxa"/>
              <w:right w:w="90" w:type="dxa"/>
            </w:tcMar>
          </w:tcPr>
          <w:p>
            <w:pPr>
              <w:pStyle w:val="BDOITable"/>
            </w:pPr>
            <w:r>
              <w:rPr>
                <w:sz w:val="17"/>
              </w:rPr>
              <w:t>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SC-DM-08</w:t>
            </w:r>
          </w:p>
        </w:tc>
        <w:tc>
          <w:tcPr>
            <w:tcW w:type="dxa" w:w="2464"/>
            <w:tcMar>
              <w:top w:w="50" w:type="dxa"/>
              <w:bottom w:w="50" w:type="dxa"/>
              <w:left w:w="90" w:type="dxa"/>
              <w:right w:w="90" w:type="dxa"/>
            </w:tcMar>
            <w:shd w:val="clear" w:color="auto" w:fill="E5F5FF"/>
          </w:tcPr>
          <w:p>
            <w:pPr>
              <w:pStyle w:val="BDOITable"/>
            </w:pPr>
            <w:r>
              <w:rPr>
                <w:sz w:val="17"/>
              </w:rPr>
              <w:t>PM – Program Manager</w:t>
            </w:r>
          </w:p>
        </w:tc>
        <w:tc>
          <w:tcPr>
            <w:tcW w:type="dxa" w:w="5631"/>
            <w:tcMar>
              <w:top w:w="50" w:type="dxa"/>
              <w:bottom w:w="50" w:type="dxa"/>
              <w:left w:w="90" w:type="dxa"/>
              <w:right w:w="90" w:type="dxa"/>
            </w:tcMar>
            <w:shd w:val="clear" w:color="auto" w:fill="E5F5FF"/>
          </w:tcPr>
          <w:p>
            <w:pPr>
              <w:pStyle w:val="BDOITable"/>
            </w:pPr>
            <w:r>
              <w:rPr>
                <w:sz w:val="17"/>
              </w:rPr>
              <w:t>Cutover. A mock plan is run with reference data and clients first, go / no-go is decided on measured criteria, the renewals of the January-May 2028 expiries are carried and the later cohorts move by RMEL cohort, and legacy systems are decommissioned on the checklist.</w:t>
            </w:r>
          </w:p>
        </w:tc>
        <w:tc>
          <w:tcPr>
            <w:tcW w:type="dxa" w:w="821"/>
            <w:tcMar>
              <w:top w:w="50" w:type="dxa"/>
              <w:bottom w:w="50" w:type="dxa"/>
              <w:left w:w="90" w:type="dxa"/>
              <w:right w:w="90" w:type="dxa"/>
            </w:tcMar>
            <w:shd w:val="clear" w:color="auto" w:fill="E5F5FF"/>
          </w:tcPr>
          <w:p>
            <w:pPr>
              <w:pStyle w:val="BDOITable"/>
            </w:pPr>
            <w:r>
              <w:rPr>
                <w:sz w:val="17"/>
              </w:rPr>
              <w:t>19</w:t>
            </w:r>
          </w:p>
        </w:tc>
      </w:tr>
    </w:tbl>
    <w:p>
      <w:pPr>
        <w:pStyle w:val="BDOISpacer"/>
      </w:pPr>
    </w:p>
    <w:p>
      <w:pPr>
        <w:pStyle w:val="Heading2"/>
      </w:pPr>
      <w:bookmarkStart w:id="123" w:name="_Toc000123"/>
      <w:r>
        <w:rPr/>
        <w:t>7.5 Roles and access</w:t>
      </w:r>
      <w:bookmarkEnd w:id="123"/>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76"/>
        <w:gridCol w:w="585"/>
        <w:gridCol w:w="585"/>
        <w:gridCol w:w="585"/>
        <w:gridCol w:w="585"/>
        <w:gridCol w:w="585"/>
        <w:gridCol w:w="585"/>
        <w:gridCol w:w="585"/>
        <w:gridCol w:w="585"/>
        <w:gridCol w:w="585"/>
        <w:gridCol w:w="585"/>
        <w:gridCol w:w="585"/>
        <w:gridCol w:w="585"/>
        <w:gridCol w:w="585"/>
        <w:gridCol w:w="585"/>
      </w:tblGrid>
      <w:tr>
        <w:trPr>
          <w:tblHeader w:val="true"/>
          <w:cantSplit w:val="true"/>
        </w:trPr>
        <w:tc>
          <w:tcPr>
            <w:tcW w:type="dxa" w:w="177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DM Lead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Steward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Operator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Go / no-go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Top mgmt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Acct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Inquiry</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Log rev.</w:t>
            </w:r>
          </w:p>
        </w:tc>
      </w:tr>
      <w:tr>
        <w:trPr>
          <w:cantSplit w:val="true"/>
        </w:trPr>
        <w:tc>
          <w:tcPr>
            <w:tcW w:type="dxa" w:w="1776"/>
            <w:tcMar>
              <w:top w:w="50" w:type="dxa"/>
              <w:bottom w:w="50" w:type="dxa"/>
              <w:left w:w="90" w:type="dxa"/>
              <w:right w:w="90" w:type="dxa"/>
            </w:tcMar>
          </w:tcPr>
          <w:p>
            <w:pPr>
              <w:pStyle w:val="BDOITable"/>
            </w:pPr>
            <w:r>
              <w:rPr>
                <w:sz w:val="15"/>
              </w:rPr>
              <w:t>View the Migration Console</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Maintain objects and submit decisions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Approve decisions and map versions</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Edit code maps and resolve issues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Upload extracts and run loads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Approve a load</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Sign a reconciliation and approve rollbacks</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Decide go / no-go</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Search the legacy archive</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Review the legacy access log</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776"/>
            <w:tcMar>
              <w:top w:w="50" w:type="dxa"/>
              <w:bottom w:w="50" w:type="dxa"/>
              <w:left w:w="90" w:type="dxa"/>
              <w:right w:w="90" w:type="dxa"/>
            </w:tcMar>
          </w:tcPr>
          <w:p>
            <w:pPr>
              <w:pStyle w:val="BDOITable"/>
            </w:pPr>
            <w:r>
              <w:rPr>
                <w:sz w:val="15"/>
              </w:rPr>
              <w:t>Approve UPP reclassification to income (second level)</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Approve DPPR and PR2307 legacy reversal batches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7.6 Automated tests referenced</w:t>
      </w:r>
      <w:bookmarkEnd w:id="124"/>
    </w:p>
    <w:p>
      <w:r>
        <w:rPr/>
        <w:t>No automated test exists yet for this BRD; every case is run manually.</w:t>
      </w:r>
    </w:p>
    <w:p>
      <w:pPr>
        <w:pStyle w:val="Heading1"/>
        <w:pBdr>
          <w:bottom w:val="single" w:sz="4" w:space="4" w:color="99C1E7"/>
        </w:pBdr>
      </w:pPr>
      <w:bookmarkStart w:id="125" w:name="_Toc000125"/>
      <w:r>
        <w:rPr/>
        <w:t>8 Risks</w:t>
      </w:r>
      <w:bookmarkEnd w:id="125"/>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Open decisions change expected results (DMQ09 headers, DMQ12 components, DMQ14 UPP receipt, DMQ18 accounts, DMQ19 / DMQ20 reversal entries, DMQ36 package remapping, DMQ37 January-May 2028 renewals)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Values are configuration; affected cases are re-run after the answer; FRS v1.2 updates the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extracts do not reflect real legacy data quality</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Mocks use masked full extracts; profiling after Mock 1 adds cases for the issues found</w:t>
            </w:r>
          </w:p>
        </w:tc>
      </w:tr>
      <w:tr>
        <w:trPr>
          <w:cantSplit w:val="true"/>
        </w:trPr>
        <w:tc>
          <w:tcPr>
            <w:tcW w:type="dxa" w:w="3688"/>
            <w:tcMar>
              <w:top w:w="50" w:type="dxa"/>
              <w:bottom w:w="50" w:type="dxa"/>
              <w:left w:w="90" w:type="dxa"/>
              <w:right w:w="90" w:type="dxa"/>
            </w:tcMar>
          </w:tcPr>
          <w:p>
            <w:pPr>
              <w:pStyle w:val="BDOITable"/>
            </w:pPr>
            <w:r>
              <w:rPr>
                <w:sz w:val="18"/>
              </w:rPr>
              <w:t>Screens and messages differ from the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before the system test; workbook re-issued with the built texts and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not deployed for FR-DM-122</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Test the port with the stub; re-run when Renewal is deployed</w:t>
            </w:r>
          </w:p>
        </w:tc>
      </w:tr>
      <w:tr>
        <w:trPr>
          <w:cantSplit w:val="true"/>
        </w:trPr>
        <w:tc>
          <w:tcPr>
            <w:tcW w:type="dxa" w:w="3688"/>
            <w:tcMar>
              <w:top w:w="50" w:type="dxa"/>
              <w:bottom w:w="50" w:type="dxa"/>
              <w:left w:w="90" w:type="dxa"/>
              <w:right w:w="90" w:type="dxa"/>
            </w:tcMar>
          </w:tcPr>
          <w:p>
            <w:pPr>
              <w:pStyle w:val="BDOITable"/>
            </w:pPr>
            <w:r>
              <w:rPr>
                <w:sz w:val="18"/>
              </w:rPr>
              <w:t>Real personal data reaches a test environment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Masking at intake; test lead checks staged rows after each upload</w:t>
            </w:r>
          </w:p>
        </w:tc>
      </w:tr>
    </w:tbl>
    <w:p>
      <w:pPr>
        <w:pStyle w:val="BDOISpacer"/>
      </w:pPr>
    </w:p>
    <w:p>
      <w:pPr>
        <w:pStyle w:val="Heading1"/>
        <w:pBdr>
          <w:bottom w:val="single" w:sz="4" w:space="4" w:color="99C1E7"/>
        </w:pBdr>
      </w:pPr>
      <w:bookmarkStart w:id="126" w:name="_Toc000126"/>
      <w:r>
        <w:rPr/>
        <w:t>9 FRS findings</w:t>
      </w:r>
      <w:bookmarkEnd w:id="126"/>
    </w:p>
    <w:p>
      <w:r>
        <w:rPr/>
        <w:t>The seven findings of version 1.0 (FR-DM-013, 021, 051, 061, 091, 110 and 123) are resolved in FRS BRD-13 v1.1. The findings below were raised while writing the cases of version 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TF-DM-01</w:t>
            </w:r>
          </w:p>
        </w:tc>
        <w:tc>
          <w:tcPr>
            <w:tcW w:type="dxa" w:w="1290"/>
            <w:tcMar>
              <w:top w:w="50" w:type="dxa"/>
              <w:bottom w:w="50" w:type="dxa"/>
              <w:left w:w="90" w:type="dxa"/>
              <w:right w:w="90" w:type="dxa"/>
            </w:tcMar>
          </w:tcPr>
          <w:p>
            <w:pPr>
              <w:pStyle w:val="BDOITable"/>
            </w:pPr>
            <w:r>
              <w:rPr>
                <w:sz w:val="17"/>
              </w:rPr>
              <w:t>FR-DM-124</w:t>
            </w:r>
          </w:p>
        </w:tc>
        <w:tc>
          <w:tcPr>
            <w:tcW w:type="dxa" w:w="4223"/>
            <w:tcMar>
              <w:top w:w="50" w:type="dxa"/>
              <w:bottom w:w="50" w:type="dxa"/>
              <w:left w:w="90" w:type="dxa"/>
              <w:right w:w="90" w:type="dxa"/>
            </w:tcMar>
          </w:tcPr>
          <w:p>
            <w:pPr>
              <w:pStyle w:val="BDOITable"/>
            </w:pPr>
            <w:r>
              <w:rPr>
                <w:sz w:val="17"/>
              </w:rPr>
              <w:t>The carried candidates are created "in the stage mapped from the legacy disposition", but the FRS does not list the target Renewal stages of the STATUS:RENEWAL map; the case assumes For Renewal maps to the For Renewal stage.</w:t>
            </w:r>
          </w:p>
        </w:tc>
        <w:tc>
          <w:tcPr>
            <w:tcW w:type="dxa" w:w="3402"/>
            <w:tcMar>
              <w:top w:w="50" w:type="dxa"/>
              <w:bottom w:w="50" w:type="dxa"/>
              <w:left w:w="90" w:type="dxa"/>
              <w:right w:w="90" w:type="dxa"/>
            </w:tcMar>
          </w:tcPr>
          <w:p>
            <w:pPr>
              <w:pStyle w:val="BDOITable"/>
            </w:pPr>
            <w:r>
              <w:rPr>
                <w:sz w:val="17"/>
              </w:rPr>
              <w:t>List the STATUS:RENEWAL entries (legacy disposition to Renewal stage and bucket) in FRS v1.2 once DMQ38 gives the legacy disposition values.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TF-DM-02</w:t>
            </w:r>
          </w:p>
        </w:tc>
        <w:tc>
          <w:tcPr>
            <w:tcW w:type="dxa" w:w="1290"/>
            <w:tcMar>
              <w:top w:w="50" w:type="dxa"/>
              <w:bottom w:w="50" w:type="dxa"/>
              <w:left w:w="90" w:type="dxa"/>
              <w:right w:w="90" w:type="dxa"/>
            </w:tcMar>
            <w:shd w:val="clear" w:color="auto" w:fill="E5F5FF"/>
          </w:tcPr>
          <w:p>
            <w:pPr>
              <w:pStyle w:val="BDOITable"/>
            </w:pPr>
            <w:r>
              <w:rPr>
                <w:sz w:val="17"/>
              </w:rPr>
              <w:t>FR-DM-034</w:t>
            </w:r>
          </w:p>
        </w:tc>
        <w:tc>
          <w:tcPr>
            <w:tcW w:type="dxa" w:w="4223"/>
            <w:tcMar>
              <w:top w:w="50" w:type="dxa"/>
              <w:bottom w:w="50" w:type="dxa"/>
              <w:left w:w="90" w:type="dxa"/>
              <w:right w:w="90" w:type="dxa"/>
            </w:tcMar>
            <w:shd w:val="clear" w:color="auto" w:fill="E5F5FF"/>
          </w:tcPr>
          <w:p>
            <w:pPr>
              <w:pStyle w:val="BDOITable"/>
            </w:pPr>
            <w:r>
              <w:rPr>
                <w:sz w:val="17"/>
              </w:rPr>
              <w:t>The FRS does not say which Renewal check routes a candidate with package UNRESOLVED to the Exception bucket, nor its message; the case checks the bucket only.</w:t>
            </w:r>
          </w:p>
        </w:tc>
        <w:tc>
          <w:tcPr>
            <w:tcW w:type="dxa" w:w="3402"/>
            <w:tcMar>
              <w:top w:w="50" w:type="dxa"/>
              <w:bottom w:w="50" w:type="dxa"/>
              <w:left w:w="90" w:type="dxa"/>
              <w:right w:w="90" w:type="dxa"/>
            </w:tcMar>
            <w:shd w:val="clear" w:color="auto" w:fill="E5F5FF"/>
          </w:tcPr>
          <w:p>
            <w:pPr>
              <w:pStyle w:val="BDOITable"/>
            </w:pPr>
            <w:r>
              <w:rPr>
                <w:sz w:val="17"/>
              </w:rPr>
              <w:t>Name the Renewal sanitation check (PACKAGE_REMAP in the build design section 15.2) and quote its message in the Renewal FRS and in FRS BRD-13 v1.2.</w:t>
            </w:r>
          </w:p>
        </w:tc>
      </w:tr>
    </w:tbl>
    <w:p>
      <w:pPr>
        <w:pStyle w:val="BDOISpacer"/>
      </w:pPr>
    </w:p>
    <w:p>
      <w:pPr>
        <w:spacing w:after="0"/>
      </w:pPr>
      <w:r>
        <w:br w:type="page"/>
      </w:r>
    </w:p>
    <w:p>
      <w:pPr>
        <w:pStyle w:val="Heading1"/>
        <w:pBdr>
          <w:bottom w:val="single" w:sz="4" w:space="4" w:color="99C1E7"/>
        </w:pBdr>
      </w:pPr>
      <w:bookmarkStart w:id="127" w:name="_Toc000127"/>
      <w:r>
        <w:rPr/>
        <w:t>10 Sign-off</w:t>
      </w:r>
      <w:bookmarkEnd w:id="127"/>
    </w:p>
    <w:p>
      <w:r>
        <w:rPr/>
        <w:t>By signing, BDOI confirms that this test plan and its workbook cover the Data Migration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BRD-13 Data Migration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Data Migration Test Plan</dc:title>
  <dc:subject>BIBS – BDOI Broker System</dc:subject>
  <dc:creator>iorta TechNXT</dc:creator>
  <cp:keywords>TestPlan, BRD-13,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