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BRD-11 User Access Maintenance Sign-off Pack, release set v2.0</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27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27 Sep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BRD-11 User Access Maintenance business sign-off pack</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Administration (process owner of user access)</w:t>
            </w:r>
          </w:p>
        </w:tc>
        <w:tc>
          <w:tcPr>
            <w:tcW w:type="dxa" w:w="2266"/>
            <w:tcMar>
              <w:top w:w="50" w:type="dxa"/>
              <w:bottom w:w="50" w:type="dxa"/>
              <w:left w:w="90" w:type="dxa"/>
              <w:right w:w="90" w:type="dxa"/>
            </w:tcMar>
            <w:shd w:val="clear" w:color="auto" w:fill="E5F5FF"/>
          </w:tcPr>
          <w:p>
            <w:pPr>
              <w:pStyle w:val="BDOITable"/>
            </w:pPr>
            <w:r>
              <w:rPr>
                <w:sz w:val="18"/>
              </w:rPr>
              <w:t>Business owner of the process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configuration inputs</w:t>
            </w:r>
          </w:p>
        </w:tc>
      </w:tr>
      <w:tr>
        <w:trPr>
          <w:cantSplit w:val="true"/>
        </w:trPr>
        <w:tc>
          <w:tcPr>
            <w:tcW w:type="dxa" w:w="2606"/>
            <w:tcMar>
              <w:top w:w="50" w:type="dxa"/>
              <w:bottom w:w="50" w:type="dxa"/>
              <w:left w:w="90" w:type="dxa"/>
              <w:right w:w="90" w:type="dxa"/>
            </w:tcMar>
          </w:tcPr>
          <w:p>
            <w:pPr>
              <w:pStyle w:val="BDOITable"/>
            </w:pPr>
            <w:r>
              <w:rPr>
                <w:sz w:val="18"/>
              </w:rPr>
              <w:t>BDOI Information Security</w:t>
            </w:r>
          </w:p>
        </w:tc>
        <w:tc>
          <w:tcPr>
            <w:tcW w:type="dxa" w:w="2266"/>
            <w:tcMar>
              <w:top w:w="50" w:type="dxa"/>
              <w:bottom w:w="50" w:type="dxa"/>
              <w:left w:w="90" w:type="dxa"/>
              <w:right w:w="90" w:type="dxa"/>
            </w:tcMar>
          </w:tcPr>
          <w:p>
            <w:pPr>
              <w:pStyle w:val="BDOITable"/>
            </w:pPr>
            <w:r>
              <w:rPr>
                <w:sz w:val="18"/>
              </w:rPr>
              <w:t>Signatory</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Role matrix, menus by persona, separation of duties, password and session values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w:t>
            </w:r>
          </w:p>
        </w:tc>
        <w:tc>
          <w:tcPr>
            <w:tcW w:type="dxa" w:w="2266"/>
            <w:tcMar>
              <w:top w:w="50" w:type="dxa"/>
              <w:bottom w:w="50" w:type="dxa"/>
              <w:left w:w="90" w:type="dxa"/>
              <w:right w:w="90" w:type="dxa"/>
            </w:tcMar>
            <w:shd w:val="clear" w:color="auto" w:fill="E5F5FF"/>
          </w:tcPr>
          <w:p>
            <w:pPr>
              <w:pStyle w:val="BDOITable"/>
            </w:pPr>
            <w:r>
              <w:rPr>
                <w:sz w:val="18"/>
              </w:rPr>
              <w:t>Signatory</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Sign-in and identity integration assumptions (EIAM, UIDM-ISC); System Administrator functions</w:t>
            </w:r>
          </w:p>
        </w:tc>
      </w:tr>
      <w:tr>
        <w:trPr>
          <w:cantSplit w:val="true"/>
        </w:trPr>
        <w:tc>
          <w:tcPr>
            <w:tcW w:type="dxa" w:w="2606"/>
            <w:tcMar>
              <w:top w:w="50" w:type="dxa"/>
              <w:bottom w:w="50" w:type="dxa"/>
              <w:left w:w="90" w:type="dxa"/>
              <w:right w:w="90" w:type="dxa"/>
            </w:tcMar>
          </w:tcPr>
          <w:p>
            <w:pPr>
              <w:pStyle w:val="BDOITable"/>
            </w:pPr>
            <w:r>
              <w:rPr>
                <w:sz w:val="18"/>
              </w:rPr>
              <w:t>Unit heads of the other BRDs</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The menus of their personas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pack is for</w:t>
        </w:r>
        <w:r>
          <w:t xml:space="preserve">	</w:t>
        </w:r>
        <w:r>
          <w:t xml:space="preserve">4</w:t>
        </w:r>
      </w:hyperlink>
    </w:p>
    <w:p>
      <w:pPr>
        <w:pStyle w:val="toc1"/>
      </w:pPr>
      <w:hyperlink w:anchor="_Toc000102" w:history="1">
        <w:r>
          <w:t xml:space="preserve">2 The pack at a glance</w:t>
        </w:r>
        <w:r>
          <w:t xml:space="preserve">	</w:t>
        </w:r>
        <w:r>
          <w:t xml:space="preserve">4</w:t>
        </w:r>
      </w:hyperlink>
    </w:p>
    <w:p>
      <w:pPr>
        <w:pStyle w:val="toc1"/>
      </w:pPr>
      <w:hyperlink w:anchor="_Toc000103" w:history="1">
        <w:r>
          <w:t xml:space="preserve">3 Where to start</w:t>
        </w:r>
        <w:r>
          <w:t xml:space="preserve">	</w:t>
        </w:r>
        <w:r>
          <w:t xml:space="preserve">5</w:t>
        </w:r>
      </w:hyperlink>
    </w:p>
    <w:p>
      <w:pPr>
        <w:pStyle w:val="toc1"/>
      </w:pPr>
      <w:hyperlink w:anchor="_Toc000104" w:history="1">
        <w:r>
          <w:t xml:space="preserve">4 Steps up to closure</w:t>
        </w:r>
        <w:r>
          <w:t xml:space="preserve">	</w:t>
        </w:r>
        <w:r>
          <w:t xml:space="preserve">5</w:t>
        </w:r>
      </w:hyperlink>
    </w:p>
    <w:p>
      <w:pPr>
        <w:pStyle w:val="toc1"/>
      </w:pPr>
      <w:hyperlink w:anchor="_Toc000105" w:history="1">
        <w:r>
          <w:t xml:space="preserve">5 Who signs what</w:t>
        </w:r>
        <w:r>
          <w:t xml:space="preserve">	</w:t>
        </w:r>
        <w:r>
          <w:t xml:space="preserve">6</w:t>
        </w:r>
      </w:hyperlink>
    </w:p>
    <w:p>
      <w:pPr>
        <w:pStyle w:val="toc1"/>
      </w:pPr>
      <w:hyperlink w:anchor="_Toc000106" w:history="1">
        <w:r>
          <w:t xml:space="preserve">6 Configuration inputs</w:t>
        </w:r>
        <w:r>
          <w:t xml:space="preserve">	</w:t>
        </w:r>
        <w:r>
          <w:t xml:space="preserve">8</w:t>
        </w:r>
      </w:hyperlink>
    </w:p>
    <w:p>
      <w:pPr>
        <w:pStyle w:val="toc1"/>
      </w:pPr>
      <w:hyperlink w:anchor="_Toc000107" w:history="1">
        <w:r>
          <w:t xml:space="preserve">7 Change control after sign-off</w:t>
        </w:r>
        <w:r>
          <w:t xml:space="preserve">	</w:t>
        </w:r>
        <w:r>
          <w:t xml:space="preserve">8</w:t>
        </w:r>
      </w:hyperlink>
      <w:r>
        <w:fldChar w:fldCharType="end"/>
      </w:r>
    </w:p>
    <w:p>
      <w:pPr>
        <w:pStyle w:val="Heading1"/>
        <w:pageBreakBefore/>
        <w:pBdr>
          <w:bottom w:val="single" w:sz="4" w:space="4" w:color="99C1E7"/>
        </w:pBdr>
      </w:pPr>
      <w:bookmarkStart w:id="101" w:name="_Toc000101"/>
      <w:r>
        <w:rPr/>
        <w:t>1 What this pack is for</w:t>
      </w:r>
      <w:bookmarkEnd w:id="101"/>
    </w:p>
    <w:p>
      <w:r>
        <w:rPr/>
        <w:t>This pack shows the proposed BRD-11 User Access Maintenance of BIBS, screen by screen, so that BDOI can confirm what it will get and sign it off. User Access Maintenance is a set of Drop 0 (Setup and Data Migration): it holds the users, the group profiles and the permissions that every other BRD checks, and it decides the menu each persona sees. The pack therefore shows the menu of every persona, and BDOI Information Security signs the role matrix and the separation-of-duties rules with the business owner, while BDOI IT signs the sign-in and identity integration assumptions. Signing freezes the content, the screens and the navigation of User Access Maintenance; a later change goes through the Change Management Register with its mandays. The screenshots use fictitious seed data only.</w:t>
      </w:r>
    </w:p>
    <w:p>
      <w:pPr>
        <w:pStyle w:val="Heading1"/>
        <w:pBdr>
          <w:bottom w:val="single" w:sz="4" w:space="4" w:color="99C1E7"/>
        </w:pBdr>
      </w:pPr>
      <w:bookmarkStart w:id="102" w:name="_Toc000102"/>
      <w:r>
        <w:rPr/>
        <w:t>2 The pack at a glance</w:t>
      </w:r>
      <w:bookmarkEnd w:id="102"/>
    </w:p>
    <w:p>
      <w:r>
        <w:rPr/>
        <w:t>The files are numbered so that they sort in reading order in the folder BRD-11_User_Access_Maintenance of Drop 0.</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00_BIBS_StartHere_BRD-11_User_Access_Maintenance_v2.0.docx</w:t>
            </w:r>
          </w:p>
        </w:tc>
        <w:tc>
          <w:tcPr>
            <w:tcW w:type="dxa" w:w="3626"/>
            <w:tcMar>
              <w:top w:w="50" w:type="dxa"/>
              <w:bottom w:w="50" w:type="dxa"/>
              <w:left w:w="90" w:type="dxa"/>
              <w:right w:w="90" w:type="dxa"/>
            </w:tcMar>
          </w:tcPr>
          <w:p>
            <w:pPr>
              <w:pStyle w:val="BDOITable"/>
            </w:pPr>
            <w:r>
              <w:rPr>
                <w:sz w:val="15"/>
              </w:rPr>
              <w:t>Start Here: the map of the pack, who reads what, the steps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01_BIBS_GuideDeck_BRD-11_User_Access_Maintenance_v2.0.pptx</w:t>
            </w:r>
          </w:p>
        </w:tc>
        <w:tc>
          <w:tcPr>
            <w:tcW w:type="dxa" w:w="3626"/>
            <w:tcMar>
              <w:top w:w="50" w:type="dxa"/>
              <w:bottom w:w="50" w:type="dxa"/>
              <w:left w:w="90" w:type="dxa"/>
              <w:right w:w="90" w:type="dxa"/>
            </w:tcMar>
            <w:shd w:val="clear" w:color="auto" w:fill="E5F5FF"/>
          </w:tcPr>
          <w:p>
            <w:pPr>
              <w:pStyle w:val="BDOITable"/>
            </w:pPr>
            <w:r>
              <w:rPr>
                <w:sz w:val="15"/>
              </w:rPr>
              <w:t>Sign-off Pack Guide: purpose, approach, the module at a glance, caveats, entry and exit criteria, change control</w:t>
            </w:r>
          </w:p>
        </w:tc>
        <w:tc>
          <w:tcPr>
            <w:tcW w:type="dxa" w:w="1926"/>
            <w:tcMar>
              <w:top w:w="50" w:type="dxa"/>
              <w:bottom w:w="50" w:type="dxa"/>
              <w:left w:w="90" w:type="dxa"/>
              <w:right w:w="90" w:type="dxa"/>
            </w:tcMar>
            <w:shd w:val="clear" w:color="auto" w:fill="E5F5FF"/>
          </w:tcPr>
          <w:p>
            <w:pPr>
              <w:pStyle w:val="BDOITable"/>
            </w:pPr>
            <w:r>
              <w:rPr>
                <w:sz w:val="15"/>
              </w:rPr>
              <w:t>Business owner, Business Administration, Information Security, BDOI IT;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02_BIBS_FRS_BRD-11_User_Access_Maintenance_v2.0.docx</w:t>
            </w:r>
          </w:p>
        </w:tc>
        <w:tc>
          <w:tcPr>
            <w:tcW w:type="dxa" w:w="3626"/>
            <w:tcMar>
              <w:top w:w="50" w:type="dxa"/>
              <w:bottom w:w="50" w:type="dxa"/>
              <w:left w:w="90" w:type="dxa"/>
              <w:right w:w="90" w:type="dxa"/>
            </w:tcMar>
          </w:tcPr>
          <w:p>
            <w:pPr>
              <w:pStyle w:val="BDOITable"/>
            </w:pPr>
            <w:r>
              <w:rPr>
                <w:sz w:val="15"/>
              </w:rPr>
              <w:t>Functional Requirements Specification v2.0: requirements, the menu of every persona, 18 screen specifications with screenshots, walkthroughs, messages, notifications, reports, the bulk upload, configuration inputs, cross-BRD contract</w:t>
            </w:r>
          </w:p>
        </w:tc>
        <w:tc>
          <w:tcPr>
            <w:tcW w:type="dxa" w:w="1926"/>
            <w:tcMar>
              <w:top w:w="50" w:type="dxa"/>
              <w:bottom w:w="50" w:type="dxa"/>
              <w:left w:w="90" w:type="dxa"/>
              <w:right w:w="90" w:type="dxa"/>
            </w:tcMar>
          </w:tcPr>
          <w:p>
            <w:pPr>
              <w:pStyle w:val="BDOITable"/>
            </w:pPr>
            <w:r>
              <w:rPr>
                <w:sz w:val="15"/>
              </w:rPr>
              <w:t>Business Administration for the requests and reports; Information Security for the role matrix and the separation of duties; BDOI IT for sign-in and identity integration</w:t>
            </w:r>
          </w:p>
        </w:tc>
        <w:tc>
          <w:tcPr>
            <w:tcW w:type="dxa" w:w="1473"/>
            <w:tcMar>
              <w:top w:w="50" w:type="dxa"/>
              <w:bottom w:w="50" w:type="dxa"/>
              <w:left w:w="90" w:type="dxa"/>
              <w:right w:w="90" w:type="dxa"/>
            </w:tcMar>
          </w:tcPr>
          <w:p>
            <w:pPr>
              <w:pStyle w:val="BDOITable"/>
            </w:pPr>
            <w:r>
              <w:rPr>
                <w:sz w:val="15"/>
              </w:rPr>
              <w:t>During the review, with the SIT walkthroughs</w:t>
            </w:r>
          </w:p>
        </w:tc>
      </w:tr>
      <w:tr>
        <w:tc>
          <w:tcPr>
            <w:tcW w:type="dxa" w:w="2946"/>
            <w:tcMar>
              <w:top w:w="50" w:type="dxa"/>
              <w:bottom w:w="50" w:type="dxa"/>
              <w:left w:w="90" w:type="dxa"/>
              <w:right w:w="90" w:type="dxa"/>
            </w:tcMar>
            <w:shd w:val="clear" w:color="auto" w:fill="E5F5FF"/>
          </w:tcPr>
          <w:p>
            <w:pPr>
              <w:pStyle w:val="BDOITable"/>
            </w:pPr>
            <w:r>
              <w:rPr>
                <w:sz w:val="15"/>
              </w:rPr>
              <w:t>03_BIBS_Signoff_BRD-11_User_Access_Maintenance_v2.0.xlsx</w:t>
            </w:r>
          </w:p>
        </w:tc>
        <w:tc>
          <w:tcPr>
            <w:tcW w:type="dxa" w:w="3626"/>
            <w:tcMar>
              <w:top w:w="50" w:type="dxa"/>
              <w:bottom w:w="50" w:type="dxa"/>
              <w:left w:w="90" w:type="dxa"/>
              <w:right w:w="90" w:type="dxa"/>
            </w:tcMar>
            <w:shd w:val="clear" w:color="auto" w:fill="E5F5FF"/>
          </w:tcPr>
          <w:p>
            <w:pPr>
              <w:pStyle w:val="BDOITable"/>
            </w:pPr>
            <w:r>
              <w:rPr>
                <w:sz w:val="15"/>
              </w:rPr>
              <w:t>Sign-off workbook: one row per screen, field, rule and message with the BU review columns; one menu sheet per persona;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signatories sign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04_BIBS_TestPlan_BRD-11_User_Access_Maintenance_v2.0.xlsx</w:t>
            </w:r>
          </w:p>
        </w:tc>
        <w:tc>
          <w:tcPr>
            <w:tcW w:type="dxa" w:w="3626"/>
            <w:tcMar>
              <w:top w:w="50" w:type="dxa"/>
              <w:bottom w:w="50" w:type="dxa"/>
              <w:left w:w="90" w:type="dxa"/>
              <w:right w:w="90" w:type="dxa"/>
            </w:tcMar>
          </w:tcPr>
          <w:p>
            <w:pPr>
              <w:pStyle w:val="BDOITable"/>
            </w:pPr>
            <w:r>
              <w:rPr>
                <w:sz w:val="15"/>
              </w:rPr>
              <w:t>Test plan workbook: the test cases traced to the FRs and to the screens, including one screen case and one message case per screen and the access checks by persona</w:t>
            </w:r>
          </w:p>
        </w:tc>
        <w:tc>
          <w:tcPr>
            <w:tcW w:type="dxa" w:w="1926"/>
            <w:tcMar>
              <w:top w:w="50" w:type="dxa"/>
              <w:bottom w:w="50" w:type="dxa"/>
              <w:left w:w="90" w:type="dxa"/>
              <w:right w:w="90" w:type="dxa"/>
            </w:tcMar>
          </w:tcPr>
          <w:p>
            <w:pPr>
              <w:pStyle w:val="BDOITable"/>
            </w:pPr>
            <w:r>
              <w:rPr>
                <w:sz w:val="15"/>
              </w:rPr>
              <w:t>Business users who will run UAT; Information Security; BDOI IT</w:t>
            </w:r>
          </w:p>
        </w:tc>
        <w:tc>
          <w:tcPr>
            <w:tcW w:type="dxa" w:w="1473"/>
            <w:tcMar>
              <w:top w:w="50" w:type="dxa"/>
              <w:bottom w:w="50" w:type="dxa"/>
              <w:left w:w="90" w:type="dxa"/>
              <w:right w:w="90" w:type="dxa"/>
            </w:tcMar>
          </w:tcPr>
          <w:p>
            <w:pPr>
              <w:pStyle w:val="BDOITable"/>
            </w:pPr>
            <w:r>
              <w:rPr>
                <w:sz w:val="15"/>
              </w:rPr>
              <w:t>After the screens; used again in SIT and UAT</w:t>
            </w:r>
          </w:p>
        </w:tc>
      </w:tr>
      <w:tr>
        <w:tc>
          <w:tcPr>
            <w:tcW w:type="dxa" w:w="2946"/>
            <w:tcMar>
              <w:top w:w="50" w:type="dxa"/>
              <w:bottom w:w="50" w:type="dxa"/>
              <w:left w:w="90" w:type="dxa"/>
              <w:right w:w="90" w:type="dxa"/>
            </w:tcMar>
            <w:shd w:val="clear" w:color="auto" w:fill="E5F5FF"/>
          </w:tcPr>
          <w:p>
            <w:pPr>
              <w:pStyle w:val="BDOITable"/>
            </w:pPr>
            <w:r>
              <w:rPr>
                <w:sz w:val="15"/>
              </w:rPr>
              <w:t>05_BIBS_TestPlan_BRD-11_User_Access_Maintenance_Summary_v2.0.docx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Information Security,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06_BIBS_Templates_BRD-11_Configuration_Inputs_v2.0.xlsx</w:t>
            </w:r>
          </w:p>
        </w:tc>
        <w:tc>
          <w:tcPr>
            <w:tcW w:type="dxa" w:w="3626"/>
            <w:tcMar>
              <w:top w:w="50" w:type="dxa"/>
              <w:bottom w:w="50" w:type="dxa"/>
              <w:left w:w="90" w:type="dxa"/>
              <w:right w:w="90" w:type="dxa"/>
            </w:tcMar>
          </w:tcPr>
          <w:p>
            <w:pPr>
              <w:pStyle w:val="BDOITable"/>
            </w:pPr>
            <w:r>
              <w:rPr>
                <w:sz w:val="15"/>
              </w:rPr>
              <w:t>Configuration input templates: users and roles load, role-to-permission matrix, approval rules and limits, separation-of-duties rules, password and session parameters, lists of values</w:t>
            </w:r>
          </w:p>
        </w:tc>
        <w:tc>
          <w:tcPr>
            <w:tcW w:type="dxa" w:w="1926"/>
            <w:tcMar>
              <w:top w:w="50" w:type="dxa"/>
              <w:bottom w:w="50" w:type="dxa"/>
              <w:left w:w="90" w:type="dxa"/>
              <w:right w:w="90" w:type="dxa"/>
            </w:tcMar>
          </w:tcPr>
          <w:p>
            <w:pPr>
              <w:pStyle w:val="BDOITable"/>
            </w:pPr>
            <w:r>
              <w:rPr>
                <w:sz w:val="15"/>
              </w:rPr>
              <w:t>Business Administration, Information Security, BDOI IT, the unit heads who name their users</w:t>
            </w:r>
          </w:p>
        </w:tc>
        <w:tc>
          <w:tcPr>
            <w:tcW w:type="dxa" w:w="1473"/>
            <w:tcMar>
              <w:top w:w="50" w:type="dxa"/>
              <w:bottom w:w="50" w:type="dxa"/>
              <w:left w:w="90" w:type="dxa"/>
              <w:right w:w="90" w:type="dxa"/>
            </w:tcMar>
          </w:tcPr>
          <w:p>
            <w:pPr>
              <w:pStyle w:val="BDOITable"/>
            </w:pPr>
            <w:r>
              <w:rPr>
                <w:sz w:val="15"/>
              </w:rPr>
              <w:t>During the review; filled in before the first data migration mock and final before UAT</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Business owner (Product Owner, Marketing Business System)</w:t>
            </w:r>
          </w:p>
        </w:tc>
        <w:tc>
          <w:tcPr>
            <w:tcW w:type="dxa" w:w="7592"/>
            <w:tcMar>
              <w:top w:w="50" w:type="dxa"/>
              <w:bottom w:w="50" w:type="dxa"/>
              <w:left w:w="90" w:type="dxa"/>
              <w:right w:w="90" w:type="dxa"/>
            </w:tcMar>
          </w:tcPr>
          <w:p>
            <w:pPr>
              <w:pStyle w:val="BDOITable"/>
            </w:pPr>
            <w:r>
              <w:rPr>
                <w:sz w:val="16"/>
              </w:rPr>
              <w:t>00 Start Here; 01 Guide deck; FRS chapters 1-3 (context and personas), 14 (walkthroughs), 19 (configuration inputs), 21 (sign-off) and 22 (proposed rules for confirmation); workbook Sign-off certificate</w:t>
            </w:r>
          </w:p>
        </w:tc>
      </w:tr>
      <w:tr>
        <w:tc>
          <w:tcPr>
            <w:tcW w:type="dxa" w:w="2380"/>
            <w:tcMar>
              <w:top w:w="50" w:type="dxa"/>
              <w:bottom w:w="50" w:type="dxa"/>
              <w:left w:w="90" w:type="dxa"/>
              <w:right w:w="90" w:type="dxa"/>
            </w:tcMar>
            <w:shd w:val="clear" w:color="auto" w:fill="E5F5FF"/>
          </w:tcPr>
          <w:p>
            <w:pPr>
              <w:pStyle w:val="BDOITable"/>
            </w:pPr>
            <w:r>
              <w:rPr>
                <w:b/>
                <w:sz w:val="16"/>
              </w:rPr>
              <w:t>Business Administration (process owner of user access)</w:t>
            </w:r>
          </w:p>
        </w:tc>
        <w:tc>
          <w:tcPr>
            <w:tcW w:type="dxa" w:w="7592"/>
            <w:tcMar>
              <w:top w:w="50" w:type="dxa"/>
              <w:bottom w:w="50" w:type="dxa"/>
              <w:left w:w="90" w:type="dxa"/>
              <w:right w:w="90" w:type="dxa"/>
            </w:tcMar>
            <w:shd w:val="clear" w:color="auto" w:fill="E5F5FF"/>
          </w:tcPr>
          <w:p>
            <w:pPr>
              <w:pStyle w:val="BDOITable"/>
            </w:pPr>
            <w:r>
              <w:rPr>
                <w:sz w:val="16"/>
              </w:rPr>
              <w:t>FRS chapter 13 screens SCR-UA-06 to SCR-UA-12, SCR-UA-14 and SCR-UA-17; walkthroughs A and B; chapter 18 (bulk upload); chapter 19 templates CI-01, CI-03 and CI-06; workbook Screen catalogue, Field register, Business rules and Messages of those screens</w:t>
            </w:r>
          </w:p>
        </w:tc>
      </w:tr>
      <w:tr>
        <w:tc>
          <w:tcPr>
            <w:tcW w:type="dxa" w:w="2380"/>
            <w:tcMar>
              <w:top w:w="50" w:type="dxa"/>
              <w:bottom w:w="50" w:type="dxa"/>
              <w:left w:w="90" w:type="dxa"/>
              <w:right w:w="90" w:type="dxa"/>
            </w:tcMar>
          </w:tcPr>
          <w:p>
            <w:pPr>
              <w:pStyle w:val="BDOITable"/>
            </w:pPr>
            <w:r>
              <w:rPr>
                <w:b/>
                <w:sz w:val="16"/>
              </w:rPr>
              <w:t>BDOI Information Security</w:t>
            </w:r>
          </w:p>
        </w:tc>
        <w:tc>
          <w:tcPr>
            <w:tcW w:type="dxa" w:w="7592"/>
            <w:tcMar>
              <w:top w:w="50" w:type="dxa"/>
              <w:bottom w:w="50" w:type="dxa"/>
              <w:left w:w="90" w:type="dxa"/>
              <w:right w:w="90" w:type="dxa"/>
            </w:tcMar>
          </w:tcPr>
          <w:p>
            <w:pPr>
              <w:pStyle w:val="BDOITable"/>
            </w:pPr>
            <w:r>
              <w:rPr>
                <w:sz w:val="16"/>
              </w:rPr>
              <w:t>FRS chapter 3 (personas and permissions), chapter 12 (menu of every persona) and its workbook sheets Menu by persona and Menu &lt;role&gt;; chapter 13 rules of SCR-UA-07, SCR-UA-08, SCR-UA-12, SCR-UA-15, SCR-UA-16 and SCR-UA-18 (separation of duties, second approval, emergency path); walkthroughs C and D; templates CI-02, CI-04 and CI-05</w:t>
            </w:r>
          </w:p>
        </w:tc>
      </w:tr>
      <w:tr>
        <w:tc>
          <w:tcPr>
            <w:tcW w:type="dxa" w:w="2380"/>
            <w:tcMar>
              <w:top w:w="50" w:type="dxa"/>
              <w:bottom w:w="50" w:type="dxa"/>
              <w:left w:w="90" w:type="dxa"/>
              <w:right w:w="90" w:type="dxa"/>
            </w:tcMar>
            <w:shd w:val="clear" w:color="auto" w:fill="E5F5FF"/>
          </w:tcPr>
          <w:p>
            <w:pPr>
              <w:pStyle w:val="BDOITable"/>
            </w:pPr>
            <w:r>
              <w:rPr>
                <w:b/>
                <w:sz w:val="16"/>
              </w:rPr>
              <w:t>BDOI IT</w:t>
            </w:r>
          </w:p>
        </w:tc>
        <w:tc>
          <w:tcPr>
            <w:tcW w:type="dxa" w:w="7592"/>
            <w:tcMar>
              <w:top w:w="50" w:type="dxa"/>
              <w:bottom w:w="50" w:type="dxa"/>
              <w:left w:w="90" w:type="dxa"/>
              <w:right w:w="90" w:type="dxa"/>
            </w:tcMar>
            <w:shd w:val="clear" w:color="auto" w:fill="E5F5FF"/>
          </w:tcPr>
          <w:p>
            <w:pPr>
              <w:pStyle w:val="BDOITable"/>
            </w:pPr>
            <w:r>
              <w:rPr>
                <w:sz w:val="16"/>
              </w:rPr>
              <w:t>FRS chapter 7 (interfaces: EIAM on Entra ID, UIDM-ISC), chapter 8 (non-functional requirements), screens SCR-UA-01 to SCR-UA-05, SCR-UA-15 and SCR-UA-18, chapter 20 lines IC-08 to IC-11; template CI-05; the caveats of the Guide deck</w:t>
            </w:r>
          </w:p>
        </w:tc>
      </w:tr>
      <w:tr>
        <w:tc>
          <w:tcPr>
            <w:tcW w:type="dxa" w:w="2380"/>
            <w:tcMar>
              <w:top w:w="50" w:type="dxa"/>
              <w:bottom w:w="50" w:type="dxa"/>
              <w:left w:w="90" w:type="dxa"/>
              <w:right w:w="90" w:type="dxa"/>
            </w:tcMar>
          </w:tcPr>
          <w:p>
            <w:pPr>
              <w:pStyle w:val="BDOITable"/>
            </w:pPr>
            <w:r>
              <w:rPr>
                <w:b/>
                <w:sz w:val="16"/>
              </w:rPr>
              <w:t>Unit heads of the other BRDs (New Business, Operations, Finance, Compliance, Claims, Employee Benefits)</w:t>
            </w:r>
          </w:p>
        </w:tc>
        <w:tc>
          <w:tcPr>
            <w:tcW w:type="dxa" w:w="7592"/>
            <w:tcMar>
              <w:top w:w="50" w:type="dxa"/>
              <w:bottom w:w="50" w:type="dxa"/>
              <w:left w:w="90" w:type="dxa"/>
              <w:right w:w="90" w:type="dxa"/>
            </w:tcMar>
          </w:tcPr>
          <w:p>
            <w:pPr>
              <w:pStyle w:val="BDOITable"/>
            </w:pPr>
            <w:r>
              <w:rPr>
                <w:sz w:val="16"/>
              </w:rPr>
              <w:t>FRS chapter 12, the menu table of their personas, and the workbook sheet Menu &lt;role&gt; of each; walkthrough A (a new user sees exactly the menu of the persona)</w:t>
            </w:r>
          </w:p>
        </w:tc>
      </w:tr>
      <w:tr>
        <w:tc>
          <w:tcPr>
            <w:tcW w:type="dxa" w:w="2380"/>
            <w:tcMar>
              <w:top w:w="50" w:type="dxa"/>
              <w:bottom w:w="50" w:type="dxa"/>
              <w:left w:w="90" w:type="dxa"/>
              <w:right w:w="90" w:type="dxa"/>
            </w:tcMar>
            <w:shd w:val="clear" w:color="auto" w:fill="E5F5FF"/>
          </w:tcPr>
          <w:p>
            <w:pPr>
              <w:pStyle w:val="BDOITable"/>
            </w:pPr>
            <w:r>
              <w:rPr>
                <w:b/>
                <w:sz w:val="16"/>
              </w:rPr>
              <w:t>iorta TechNXT project team</w:t>
            </w:r>
          </w:p>
        </w:tc>
        <w:tc>
          <w:tcPr>
            <w:tcW w:type="dxa" w:w="7592"/>
            <w:tcMar>
              <w:top w:w="50" w:type="dxa"/>
              <w:bottom w:w="50" w:type="dxa"/>
              <w:left w:w="90" w:type="dxa"/>
              <w:right w:w="90" w:type="dxa"/>
            </w:tcMar>
            <w:shd w:val="clear" w:color="auto" w:fill="E5F5FF"/>
          </w:tcPr>
          <w:p>
            <w:pPr>
              <w:pStyle w:val="BDOITable"/>
            </w:pPr>
            <w:r>
              <w:rPr>
                <w:sz w:val="16"/>
              </w:rPr>
              <w:t>All documents; keeps the comments log, the meeting minutes and the version history of the workbook, answers every comment and keeps the traceability to SIT and UAT</w:t>
            </w:r>
          </w:p>
        </w:tc>
      </w:tr>
    </w:tbl>
    <w:p>
      <w:pPr>
        <w:pStyle w:val="BDOISpacer"/>
      </w:pPr>
    </w:p>
    <w:p>
      <w:r>
        <w:rPr/>
        <w:t>SIT users of the seed data for the review: requestor (Requestor), uamapprover (Approver), secapprover (Second Approver), badmin (Business Administrator), admin (System Administrator), auditor (Auditor), infosec (Information Security Officer) and approver (New Business Approver); the users of the other personas are named in FRS chapter 12.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Pack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v2.0 in the BRD-11 folder of Drop 0; invitations to the sessions</w:t>
            </w:r>
          </w:p>
        </w:tc>
        <w:tc>
          <w:tcPr>
            <w:tcW w:type="dxa" w:w="1926"/>
            <w:tcMar>
              <w:top w:w="50" w:type="dxa"/>
              <w:bottom w:w="50" w:type="dxa"/>
              <w:left w:w="90" w:type="dxa"/>
              <w:right w:w="90" w:type="dxa"/>
            </w:tcMar>
          </w:tcPr>
          <w:p>
            <w:pPr>
              <w:pStyle w:val="BDOITable"/>
            </w:pPr>
            <w:r>
              <w:rPr>
                <w:sz w:val="15"/>
              </w:rPr>
              <w:t>Day 0 (Mon 2-Nov-2026)</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screen walkthrough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BDOI Product Owner; C: Business Administration, Information Security, BDOI IT; I: unit heads of the other BRDs</w:t>
            </w:r>
          </w:p>
        </w:tc>
        <w:tc>
          <w:tcPr>
            <w:tcW w:type="dxa" w:w="2946"/>
            <w:tcMar>
              <w:top w:w="50" w:type="dxa"/>
              <w:bottom w:w="50" w:type="dxa"/>
              <w:left w:w="90" w:type="dxa"/>
              <w:right w:w="90" w:type="dxa"/>
            </w:tcMar>
            <w:shd w:val="clear" w:color="auto" w:fill="E5F5FF"/>
          </w:tcPr>
          <w:p>
            <w:pPr>
              <w:pStyle w:val="BDOITable"/>
            </w:pPr>
            <w:r>
              <w:rPr>
                <w:sz w:val="15"/>
              </w:rPr>
              <w:t>Screens shown live;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2 sessions, Mon 9 and Tue 10-Nov-2026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 configuration inputs started</w:t>
            </w:r>
          </w:p>
        </w:tc>
        <w:tc>
          <w:tcPr>
            <w:tcW w:type="dxa" w:w="2946"/>
            <w:tcMar>
              <w:top w:w="50" w:type="dxa"/>
              <w:bottom w:w="50" w:type="dxa"/>
              <w:left w:w="90" w:type="dxa"/>
              <w:right w:w="90" w:type="dxa"/>
            </w:tcMar>
          </w:tcPr>
          <w:p>
            <w:pPr>
              <w:pStyle w:val="BDOITable"/>
            </w:pPr>
            <w:r>
              <w:rPr>
                <w:sz w:val="15"/>
              </w:rPr>
              <w:t>R: Business Administration, Information Security, BDOI IT, unit heads for their menus; A: BDOI Product Owner;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comments log entries; first drafts of the templates (users, role matrix, rules, parameters)</w:t>
            </w:r>
          </w:p>
        </w:tc>
        <w:tc>
          <w:tcPr>
            <w:tcW w:type="dxa" w:w="1926"/>
            <w:tcMar>
              <w:top w:w="50" w:type="dxa"/>
              <w:bottom w:w="50" w:type="dxa"/>
              <w:left w:w="90" w:type="dxa"/>
              <w:right w:w="90" w:type="dxa"/>
            </w:tcMar>
          </w:tcPr>
          <w:p>
            <w:pPr>
              <w:pStyle w:val="BDOITable"/>
            </w:pPr>
            <w:r>
              <w:rPr>
                <w:sz w:val="15"/>
              </w:rPr>
              <w:t>8 working days after the walkthroughs, until Fri 20-Nov-2026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BDOI Product Owner;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3 working days, Q&amp;A on Tue 24-Nov-2026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(v2.1)</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v2.1 with the changed rows marked; change requests raised for the rest</w:t>
            </w:r>
          </w:p>
        </w:tc>
        <w:tc>
          <w:tcPr>
            <w:tcW w:type="dxa" w:w="1926"/>
            <w:tcMar>
              <w:top w:w="50" w:type="dxa"/>
              <w:bottom w:w="50" w:type="dxa"/>
              <w:left w:w="90" w:type="dxa"/>
              <w:right w:w="90" w:type="dxa"/>
            </w:tcMar>
          </w:tcPr>
          <w:p>
            <w:pPr>
              <w:pStyle w:val="BDOITable"/>
            </w:pPr>
            <w:r>
              <w:rPr>
                <w:sz w:val="15"/>
              </w:rPr>
              <w:t>v2.1 on Thu 26-Nov-2026; check by the reviewers until Fri 27-Nov-2026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BDOI Product Owner; C: Business Administration, Information Security, BDOI IT</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open items accepted as assumptions or change requests</w:t>
            </w:r>
          </w:p>
        </w:tc>
        <w:tc>
          <w:tcPr>
            <w:tcW w:type="dxa" w:w="1926"/>
            <w:tcMar>
              <w:top w:w="50" w:type="dxa"/>
              <w:bottom w:w="50" w:type="dxa"/>
              <w:left w:w="90" w:type="dxa"/>
              <w:right w:w="90" w:type="dxa"/>
            </w:tcMar>
            <w:shd w:val="clear" w:color="auto" w:fill="E5F5FF"/>
          </w:tcPr>
          <w:p>
            <w:pPr>
              <w:pStyle w:val="BDOITable"/>
            </w:pPr>
            <w:r>
              <w:rPr>
                <w:sz w:val="15"/>
              </w:rPr>
              <w:t>Tue 1-Dec-2026</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Content freeze; configuration inputs loaded</w:t>
            </w:r>
          </w:p>
        </w:tc>
        <w:tc>
          <w:tcPr>
            <w:tcW w:type="dxa" w:w="2946"/>
            <w:tcMar>
              <w:top w:w="50" w:type="dxa"/>
              <w:bottom w:w="50" w:type="dxa"/>
              <w:left w:w="90" w:type="dxa"/>
              <w:right w:w="90" w:type="dxa"/>
            </w:tcMar>
          </w:tcPr>
          <w:p>
            <w:pPr>
              <w:pStyle w:val="BDOITable"/>
            </w:pPr>
            <w:r>
              <w:rPr>
                <w:sz w:val="15"/>
              </w:rPr>
              <w:t>R: iorta TechNXT delivery lead; A: BDOI Product Owner; I: BDOI IT, Information Security, other BRD owners, Data Migration working group</w:t>
            </w:r>
          </w:p>
        </w:tc>
        <w:tc>
          <w:tcPr>
            <w:tcW w:type="dxa" w:w="2946"/>
            <w:tcMar>
              <w:top w:w="50" w:type="dxa"/>
              <w:bottom w:w="50" w:type="dxa"/>
              <w:left w:w="90" w:type="dxa"/>
              <w:right w:w="90" w:type="dxa"/>
            </w:tcMar>
          </w:tcPr>
          <w:p>
            <w:pPr>
              <w:pStyle w:val="BDOITable"/>
            </w:pPr>
            <w:r>
              <w:rPr>
                <w:sz w:val="15"/>
              </w:rPr>
              <w:t>Content frozen as signed; approved deltas scheduled in the Change Management Register; role matrix implemented by group-profile requests; users loaded by bulk requests before the first mock</w:t>
            </w:r>
          </w:p>
        </w:tc>
        <w:tc>
          <w:tcPr>
            <w:tcW w:type="dxa" w:w="1926"/>
            <w:tcMar>
              <w:top w:w="50" w:type="dxa"/>
              <w:bottom w:w="50" w:type="dxa"/>
              <w:left w:w="90" w:type="dxa"/>
              <w:right w:w="90" w:type="dxa"/>
            </w:tcMar>
          </w:tcPr>
          <w:p>
            <w:pPr>
              <w:pStyle w:val="BDOITable"/>
            </w:pPr>
            <w:r>
              <w:rPr>
                <w:sz w:val="15"/>
              </w:rPr>
              <w:t>From Wed 2-Dec-2026; templates final before UAT</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BDOI Product Owner; C: business users, Information Security</w:t>
            </w:r>
          </w:p>
        </w:tc>
        <w:tc>
          <w:tcPr>
            <w:tcW w:type="dxa" w:w="2946"/>
            <w:tcMar>
              <w:top w:w="50" w:type="dxa"/>
              <w:bottom w:w="50" w:type="dxa"/>
              <w:left w:w="90" w:type="dxa"/>
              <w:right w:w="90" w:type="dxa"/>
            </w:tcMar>
            <w:shd w:val="clear" w:color="auto" w:fill="E5F5FF"/>
          </w:tcPr>
          <w:p>
            <w:pPr>
              <w:pStyle w:val="BDOITable"/>
            </w:pPr>
            <w:r>
              <w:rPr>
                <w:sz w:val="15"/>
              </w:rPr>
              <w:t>SIT and UAT runs traced to the signed screens, rules, messages and persona menus; results against each row</w:t>
            </w:r>
          </w:p>
        </w:tc>
        <w:tc>
          <w:tcPr>
            <w:tcW w:type="dxa" w:w="1926"/>
            <w:tcMar>
              <w:top w:w="50" w:type="dxa"/>
              <w:bottom w:w="50" w:type="dxa"/>
              <w:left w:w="90" w:type="dxa"/>
              <w:right w:w="90" w:type="dxa"/>
            </w:tcMar>
            <w:shd w:val="clear" w:color="auto" w:fill="E5F5FF"/>
          </w:tcPr>
          <w:p>
            <w:pPr>
              <w:pStyle w:val="BDOITable"/>
            </w:pPr>
            <w:r>
              <w:rPr>
                <w:sz w:val="15"/>
              </w:rPr>
              <w:t>SIT Apr - Jul 2027; UAT Aug - Oct 2027</w:t>
            </w:r>
          </w:p>
        </w:tc>
      </w:tr>
    </w:tbl>
    <w:p>
      <w:pPr>
        <w:pStyle w:val="BDOISpacer"/>
      </w:pPr>
    </w:p>
    <w:p>
      <w:r>
        <w:rPr>
          <w:b/>
        </w:rPr>
        <w:t>How to review.</w:t>
      </w:r>
      <w:r>
        <w:rPr/>
        <w:t xml:space="preserve"> Open the FRS chapters of your area or the same screens on SIT. In the sign-off workbook, set BU review to Accept, Change requested or Comment on each row you review (sheets Screen standards, Screen catalogue, Field register, Business rules, Messages, and the Menu sheet of each persona you own), write the change in BU comment, and add your name and the date. Questions go to the Comments log sheet. One workbook per unit is enough.</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Units</w:t>
            </w:r>
          </w:p>
        </w:tc>
      </w:tr>
      <w:tr>
        <w:trPr>
          <w:cantSplit w:val="true"/>
        </w:trPr>
        <w:tc>
          <w:tcPr>
            <w:tcW w:type="dxa" w:w="2040"/>
            <w:tcMar>
              <w:top w:w="50" w:type="dxa"/>
              <w:bottom w:w="50" w:type="dxa"/>
              <w:left w:w="90" w:type="dxa"/>
              <w:right w:w="90" w:type="dxa"/>
            </w:tcMar>
          </w:tcPr>
          <w:p>
            <w:pPr>
              <w:pStyle w:val="BDOITable"/>
            </w:pPr>
            <w:r>
              <w:rPr>
                <w:sz w:val="18"/>
              </w:rPr>
              <w:t>Mon 9-Nov-2026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a new user from the request to the first sign-in with the menu of the persona (walkthrough A); a change, a revocation and a group-profile change (walkthrough B)</w:t>
            </w:r>
          </w:p>
        </w:tc>
        <w:tc>
          <w:tcPr>
            <w:tcW w:type="dxa" w:w="2493"/>
            <w:tcMar>
              <w:top w:w="50" w:type="dxa"/>
              <w:bottom w:w="50" w:type="dxa"/>
              <w:left w:w="90" w:type="dxa"/>
              <w:right w:w="90" w:type="dxa"/>
            </w:tcMar>
          </w:tcPr>
          <w:p>
            <w:pPr>
              <w:pStyle w:val="BDOITable"/>
            </w:pPr>
            <w:r>
              <w:rPr>
                <w:sz w:val="18"/>
              </w:rPr>
              <w:t>Business Administration, Information Security, unit heads</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Tue 10-Nov-2026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Refused cases and messages (walkthrough C); the reports, the matrix and the insurer roles hidden from BDOI (walkthrough D); sign-in, passwords and sessions; the configuration input templates</w:t>
            </w:r>
          </w:p>
        </w:tc>
        <w:tc>
          <w:tcPr>
            <w:tcW w:type="dxa" w:w="2493"/>
            <w:tcMar>
              <w:top w:w="50" w:type="dxa"/>
              <w:bottom w:w="50" w:type="dxa"/>
              <w:left w:w="90" w:type="dxa"/>
              <w:right w:w="90" w:type="dxa"/>
            </w:tcMar>
            <w:shd w:val="clear" w:color="auto" w:fill="E5F5FF"/>
          </w:tcPr>
          <w:p>
            <w:pPr>
              <w:pStyle w:val="BDOITable"/>
            </w:pPr>
            <w:r>
              <w:rPr>
                <w:sz w:val="18"/>
              </w:rPr>
              <w:t>Information Security, BDOI IT, Business Administration, Data Migration working group</w:t>
            </w:r>
          </w:p>
        </w:tc>
      </w:tr>
    </w:tbl>
    <w:p>
      <w:pPr>
        <w:pStyle w:val="BDOISpacer"/>
      </w:pPr>
    </w:p>
    <w:p>
      <w:pPr>
        <w:pStyle w:val="Heading1"/>
        <w:pBdr>
          <w:bottom w:val="single" w:sz="4" w:space="4" w:color="99C1E7"/>
        </w:pBdr>
      </w:pPr>
      <w:bookmarkStart w:id="105" w:name="_Toc000105"/>
      <w:r>
        <w:rPr/>
        <w:t>5 Who signs what</w:t>
      </w:r>
      <w:bookmarkEnd w:id="105"/>
    </w:p>
    <w:p>
      <w:r>
        <w:rPr/>
        <w:t>The set holds business content only: the screens and fields, the columns of the lists, reports and templates that the user sees or fills in, the validations, business rules, messages, notifications, documents, walkthroughs and reports. The business users sign that content. Technical content (the interfaces between systems, data storage, security set-up) is not part of the set: it is in the Technical Specification, a separate document reviewed by BDOI IT. The roles are those of the approval sheet of the BRD: iorta TechNXT prepares the set, the business units provide the input and review their parts, BDOI IT reviews the interfaces, the user access and the Technical Specification, the Program Manager of Business Project Services reviews the traceability and the completeness, and the Product Owner approves the whole set.</w:t>
      </w:r>
    </w:p>
    <w:p>
      <w:pPr>
        <w:pStyle w:val="Caption"/>
        <w:keepNext/>
        <w:spacing w:after="60"/>
      </w:pPr>
      <w:r>
        <w:rPr>
          <w:b/>
          <w:i w:val="0"/>
        </w:rPr>
        <w:t xml:space="preserve">Table 5: </w:t>
      </w:r>
      <w:r>
        <w:rPr/>
        <w:t>Who signs what: responsibility per part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359"/>
        <w:gridCol w:w="1813"/>
        <w:gridCol w:w="1699"/>
        <w:gridCol w:w="215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Part of the set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5"/>
              </w:rPr>
              <w:t>Provides input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Reviews</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Approves</w:t>
            </w:r>
          </w:p>
        </w:tc>
      </w:tr>
      <w:tr>
        <w:tc>
          <w:tcPr>
            <w:tcW w:type="dxa" w:w="2946"/>
            <w:tcMar>
              <w:top w:w="50" w:type="dxa"/>
              <w:bottom w:w="50" w:type="dxa"/>
              <w:left w:w="90" w:type="dxa"/>
              <w:right w:w="90" w:type="dxa"/>
            </w:tcMar>
          </w:tcPr>
          <w:p>
            <w:pPr>
              <w:pStyle w:val="BDOITable"/>
            </w:pPr>
            <w:r>
              <w:rPr>
                <w:b/>
                <w:sz w:val="15"/>
              </w:rPr>
              <w:t>Screens and fields (FRS screen specifications; workbook Screen catalogue, Field register)</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BU representative (MBS), Business Administration</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Business rules and validations (four eyes, password and session rules)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BU representative (MBS), Business Administration, BA (BPS)</w:t>
            </w:r>
          </w:p>
        </w:tc>
        <w:tc>
          <w:tcPr>
            <w:tcW w:type="dxa" w:w="1700"/>
            <w:tcMar>
              <w:top w:w="50" w:type="dxa"/>
              <w:bottom w:w="50" w:type="dxa"/>
              <w:left w:w="90" w:type="dxa"/>
              <w:right w:w="90" w:type="dxa"/>
            </w:tcMar>
            <w:shd w:val="clear" w:color="auto" w:fill="E5F5FF"/>
          </w:tcPr>
          <w:p>
            <w:pPr>
              <w:pStyle w:val="BDOITable"/>
            </w:pPr>
            <w:r>
              <w:rPr>
                <w:sz w:val="15"/>
              </w:rPr>
              <w:t>Program Manager (BPS), Information Security</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Messages and notifications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Business Administration</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Documents and reports (access reports, audit log)</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BU representative (MBS), Business Administration</w:t>
            </w:r>
          </w:p>
        </w:tc>
        <w:tc>
          <w:tcPr>
            <w:tcW w:type="dxa" w:w="1700"/>
            <w:tcMar>
              <w:top w:w="50" w:type="dxa"/>
              <w:bottom w:w="50" w:type="dxa"/>
              <w:left w:w="90" w:type="dxa"/>
              <w:right w:w="90" w:type="dxa"/>
            </w:tcMar>
            <w:shd w:val="clear" w:color="auto" w:fill="E5F5FF"/>
          </w:tcPr>
          <w:p>
            <w:pPr>
              <w:pStyle w:val="BDOITable"/>
            </w:pPr>
            <w:r>
              <w:rPr>
                <w:sz w:val="15"/>
              </w:rPr>
              <w:t>Program Manager (BPS), Information Security</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Walkthroughs (end-to-end, screen by screen)</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BU representative (MBS), Business Administration</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Proposed business rules and clarifications for confirmation</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BA (BPS), BU representative (MBS)</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Role matrix and menus by persona (who may do what)</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BU representative (MBS), Business Administration</w:t>
            </w:r>
          </w:p>
        </w:tc>
        <w:tc>
          <w:tcPr>
            <w:tcW w:type="dxa" w:w="1700"/>
            <w:tcMar>
              <w:top w:w="50" w:type="dxa"/>
              <w:bottom w:w="50" w:type="dxa"/>
              <w:left w:w="90" w:type="dxa"/>
              <w:right w:w="90" w:type="dxa"/>
            </w:tcMar>
          </w:tcPr>
          <w:p>
            <w:pPr>
              <w:pStyle w:val="BDOITable"/>
            </w:pPr>
            <w:r>
              <w:rPr>
                <w:sz w:val="15"/>
              </w:rPr>
              <w:t>Information Security, BDOI IT</w:t>
            </w:r>
          </w:p>
        </w:tc>
        <w:tc>
          <w:tcPr>
            <w:tcW w:type="dxa" w:w="2153"/>
            <w:tcMar>
              <w:top w:w="50" w:type="dxa"/>
              <w:bottom w:w="50" w:type="dxa"/>
              <w:left w:w="90" w:type="dxa"/>
              <w:right w:w="90" w:type="dxa"/>
            </w:tcMar>
          </w:tcPr>
          <w:p>
            <w:pPr>
              <w:pStyle w:val="BDOITable"/>
            </w:pPr>
            <w:r>
              <w:rPr>
                <w:sz w:val="15"/>
              </w:rPr>
              <w:t>Product Owner, UH Claims and Risk Management, UH Combank and Corbank, Head Comptrollership, Head Retail Marketing, Head Corporate and Retail Marketing</w:t>
            </w:r>
          </w:p>
        </w:tc>
      </w:tr>
      <w:tr>
        <w:tc>
          <w:tcPr>
            <w:tcW w:type="dxa" w:w="2946"/>
            <w:tcMar>
              <w:top w:w="50" w:type="dxa"/>
              <w:bottom w:w="50" w:type="dxa"/>
              <w:left w:w="90" w:type="dxa"/>
              <w:right w:w="90" w:type="dxa"/>
            </w:tcMar>
            <w:shd w:val="clear" w:color="auto" w:fill="E5F5FF"/>
          </w:tcPr>
          <w:p>
            <w:pPr>
              <w:pStyle w:val="BDOITable"/>
            </w:pPr>
            <w:r>
              <w:rPr>
                <w:b/>
                <w:sz w:val="15"/>
              </w:rPr>
              <w:t>Interfaces and sign-in (EIAM, UIDM-ISC, directory)</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Business Administration</w:t>
            </w:r>
          </w:p>
        </w:tc>
        <w:tc>
          <w:tcPr>
            <w:tcW w:type="dxa" w:w="1700"/>
            <w:tcMar>
              <w:top w:w="50" w:type="dxa"/>
              <w:bottom w:w="50" w:type="dxa"/>
              <w:left w:w="90" w:type="dxa"/>
              <w:right w:w="90" w:type="dxa"/>
            </w:tcMar>
            <w:shd w:val="clear" w:color="auto" w:fill="E5F5FF"/>
          </w:tcPr>
          <w:p>
            <w:pPr>
              <w:pStyle w:val="BDOITable"/>
            </w:pPr>
            <w:r>
              <w:rPr>
                <w:sz w:val="15"/>
              </w:rPr>
              <w:t>BDOI IT, Information Security</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Test plan (04 workbook, 05 summary)</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BU representative (MBS), Business Administration</w:t>
            </w:r>
          </w:p>
        </w:tc>
        <w:tc>
          <w:tcPr>
            <w:tcW w:type="dxa" w:w="1700"/>
            <w:tcMar>
              <w:top w:w="50" w:type="dxa"/>
              <w:bottom w:w="50" w:type="dxa"/>
              <w:left w:w="90" w:type="dxa"/>
              <w:right w:w="90" w:type="dxa"/>
            </w:tcMar>
          </w:tcPr>
          <w:p>
            <w:pPr>
              <w:pStyle w:val="BDOITable"/>
            </w:pPr>
            <w:r>
              <w:rPr>
                <w:sz w:val="15"/>
              </w:rPr>
              <w:t>Program Manager (BPS), BDOI IT</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Configuration inputs (06 templates, Drop 0)</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Business Administration, BU representative (MBS)</w:t>
            </w:r>
          </w:p>
        </w:tc>
        <w:tc>
          <w:tcPr>
            <w:tcW w:type="dxa" w:w="1700"/>
            <w:tcMar>
              <w:top w:w="50" w:type="dxa"/>
              <w:bottom w:w="50" w:type="dxa"/>
              <w:left w:w="90" w:type="dxa"/>
              <w:right w:w="90" w:type="dxa"/>
            </w:tcMar>
            <w:shd w:val="clear" w:color="auto" w:fill="E5F5FF"/>
          </w:tcPr>
          <w:p>
            <w:pPr>
              <w:pStyle w:val="BDOITable"/>
            </w:pPr>
            <w:r>
              <w:rPr>
                <w:sz w:val="15"/>
              </w:rPr>
              <w:t>Information Security, Program Manager (BPS)</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Technical Specification (separate document, not part of the business sign-off)</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BDOI IT</w:t>
            </w:r>
          </w:p>
        </w:tc>
        <w:tc>
          <w:tcPr>
            <w:tcW w:type="dxa" w:w="1700"/>
            <w:tcMar>
              <w:top w:w="50" w:type="dxa"/>
              <w:bottom w:w="50" w:type="dxa"/>
              <w:left w:w="90" w:type="dxa"/>
              <w:right w:w="90" w:type="dxa"/>
            </w:tcMar>
          </w:tcPr>
          <w:p>
            <w:pPr>
              <w:pStyle w:val="BDOITable"/>
            </w:pPr>
            <w:r>
              <w:rPr>
                <w:sz w:val="15"/>
              </w:rPr>
              <w:t>BDOI IT, Information Security</w:t>
            </w:r>
          </w:p>
        </w:tc>
        <w:tc>
          <w:tcPr>
            <w:tcW w:type="dxa" w:w="2153"/>
            <w:tcMar>
              <w:top w:w="50" w:type="dxa"/>
              <w:bottom w:w="50" w:type="dxa"/>
              <w:left w:w="90" w:type="dxa"/>
              <w:right w:w="90" w:type="dxa"/>
            </w:tcMar>
          </w:tcPr>
          <w:p>
            <w:pPr>
              <w:pStyle w:val="BDOITable"/>
            </w:pPr>
            <w:r>
              <w:rPr>
                <w:sz w:val="15"/>
              </w:rPr>
              <w:t>BDOI IT</w:t>
            </w:r>
          </w:p>
        </w:tc>
      </w:tr>
    </w:tbl>
    <w:p>
      <w:pPr>
        <w:pStyle w:val="BDOISpacer"/>
      </w:pPr>
    </w:p>
    <w:p>
      <w:pPr>
        <w:pStyle w:val="Caption"/>
        <w:keepNext/>
        <w:spacing w:after="60"/>
      </w:pPr>
      <w:r>
        <w:rPr>
          <w:b/>
          <w:i w:val="0"/>
        </w:rPr>
        <w:t xml:space="preserve">Table 6: </w:t>
      </w:r>
      <w:r>
        <w:rPr/>
        <w:t>Signatories and what each confirms (BRD-11 sign-off sheet p.19 (Owner: "I own this document and approve all of its contents"))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833"/>
        <w:gridCol w:w="3853"/>
        <w:gridCol w:w="203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Capacity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5"/>
              </w:rPr>
              <w:t>Confirms by signing</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On the BRD approval sheet</w:t>
            </w:r>
          </w:p>
        </w:tc>
      </w:tr>
      <w:tr>
        <w:tc>
          <w:tcPr>
            <w:tcW w:type="dxa" w:w="1246"/>
            <w:tcMar>
              <w:top w:w="50" w:type="dxa"/>
              <w:bottom w:w="50" w:type="dxa"/>
              <w:left w:w="90" w:type="dxa"/>
              <w:right w:w="90" w:type="dxa"/>
            </w:tcMar>
          </w:tcPr>
          <w:p>
            <w:pPr>
              <w:pStyle w:val="BDOITable"/>
            </w:pPr>
            <w:r>
              <w:rPr>
                <w:sz w:val="15"/>
              </w:rPr>
              <w:t>Prepared by</w:t>
            </w:r>
          </w:p>
        </w:tc>
        <w:tc>
          <w:tcPr>
            <w:tcW w:type="dxa" w:w="2833"/>
            <w:tcMar>
              <w:top w:w="50" w:type="dxa"/>
              <w:bottom w:w="50" w:type="dxa"/>
              <w:left w:w="90" w:type="dxa"/>
              <w:right w:w="90" w:type="dxa"/>
            </w:tcMar>
          </w:tcPr>
          <w:p>
            <w:pPr>
              <w:pStyle w:val="BDOITable"/>
            </w:pPr>
            <w:r>
              <w:rPr>
                <w:sz w:val="15"/>
              </w:rPr>
              <w:t>iorta TechNXT project team: Project Manager, Business Analysis, test lead (iorta TechNXT)</w:t>
            </w:r>
          </w:p>
        </w:tc>
        <w:tc>
          <w:tcPr>
            <w:tcW w:type="dxa" w:w="3853"/>
            <w:tcMar>
              <w:top w:w="50" w:type="dxa"/>
              <w:bottom w:w="50" w:type="dxa"/>
              <w:left w:w="90" w:type="dxa"/>
              <w:right w:w="90" w:type="dxa"/>
            </w:tcMar>
          </w:tcPr>
          <w:p>
            <w:pPr>
              <w:pStyle w:val="BDOITable"/>
            </w:pPr>
            <w:r>
              <w:rPr>
                <w:sz w:val="15"/>
              </w:rPr>
              <w:t>The set is complete and consistent as issued, traced to the BRD and to the screens; every comment is answered in the comments log</w:t>
            </w:r>
          </w:p>
        </w:tc>
        <w:tc>
          <w:tcPr>
            <w:tcW w:type="dxa" w:w="2040"/>
            <w:tcMar>
              <w:top w:w="50" w:type="dxa"/>
              <w:bottom w:w="50" w:type="dxa"/>
              <w:left w:w="90" w:type="dxa"/>
              <w:right w:w="90" w:type="dxa"/>
            </w:tcMar>
          </w:tcPr>
          <w:p>
            <w:pPr>
              <w:pStyle w:val="BDOITable"/>
            </w:pPr>
            <w:r>
              <w:rPr>
                <w:sz w:val="15"/>
              </w:rPr>
              <w:t>Added for this set (author of the FRS set)</w:t>
            </w:r>
          </w:p>
        </w:tc>
      </w:tr>
      <w:tr>
        <w:tc>
          <w:tcPr>
            <w:tcW w:type="dxa" w:w="1246"/>
            <w:tcMar>
              <w:top w:w="50" w:type="dxa"/>
              <w:bottom w:w="50" w:type="dxa"/>
              <w:left w:w="90" w:type="dxa"/>
              <w:right w:w="90" w:type="dxa"/>
            </w:tcMar>
            <w:shd w:val="clear" w:color="auto" w:fill="E5F5FF"/>
          </w:tcPr>
          <w:p>
            <w:pPr>
              <w:pStyle w:val="BDOITable"/>
            </w:pPr>
            <w:r>
              <w:rPr>
                <w:sz w:val="15"/>
              </w:rPr>
              <w:t>Prepared by</w:t>
            </w:r>
          </w:p>
        </w:tc>
        <w:tc>
          <w:tcPr>
            <w:tcW w:type="dxa" w:w="2833"/>
            <w:tcMar>
              <w:top w:w="50" w:type="dxa"/>
              <w:bottom w:w="50" w:type="dxa"/>
              <w:left w:w="90" w:type="dxa"/>
              <w:right w:w="90" w:type="dxa"/>
            </w:tcMar>
            <w:shd w:val="clear" w:color="auto" w:fill="E5F5FF"/>
          </w:tcPr>
          <w:p>
            <w:pPr>
              <w:pStyle w:val="BDOITable"/>
            </w:pPr>
            <w:r>
              <w:rPr>
                <w:sz w:val="15"/>
              </w:rPr>
              <w:t>Business Analyst, Enterprise Services - Business Process Services (BPS) (BDO Unibank ESG)</w:t>
            </w:r>
          </w:p>
        </w:tc>
        <w:tc>
          <w:tcPr>
            <w:tcW w:type="dxa" w:w="3853"/>
            <w:tcMar>
              <w:top w:w="50" w:type="dxa"/>
              <w:bottom w:w="50" w:type="dxa"/>
              <w:left w:w="90" w:type="dxa"/>
              <w:right w:w="90" w:type="dxa"/>
            </w:tcMar>
            <w:shd w:val="clear" w:color="auto" w:fill="E5F5FF"/>
          </w:tcPr>
          <w:p>
            <w:pPr>
              <w:pStyle w:val="BDOITable"/>
            </w:pPr>
            <w:r>
              <w:rPr>
                <w:sz w:val="15"/>
              </w:rPr>
              <w:t>The set states the BRD requirements as written; every departure is listed in the proposed rules and clarifications</w:t>
            </w:r>
          </w:p>
        </w:tc>
        <w:tc>
          <w:tcPr>
            <w:tcW w:type="dxa" w:w="2040"/>
            <w:tcMar>
              <w:top w:w="50" w:type="dxa"/>
              <w:bottom w:w="50" w:type="dxa"/>
              <w:left w:w="90" w:type="dxa"/>
              <w:right w:w="90" w:type="dxa"/>
            </w:tcMar>
            <w:shd w:val="clear" w:color="auto" w:fill="E5F5FF"/>
          </w:tcPr>
          <w:p>
            <w:pPr>
              <w:pStyle w:val="BDOITable"/>
            </w:pPr>
            <w:r>
              <w:rPr>
                <w:sz w:val="15"/>
              </w:rPr>
              <w:t>Prepared by (p.19)</w:t>
            </w:r>
          </w:p>
        </w:tc>
      </w:tr>
      <w:tr>
        <w:tc>
          <w:tcPr>
            <w:tcW w:type="dxa" w:w="1246"/>
            <w:tcMar>
              <w:top w:w="50" w:type="dxa"/>
              <w:bottom w:w="50" w:type="dxa"/>
              <w:left w:w="90" w:type="dxa"/>
              <w:right w:w="90" w:type="dxa"/>
            </w:tcMar>
          </w:tcPr>
          <w:p>
            <w:pPr>
              <w:pStyle w:val="BDOITable"/>
            </w:pPr>
            <w:r>
              <w:rPr>
                <w:sz w:val="15"/>
              </w:rPr>
              <w:t>Input provided by</w:t>
            </w:r>
          </w:p>
        </w:tc>
        <w:tc>
          <w:tcPr>
            <w:tcW w:type="dxa" w:w="2833"/>
            <w:tcMar>
              <w:top w:w="50" w:type="dxa"/>
              <w:bottom w:w="50" w:type="dxa"/>
              <w:left w:w="90" w:type="dxa"/>
              <w:right w:w="90" w:type="dxa"/>
            </w:tcMar>
          </w:tcPr>
          <w:p>
            <w:pPr>
              <w:pStyle w:val="BDOITable"/>
            </w:pPr>
            <w:r>
              <w:rPr>
                <w:sz w:val="15"/>
              </w:rPr>
              <w:t>BU representative, Marketing Business System (MBS) (BDOI)</w:t>
            </w:r>
          </w:p>
        </w:tc>
        <w:tc>
          <w:tcPr>
            <w:tcW w:type="dxa" w:w="3853"/>
            <w:tcMar>
              <w:top w:w="50" w:type="dxa"/>
              <w:bottom w:w="50" w:type="dxa"/>
              <w:left w:w="90" w:type="dxa"/>
              <w:right w:w="90" w:type="dxa"/>
            </w:tcMar>
          </w:tcPr>
          <w:p>
            <w:pPr>
              <w:pStyle w:val="BDOITable"/>
            </w:pPr>
            <w:r>
              <w:rPr>
                <w:sz w:val="15"/>
              </w:rPr>
              <w:t>The request, approval, group-profile and report screens match the business input</w:t>
            </w:r>
          </w:p>
        </w:tc>
        <w:tc>
          <w:tcPr>
            <w:tcW w:type="dxa" w:w="2040"/>
            <w:tcMar>
              <w:top w:w="50" w:type="dxa"/>
              <w:bottom w:w="50" w:type="dxa"/>
              <w:left w:w="90" w:type="dxa"/>
              <w:right w:w="90" w:type="dxa"/>
            </w:tcMar>
          </w:tcPr>
          <w:p>
            <w:pPr>
              <w:pStyle w:val="BDOITable"/>
            </w:pPr>
            <w:r>
              <w:rPr>
                <w:sz w:val="15"/>
              </w:rPr>
              <w:t>Input provider (p.19)</w:t>
            </w:r>
          </w:p>
        </w:tc>
      </w:tr>
      <w:tr>
        <w:tc>
          <w:tcPr>
            <w:tcW w:type="dxa" w:w="1246"/>
            <w:tcMar>
              <w:top w:w="50" w:type="dxa"/>
              <w:bottom w:w="50" w:type="dxa"/>
              <w:left w:w="90" w:type="dxa"/>
              <w:right w:w="90" w:type="dxa"/>
            </w:tcMar>
            <w:shd w:val="clear" w:color="auto" w:fill="E5F5FF"/>
          </w:tcPr>
          <w:p>
            <w:pPr>
              <w:pStyle w:val="BDOITable"/>
            </w:pPr>
            <w:r>
              <w:rPr>
                <w:sz w:val="15"/>
              </w:rPr>
              <w:t>Input provided by</w:t>
            </w:r>
          </w:p>
        </w:tc>
        <w:tc>
          <w:tcPr>
            <w:tcW w:type="dxa" w:w="2833"/>
            <w:tcMar>
              <w:top w:w="50" w:type="dxa"/>
              <w:bottom w:w="50" w:type="dxa"/>
              <w:left w:w="90" w:type="dxa"/>
              <w:right w:w="90" w:type="dxa"/>
            </w:tcMar>
            <w:shd w:val="clear" w:color="auto" w:fill="E5F5FF"/>
          </w:tcPr>
          <w:p>
            <w:pPr>
              <w:pStyle w:val="BDOITable"/>
            </w:pPr>
            <w:r>
              <w:rPr>
                <w:sz w:val="15"/>
              </w:rPr>
              <w:t>Business Administration (user access maintenance) (BDOI)</w:t>
            </w:r>
          </w:p>
        </w:tc>
        <w:tc>
          <w:tcPr>
            <w:tcW w:type="dxa" w:w="3853"/>
            <w:tcMar>
              <w:top w:w="50" w:type="dxa"/>
              <w:bottom w:w="50" w:type="dxa"/>
              <w:left w:w="90" w:type="dxa"/>
              <w:right w:w="90" w:type="dxa"/>
            </w:tcMar>
            <w:shd w:val="clear" w:color="auto" w:fill="E5F5FF"/>
          </w:tcPr>
          <w:p>
            <w:pPr>
              <w:pStyle w:val="BDOITable"/>
            </w:pPr>
            <w:r>
              <w:rPr>
                <w:sz w:val="15"/>
              </w:rPr>
              <w:t>The daily handling of the requests and the configuration inputs of templates CI-01 to CI-06</w:t>
            </w:r>
          </w:p>
        </w:tc>
        <w:tc>
          <w:tcPr>
            <w:tcW w:type="dxa" w:w="2040"/>
            <w:tcMar>
              <w:top w:w="50" w:type="dxa"/>
              <w:bottom w:w="50" w:type="dxa"/>
              <w:left w:w="90" w:type="dxa"/>
              <w:right w:w="90" w:type="dxa"/>
            </w:tcMar>
            <w:shd w:val="clear" w:color="auto" w:fill="E5F5FF"/>
          </w:tcPr>
          <w:p>
            <w:pPr>
              <w:pStyle w:val="BDOITable"/>
            </w:pPr>
            <w:r>
              <w:rPr>
                <w:sz w:val="15"/>
              </w:rPr>
              <w:t>Added for this set</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Program Manager, Enterprise Services - Business Process Services (BPS) (BDO Unibank ESG)</w:t>
            </w:r>
          </w:p>
        </w:tc>
        <w:tc>
          <w:tcPr>
            <w:tcW w:type="dxa" w:w="3853"/>
            <w:tcMar>
              <w:top w:w="50" w:type="dxa"/>
              <w:bottom w:w="50" w:type="dxa"/>
              <w:left w:w="90" w:type="dxa"/>
              <w:right w:w="90" w:type="dxa"/>
            </w:tcMar>
          </w:tcPr>
          <w:p>
            <w:pPr>
              <w:pStyle w:val="BDOITable"/>
            </w:pPr>
            <w:r>
              <w:rPr>
                <w:sz w:val="15"/>
              </w:rPr>
              <w:t>Traceability of every BRD requirement to the set and completeness of the set ("validated the completeness of business requirements")</w:t>
            </w:r>
          </w:p>
        </w:tc>
        <w:tc>
          <w:tcPr>
            <w:tcW w:type="dxa" w:w="2040"/>
            <w:tcMar>
              <w:top w:w="50" w:type="dxa"/>
              <w:bottom w:w="50" w:type="dxa"/>
              <w:left w:w="90" w:type="dxa"/>
              <w:right w:w="90" w:type="dxa"/>
            </w:tcMar>
          </w:tcPr>
          <w:p>
            <w:pPr>
              <w:pStyle w:val="BDOITable"/>
            </w:pPr>
            <w:r>
              <w:rPr>
                <w:sz w:val="15"/>
              </w:rPr>
              <w:t>Reviewed by (p.19)</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BDOI Information Security (BDOI)</w:t>
            </w:r>
          </w:p>
        </w:tc>
        <w:tc>
          <w:tcPr>
            <w:tcW w:type="dxa" w:w="3853"/>
            <w:tcMar>
              <w:top w:w="50" w:type="dxa"/>
              <w:bottom w:w="50" w:type="dxa"/>
              <w:left w:w="90" w:type="dxa"/>
              <w:right w:w="90" w:type="dxa"/>
            </w:tcMar>
            <w:shd w:val="clear" w:color="auto" w:fill="E5F5FF"/>
          </w:tcPr>
          <w:p>
            <w:pPr>
              <w:pStyle w:val="BDOITable"/>
            </w:pPr>
            <w:r>
              <w:rPr>
                <w:sz w:val="15"/>
              </w:rPr>
              <w:t>The role matrix, the menus by persona, the separation-of-duties rules, the password and session rules and the audit log</w:t>
            </w:r>
          </w:p>
        </w:tc>
        <w:tc>
          <w:tcPr>
            <w:tcW w:type="dxa" w:w="2040"/>
            <w:tcMar>
              <w:top w:w="50" w:type="dxa"/>
              <w:bottom w:w="50" w:type="dxa"/>
              <w:left w:w="90" w:type="dxa"/>
              <w:right w:w="90" w:type="dxa"/>
            </w:tcMar>
            <w:shd w:val="clear" w:color="auto" w:fill="E5F5FF"/>
          </w:tcPr>
          <w:p>
            <w:pPr>
              <w:pStyle w:val="BDOITable"/>
            </w:pPr>
            <w:r>
              <w:rPr>
                <w:sz w:val="15"/>
              </w:rPr>
              <w:t>Added for this set</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BDOI Information Technology Group (BDOI IT) (BDOI)</w:t>
            </w:r>
          </w:p>
        </w:tc>
        <w:tc>
          <w:tcPr>
            <w:tcW w:type="dxa" w:w="3853"/>
            <w:tcMar>
              <w:top w:w="50" w:type="dxa"/>
              <w:bottom w:w="50" w:type="dxa"/>
              <w:left w:w="90" w:type="dxa"/>
              <w:right w:w="90" w:type="dxa"/>
            </w:tcMar>
          </w:tcPr>
          <w:p>
            <w:pPr>
              <w:pStyle w:val="BDOITable"/>
            </w:pPr>
            <w:r>
              <w:rPr>
                <w:sz w:val="15"/>
              </w:rPr>
              <w:t>Sign-in and identity interfaces (EIAM, UIDM-ISC), the System Administrator functions and the Technical Specification (a separate document); not the business screens</w:t>
            </w:r>
          </w:p>
        </w:tc>
        <w:tc>
          <w:tcPr>
            <w:tcW w:type="dxa" w:w="2040"/>
            <w:tcMar>
              <w:top w:w="50" w:type="dxa"/>
              <w:bottom w:w="50" w:type="dxa"/>
              <w:left w:w="90" w:type="dxa"/>
              <w:right w:w="90" w:type="dxa"/>
            </w:tcMar>
          </w:tcPr>
          <w:p>
            <w:pPr>
              <w:pStyle w:val="BDOITable"/>
            </w:pPr>
            <w:r>
              <w:rPr>
                <w:sz w:val="15"/>
              </w:rPr>
              <w:t>Added for this set</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Product Owner, Marketing Business System (BDOI)</w:t>
            </w:r>
          </w:p>
        </w:tc>
        <w:tc>
          <w:tcPr>
            <w:tcW w:type="dxa" w:w="3853"/>
            <w:tcMar>
              <w:top w:w="50" w:type="dxa"/>
              <w:bottom w:w="50" w:type="dxa"/>
              <w:left w:w="90" w:type="dxa"/>
              <w:right w:w="90" w:type="dxa"/>
            </w:tcMar>
            <w:shd w:val="clear" w:color="auto" w:fill="E5F5FF"/>
          </w:tcPr>
          <w:p>
            <w:pPr>
              <w:pStyle w:val="BDOITable"/>
            </w:pPr>
            <w:r>
              <w:rPr>
                <w:sz w:val="15"/>
              </w:rPr>
              <w:t>Owns the set and approves all of its contents</w:t>
            </w:r>
          </w:p>
        </w:tc>
        <w:tc>
          <w:tcPr>
            <w:tcW w:type="dxa" w:w="2040"/>
            <w:tcMar>
              <w:top w:w="50" w:type="dxa"/>
              <w:bottom w:w="50" w:type="dxa"/>
              <w:left w:w="90" w:type="dxa"/>
              <w:right w:w="90" w:type="dxa"/>
            </w:tcMar>
            <w:shd w:val="clear" w:color="auto" w:fill="E5F5FF"/>
          </w:tcPr>
          <w:p>
            <w:pPr>
              <w:pStyle w:val="BDOITable"/>
            </w:pPr>
            <w:r>
              <w:rPr>
                <w:sz w:val="15"/>
              </w:rPr>
              <w:t>Approved by, owner (p.19)</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Unit Head - Claims and Risk Management (BDOI)</w:t>
            </w:r>
          </w:p>
        </w:tc>
        <w:tc>
          <w:tcPr>
            <w:tcW w:type="dxa" w:w="3853"/>
            <w:tcMar>
              <w:top w:w="50" w:type="dxa"/>
              <w:bottom w:w="50" w:type="dxa"/>
              <w:left w:w="90" w:type="dxa"/>
              <w:right w:w="90" w:type="dxa"/>
            </w:tcMar>
          </w:tcPr>
          <w:p>
            <w:pPr>
              <w:pStyle w:val="BDOITable"/>
            </w:pPr>
            <w:r>
              <w:rPr>
                <w:sz w:val="15"/>
              </w:rPr>
              <w:t>The access of the Claims and Risk Management users</w:t>
            </w:r>
          </w:p>
        </w:tc>
        <w:tc>
          <w:tcPr>
            <w:tcW w:type="dxa" w:w="2040"/>
            <w:tcMar>
              <w:top w:w="50" w:type="dxa"/>
              <w:bottom w:w="50" w:type="dxa"/>
              <w:left w:w="90" w:type="dxa"/>
              <w:right w:w="90" w:type="dxa"/>
            </w:tcMar>
          </w:tcPr>
          <w:p>
            <w:pPr>
              <w:pStyle w:val="BDOITable"/>
            </w:pPr>
            <w:r>
              <w:rPr>
                <w:sz w:val="15"/>
              </w:rPr>
              <w:t>Approved by (p.19)</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Unit Head - Combank and Corbank Marketing / Corporate Processing (BDOI)</w:t>
            </w:r>
          </w:p>
        </w:tc>
        <w:tc>
          <w:tcPr>
            <w:tcW w:type="dxa" w:w="3853"/>
            <w:tcMar>
              <w:top w:w="50" w:type="dxa"/>
              <w:bottom w:w="50" w:type="dxa"/>
              <w:left w:w="90" w:type="dxa"/>
              <w:right w:w="90" w:type="dxa"/>
            </w:tcMar>
            <w:shd w:val="clear" w:color="auto" w:fill="E5F5FF"/>
          </w:tcPr>
          <w:p>
            <w:pPr>
              <w:pStyle w:val="BDOITable"/>
            </w:pPr>
            <w:r>
              <w:rPr>
                <w:sz w:val="15"/>
              </w:rPr>
              <w:t>The access of the Combank, Corbank and Corporate Processing users</w:t>
            </w:r>
          </w:p>
        </w:tc>
        <w:tc>
          <w:tcPr>
            <w:tcW w:type="dxa" w:w="2040"/>
            <w:tcMar>
              <w:top w:w="50" w:type="dxa"/>
              <w:bottom w:w="50" w:type="dxa"/>
              <w:left w:w="90" w:type="dxa"/>
              <w:right w:w="90" w:type="dxa"/>
            </w:tcMar>
            <w:shd w:val="clear" w:color="auto" w:fill="E5F5FF"/>
          </w:tcPr>
          <w:p>
            <w:pPr>
              <w:pStyle w:val="BDOITable"/>
            </w:pPr>
            <w:r>
              <w:rPr>
                <w:sz w:val="15"/>
              </w:rPr>
              <w:t>Approved by (p.19)</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 Comptrollership (BDOI)</w:t>
            </w:r>
          </w:p>
        </w:tc>
        <w:tc>
          <w:tcPr>
            <w:tcW w:type="dxa" w:w="3853"/>
            <w:tcMar>
              <w:top w:w="50" w:type="dxa"/>
              <w:bottom w:w="50" w:type="dxa"/>
              <w:left w:w="90" w:type="dxa"/>
              <w:right w:w="90" w:type="dxa"/>
            </w:tcMar>
          </w:tcPr>
          <w:p>
            <w:pPr>
              <w:pStyle w:val="BDOITable"/>
            </w:pPr>
            <w:r>
              <w:rPr>
                <w:sz w:val="15"/>
              </w:rPr>
              <w:t>The access of the Comptrollership users</w:t>
            </w:r>
          </w:p>
        </w:tc>
        <w:tc>
          <w:tcPr>
            <w:tcW w:type="dxa" w:w="2040"/>
            <w:tcMar>
              <w:top w:w="50" w:type="dxa"/>
              <w:bottom w:w="50" w:type="dxa"/>
              <w:left w:w="90" w:type="dxa"/>
              <w:right w:w="90" w:type="dxa"/>
            </w:tcMar>
          </w:tcPr>
          <w:p>
            <w:pPr>
              <w:pStyle w:val="BDOITable"/>
            </w:pPr>
            <w:r>
              <w:rPr>
                <w:sz w:val="15"/>
              </w:rPr>
              <w:t>Approved by (p.19)</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Head - Retail Marketing (BDOI)</w:t>
            </w:r>
          </w:p>
        </w:tc>
        <w:tc>
          <w:tcPr>
            <w:tcW w:type="dxa" w:w="3853"/>
            <w:tcMar>
              <w:top w:w="50" w:type="dxa"/>
              <w:bottom w:w="50" w:type="dxa"/>
              <w:left w:w="90" w:type="dxa"/>
              <w:right w:w="90" w:type="dxa"/>
            </w:tcMar>
            <w:shd w:val="clear" w:color="auto" w:fill="E5F5FF"/>
          </w:tcPr>
          <w:p>
            <w:pPr>
              <w:pStyle w:val="BDOITable"/>
            </w:pPr>
            <w:r>
              <w:rPr>
                <w:sz w:val="15"/>
              </w:rPr>
              <w:t>The access of the Retail Marketing users</w:t>
            </w:r>
          </w:p>
        </w:tc>
        <w:tc>
          <w:tcPr>
            <w:tcW w:type="dxa" w:w="2040"/>
            <w:tcMar>
              <w:top w:w="50" w:type="dxa"/>
              <w:bottom w:w="50" w:type="dxa"/>
              <w:left w:w="90" w:type="dxa"/>
              <w:right w:w="90" w:type="dxa"/>
            </w:tcMar>
            <w:shd w:val="clear" w:color="auto" w:fill="E5F5FF"/>
          </w:tcPr>
          <w:p>
            <w:pPr>
              <w:pStyle w:val="BDOITable"/>
            </w:pPr>
            <w:r>
              <w:rPr>
                <w:sz w:val="15"/>
              </w:rPr>
              <w:t>Approved by (p.19)</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 Corporate and Retail Marketing (BDOI)</w:t>
            </w:r>
          </w:p>
        </w:tc>
        <w:tc>
          <w:tcPr>
            <w:tcW w:type="dxa" w:w="3853"/>
            <w:tcMar>
              <w:top w:w="50" w:type="dxa"/>
              <w:bottom w:w="50" w:type="dxa"/>
              <w:left w:w="90" w:type="dxa"/>
              <w:right w:w="90" w:type="dxa"/>
            </w:tcMar>
          </w:tcPr>
          <w:p>
            <w:pPr>
              <w:pStyle w:val="BDOITable"/>
            </w:pPr>
            <w:r>
              <w:rPr>
                <w:sz w:val="15"/>
              </w:rPr>
              <w:t>The access of the Corporate Marketing users</w:t>
            </w:r>
          </w:p>
        </w:tc>
        <w:tc>
          <w:tcPr>
            <w:tcW w:type="dxa" w:w="2040"/>
            <w:tcMar>
              <w:top w:w="50" w:type="dxa"/>
              <w:bottom w:w="50" w:type="dxa"/>
              <w:left w:w="90" w:type="dxa"/>
              <w:right w:w="90" w:type="dxa"/>
            </w:tcMar>
          </w:tcPr>
          <w:p>
            <w:pPr>
              <w:pStyle w:val="BDOITable"/>
            </w:pPr>
            <w:r>
              <w:rPr>
                <w:sz w:val="15"/>
              </w:rPr>
              <w:t>Approved by (p.19)</w:t>
            </w:r>
          </w:p>
        </w:tc>
      </w:tr>
    </w:tbl>
    <w:p>
      <w:pPr>
        <w:pStyle w:val="BDOISpacer"/>
      </w:pPr>
    </w:p>
    <w:p>
      <w:r>
        <w:rPr/>
        <w:t>The signatories sign the Sign-off certificate sheet of the sign-off workbook in the same order: prepared by, input provided by, reviewed by, approved by.</w:t>
      </w:r>
    </w:p>
    <w:p>
      <w:pPr>
        <w:pStyle w:val="Heading1"/>
        <w:pBdr>
          <w:bottom w:val="single" w:sz="4" w:space="4" w:color="99C1E7"/>
        </w:pBdr>
      </w:pPr>
      <w:bookmarkStart w:id="106" w:name="_Toc000106"/>
      <w:r>
        <w:rPr/>
        <w:t>6 Configuration inputs</w:t>
      </w:r>
      <w:bookmarkEnd w:id="106"/>
    </w:p>
    <w:p>
      <w:r>
        <w:rPr/>
        <w:t>The workbook of configuration input templates lists what the business provides to set up User Access Maintenance: the users and their group profiles (loaded with the bulk request), the role-to-permission matrix (implemented by group-profile requests), the approvers, approval rules and limits, the separation-of-duties rules, the password, session and sign-in values and the lists of values (FRS chapter 19). The owners start the templates during the review; the users and the role matrix are due before the first data migration mock, and the parameters agreed with Information Security before UAT.</w:t>
      </w:r>
    </w:p>
    <w:p>
      <w:pPr>
        <w:pStyle w:val="Heading1"/>
        <w:pBdr>
          <w:bottom w:val="single" w:sz="4" w:space="4" w:color="99C1E7"/>
        </w:pBdr>
      </w:pPr>
      <w:bookmarkStart w:id="107" w:name="_Toc000107"/>
      <w:r>
        <w:rPr/>
        <w:t>7 Change control after sign-off</w:t>
      </w:r>
      <w:bookmarkEnd w:id="107"/>
    </w:p>
    <w:p>
      <w:r>
        <w:rPr/>
        <w:t>Signing freezes the User Access Maintenance screens, fields, navigation, actions, separation-of-duties and other business rules, messages, notifications, reports, templates and the cross-BRD contract as specified. The configuration itself (the group profiles and their permissions, the users, the approvers, the list values and the parameters) is maintained through requests and audited changes and is not frozen; the menus follow the profiles. A change to anything frozen is raised in the Change Management Register with the screen, field, rule or message concerned, assessed with its mandays and its effect on the other BRDs, approved by the owners of every BRD it touches and, for a separation-of-duties or sign-in change, by BDOI Information Security, and delivered as a new version of the set; only the affected pages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BRD-11 User Access Maintenance</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Guide Start Here</dc:title>
  <dc:subject>BIBS – BDOI Broker System</dc:subject>
  <dc:creator>iorta TechNXT</dc:creator>
  <cp:keywords>StartHere, BRD-11,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