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58</w:t>
          </w:r>
        </w:p>
        <w:p>
          <w:pPr>
            <w:pStyle w:val="TOC1"/>
            <w:tabs>
              <w:tab w:val="right" w:leader="dot" w:pos="9630"/>
            </w:tabs>
          </w:pPr>
          <w:r>
            <w:t xml:space="preserve">Process Flow</w:t>
          </w:r>
          <w:r>
            <w:tab/>
          </w:r>
          <w:r>
            <w:t xml:space="preserve">166</w:t>
          </w:r>
        </w:p>
        <w:p>
          <w:pPr>
            <w:pStyle w:val="TOC1"/>
            <w:tabs>
              <w:tab w:val="right" w:leader="dot" w:pos="9630"/>
            </w:tabs>
          </w:pPr>
          <w:r>
            <w:t xml:space="preserve">Signoff Sheet</w:t>
          </w:r>
          <w:r>
            <w:tab/>
          </w:r>
          <w:r>
            <w:t xml:space="preserve">174</w:t>
          </w:r>
        </w:p>
        <w:p>
          <w:pPr>
            <w:pStyle w:val="TOC1"/>
            <w:tabs>
              <w:tab w:val="right" w:leader="dot" w:pos="9630"/>
            </w:tabs>
          </w:pPr>
          <w:r>
            <w:t xml:space="preserve">Annex A – Renewal Fields</w:t>
          </w:r>
          <w:r>
            <w:tab/>
          </w:r>
          <w:r>
            <w:t xml:space="preserve">175</w:t>
          </w:r>
        </w:p>
        <w:p>
          <w:pPr>
            <w:pStyle w:val="TOC1"/>
            <w:tabs>
              <w:tab w:val="right" w:leader="dot" w:pos="9630"/>
            </w:tabs>
          </w:pPr>
          <w:r>
            <w:t xml:space="preserve">Annex B – Duplicate Checking Criteria</w:t>
          </w:r>
          <w:r>
            <w:tab/>
          </w:r>
          <w:r>
            <w:t xml:space="preserve">175</w:t>
          </w:r>
        </w:p>
        <w:p>
          <w:pPr>
            <w:pStyle w:val="TOC1"/>
            <w:tabs>
              <w:tab w:val="right" w:leader="dot" w:pos="9630"/>
            </w:tabs>
          </w:pPr>
          <w:r>
            <w:t xml:space="preserve">Annex C - Sanitation Rules per Market Segment</w:t>
          </w:r>
          <w:r>
            <w:tab/>
          </w:r>
          <w:r>
            <w:t xml:space="preserve">177</w:t>
          </w:r>
        </w:p>
        <w:p>
          <w:pPr>
            <w:pStyle w:val="TOC2"/>
            <w:tabs>
              <w:tab w:val="right" w:leader="dot" w:pos="9630"/>
            </w:tabs>
          </w:pPr>
          <w:r>
            <w:t xml:space="preserve">I. Non-CBG</w:t>
          </w:r>
          <w:r>
            <w:tab/>
          </w:r>
          <w:r>
            <w:t xml:space="preserve">177</w:t>
          </w:r>
        </w:p>
        <w:p>
          <w:pPr>
            <w:pStyle w:val="TOC2"/>
            <w:tabs>
              <w:tab w:val="right" w:leader="dot" w:pos="9630"/>
            </w:tabs>
          </w:pPr>
          <w:r>
            <w:t xml:space="preserve">II. CBG Motor</w:t>
          </w:r>
          <w:r>
            <w:tab/>
          </w:r>
          <w:r>
            <w:t xml:space="preserve">177</w:t>
          </w:r>
        </w:p>
        <w:p>
          <w:pPr>
            <w:pStyle w:val="TOC2"/>
            <w:tabs>
              <w:tab w:val="right" w:leader="dot" w:pos="9630"/>
            </w:tabs>
          </w:pPr>
          <w:r>
            <w:t xml:space="preserve">III. CBG Home</w:t>
          </w:r>
          <w:r>
            <w:tab/>
          </w:r>
          <w:r>
            <w:t xml:space="preserve">180</w:t>
          </w:r>
        </w:p>
        <w:p>
          <w:pPr>
            <w:pStyle w:val="TOC1"/>
            <w:tabs>
              <w:tab w:val="right" w:leader="dot" w:pos="9630"/>
            </w:tabs>
          </w:pPr>
          <w:r>
            <w:t xml:space="preserve">Annex D - CBG Motor Automatic Field Update Details</w:t>
          </w:r>
          <w:r>
            <w:tab/>
          </w:r>
          <w:r>
            <w:t xml:space="preserve">180</w:t>
          </w:r>
        </w:p>
        <w:p>
          <w:pPr>
            <w:pStyle w:val="TOC1"/>
            <w:tabs>
              <w:tab w:val="right" w:leader="dot" w:pos="9630"/>
            </w:tabs>
          </w:pPr>
          <w:r>
            <w:t xml:space="preserve">Annex E – CBG Motor Automatic Field Update Details (Auto Promo to Regular)</w:t>
          </w:r>
          <w:r>
            <w:tab/>
          </w:r>
          <w:r>
            <w:t xml:space="preserve">182</w:t>
          </w:r>
        </w:p>
        <w:p>
          <w:pPr>
            <w:pStyle w:val="TOC1"/>
            <w:tabs>
              <w:tab w:val="right" w:leader="dot" w:pos="9630"/>
            </w:tabs>
          </w:pPr>
          <w:r>
            <w:t xml:space="preserve">Annex F – Auto Assignment Logic Per Market Segment</w:t>
          </w:r>
          <w:r>
            <w:tab/>
          </w:r>
          <w:r>
            <w:t xml:space="preserve">184</w:t>
          </w:r>
        </w:p>
        <w:p>
          <w:pPr>
            <w:pStyle w:val="TOC2"/>
            <w:tabs>
              <w:tab w:val="right" w:leader="dot" w:pos="9630"/>
            </w:tabs>
          </w:pPr>
          <w:r>
            <w:t xml:space="preserve">I. Corporate</w:t>
          </w:r>
          <w:r>
            <w:tab/>
          </w:r>
          <w:r>
            <w:t xml:space="preserve">184</w:t>
          </w:r>
        </w:p>
        <w:p>
          <w:pPr>
            <w:pStyle w:val="TOC2"/>
            <w:tabs>
              <w:tab w:val="right" w:leader="dot" w:pos="9630"/>
            </w:tabs>
          </w:pPr>
          <w:r>
            <w:t xml:space="preserve">II. Retail</w:t>
          </w:r>
          <w:r>
            <w:tab/>
          </w:r>
          <w:r>
            <w:t xml:space="preserve">184</w:t>
          </w:r>
        </w:p>
        <w:p>
          <w:pPr>
            <w:pStyle w:val="TOC2"/>
            <w:tabs>
              <w:tab w:val="right" w:leader="dot" w:pos="9630"/>
            </w:tabs>
          </w:pPr>
          <w:r>
            <w:t xml:space="preserve">III. CBG Motor</w:t>
          </w:r>
          <w:r>
            <w:tab/>
          </w:r>
          <w:r>
            <w:t xml:space="preserve">185</w:t>
          </w:r>
        </w:p>
        <w:p>
          <w:pPr>
            <w:pStyle w:val="TOC2"/>
            <w:tabs>
              <w:tab w:val="right" w:leader="dot" w:pos="9630"/>
            </w:tabs>
          </w:pPr>
          <w:r>
            <w:t xml:space="preserve">IV. CBG Home</w:t>
          </w:r>
          <w:r>
            <w:tab/>
          </w:r>
          <w:r>
            <w:t xml:space="preserve">185</w:t>
          </w:r>
        </w:p>
        <w:p>
          <w:pPr>
            <w:pStyle w:val="TOC1"/>
            <w:tabs>
              <w:tab w:val="right" w:leader="dot" w:pos="9630"/>
            </w:tabs>
          </w:pPr>
          <w:r>
            <w:t xml:space="preserve">Annex G - LAMD Upload File Details</w:t>
          </w:r>
          <w:r>
            <w:tab/>
          </w:r>
          <w:r>
            <w:t xml:space="preserve">186</w:t>
          </w:r>
        </w:p>
        <w:p>
          <w:pPr>
            <w:pStyle w:val="TOC2"/>
            <w:tabs>
              <w:tab w:val="right" w:leader="dot" w:pos="9630"/>
            </w:tabs>
          </w:pPr>
          <w:r>
            <w:t xml:space="preserve">I. CBG Loans excluding Personal</w:t>
          </w:r>
          <w:r>
            <w:tab/>
          </w:r>
          <w:r>
            <w:t xml:space="preserve">186</w:t>
          </w:r>
        </w:p>
        <w:p>
          <w:pPr>
            <w:pStyle w:val="TOC2"/>
            <w:tabs>
              <w:tab w:val="right" w:leader="dot" w:pos="9630"/>
            </w:tabs>
          </w:pPr>
          <w:r>
            <w:t xml:space="preserve">II. List of Paid Off Accounts</w:t>
          </w:r>
          <w:r>
            <w:tab/>
          </w:r>
          <w:r>
            <w:t xml:space="preserve">188</w:t>
          </w:r>
        </w:p>
        <w:p>
          <w:pPr>
            <w:pStyle w:val="TOC1"/>
            <w:tabs>
              <w:tab w:val="right" w:leader="dot" w:pos="9630"/>
            </w:tabs>
          </w:pPr>
          <w:r>
            <w:t xml:space="preserve">Annex H – Insurer Disposition Upload Details (CBG)</w:t>
          </w:r>
          <w:r>
            <w:tab/>
          </w:r>
          <w:r>
            <w:t xml:space="preserve">189</w:t>
          </w:r>
        </w:p>
        <w:p>
          <w:pPr>
            <w:pStyle w:val="TOC1"/>
            <w:tabs>
              <w:tab w:val="right" w:leader="dot" w:pos="9630"/>
            </w:tabs>
          </w:pPr>
          <w:r>
            <w:t xml:space="preserve">Annex I – Quick Proposal Template</w:t>
          </w:r>
          <w:r>
            <w:tab/>
          </w:r>
          <w:r>
            <w:t xml:space="preserve">189</w:t>
          </w:r>
        </w:p>
        <w:p>
          <w:pPr>
            <w:pStyle w:val="TOC1"/>
            <w:tabs>
              <w:tab w:val="right" w:leader="dot" w:pos="9630"/>
            </w:tabs>
          </w:pPr>
          <w:r>
            <w:t xml:space="preserve">Annex J – Full Proposal Template</w:t>
          </w:r>
          <w:r>
            <w:tab/>
          </w:r>
          <w:r>
            <w:t xml:space="preserve">189</w:t>
          </w:r>
        </w:p>
        <w:p>
          <w:pPr>
            <w:pStyle w:val="TOC1"/>
            <w:tabs>
              <w:tab w:val="right" w:leader="dot" w:pos="9630"/>
            </w:tabs>
          </w:pPr>
          <w:r>
            <w:t xml:space="preserve">Annex K - Non –Package Quotation Request Details</w:t>
          </w:r>
          <w:r>
            <w:tab/>
          </w:r>
          <w:r>
            <w:t xml:space="preserve">189</w:t>
          </w:r>
        </w:p>
        <w:p>
          <w:pPr>
            <w:pStyle w:val="TOC1"/>
            <w:tabs>
              <w:tab w:val="right" w:leader="dot" w:pos="9630"/>
            </w:tabs>
          </w:pPr>
          <w:r>
            <w:t xml:space="preserve">Annex L – Renewal Advice Template</w:t>
          </w:r>
          <w:r>
            <w:tab/>
          </w:r>
          <w:r>
            <w:t xml:space="preserve">190</w:t>
          </w:r>
        </w:p>
        <w:p>
          <w:pPr>
            <w:pStyle w:val="TOC1"/>
            <w:tabs>
              <w:tab w:val="right" w:leader="dot" w:pos="9630"/>
            </w:tabs>
          </w:pPr>
          <w:r>
            <w:t xml:space="preserve">Annex M - Letter Eligibility Matrix</w:t>
          </w:r>
          <w:r>
            <w:tab/>
          </w:r>
          <w:r>
            <w:t xml:space="preserve">190</w:t>
          </w:r>
        </w:p>
        <w:p>
          <w:pPr>
            <w:pStyle w:val="TOC1"/>
            <w:tabs>
              <w:tab w:val="right" w:leader="dot" w:pos="9630"/>
            </w:tabs>
          </w:pPr>
          <w:r>
            <w:t xml:space="preserve">Annex N – NRNS Reminder Letter Template</w:t>
          </w:r>
          <w:r>
            <w:tab/>
          </w:r>
          <w:r>
            <w:t xml:space="preserve">191</w:t>
          </w:r>
        </w:p>
        <w:p>
          <w:pPr>
            <w:pStyle w:val="TOC1"/>
            <w:tabs>
              <w:tab w:val="right" w:leader="dot" w:pos="9630"/>
            </w:tabs>
          </w:pPr>
          <w:r>
            <w:t xml:space="preserve">Annex O – No Advice Letter Template</w:t>
          </w:r>
          <w:r>
            <w:tab/>
          </w:r>
          <w:r>
            <w:t xml:space="preserve">191</w:t>
          </w:r>
        </w:p>
        <w:p>
          <w:pPr>
            <w:pStyle w:val="TOC1"/>
            <w:tabs>
              <w:tab w:val="right" w:leader="dot" w:pos="9630"/>
            </w:tabs>
          </w:pPr>
          <w:r>
            <w:t xml:space="preserve">Annex P – Non-Renewal Letter Template</w:t>
          </w:r>
          <w:r>
            <w:tab/>
          </w:r>
          <w:r>
            <w:t xml:space="preserve">191</w:t>
          </w:r>
        </w:p>
        <w:p>
          <w:pPr>
            <w:pStyle w:val="TOC1"/>
            <w:tabs>
              <w:tab w:val="right" w:leader="dot" w:pos="9630"/>
            </w:tabs>
          </w:pPr>
          <w:r>
            <w:t xml:space="preserve">Annex Q – SFU Letter Template</w:t>
          </w:r>
          <w:r>
            <w:tab/>
          </w:r>
          <w:r>
            <w:t xml:space="preserve">191</w:t>
          </w:r>
        </w:p>
        <w:p>
          <w:pPr>
            <w:pStyle w:val="TOC1"/>
            <w:tabs>
              <w:tab w:val="right" w:leader="dot" w:pos="9630"/>
            </w:tabs>
          </w:pPr>
          <w:r>
            <w:t xml:space="preserve">Annex R – FFY Reminder Letter Template</w:t>
          </w:r>
          <w:r>
            <w:tab/>
          </w:r>
          <w:r>
            <w:t xml:space="preserve">191</w:t>
          </w:r>
        </w:p>
        <w:p>
          <w:pPr>
            <w:pStyle w:val="TOC1"/>
            <w:tabs>
              <w:tab w:val="right" w:leader="dot" w:pos="9630"/>
            </w:tabs>
          </w:pPr>
          <w:r>
            <w:t xml:space="preserve">Annex S - Billing File Email and Attachment Template</w:t>
          </w:r>
          <w:r>
            <w:tab/>
          </w:r>
          <w:r>
            <w:t xml:space="preserve">191</w:t>
          </w:r>
        </w:p>
        <w:p>
          <w:pPr>
            <w:pStyle w:val="TOC2"/>
            <w:tabs>
              <w:tab w:val="right" w:leader="dot" w:pos="9630"/>
            </w:tabs>
          </w:pPr>
          <w:r>
            <w:t xml:space="preserve">I. Attachment Details</w:t>
          </w:r>
          <w:r>
            <w:tab/>
          </w:r>
          <w:r>
            <w:t xml:space="preserve">191</w:t>
          </w:r>
        </w:p>
        <w:p>
          <w:pPr>
            <w:pStyle w:val="TOC2"/>
            <w:tabs>
              <w:tab w:val="right" w:leader="dot" w:pos="9630"/>
            </w:tabs>
          </w:pPr>
          <w:r>
            <w:t xml:space="preserve">II. Email Template</w:t>
          </w:r>
          <w:r>
            <w:tab/>
          </w:r>
          <w:r>
            <w:t xml:space="preserve">191</w:t>
          </w:r>
        </w:p>
        <w:p>
          <w:pPr>
            <w:pStyle w:val="TOC1"/>
            <w:tabs>
              <w:tab w:val="right" w:leader="dot" w:pos="9630"/>
            </w:tabs>
          </w:pPr>
          <w:r>
            <w:t xml:space="preserve">Annex T - Placement Slip Template</w:t>
          </w:r>
          <w:r>
            <w:tab/>
          </w:r>
          <w:r>
            <w:t xml:space="preserve">192</w:t>
          </w:r>
        </w:p>
        <w:p>
          <w:pPr>
            <w:pStyle w:val="TOC1"/>
            <w:tabs>
              <w:tab w:val="right" w:leader="dot" w:pos="9630"/>
            </w:tabs>
          </w:pPr>
          <w:r>
            <w:t xml:space="preserve">Annex U – Placement File Field Details</w:t>
          </w:r>
          <w:r>
            <w:tab/>
          </w:r>
          <w:r>
            <w:t xml:space="preserve">192</w:t>
          </w:r>
        </w:p>
        <w:p>
          <w:pPr>
            <w:pStyle w:val="TOC2"/>
            <w:tabs>
              <w:tab w:val="right" w:leader="dot" w:pos="9630"/>
            </w:tabs>
          </w:pPr>
          <w:r>
            <w:t xml:space="preserve">I. Package Risk Description</w:t>
          </w:r>
          <w:r>
            <w:tab/>
          </w:r>
          <w:r>
            <w:t xml:space="preserve">193</w:t>
          </w:r>
        </w:p>
        <w:p>
          <w:pPr>
            <w:pStyle w:val="TOC2"/>
            <w:tabs>
              <w:tab w:val="right" w:leader="dot" w:pos="9630"/>
            </w:tabs>
          </w:pPr>
          <w:r>
            <w:t xml:space="preserve">II. Non-Package Risk Description</w:t>
          </w:r>
          <w:r>
            <w:tab/>
          </w:r>
          <w:r>
            <w:t xml:space="preserve">194</w:t>
          </w:r>
        </w:p>
        <w:p>
          <w:pPr>
            <w:pStyle w:val="TOC1"/>
            <w:tabs>
              <w:tab w:val="right" w:leader="dot" w:pos="9630"/>
            </w:tabs>
          </w:pPr>
          <w:r>
            <w:t xml:space="preserve">Annex V – Return Reasons</w:t>
          </w:r>
          <w:r>
            <w:tab/>
          </w:r>
          <w:r>
            <w:t xml:space="preserve">198</w:t>
          </w:r>
        </w:p>
        <w:p>
          <w:pPr>
            <w:pStyle w:val="TOC1"/>
            <w:tabs>
              <w:tab w:val="right" w:leader="dot" w:pos="9630"/>
            </w:tabs>
          </w:pPr>
          <w:r>
            <w:t xml:space="preserve">Annex W – Insurance Advice Template</w:t>
          </w:r>
          <w:r>
            <w:tab/>
          </w:r>
          <w:r>
            <w:t xml:space="preserve">199</w:t>
          </w:r>
        </w:p>
        <w:p>
          <w:pPr>
            <w:pStyle w:val="TOC1"/>
            <w:tabs>
              <w:tab w:val="right" w:leader="dot" w:pos="9630"/>
            </w:tabs>
          </w:pPr>
          <w:r>
            <w:t xml:space="preserve">Annex X – E-Policy Email Template</w:t>
          </w:r>
          <w:r>
            <w:tab/>
          </w:r>
          <w:r>
            <w:t xml:space="preserve">199</w:t>
          </w:r>
        </w:p>
        <w:p>
          <w:pPr>
            <w:pStyle w:val="TOC1"/>
            <w:tabs>
              <w:tab w:val="right" w:leader="dot" w:pos="9630"/>
            </w:tabs>
          </w:pPr>
          <w:r>
            <w:t xml:space="preserve">Annex Y – Service Invoice Template</w:t>
          </w:r>
          <w:r>
            <w:tab/>
          </w:r>
          <w:r>
            <w:t xml:space="preserve">199</w:t>
          </w:r>
        </w:p>
        <w:p>
          <w:pPr>
            <w:pStyle w:val="TOC1"/>
            <w:tabs>
              <w:tab w:val="right" w:leader="dot" w:pos="9630"/>
            </w:tabs>
          </w:pPr>
          <w:r>
            <w:t xml:space="preserve">Annex Z – Hold Cover Template</w:t>
          </w:r>
          <w:r>
            <w:tab/>
          </w:r>
          <w:r>
            <w:t xml:space="preserve">199</w:t>
          </w:r>
        </w:p>
        <w:p>
          <w:pPr>
            <w:pStyle w:val="TOC1"/>
            <w:tabs>
              <w:tab w:val="right" w:leader="dot" w:pos="9630"/>
            </w:tabs>
          </w:pPr>
          <w:r>
            <w:t xml:space="preserve">Annex AA – Screen Specifications</w:t>
          </w:r>
          <w:r>
            <w:tab/>
          </w:r>
          <w:r>
            <w:t xml:space="preserve">200</w:t>
          </w:r>
        </w:p>
        <w:p>
          <w:pPr>
            <w:pStyle w:val="TOC1"/>
            <w:tabs>
              <w:tab w:val="right" w:leader="dot" w:pos="9630"/>
            </w:tabs>
          </w:pPr>
          <w:r>
            <w:t xml:space="preserve">Annex AB – Messages and Validations</w:t>
          </w:r>
          <w:r>
            <w:tab/>
          </w:r>
          <w:r>
            <w:t xml:space="preserve">244</w:t>
          </w:r>
        </w:p>
        <w:p>
          <w:pPr>
            <w:pStyle w:val="TOC1"/>
            <w:tabs>
              <w:tab w:val="right" w:leader="dot" w:pos="9630"/>
            </w:tabs>
          </w:pPr>
          <w:r>
            <w:t xml:space="preserve">Annex AC – Business Rules and Configurable Parameters</w:t>
          </w:r>
          <w:r>
            <w:tab/>
          </w:r>
          <w:r>
            <w:t xml:space="preserve">253</w:t>
          </w:r>
        </w:p>
        <w:p>
          <w:pPr>
            <w:pStyle w:val="TOC1"/>
            <w:tabs>
              <w:tab w:val="right" w:leader="dot" w:pos="9630"/>
            </w:tabs>
          </w:pPr>
          <w:r>
            <w:t xml:space="preserve">Annex AD – Workflow and Approvals</w:t>
          </w:r>
          <w:r>
            <w:tab/>
          </w:r>
          <w:r>
            <w:t xml:space="preserve">258</w:t>
          </w:r>
        </w:p>
        <w:p>
          <w:pPr>
            <w:pStyle w:val="TOC1"/>
            <w:tabs>
              <w:tab w:val="right" w:leader="dot" w:pos="9630"/>
            </w:tabs>
          </w:pPr>
          <w:r>
            <w:t xml:space="preserve">Annex AE – E-mail and Notification Texts</w:t>
          </w:r>
          <w:r>
            <w:tab/>
          </w:r>
          <w:r>
            <w:t xml:space="preserve">260</w:t>
          </w:r>
        </w:p>
        <w:p>
          <w:pPr>
            <w:pStyle w:val="TOC1"/>
            <w:tabs>
              <w:tab w:val="right" w:leader="dot" w:pos="9630"/>
            </w:tabs>
          </w:pPr>
          <w:r>
            <w:t xml:space="preserve">Annex AF – Document Prints and Output Formats</w:t>
          </w:r>
          <w:r>
            <w:tab/>
          </w:r>
          <w:r>
            <w:t xml:space="preserve">275</w:t>
          </w:r>
        </w:p>
        <w:p>
          <w:pPr>
            <w:pStyle w:val="TOC1"/>
            <w:tabs>
              <w:tab w:val="right" w:leader="dot" w:pos="9630"/>
            </w:tabs>
          </w:pPr>
          <w:r>
            <w:t xml:space="preserve">Annex AG – Reports and Schedules</w:t>
          </w:r>
          <w:r>
            <w:tab/>
          </w:r>
          <w:r>
            <w:t xml:space="preserve">284</w:t>
          </w:r>
        </w:p>
        <w:p>
          <w:pPr>
            <w:pStyle w:val="TOC1"/>
            <w:tabs>
              <w:tab w:val="right" w:leader="dot" w:pos="9630"/>
            </w:tabs>
          </w:pPr>
          <w:r>
            <w:t xml:space="preserve">Annex AH – Integrations</w:t>
          </w:r>
          <w:r>
            <w:tab/>
          </w:r>
          <w:r>
            <w:t xml:space="preserve">286</w:t>
          </w:r>
        </w:p>
        <w:p>
          <w:pPr>
            <w:pStyle w:val="TOC1"/>
            <w:tabs>
              <w:tab w:val="right" w:leader="dot" w:pos="9630"/>
            </w:tabs>
          </w:pPr>
          <w:r>
            <w:t xml:space="preserve">Annex AJ – Non-functional Requirements</w:t>
          </w:r>
          <w:r>
            <w:tab/>
          </w:r>
          <w:r>
            <w:t xml:space="preserve">288</w:t>
          </w:r>
        </w:p>
        <w:p>
          <w:pPr>
            <w:pStyle w:val="TOC1"/>
            <w:tabs>
              <w:tab w:val="right" w:leader="dot" w:pos="9630"/>
            </w:tabs>
          </w:pPr>
          <w:r>
            <w:t xml:space="preserve">Annex AK – Data Set-up and Migration at Go-live</w:t>
          </w:r>
          <w:r>
            <w:tab/>
          </w:r>
          <w:r>
            <w:t xml:space="preserve">289</w:t>
          </w:r>
        </w:p>
        <w:p>
          <w:pPr>
            <w:pStyle w:val="TOC1"/>
            <w:tabs>
              <w:tab w:val="right" w:leader="dot" w:pos="9630"/>
            </w:tabs>
          </w:pPr>
          <w:r>
            <w:t xml:space="preserve">Annex AL – Process Walkthroughs</w:t>
          </w:r>
          <w:r>
            <w:tab/>
          </w:r>
          <w:r>
            <w:t xml:space="preserve">290</w:t>
          </w:r>
        </w:p>
        <w:p>
          <w:pPr>
            <w:pStyle w:val="TOC1"/>
            <w:tabs>
              <w:tab w:val="right" w:leader="dot" w:pos="9630"/>
            </w:tabs>
          </w:pPr>
          <w:r>
            <w:t xml:space="preserve">Annex AM – Requirements Traceability</w:t>
          </w:r>
          <w:r>
            <w:tab/>
          </w:r>
          <w:r>
            <w:t xml:space="preserve">293</w:t>
          </w:r>
        </w:p>
        <w:p>
          <w:pPr>
            <w:pStyle w:val="TOC1"/>
            <w:tabs>
              <w:tab w:val="right" w:leader="dot" w:pos="9630"/>
            </w:tabs>
          </w:pPr>
          <w:r>
            <w:t xml:space="preserve">Annex AN – Assumptions, Dependencies and Open Questions</w:t>
          </w:r>
          <w:r>
            <w:tab/>
          </w:r>
          <w:r>
            <w:t xml:space="preserve">301</w:t>
          </w:r>
        </w:p>
        <w:p>
          <w:pPr>
            <w:pStyle w:val="TOC1"/>
            <w:tabs>
              <w:tab w:val="right" w:leader="dot" w:pos="9630"/>
            </w:tabs>
          </w:pPr>
          <w:r>
            <w:t xml:space="preserve">Annex AO – Observations and Points for BDOI Decision</w:t>
          </w:r>
          <w:r>
            <w:tab/>
          </w:r>
          <w:r>
            <w:t xml:space="preserve">304</w:t>
          </w:r>
        </w:p>
        <w:p>
          <w:pPr>
            <w:pStyle w:val="TOC1"/>
            <w:tabs>
              <w:tab w:val="right" w:leader="dot" w:pos="9630"/>
            </w:tabs>
          </w:pPr>
          <w:r>
            <w:t xml:space="preserve">Annex AP – Change Control after Sign-off</w:t>
          </w:r>
          <w:r>
            <w:tab/>
          </w:r>
          <w:r>
            <w:t xml:space="preserve">315</w:t>
          </w:r>
        </w:p>
        <w:p>
          <w:pPr>
            <w:pStyle w:val="TOC1"/>
            <w:tabs>
              <w:tab w:val="right" w:leader="dot" w:pos="9630"/>
            </w:tabs>
          </w:pPr>
          <w:r>
            <w:t xml:space="preserve">Annex AQ – Business Unit Review Checklist</w:t>
          </w:r>
          <w:r>
            <w:tab/>
          </w:r>
          <w:r>
            <w:t xml:space="preserve">317</w:t>
          </w:r>
        </w:p>
        <w:p>
          <w:pPr>
            <w:pStyle w:val="TOC1"/>
            <w:tabs>
              <w:tab w:val="right" w:leader="dot" w:pos="9630"/>
            </w:tabs>
          </w:pPr>
          <w:r>
            <w:t xml:space="preserve">Annex AR – Glossary</w:t>
          </w:r>
          <w:r>
            <w:tab/>
          </w:r>
          <w:r>
            <w:t xml:space="preserve">318</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jc w:val="center"/>
              <w:rPr>
                <w:rFonts w:ascii="Arial" w:hAnsi="Arial" w:cs="Arial"/>
              </w:rPr>
            </w:pPr>
            <w:r>
              <w:rPr>
                <w:rFonts w:ascii="Arial" w:hAnsi="Arial" w:cs="Arial"/>
                <w:sz w:val="18"/>
                <w:szCs w:val="18"/>
              </w:rPr>
              <w:t xml:space="preserve">1.2</w:t>
            </w:r>
          </w:p>
        </w:tc>
        <w:tc>
          <w:tcPr>
            <w:tcW w:w="4950" w:type="dxa"/>
          </w:tcPr>
          <w:p>
            <w:pPr>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BDOI's text of version 1.0 and every point that traces to the Renewal BRD (or to the signed Concept Paper) is in black. The points of this FRS that are not in the BRD are coloured where they are stated:</w:t>
      </w:r>
    </w:p>
    <w:p>
      <w:pPr>
        <w:pStyle w:val="ListParagraph"/>
        <w:keepNext/>
        <w:numPr>
          <w:ilvl w:val="0"/>
          <w:numId w:val="149"/>
        </w:numPr>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offered by the system out of the box, at no cost (listed in Annex AP.1).</w:t>
      </w:r>
    </w:p>
    <w:p>
      <w:pPr>
        <w:pStyle w:val="ListParagraph"/>
        <w:keepNext/>
        <w:numPr>
          <w:ilvl w:val="0"/>
          <w:numId w:val="149"/>
        </w:numPr>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not in the BRD and not offered out of the box; needs a change request with the effort of Annex AP.1 and the CR Effort Estimate workbook.</w:t>
      </w:r>
    </w:p>
    <w:p>
      <w:pPr>
        <w:pStyle w:val="BodyText"/>
        <w:ind w:left="360" w:right="270"/>
        <w:jc w:val="both"/>
        <w:rPr>
          <w:rFonts w:cs="Arial"/>
        </w:rPr>
      </w:pPr>
      <w:r>
        <w:rPr>
          <w:rFonts w:cs="Arial"/>
        </w:rPr>
        <w:t xml:space="preserve">A requirement of another BRD of the programme that also applies to Renewal (for example the session and audit rules of the Collections, Claims and Reinsurance addenda) is a BRD requirement and stays black; its source is named where it is stated (Annex AJ).</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163</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44</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91</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328" w:type="dxa"/>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328" w:type="dxa"/>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CR Effort Estimate</w:t>
            </w:r>
          </w:p>
        </w:tc>
        <w:tc>
          <w:tcPr>
            <w:tcW w:w="7488" w:type="dxa"/>
          </w:tcPr>
          <w:p>
            <w:pPr>
              <w:keepNext/>
              <w:spacing w:after="0"/>
              <w:rPr>
                <w:rFonts w:ascii="Calibri" w:hAnsi="Calibri" w:cs="Calibri"/>
                <w:sz w:val="17"/>
                <w:szCs w:val="17"/>
              </w:rPr>
            </w:pPr>
            <w:r>
              <w:rPr>
                <w:rFonts w:ascii="Calibri" w:hAnsi="Calibri" w:cs="Calibri"/>
                <w:sz w:val="17"/>
                <w:szCs w:val="17"/>
              </w:rPr>
              <w:t xml:space="preserve">The effort of each change request (orange points) by activity, the totals and the green points at no cost (Annex AP.1)</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6"/>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7"/>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rPr>
                <w:rFonts w:ascii="Arial" w:hAnsi="Arial" w:cs="Arial"/>
              </w:rPr>
            </w:pPr>
            <w:r>
              <w:rPr>
                <w:rFonts w:ascii="Arial" w:hAnsi="Arial" w:cs="Arial"/>
              </w:rPr>
              <w:t xml:space="preserve">A file uploaded a second time is refused and nothing is updated.</w:t>
            </w:r>
          </w:p>
          <w:p>
            <w:pPr>
              <w:pStyle w:val="ListParagraph"/>
              <w:numPr>
                <w:ilvl w:val="0"/>
                <w:numId w:val="155"/>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color w:val="2E7D32"/>
              </w:rPr>
              <w:t>FRRN</w:t>
            </w:r>
            <w:r w:rsidR="00BA7B2A" w:rsidRPr="6EC80736">
              <w:rPr>
                <w:rFonts w:ascii="Arial" w:hAnsi="Arial" w:cs="Arial"/>
                <w:b/>
                <w:bCs/>
                <w:color w:val="2E7D32"/>
              </w:rPr>
              <w:t>.002.02</w:t>
            </w:r>
            <w:r w:rsidR="00BA7B2A">
              <w:rPr>
                <w:rFonts w:ascii="Arial" w:hAnsi="Arial" w:cs="Arial"/>
                <w:b/>
                <w:bCs/>
                <w:color w:val="2E7D32"/>
              </w:rPr>
              <w:t xml:space="preserve">.01 </w:t>
            </w:r>
            <w:r w:rsidR="00BA7B2A" w:rsidRPr="00BA7B2A">
              <w:rPr>
                <w:rFonts w:ascii="Arial" w:hAnsi="Arial" w:cs="Arial"/>
                <w:b/>
                <w:bCs/>
                <w:color w:val="2E7D32"/>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color w:val="2E7D32"/>
                <w:lang w:val="en-US"/>
              </w:rPr>
              <w:t>The dashboard shall display production metrics</w:t>
            </w:r>
            <w:r>
              <w:rPr>
                <w:rFonts w:ascii="Arial" w:hAnsi="Arial" w:cs="Arial"/>
                <w:color w:val="2E7D32"/>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color w:val="2E7D32"/>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color w:val="2E7D32"/>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 vs Budget</w:t>
            </w:r>
            <w:r w:rsidR="00B076A2">
              <w:rPr>
                <w:rFonts w:ascii="Arial" w:hAnsi="Arial" w:cs="Arial"/>
                <w:color w:val="2E7D32"/>
                <w:lang w:val="en-US"/>
              </w:rPr>
              <w:t xml:space="preserve"> </w:t>
            </w:r>
            <w:r w:rsidR="006E7BB8">
              <w:rPr>
                <w:rFonts w:ascii="Arial" w:hAnsi="Arial" w:cs="Arial"/>
                <w:color w:val="2E7D32"/>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Variance</w:t>
            </w:r>
            <w:r w:rsidR="00552BF0">
              <w:rPr>
                <w:rFonts w:ascii="Arial" w:hAnsi="Arial" w:cs="Arial"/>
                <w:color w:val="2E7D32"/>
                <w:lang w:val="en-US"/>
              </w:rPr>
              <w:t xml:space="preserve">: </w:t>
            </w:r>
            <w:r w:rsidR="00552BF0" w:rsidRPr="00552BF0">
              <w:rPr>
                <w:rFonts w:ascii="Arial" w:hAnsi="Arial" w:cs="Arial"/>
                <w:color w:val="2E7D32"/>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Growth</w:t>
            </w:r>
            <w:r w:rsidR="00285E5C">
              <w:rPr>
                <w:rFonts w:ascii="Arial" w:hAnsi="Arial" w:cs="Arial"/>
                <w:color w:val="2E7D32"/>
                <w:lang w:val="en-US"/>
              </w:rPr>
              <w:t>:</w:t>
            </w:r>
            <w:r w:rsidR="00D612EE">
              <w:rPr>
                <w:rFonts w:ascii="Arial" w:hAnsi="Arial" w:cs="Arial"/>
                <w:color w:val="2E7D32"/>
                <w:lang w:val="en-US"/>
              </w:rPr>
              <w:t xml:space="preserve"> </w:t>
            </w:r>
            <w:r w:rsidR="004D6D80">
              <w:rPr>
                <w:rFonts w:ascii="Arial" w:hAnsi="Arial" w:cs="Arial"/>
                <w:color w:val="2E7D32"/>
                <w:lang w:val="en-US"/>
              </w:rPr>
              <w:t>(</w:t>
            </w:r>
            <w:r w:rsidR="00D612EE">
              <w:rPr>
                <w:rFonts w:ascii="Arial" w:hAnsi="Arial" w:cs="Arial"/>
                <w:color w:val="2E7D32"/>
                <w:lang w:val="en-US"/>
              </w:rPr>
              <w:t xml:space="preserve">Previous Actual YoY/ </w:t>
            </w:r>
            <w:r w:rsidR="004D6D80">
              <w:rPr>
                <w:rFonts w:ascii="Arial" w:hAnsi="Arial" w:cs="Arial"/>
                <w:color w:val="2E7D32"/>
                <w:lang w:val="en-US"/>
              </w:rPr>
              <w:t>Current Budget YoY) x 100</w:t>
            </w:r>
            <w:r w:rsidR="00285E5C">
              <w:rPr>
                <w:rFonts w:ascii="Arial" w:hAnsi="Arial" w:cs="Arial"/>
                <w:color w:val="2E7D32"/>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Adjustments</w:t>
            </w:r>
            <w:r w:rsidR="00064A22">
              <w:rPr>
                <w:rFonts w:ascii="Arial" w:hAnsi="Arial" w:cs="Arial"/>
                <w:color w:val="2E7D32"/>
                <w:lang w:val="en-US"/>
              </w:rPr>
              <w:t xml:space="preserve">: Sum </w:t>
            </w:r>
            <w:r w:rsidR="003B4963">
              <w:rPr>
                <w:rFonts w:ascii="Arial" w:hAnsi="Arial" w:cs="Arial"/>
                <w:color w:val="2E7D32"/>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color w:val="2E7D32"/>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Variance</w:t>
            </w:r>
            <w:r>
              <w:rPr>
                <w:rFonts w:ascii="Arial" w:hAnsi="Arial" w:cs="Arial"/>
                <w:color w:val="2E7D32"/>
                <w:lang w:val="en-US"/>
              </w:rPr>
              <w:t xml:space="preserve">: </w:t>
            </w:r>
            <w:r w:rsidRPr="00552BF0">
              <w:rPr>
                <w:rFonts w:ascii="Arial" w:hAnsi="Arial" w:cs="Arial"/>
                <w:color w:val="2E7D32"/>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Growth</w:t>
            </w:r>
            <w:r>
              <w:rPr>
                <w:rFonts w:ascii="Arial" w:hAnsi="Arial" w:cs="Arial"/>
                <w:color w:val="2E7D32"/>
                <w:lang w:val="en-US"/>
              </w:rPr>
              <w:t xml:space="preserve">: </w:t>
            </w:r>
            <w:r w:rsidR="00D5597C">
              <w:rPr>
                <w:rFonts w:ascii="Arial" w:hAnsi="Arial" w:cs="Arial"/>
                <w:color w:val="2E7D32"/>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Adjustments</w:t>
            </w:r>
            <w:r>
              <w:rPr>
                <w:rFonts w:ascii="Arial" w:hAnsi="Arial" w:cs="Arial"/>
                <w:color w:val="2E7D32"/>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color w:val="2E7D32"/>
                <w:lang w:val="en-US"/>
              </w:rPr>
              <w:t xml:space="preserve">Users shall be able to click </w:t>
            </w:r>
            <w:r w:rsidRPr="00311721">
              <w:rPr>
                <w:rFonts w:ascii="Arial" w:hAnsi="Arial" w:cs="Arial"/>
                <w:b/>
                <w:bCs/>
                <w:color w:val="2E7D32"/>
                <w:lang w:val="en-US"/>
              </w:rPr>
              <w:t>Show Details</w:t>
            </w:r>
            <w:r w:rsidRPr="00311721">
              <w:rPr>
                <w:rFonts w:ascii="Arial" w:hAnsi="Arial" w:cs="Arial"/>
                <w:color w:val="2E7D32"/>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rPr>
                <w:rFonts w:ascii="Arial" w:hAnsi="Arial" w:cs="Arial"/>
              </w:rPr>
            </w:pPr>
            <w:r>
              <w:rPr>
                <w:rFonts w:ascii="Arial" w:hAnsi="Arial" w:cs="Arial"/>
              </w:rPr>
              <w:t xml:space="preserve">A search by PN finds the renewal account of the loan.</w:t>
            </w:r>
          </w:p>
          <w:p>
            <w:pPr>
              <w:pStyle w:val="ListParagraph"/>
              <w:numPr>
                <w:ilvl w:val="0"/>
                <w:numId w:val="167"/>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8"/>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9"/>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color w:val="2E7D32"/>
              </w:rPr>
              <w:t>FRRN</w:t>
            </w:r>
            <w:r w:rsidR="006C6845" w:rsidRPr="6EC80736">
              <w:rPr>
                <w:rFonts w:ascii="Arial" w:hAnsi="Arial" w:cs="Arial"/>
                <w:b/>
                <w:bCs/>
                <w:color w:val="2E7D32"/>
              </w:rPr>
              <w:t>.00</w:t>
            </w:r>
            <w:r w:rsidR="006C6845">
              <w:rPr>
                <w:rFonts w:ascii="Arial" w:hAnsi="Arial" w:cs="Arial"/>
                <w:b/>
                <w:bCs/>
                <w:color w:val="2E7D32"/>
              </w:rPr>
              <w:t>3</w:t>
            </w:r>
            <w:r w:rsidR="006C6845" w:rsidRPr="6EC80736">
              <w:rPr>
                <w:rFonts w:ascii="Arial" w:hAnsi="Arial" w:cs="Arial"/>
                <w:b/>
                <w:bCs/>
                <w:color w:val="2E7D32"/>
              </w:rPr>
              <w:t>.</w:t>
            </w:r>
            <w:r w:rsidR="004468AD">
              <w:rPr>
                <w:rFonts w:ascii="Arial" w:hAnsi="Arial" w:cs="Arial"/>
                <w:b/>
                <w:bCs/>
                <w:color w:val="2E7D32"/>
              </w:rPr>
              <w:t>02</w:t>
            </w:r>
            <w:r w:rsidR="006C6845">
              <w:rPr>
                <w:rFonts w:ascii="Arial" w:hAnsi="Arial" w:cs="Arial"/>
                <w:b/>
                <w:bCs/>
                <w:color w:val="2E7D32"/>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color w:val="2E7D32"/>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color w:val="2E7D32"/>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Submitted f</w:t>
            </w:r>
            <w:r w:rsidRPr="00C27E43">
              <w:rPr>
                <w:rFonts w:ascii="Arial" w:hAnsi="Arial" w:cs="Arial"/>
                <w:color w:val="2E7D32"/>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color w:val="2E7D32"/>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color w:val="2E7D32"/>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color w:val="2E7D32"/>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color w:val="2E7D32"/>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 xml:space="preserve">accounts with </w:t>
            </w:r>
            <w:r w:rsidR="004468AD">
              <w:rPr>
                <w:rFonts w:ascii="Arial" w:hAnsi="Arial" w:cs="Arial"/>
                <w:color w:val="2E7D32"/>
                <w:lang w:val="en-US"/>
              </w:rPr>
              <w:t xml:space="preserve">no </w:t>
            </w:r>
            <w:r w:rsidRPr="0076506A">
              <w:rPr>
                <w:rFonts w:ascii="Arial" w:hAnsi="Arial" w:cs="Arial"/>
                <w:color w:val="2E7D32"/>
                <w:lang w:val="en-US"/>
              </w:rPr>
              <w:t>policy</w:t>
            </w:r>
            <w:r>
              <w:rPr>
                <w:rFonts w:ascii="Arial" w:hAnsi="Arial" w:cs="Arial"/>
                <w:color w:val="2E7D32"/>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color w:val="2E7D32"/>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For E-Policy Sending</w:t>
            </w:r>
            <w:r w:rsidRPr="00C27E43">
              <w:rPr>
                <w:rFonts w:ascii="Arial" w:hAnsi="Arial" w:cs="Arial"/>
                <w:color w:val="2E7D32"/>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color w:val="2E7D32"/>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color w:val="2E7D32"/>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w:t>
            </w:r>
            <w:r>
              <w:rPr>
                <w:rFonts w:ascii="Arial" w:hAnsi="Arial" w:cs="Arial"/>
                <w:color w:val="2E7D32"/>
                <w:lang w:val="en-US"/>
              </w:rPr>
              <w:t>un</w:t>
            </w:r>
            <w:r w:rsidRPr="00AF057B">
              <w:rPr>
                <w:rFonts w:ascii="Arial" w:hAnsi="Arial" w:cs="Arial"/>
                <w:color w:val="2E7D32"/>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color w:val="2E7D32"/>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color w:val="2E7D32"/>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color w:val="2E7D32"/>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color w:val="2E7D32"/>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color w:val="2E7D32"/>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color w:val="2E7D32"/>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color w:val="2E7D32"/>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300"/>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1"/>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rPr>
                <w:rFonts w:ascii="Arial" w:hAnsi="Arial" w:cs="Arial"/>
              </w:rPr>
            </w:pPr>
            <w:r>
              <w:rPr>
                <w:rFonts w:ascii="Arial" w:hAnsi="Arial" w:cs="Arial"/>
              </w:rPr>
              <w:t xml:space="preserve">Two Unit Heads selected together list the accounts of both.</w:t>
            </w:r>
          </w:p>
          <w:p>
            <w:pPr>
              <w:pStyle w:val="ListParagraph"/>
              <w:numPr>
                <w:ilvl w:val="0"/>
                <w:numId w:val="181"/>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rPr>
                <w:rFonts w:ascii="Arial" w:hAnsi="Arial" w:cs="Arial"/>
              </w:rPr>
            </w:pPr>
            <w:r>
              <w:rPr>
                <w:rFonts w:ascii="Arial" w:hAnsi="Arial" w:cs="Arial"/>
              </w:rPr>
              <w:t xml:space="preserve">An HMO account is not listed.</w:t>
            </w:r>
          </w:p>
          <w:p>
            <w:pPr>
              <w:pStyle w:val="ListParagraph"/>
              <w:numPr>
                <w:ilvl w:val="0"/>
                <w:numId w:val="182"/>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2"/>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3"/>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rPr>
                <w:rFonts w:ascii="Arial" w:hAnsi="Arial" w:cs="Arial"/>
              </w:rPr>
            </w:pPr>
            <w:r>
              <w:rPr>
                <w:rFonts w:ascii="Arial" w:hAnsi="Arial" w:cs="Arial"/>
              </w:rPr>
              <w:t xml:space="preserve">A save with a mandatory field missing names every missing field.</w:t>
            </w:r>
          </w:p>
          <w:p>
            <w:pPr>
              <w:pStyle w:val="ListParagraph"/>
              <w:numPr>
                <w:ilvl w:val="0"/>
                <w:numId w:val="185"/>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color w:val="2E7D32"/>
              </w:rPr>
              <w:t>FRRN</w:t>
            </w:r>
            <w:r w:rsidR="00214225" w:rsidRPr="003F65BA">
              <w:rPr>
                <w:rFonts w:ascii="Arial" w:hAnsi="Arial" w:cs="Arial"/>
                <w:b/>
                <w:bCs/>
                <w:color w:val="2E7D32"/>
              </w:rPr>
              <w:t>.00</w:t>
            </w:r>
            <w:r w:rsidR="00214225">
              <w:rPr>
                <w:rFonts w:ascii="Arial" w:hAnsi="Arial" w:cs="Arial"/>
                <w:b/>
                <w:bCs/>
                <w:color w:val="2E7D32"/>
              </w:rPr>
              <w:t>6</w:t>
            </w:r>
            <w:r w:rsidR="00214225" w:rsidRPr="003F65BA">
              <w:rPr>
                <w:rFonts w:ascii="Arial" w:hAnsi="Arial" w:cs="Arial"/>
                <w:b/>
                <w:bCs/>
                <w:color w:val="2E7D32"/>
              </w:rPr>
              <w:t>.0</w:t>
            </w:r>
            <w:r w:rsidR="00214225">
              <w:rPr>
                <w:rFonts w:ascii="Arial" w:hAnsi="Arial" w:cs="Arial"/>
                <w:b/>
                <w:bCs/>
                <w:color w:val="2E7D32"/>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system shall automatically perform duplicate validation whenever an account is being created or generated</w:t>
            </w:r>
            <w:r>
              <w:rPr>
                <w:rFonts w:ascii="Arial" w:hAnsi="Arial" w:cs="Arial"/>
                <w:color w:val="2E7D32"/>
                <w:lang w:val="en-US"/>
              </w:rPr>
              <w:t xml:space="preserve"> or updated</w:t>
            </w:r>
            <w:r w:rsidRPr="005A1421">
              <w:rPr>
                <w:rFonts w:ascii="Arial" w:hAnsi="Arial" w:cs="Arial"/>
                <w:color w:val="2E7D32"/>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system shall identify potential duplicate accounts using</w:t>
            </w:r>
            <w:r>
              <w:rPr>
                <w:rFonts w:ascii="Arial" w:hAnsi="Arial" w:cs="Arial"/>
                <w:color w:val="2E7D32"/>
                <w:lang w:val="en-US"/>
              </w:rPr>
              <w:t xml:space="preserve"> </w:t>
            </w:r>
            <w:r w:rsidRPr="005A1421">
              <w:rPr>
                <w:rFonts w:ascii="Arial" w:hAnsi="Arial" w:cs="Arial"/>
                <w:color w:val="2E7D32"/>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color w:val="2E7D32"/>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color w:val="2E7D32"/>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color w:val="2E7D32"/>
                <w:lang w:val="en-US"/>
              </w:rPr>
              <w:t xml:space="preserve">PN </w:t>
            </w:r>
            <w:r w:rsidR="0BF236D5" w:rsidRPr="3C7F3FD4">
              <w:rPr>
                <w:rFonts w:ascii="Arial" w:hAnsi="Arial" w:cs="Arial"/>
                <w:color w:val="2E7D32"/>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color w:val="2E7D32"/>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color w:val="2E7D32"/>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color w:val="2E7D32"/>
              </w:rPr>
              <w:t xml:space="preserve">Message: </w:t>
            </w:r>
            <w:r w:rsidRPr="002F421E">
              <w:rPr>
                <w:rFonts w:ascii="Arial" w:hAnsi="Arial" w:cs="Arial"/>
                <w:color w:val="2E7D32"/>
              </w:rPr>
              <w:t>“</w:t>
            </w:r>
            <w:r w:rsidRPr="002F421E">
              <w:rPr>
                <w:rFonts w:ascii="Arial" w:hAnsi="Arial" w:cs="Arial"/>
                <w:b/>
                <w:bCs/>
                <w:color w:val="2E7D32"/>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color w:val="2E7D32"/>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color w:val="2E7D32"/>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color w:val="2E7D32"/>
              </w:rPr>
              <w:t>[Duplicate Account</w:t>
            </w:r>
            <w:r>
              <w:rPr>
                <w:rFonts w:ascii="Arial" w:hAnsi="Arial" w:cs="Arial"/>
                <w:b/>
                <w:bCs/>
                <w:color w:val="2E7D32"/>
              </w:rPr>
              <w:t xml:space="preserve"> Link</w:t>
            </w:r>
            <w:r w:rsidRPr="002F421E">
              <w:rPr>
                <w:rFonts w:ascii="Arial" w:hAnsi="Arial" w:cs="Arial"/>
                <w:b/>
                <w:bCs/>
                <w:color w:val="2E7D32"/>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color w:val="2E7D32"/>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color w:val="2E7D32"/>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color w:val="2E7D32"/>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color w:val="2E7D32"/>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color w:val="2E7D32"/>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color w:val="2E7D32"/>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color w:val="2E7D32"/>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t>The system shall allow creation of accounts that match an existing account when the matching account has a status of</w:t>
            </w:r>
            <w:r>
              <w:rPr>
                <w:rFonts w:ascii="Arial" w:hAnsi="Arial" w:cs="Arial"/>
                <w:color w:val="2E7D32"/>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color w:val="2E7D32"/>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color w:val="2E7D32"/>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color w:val="2E7D32"/>
              </w:rPr>
              <w:t>FRRN</w:t>
            </w:r>
            <w:r w:rsidR="001875DA" w:rsidRPr="003F65BA">
              <w:rPr>
                <w:rFonts w:ascii="Arial" w:hAnsi="Arial" w:cs="Arial"/>
                <w:b/>
                <w:bCs/>
                <w:color w:val="2E7D32"/>
              </w:rPr>
              <w:t>.00</w:t>
            </w:r>
            <w:r w:rsidR="001875DA">
              <w:rPr>
                <w:rFonts w:ascii="Arial" w:hAnsi="Arial" w:cs="Arial"/>
                <w:b/>
                <w:bCs/>
                <w:color w:val="2E7D32"/>
              </w:rPr>
              <w:t>9</w:t>
            </w:r>
            <w:r w:rsidR="001875DA" w:rsidRPr="003F65BA">
              <w:rPr>
                <w:rFonts w:ascii="Arial" w:hAnsi="Arial" w:cs="Arial"/>
                <w:b/>
                <w:bCs/>
                <w:color w:val="2E7D32"/>
              </w:rPr>
              <w:t>.0</w:t>
            </w:r>
            <w:r w:rsidR="001875DA">
              <w:rPr>
                <w:rFonts w:ascii="Arial" w:hAnsi="Arial" w:cs="Arial"/>
                <w:b/>
                <w:bCs/>
                <w:color w:val="2E7D32"/>
              </w:rPr>
              <w:t xml:space="preserve">1 </w:t>
            </w:r>
            <w:r w:rsidR="001875DA" w:rsidRPr="001875DA">
              <w:rPr>
                <w:rFonts w:ascii="Arial" w:hAnsi="Arial" w:cs="Arial"/>
                <w:b/>
                <w:bCs/>
                <w:color w:val="2E7D32"/>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color w:val="2E7D32"/>
                <w:lang w:val="en-US"/>
              </w:rPr>
              <w:t xml:space="preserve">The system shall automatically retrieve, calculate, and update </w:t>
            </w:r>
            <w:r w:rsidR="007F48FE">
              <w:rPr>
                <w:rFonts w:ascii="Arial" w:hAnsi="Arial" w:cs="Arial"/>
                <w:color w:val="2E7D32"/>
                <w:lang w:val="en-US"/>
              </w:rPr>
              <w:t xml:space="preserve">CBG Motor </w:t>
            </w:r>
            <w:r w:rsidRPr="001875DA">
              <w:rPr>
                <w:rFonts w:ascii="Arial" w:hAnsi="Arial" w:cs="Arial"/>
                <w:color w:val="2E7D32"/>
                <w:lang w:val="en-US"/>
              </w:rPr>
              <w:t>renewal account information after the Renewal Account has been created</w:t>
            </w:r>
            <w:r>
              <w:rPr>
                <w:rFonts w:ascii="Arial" w:hAnsi="Arial" w:cs="Arial"/>
                <w:color w:val="2E7D32"/>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color w:val="2E7D32"/>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color w:val="2E7D32"/>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color w:val="2E7D32"/>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2E7D32"/>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2E7D32"/>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2E7D32"/>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color w:val="2E7D32"/>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color w:val="2E7D32"/>
                  <w:lang w:val="en-US"/>
                </w:rPr>
                <w:t xml:space="preserve">See Annex </w:t>
              </w:r>
              <w:r w:rsidR="74BE75D8" w:rsidRPr="3C7F3FD4">
                <w:rPr>
                  <w:rStyle w:val="Hyperlink"/>
                  <w:rFonts w:ascii="Arial" w:hAnsi="Arial" w:cs="Arial"/>
                  <w:b/>
                  <w:bCs/>
                  <w:i/>
                  <w:iCs/>
                  <w:color w:val="2E7D32"/>
                  <w:lang w:val="en-US"/>
                </w:rPr>
                <w:t>D</w:t>
              </w:r>
              <w:r w:rsidR="007F48FE" w:rsidRPr="3C7F3FD4">
                <w:rPr>
                  <w:rStyle w:val="Hyperlink"/>
                  <w:rFonts w:ascii="Arial" w:hAnsi="Arial" w:cs="Arial"/>
                  <w:b/>
                  <w:bCs/>
                  <w:i/>
                  <w:iCs/>
                  <w:color w:val="2E7D32"/>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color w:val="2E7D32"/>
                  <w:lang w:val="en-US"/>
                </w:rPr>
                <w:t xml:space="preserve">See Annex </w:t>
              </w:r>
              <w:r w:rsidR="37D2DD44" w:rsidRPr="3C7F3FD4">
                <w:rPr>
                  <w:rStyle w:val="Hyperlink"/>
                  <w:rFonts w:ascii="Arial" w:hAnsi="Arial" w:cs="Arial"/>
                  <w:b/>
                  <w:bCs/>
                  <w:i/>
                  <w:iCs/>
                  <w:color w:val="2E7D32"/>
                  <w:lang w:val="en-US"/>
                </w:rPr>
                <w:t>E</w:t>
              </w:r>
              <w:r w:rsidR="00AF332D" w:rsidRPr="3C7F3FD4">
                <w:rPr>
                  <w:rStyle w:val="Hyperlink"/>
                  <w:rFonts w:ascii="Arial" w:hAnsi="Arial" w:cs="Arial"/>
                  <w:b/>
                  <w:bCs/>
                  <w:i/>
                  <w:iCs/>
                  <w:color w:val="2E7D32"/>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color w:val="2E7D32"/>
              </w:rPr>
              <w:t>FRRN</w:t>
            </w:r>
            <w:r w:rsidR="008937E7" w:rsidRPr="003F65BA">
              <w:rPr>
                <w:rFonts w:ascii="Arial" w:hAnsi="Arial" w:cs="Arial"/>
                <w:b/>
                <w:bCs/>
                <w:color w:val="2E7D32"/>
              </w:rPr>
              <w:t>.0</w:t>
            </w:r>
            <w:r w:rsidR="00AF332D">
              <w:rPr>
                <w:rFonts w:ascii="Arial" w:hAnsi="Arial" w:cs="Arial"/>
                <w:b/>
                <w:bCs/>
                <w:color w:val="2E7D32"/>
              </w:rPr>
              <w:t>10</w:t>
            </w:r>
            <w:r w:rsidR="008937E7" w:rsidRPr="003F65BA">
              <w:rPr>
                <w:rFonts w:ascii="Arial" w:hAnsi="Arial" w:cs="Arial"/>
                <w:b/>
                <w:bCs/>
                <w:color w:val="2E7D32"/>
              </w:rPr>
              <w:t>.0</w:t>
            </w:r>
            <w:r w:rsidR="008937E7">
              <w:rPr>
                <w:rFonts w:ascii="Arial" w:hAnsi="Arial" w:cs="Arial"/>
                <w:b/>
                <w:bCs/>
                <w:color w:val="2E7D32"/>
              </w:rPr>
              <w:t>1</w:t>
            </w:r>
            <w:r w:rsidR="00ED1B20">
              <w:rPr>
                <w:rFonts w:ascii="Arial" w:hAnsi="Arial" w:cs="Arial"/>
                <w:b/>
                <w:bCs/>
                <w:color w:val="2E7D32"/>
              </w:rPr>
              <w:t xml:space="preserve"> </w:t>
            </w:r>
            <w:r w:rsidR="008445FA">
              <w:rPr>
                <w:rFonts w:ascii="Arial" w:hAnsi="Arial" w:cs="Arial"/>
                <w:b/>
                <w:bCs/>
                <w:color w:val="2E7D32"/>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color w:val="2E7D32"/>
                <w:lang w:val="en-US"/>
              </w:rPr>
              <w:t>For Marketing, t</w:t>
            </w:r>
            <w:r w:rsidR="00F36C9C" w:rsidRPr="3C7F3FD4">
              <w:rPr>
                <w:rFonts w:ascii="Arial" w:hAnsi="Arial" w:cs="Arial"/>
                <w:color w:val="2E7D32"/>
                <w:lang w:val="en-US"/>
              </w:rPr>
              <w:t xml:space="preserve">he system shall support automatic assignment of accounts to </w:t>
            </w:r>
            <w:r w:rsidR="00F03360" w:rsidRPr="3C7F3FD4">
              <w:rPr>
                <w:rFonts w:ascii="Arial" w:hAnsi="Arial" w:cs="Arial"/>
                <w:color w:val="2E7D32"/>
                <w:lang w:val="en-US"/>
              </w:rPr>
              <w:t>users</w:t>
            </w:r>
            <w:r w:rsidR="00F36C9C" w:rsidRPr="3C7F3FD4">
              <w:rPr>
                <w:rFonts w:ascii="Arial" w:hAnsi="Arial" w:cs="Arial"/>
                <w:color w:val="2E7D32"/>
                <w:lang w:val="en-US"/>
              </w:rPr>
              <w:t xml:space="preserve"> based on </w:t>
            </w:r>
            <w:r w:rsidRPr="3C7F3FD4">
              <w:rPr>
                <w:rFonts w:ascii="Arial" w:hAnsi="Arial" w:cs="Arial"/>
                <w:color w:val="2E7D32"/>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color w:val="2E7D32"/>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color w:val="2E7D32"/>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color w:val="2E7D32"/>
                <w:lang w:val="en-US"/>
              </w:rPr>
              <w:t xml:space="preserve">Auto assignment shall take place after </w:t>
            </w:r>
            <w:r w:rsidR="009F27E5">
              <w:rPr>
                <w:rFonts w:ascii="Arial" w:hAnsi="Arial" w:cs="Arial"/>
                <w:color w:val="2E7D32"/>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color w:val="2E7D32"/>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color w:val="2E7D32"/>
              </w:rPr>
              <w:t>User </w:t>
            </w:r>
            <w:r w:rsidRPr="00985E7A">
              <w:rPr>
                <w:rFonts w:ascii="Arial" w:hAnsi="Arial" w:cs="Arial"/>
                <w:color w:val="2E7D32"/>
              </w:rPr>
              <w:t>- Can manage only records assigned to them.</w:t>
            </w:r>
            <w:r w:rsidRPr="00985E7A">
              <w:rPr>
                <w:rFonts w:ascii="Arial" w:hAnsi="Arial" w:cs="Arial"/>
                <w:color w:val="2E7D32"/>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color w:val="2E7D32"/>
              </w:rPr>
              <w:t>Team Lead/ Team Head/ Unit Head </w:t>
            </w:r>
            <w:r w:rsidRPr="00985E7A">
              <w:rPr>
                <w:rFonts w:ascii="Arial" w:hAnsi="Arial" w:cs="Arial"/>
                <w:color w:val="2E7D32"/>
              </w:rPr>
              <w:t xml:space="preserve">- </w:t>
            </w:r>
            <w:r w:rsidR="001E50C1" w:rsidRPr="001E50C1">
              <w:rPr>
                <w:rFonts w:ascii="Arial" w:hAnsi="Arial" w:cs="Arial"/>
                <w:color w:val="2E7D32"/>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color w:val="2E7D32"/>
                  <w:lang w:val="en-US"/>
                </w:rPr>
                <w:t xml:space="preserve">See Annex </w:t>
              </w:r>
              <w:r w:rsidR="670A73CC" w:rsidRPr="3C7F3FD4">
                <w:rPr>
                  <w:rStyle w:val="Hyperlink"/>
                  <w:rFonts w:ascii="Arial" w:hAnsi="Arial" w:cs="Arial"/>
                  <w:b/>
                  <w:bCs/>
                  <w:i/>
                  <w:iCs/>
                  <w:color w:val="2E7D32"/>
                  <w:lang w:val="en-US"/>
                </w:rPr>
                <w:t>F</w:t>
              </w:r>
              <w:r w:rsidR="00AF332D" w:rsidRPr="3C7F3FD4">
                <w:rPr>
                  <w:rStyle w:val="Hyperlink"/>
                  <w:rFonts w:ascii="Arial" w:hAnsi="Arial" w:cs="Arial"/>
                  <w:b/>
                  <w:bCs/>
                  <w:i/>
                  <w:iCs/>
                  <w:color w:val="2E7D32"/>
                  <w:lang w:val="en-US"/>
                </w:rPr>
                <w:t xml:space="preserve"> for Auto Assignment Logic Per Market Segment</w:t>
              </w:r>
            </w:hyperlink>
          </w:p>
          <w:p>
            <w:pPr>
              <w:pStyle w:val="ListParagraph"/>
              <w:numPr>
                <w:ilvl w:val="0"/>
                <w:numId w:val="128"/>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color w:val="2E7D32"/>
              </w:rPr>
              <w:t>FRRN</w:t>
            </w:r>
            <w:r w:rsidR="000B7EC2" w:rsidRPr="5B358E25">
              <w:rPr>
                <w:rFonts w:ascii="Arial" w:hAnsi="Arial" w:cs="Arial"/>
                <w:b/>
                <w:bCs/>
                <w:color w:val="2E7D32"/>
              </w:rPr>
              <w:t>.0</w:t>
            </w:r>
            <w:r w:rsidR="0022419E" w:rsidRPr="5B358E25">
              <w:rPr>
                <w:rFonts w:ascii="Arial" w:hAnsi="Arial" w:cs="Arial"/>
                <w:b/>
                <w:bCs/>
                <w:color w:val="2E7D32"/>
              </w:rPr>
              <w:t>1</w:t>
            </w:r>
            <w:r w:rsidR="1A91DCF6" w:rsidRPr="5B358E25">
              <w:rPr>
                <w:rFonts w:ascii="Arial" w:hAnsi="Arial" w:cs="Arial"/>
                <w:b/>
                <w:bCs/>
                <w:color w:val="2E7D32"/>
              </w:rPr>
              <w:t>1</w:t>
            </w:r>
            <w:r w:rsidR="000B7EC2" w:rsidRPr="5B358E25">
              <w:rPr>
                <w:rFonts w:ascii="Arial" w:hAnsi="Arial" w:cs="Arial"/>
                <w:b/>
                <w:bCs/>
                <w:color w:val="2E7D32"/>
              </w:rPr>
              <w:t xml:space="preserve">.03 </w:t>
            </w:r>
            <w:r w:rsidR="000B7EC2" w:rsidRPr="5B358E25">
              <w:rPr>
                <w:rFonts w:ascii="Arial" w:hAnsi="Arial" w:cs="Arial"/>
                <w:b/>
                <w:bCs/>
                <w:color w:val="2E7D32"/>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color w:val="2E7D32"/>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color w:val="2E7D32"/>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color w:val="2E7D32"/>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5"/>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color w:val="2E7D32"/>
              </w:rPr>
              <w:t>FRRN</w:t>
            </w:r>
            <w:r w:rsidR="00E471EB" w:rsidRPr="5B358E25">
              <w:rPr>
                <w:rFonts w:ascii="Arial" w:hAnsi="Arial" w:cs="Arial"/>
                <w:b/>
                <w:bCs/>
                <w:color w:val="2E7D32"/>
              </w:rPr>
              <w:t>.012.0</w:t>
            </w:r>
            <w:r w:rsidR="00A41AEA">
              <w:rPr>
                <w:rFonts w:ascii="Arial" w:hAnsi="Arial" w:cs="Arial"/>
                <w:b/>
                <w:bCs/>
                <w:color w:val="2E7D32"/>
              </w:rPr>
              <w:t>6</w:t>
            </w:r>
            <w:r w:rsidR="00E471EB" w:rsidRPr="5B358E25">
              <w:rPr>
                <w:rFonts w:ascii="Arial" w:hAnsi="Arial" w:cs="Arial"/>
                <w:b/>
                <w:bCs/>
                <w:color w:val="2E7D32"/>
              </w:rPr>
              <w:t xml:space="preserve"> </w:t>
            </w:r>
            <w:r w:rsidR="00A41AEA">
              <w:rPr>
                <w:rFonts w:ascii="Arial" w:hAnsi="Arial" w:cs="Arial"/>
                <w:b/>
                <w:bCs/>
                <w:color w:val="2E7D32"/>
              </w:rPr>
              <w:t>BDOFC</w:t>
            </w:r>
            <w:r w:rsidR="00E471EB" w:rsidRPr="5B358E25">
              <w:rPr>
                <w:rFonts w:ascii="Arial" w:hAnsi="Arial" w:cs="Arial"/>
                <w:b/>
                <w:bCs/>
                <w:color w:val="2E7D32"/>
              </w:rPr>
              <w:t xml:space="preserve"> </w:t>
            </w:r>
            <w:r w:rsidR="00E471EB" w:rsidRPr="5B358E25">
              <w:rPr>
                <w:rFonts w:ascii="Arial" w:hAnsi="Arial" w:cs="Arial"/>
                <w:b/>
                <w:bCs/>
                <w:color w:val="2E7D32"/>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The system shall display a “</w:t>
            </w:r>
            <w:r w:rsidR="00A41AEA">
              <w:rPr>
                <w:rFonts w:ascii="Arial" w:hAnsi="Arial" w:cs="Arial"/>
                <w:color w:val="2E7D32"/>
                <w:lang w:val="en-US"/>
              </w:rPr>
              <w:t>BDOFC</w:t>
            </w:r>
            <w:r w:rsidR="5D4A4276" w:rsidRPr="504C2021">
              <w:rPr>
                <w:rFonts w:ascii="Arial" w:hAnsi="Arial" w:cs="Arial"/>
                <w:color w:val="2E7D32"/>
                <w:lang w:val="en-US"/>
              </w:rPr>
              <w:t>/SOLD</w:t>
            </w:r>
            <w:r w:rsidRPr="5B358E25">
              <w:rPr>
                <w:rFonts w:ascii="Arial" w:hAnsi="Arial" w:cs="Arial"/>
                <w:color w:val="2E7D32"/>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color w:val="2E7D32"/>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color w:val="2E7D32"/>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color w:val="2E7D32"/>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color w:val="2E7D32"/>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color w:val="2E7D32"/>
                <w:lang w:val="en-US"/>
              </w:rPr>
              <w:t xml:space="preserve">The system shall support </w:t>
            </w:r>
            <w:r w:rsidR="2285C7CF" w:rsidRPr="059957E8">
              <w:rPr>
                <w:rFonts w:ascii="Arial" w:hAnsi="Arial" w:cs="Arial"/>
                <w:color w:val="2E7D32"/>
                <w:lang w:val="en-US"/>
              </w:rPr>
              <w:t>excel and csv</w:t>
            </w:r>
            <w:r w:rsidRPr="5B358E25">
              <w:rPr>
                <w:rFonts w:ascii="Arial" w:hAnsi="Arial" w:cs="Arial"/>
                <w:color w:val="2E7D32"/>
                <w:lang w:val="en-US"/>
              </w:rPr>
              <w:t xml:space="preserve"> formats</w:t>
            </w:r>
            <w:r w:rsidR="2285C7CF" w:rsidRPr="059957E8">
              <w:rPr>
                <w:rFonts w:ascii="Arial" w:hAnsi="Arial" w:cs="Arial"/>
                <w:color w:val="2E7D32"/>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color w:val="2E7D32"/>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color w:val="2E7D32"/>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color w:val="2E7D32"/>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color w:val="2E7D32"/>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color w:val="2E7D32"/>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color w:val="2E7D32"/>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color w:val="2E7D32"/>
                <w:lang w:val="en-US"/>
              </w:rPr>
              <w:t>Upload and Processing Complete: “</w:t>
            </w:r>
            <w:r w:rsidR="1E5D3755" w:rsidRPr="515E4A49">
              <w:rPr>
                <w:rFonts w:ascii="Arial" w:hAnsi="Arial" w:cs="Arial"/>
                <w:color w:val="2E7D32"/>
                <w:lang w:val="en-US"/>
              </w:rPr>
              <w:t>BDOFC</w:t>
            </w:r>
            <w:r w:rsidR="65AF89DB" w:rsidRPr="059957E8">
              <w:rPr>
                <w:rFonts w:ascii="Arial" w:hAnsi="Arial" w:cs="Arial"/>
                <w:color w:val="2E7D32"/>
                <w:lang w:val="en-US"/>
              </w:rPr>
              <w:t>/</w:t>
            </w:r>
            <w:r w:rsidR="65AF89DB" w:rsidRPr="731C9248">
              <w:rPr>
                <w:rFonts w:ascii="Arial" w:hAnsi="Arial" w:cs="Arial"/>
                <w:color w:val="2E7D32"/>
                <w:lang w:val="en-US"/>
              </w:rPr>
              <w:t>SOLD</w:t>
            </w:r>
            <w:r w:rsidRPr="00FC6452">
              <w:rPr>
                <w:rFonts w:ascii="Arial" w:hAnsi="Arial" w:cs="Arial"/>
                <w:color w:val="2E7D32"/>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Invalid File Format:</w:t>
            </w:r>
            <w:r w:rsidRPr="00FC6452">
              <w:rPr>
                <w:rFonts w:ascii="Arial" w:hAnsi="Arial" w:cs="Arial"/>
                <w:color w:val="2E7D32"/>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Missing Required Data:</w:t>
            </w:r>
            <w:r w:rsidRPr="00FC6452">
              <w:rPr>
                <w:rFonts w:ascii="Arial" w:hAnsi="Arial" w:cs="Arial"/>
                <w:color w:val="2E7D32"/>
                <w:lang w:val="en-US"/>
              </w:rPr>
              <w:t xml:space="preserve"> “Upload failed. The file is missing required fields (e.g., PN, </w:t>
            </w:r>
            <w:r w:rsidR="31A6DFF3" w:rsidRPr="515E4A49">
              <w:rPr>
                <w:rFonts w:ascii="Arial" w:hAnsi="Arial" w:cs="Arial"/>
                <w:color w:val="2E7D32"/>
                <w:lang w:val="en-US"/>
              </w:rPr>
              <w:t>Remarks</w:t>
            </w:r>
            <w:r w:rsidRPr="515E4A49">
              <w:rPr>
                <w:rFonts w:ascii="Arial" w:hAnsi="Arial" w:cs="Arial"/>
                <w:color w:val="2E7D32"/>
                <w:lang w:val="en-US"/>
              </w:rPr>
              <w:t>).</w:t>
            </w:r>
            <w:r w:rsidRPr="00FC6452">
              <w:rPr>
                <w:rFonts w:ascii="Arial" w:hAnsi="Arial" w:cs="Arial"/>
                <w:color w:val="2E7D32"/>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Corrupted or Unreadable File:</w:t>
            </w:r>
            <w:r w:rsidRPr="00FC6452">
              <w:rPr>
                <w:rFonts w:ascii="Arial" w:hAnsi="Arial" w:cs="Arial"/>
                <w:color w:val="2E7D32"/>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color w:val="2E7D32"/>
                <w:lang w:val="en-US"/>
              </w:rPr>
              <w:t>Processing Error:</w:t>
            </w:r>
            <w:r w:rsidRPr="5B358E25">
              <w:rPr>
                <w:rFonts w:ascii="Arial" w:hAnsi="Arial" w:cs="Arial"/>
                <w:color w:val="2E7D32"/>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color w:val="2E7D32"/>
              </w:rPr>
              <w:t>FRRN</w:t>
            </w:r>
            <w:r w:rsidR="008A0CAC" w:rsidRPr="5B358E25">
              <w:rPr>
                <w:rFonts w:ascii="Arial" w:hAnsi="Arial" w:cs="Arial"/>
                <w:b/>
                <w:bCs/>
                <w:color w:val="2E7D32"/>
              </w:rPr>
              <w:t>.0</w:t>
            </w:r>
            <w:r w:rsidR="005D3B8E" w:rsidRPr="5B358E25">
              <w:rPr>
                <w:rFonts w:ascii="Arial" w:hAnsi="Arial" w:cs="Arial"/>
                <w:b/>
                <w:bCs/>
                <w:color w:val="2E7D32"/>
              </w:rPr>
              <w:t>1</w:t>
            </w:r>
            <w:r w:rsidR="307B1C22" w:rsidRPr="5B358E25">
              <w:rPr>
                <w:rFonts w:ascii="Arial" w:hAnsi="Arial" w:cs="Arial"/>
                <w:b/>
                <w:bCs/>
                <w:color w:val="2E7D32"/>
              </w:rPr>
              <w:t>3</w:t>
            </w:r>
            <w:r w:rsidR="008A0CAC" w:rsidRPr="5B358E25">
              <w:rPr>
                <w:rFonts w:ascii="Arial" w:hAnsi="Arial" w:cs="Arial"/>
                <w:b/>
                <w:bCs/>
                <w:color w:val="2E7D32"/>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color w:val="2E7D32"/>
                <w:lang w:val="en-US"/>
              </w:rPr>
              <w:t xml:space="preserve">The system shall match </w:t>
            </w:r>
            <w:r w:rsidR="00AA29A0">
              <w:rPr>
                <w:rFonts w:ascii="Arial" w:hAnsi="Arial" w:cs="Arial"/>
                <w:color w:val="2E7D32"/>
                <w:lang w:val="en-US"/>
              </w:rPr>
              <w:t>renewal</w:t>
            </w:r>
            <w:r w:rsidRPr="00F67969">
              <w:rPr>
                <w:rFonts w:ascii="Arial" w:hAnsi="Arial" w:cs="Arial"/>
                <w:color w:val="2E7D32"/>
                <w:lang w:val="en-US"/>
              </w:rPr>
              <w:t xml:space="preserve"> records from </w:t>
            </w:r>
            <w:r w:rsidR="00511FEC">
              <w:rPr>
                <w:rFonts w:ascii="Arial" w:hAnsi="Arial" w:cs="Arial"/>
                <w:color w:val="2E7D32"/>
                <w:lang w:val="en-US"/>
              </w:rPr>
              <w:t xml:space="preserve">the uploaded Insurer Disposition </w:t>
            </w:r>
            <w:r w:rsidR="00D0349C">
              <w:rPr>
                <w:rFonts w:ascii="Arial" w:hAnsi="Arial" w:cs="Arial"/>
                <w:color w:val="2E7D32"/>
                <w:lang w:val="en-US"/>
              </w:rPr>
              <w:t>file</w:t>
            </w:r>
            <w:r w:rsidRPr="00F67969">
              <w:rPr>
                <w:rFonts w:ascii="Arial" w:hAnsi="Arial" w:cs="Arial"/>
                <w:color w:val="2E7D32"/>
                <w:lang w:val="en-US"/>
              </w:rPr>
              <w:t xml:space="preserve"> using</w:t>
            </w:r>
            <w:r>
              <w:rPr>
                <w:rFonts w:ascii="Arial" w:hAnsi="Arial" w:cs="Arial"/>
                <w:color w:val="2E7D32"/>
                <w:lang w:val="en-US"/>
              </w:rPr>
              <w:t xml:space="preserve"> </w:t>
            </w:r>
            <w:r w:rsidR="00644D0E" w:rsidRPr="00644D0E">
              <w:rPr>
                <w:rFonts w:ascii="Arial" w:hAnsi="Arial" w:cs="Arial"/>
                <w:b/>
                <w:bCs/>
                <w:color w:val="2E7D32"/>
                <w:lang w:val="en-US"/>
              </w:rPr>
              <w:t xml:space="preserve">Expiring Policy Number </w:t>
            </w:r>
            <w:r w:rsidR="00644D0E" w:rsidRPr="00644D0E">
              <w:rPr>
                <w:rFonts w:ascii="Arial" w:hAnsi="Arial" w:cs="Arial"/>
                <w:color w:val="2E7D32"/>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color w:val="2E7D32"/>
                <w:lang w:val="en-US"/>
              </w:rPr>
              <w:t>Expiring Reference Number</w:t>
            </w:r>
            <w:r w:rsidR="222193B1" w:rsidRPr="3C7F3FD4">
              <w:rPr>
                <w:rFonts w:ascii="Arial" w:hAnsi="Arial" w:cs="Arial"/>
                <w:b/>
                <w:bCs/>
                <w:color w:val="2E7D32"/>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color w:val="2E7D32"/>
              </w:rPr>
              <w:t>Update the Insurer Disposition field</w:t>
            </w:r>
            <w:r w:rsidR="003C2C8B">
              <w:rPr>
                <w:rFonts w:ascii="Arial" w:hAnsi="Arial" w:cs="Arial"/>
                <w:color w:val="2E7D32"/>
              </w:rPr>
              <w:t>, Bucket classification, and Renewal Disposition</w:t>
            </w:r>
            <w:r w:rsidRPr="000B06AF">
              <w:rPr>
                <w:rFonts w:ascii="Arial" w:hAnsi="Arial" w:cs="Arial"/>
                <w:color w:val="2E7D32"/>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color w:val="2E7D32"/>
              </w:rPr>
              <w:t>Insurer Disposition</w:t>
            </w:r>
            <w:r w:rsidR="003C2C8B">
              <w:rPr>
                <w:rFonts w:ascii="Arial" w:hAnsi="Arial" w:cs="Arial"/>
                <w:color w:val="2E7D32"/>
              </w:rPr>
              <w:t xml:space="preserve">: </w:t>
            </w:r>
            <w:r w:rsidRPr="003C2C8B">
              <w:rPr>
                <w:rFonts w:ascii="Arial" w:hAnsi="Arial" w:cs="Arial"/>
                <w:color w:val="2E7D32"/>
              </w:rPr>
              <w:t>Renew As is</w:t>
            </w:r>
            <w:r w:rsidR="00D34ACA">
              <w:rPr>
                <w:rFonts w:ascii="Arial" w:hAnsi="Arial" w:cs="Arial"/>
                <w:color w:val="2E7D32"/>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00695016" w:rsidRPr="003C2C8B">
              <w:rPr>
                <w:rFonts w:ascii="Arial" w:hAnsi="Arial" w:cs="Arial"/>
                <w:color w:val="2E7D32"/>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00695016" w:rsidRPr="003C2C8B">
              <w:rPr>
                <w:rFonts w:ascii="Arial" w:hAnsi="Arial" w:cs="Arial"/>
                <w:color w:val="2E7D32"/>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color w:val="2E7D32"/>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r>
              <w:rPr>
                <w:rFonts w:ascii="Arial" w:hAnsi="Arial" w:cs="Arial"/>
                <w:color w:val="2E7D32"/>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6"/>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7"/>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color w:val="2E7D32"/>
              </w:rPr>
              <w:t>FRRN</w:t>
            </w:r>
            <w:r w:rsidR="59FAB855" w:rsidRPr="3C7F3FD4">
              <w:rPr>
                <w:rFonts w:ascii="Arial" w:hAnsi="Arial" w:cs="Arial"/>
                <w:b/>
                <w:bCs/>
                <w:color w:val="2E7D32"/>
              </w:rPr>
              <w:t>.014.0</w:t>
            </w:r>
            <w:r w:rsidR="368BD561" w:rsidRPr="3C7F3FD4">
              <w:rPr>
                <w:rFonts w:ascii="Arial" w:hAnsi="Arial" w:cs="Arial"/>
                <w:b/>
                <w:bCs/>
                <w:color w:val="2E7D32"/>
              </w:rPr>
              <w:t>5</w:t>
            </w:r>
            <w:r w:rsidR="59FAB855" w:rsidRPr="3C7F3FD4">
              <w:rPr>
                <w:rFonts w:ascii="Arial" w:hAnsi="Arial" w:cs="Arial"/>
                <w:b/>
                <w:bCs/>
                <w:color w:val="2E7D32"/>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color w:val="2E7D32"/>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2E7D32"/>
                <w:szCs w:val="20"/>
                <w:lang w:val="en-US"/>
              </w:rPr>
              <w:t xml:space="preserve">The system shall allow authorized users to tag an account as </w:t>
            </w:r>
            <w:r w:rsidRPr="3C7F3FD4">
              <w:rPr>
                <w:rFonts w:ascii="Arial" w:hAnsi="Arial" w:cs="Arial"/>
                <w:color w:val="2E7D32"/>
              </w:rPr>
              <w:t>Direct-to-Insurer Payment</w:t>
            </w:r>
            <w:r w:rsidRPr="3C7F3FD4">
              <w:rPr>
                <w:rFonts w:ascii="Arial" w:eastAsia="Arial" w:hAnsi="Arial" w:cs="Arial"/>
                <w:color w:val="2E7D32"/>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2E7D32"/>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2E7D32"/>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color w:val="2E7D32"/>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color w:val="2E7D32"/>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color w:val="2E7D32"/>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color w:val="2E7D32"/>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color w:val="2E7D32"/>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color w:val="2E7D32"/>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color w:val="2E7D32"/>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color w:val="2E7D32"/>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color w:val="2E7D32"/>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color w:val="2E7D32"/>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color w:val="2E7D32"/>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color w:val="2E7D32"/>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color w:val="2E7D32"/>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color w:val="2E7D32"/>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color w:val="2E7D32"/>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8"/>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9"/>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10"/>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1"/>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2"/>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3"/>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4"/>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5"/>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rPr>
                <w:rFonts w:ascii="Arial" w:hAnsi="Arial" w:cs="Arial"/>
              </w:rPr>
            </w:pPr>
            <w:r>
              <w:rPr>
                <w:rFonts w:ascii="Arial" w:hAnsi="Arial" w:cs="Arial"/>
              </w:rPr>
              <w:t xml:space="preserve">An override without remarks is refused.</w:t>
            </w:r>
          </w:p>
          <w:p>
            <w:pPr>
              <w:pStyle w:val="ListParagraph"/>
              <w:numPr>
                <w:ilvl w:val="0"/>
                <w:numId w:val="315"/>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color w:val="2E7D32"/>
              </w:rPr>
              <w:t>FRRN</w:t>
            </w:r>
            <w:r w:rsidR="04C312B9" w:rsidRPr="3C7F3FD4">
              <w:rPr>
                <w:rFonts w:ascii="Arial" w:hAnsi="Arial" w:cs="Arial"/>
                <w:b/>
                <w:bCs/>
                <w:color w:val="2E7D32"/>
              </w:rPr>
              <w:t xml:space="preserve">.022.02 </w:t>
            </w:r>
            <w:r w:rsidR="04C312B9" w:rsidRPr="3C7F3FD4">
              <w:rPr>
                <w:rFonts w:ascii="Arial" w:hAnsi="Arial" w:cs="Arial"/>
                <w:b/>
                <w:bCs/>
                <w:color w:val="2E7D32"/>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7"/>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color w:val="2E7D32"/>
              </w:rPr>
              <w:t>FRRN</w:t>
            </w:r>
            <w:r w:rsidR="18A24494" w:rsidRPr="3C7F3FD4">
              <w:rPr>
                <w:rFonts w:ascii="Arial" w:hAnsi="Arial" w:cs="Arial"/>
                <w:b/>
                <w:bCs/>
                <w:color w:val="2E7D32"/>
              </w:rPr>
              <w:t>.02</w:t>
            </w:r>
            <w:r w:rsidR="6A738837" w:rsidRPr="3C7F3FD4">
              <w:rPr>
                <w:rFonts w:ascii="Arial" w:hAnsi="Arial" w:cs="Arial"/>
                <w:b/>
                <w:bCs/>
                <w:color w:val="2E7D32"/>
              </w:rPr>
              <w:t>4</w:t>
            </w:r>
            <w:r w:rsidR="18A24494" w:rsidRPr="3C7F3FD4">
              <w:rPr>
                <w:rFonts w:ascii="Arial" w:hAnsi="Arial" w:cs="Arial"/>
                <w:b/>
                <w:bCs/>
                <w:color w:val="2E7D32"/>
              </w:rPr>
              <w:t>.0</w:t>
            </w:r>
            <w:r w:rsidR="3563D567" w:rsidRPr="3C7F3FD4">
              <w:rPr>
                <w:rFonts w:ascii="Arial" w:hAnsi="Arial" w:cs="Arial"/>
                <w:b/>
                <w:bCs/>
                <w:color w:val="2E7D32"/>
              </w:rPr>
              <w:t>1</w:t>
            </w:r>
            <w:r w:rsidR="18A24494" w:rsidRPr="3C7F3FD4">
              <w:rPr>
                <w:rFonts w:ascii="Arial" w:hAnsi="Arial" w:cs="Arial"/>
                <w:b/>
                <w:bCs/>
                <w:color w:val="2E7D32"/>
                <w:lang w:val="en-US"/>
              </w:rPr>
              <w:t xml:space="preserve"> </w:t>
            </w:r>
            <w:r w:rsidR="0A750EC3" w:rsidRPr="3C7F3FD4">
              <w:rPr>
                <w:rFonts w:ascii="Arial" w:hAnsi="Arial" w:cs="Arial"/>
                <w:b/>
                <w:bCs/>
                <w:color w:val="2E7D32"/>
                <w:lang w:val="en-US"/>
              </w:rPr>
              <w:t xml:space="preserve">Generated File </w:t>
            </w:r>
            <w:r w:rsidR="18A24494" w:rsidRPr="3C7F3FD4">
              <w:rPr>
                <w:rFonts w:ascii="Arial" w:hAnsi="Arial" w:cs="Arial"/>
                <w:b/>
                <w:bCs/>
                <w:color w:val="2E7D32"/>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8"/>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9"/>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color w:val="2E7D32"/>
              </w:rPr>
              <w:t>FRRN</w:t>
            </w:r>
            <w:r w:rsidR="00994CD1" w:rsidRPr="3C7F3FD4">
              <w:rPr>
                <w:rFonts w:ascii="Arial" w:hAnsi="Arial" w:cs="Arial"/>
                <w:b/>
                <w:bCs/>
                <w:color w:val="2E7D32"/>
              </w:rPr>
              <w:t>.</w:t>
            </w:r>
            <w:r w:rsidR="10BAC7CB" w:rsidRPr="3C7F3FD4">
              <w:rPr>
                <w:rFonts w:ascii="Arial" w:hAnsi="Arial" w:cs="Arial"/>
                <w:b/>
                <w:bCs/>
                <w:color w:val="2E7D32"/>
              </w:rPr>
              <w:t>2</w:t>
            </w:r>
            <w:r w:rsidR="1ADA547C" w:rsidRPr="3C7F3FD4">
              <w:rPr>
                <w:rFonts w:ascii="Arial" w:hAnsi="Arial" w:cs="Arial"/>
                <w:b/>
                <w:bCs/>
                <w:color w:val="2E7D32"/>
              </w:rPr>
              <w:t>6</w:t>
            </w:r>
            <w:r w:rsidR="00994CD1" w:rsidRPr="3C7F3FD4">
              <w:rPr>
                <w:rFonts w:ascii="Arial" w:hAnsi="Arial" w:cs="Arial"/>
                <w:b/>
                <w:bCs/>
                <w:color w:val="2E7D32"/>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color w:val="2E7D32"/>
              </w:rPr>
              <w:t xml:space="preserve">The system shall allow the </w:t>
            </w:r>
            <w:r>
              <w:rPr>
                <w:rFonts w:ascii="Arial" w:hAnsi="Arial" w:cs="Arial"/>
                <w:color w:val="2E7D32"/>
              </w:rPr>
              <w:t>authorized users</w:t>
            </w:r>
            <w:r w:rsidRPr="00994CD1">
              <w:rPr>
                <w:rFonts w:ascii="Arial" w:hAnsi="Arial" w:cs="Arial"/>
                <w:color w:val="2E7D32"/>
              </w:rPr>
              <w:t xml:space="preserve"> to view the list of accounts with status “Submitted for Approval”.</w:t>
            </w:r>
            <w:r w:rsidRPr="00994CD1">
              <w:rPr>
                <w:rFonts w:ascii="Arial" w:hAnsi="Arial" w:cs="Arial"/>
                <w:color w:val="2E7D32"/>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color w:val="2E7D32"/>
              </w:rPr>
              <w:t xml:space="preserve">The </w:t>
            </w:r>
            <w:r w:rsidR="00F77AF3">
              <w:rPr>
                <w:rFonts w:ascii="Arial" w:hAnsi="Arial" w:cs="Arial"/>
                <w:color w:val="2E7D32"/>
              </w:rPr>
              <w:t>user</w:t>
            </w:r>
            <w:r w:rsidRPr="00994CD1">
              <w:rPr>
                <w:rFonts w:ascii="Arial" w:hAnsi="Arial" w:cs="Arial"/>
                <w:color w:val="2E7D32"/>
              </w:rPr>
              <w:t xml:space="preserve"> shall review the correctness and completeness of the account details.</w:t>
            </w:r>
            <w:r w:rsidRPr="00994CD1">
              <w:rPr>
                <w:rFonts w:ascii="Arial" w:hAnsi="Arial" w:cs="Arial"/>
                <w:color w:val="2E7D32"/>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color w:val="2E7D32"/>
                <w:lang w:val="en-US"/>
              </w:rPr>
              <w:t xml:space="preserve">The system shall provide an </w:t>
            </w:r>
            <w:r w:rsidRPr="003A369D">
              <w:rPr>
                <w:rFonts w:ascii="Arial" w:hAnsi="Arial" w:cs="Arial"/>
                <w:b/>
                <w:bCs/>
                <w:color w:val="2E7D32"/>
                <w:lang w:val="en-US"/>
              </w:rPr>
              <w:t>Approve</w:t>
            </w:r>
            <w:r w:rsidRPr="003A369D">
              <w:rPr>
                <w:rFonts w:ascii="Arial" w:hAnsi="Arial" w:cs="Arial"/>
                <w:color w:val="2E7D32"/>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color w:val="2E7D32"/>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color w:val="2E7D32"/>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color w:val="2E7D32"/>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color w:val="2E7D32"/>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color w:val="2E7D32"/>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color w:val="2E7D32"/>
                <w:lang w:val="en-US"/>
              </w:rPr>
              <w:t>For Non-CBG accounts</w:t>
            </w:r>
            <w:r w:rsidR="00A739A6" w:rsidRPr="3C7F3FD4">
              <w:rPr>
                <w:rFonts w:ascii="Arial" w:hAnsi="Arial" w:cs="Arial"/>
                <w:color w:val="2E7D32"/>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color w:val="2E7D32"/>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color w:val="2E7D32"/>
                <w:lang w:val="en-US"/>
              </w:rPr>
              <w:t xml:space="preserve">Error message: </w:t>
            </w:r>
            <w:r w:rsidRPr="00392FA3">
              <w:rPr>
                <w:rFonts w:ascii="Arial" w:hAnsi="Arial" w:cs="Arial"/>
                <w:color w:val="2E7D32"/>
                <w:lang w:val="en-US"/>
              </w:rPr>
              <w:t xml:space="preserve">"Please select the </w:t>
            </w:r>
            <w:r w:rsidR="37F18963" w:rsidRPr="5E9F2FE5">
              <w:rPr>
                <w:rFonts w:ascii="Arial" w:hAnsi="Arial" w:cs="Arial"/>
                <w:color w:val="2E7D32"/>
                <w:lang w:val="en-US"/>
              </w:rPr>
              <w:t>client's</w:t>
            </w:r>
            <w:r w:rsidRPr="00392FA3">
              <w:rPr>
                <w:rFonts w:ascii="Arial" w:hAnsi="Arial" w:cs="Arial"/>
                <w:color w:val="2E7D32"/>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color w:val="2E7D32"/>
                <w:lang w:val="en-US"/>
              </w:rPr>
              <w:t>If the user selects a payment confirmation, the system shall update the account status to "Submitted for Placement"</w:t>
            </w:r>
            <w:r w:rsidR="0093226B" w:rsidRPr="5B358E25">
              <w:rPr>
                <w:rFonts w:ascii="Arial" w:hAnsi="Arial" w:cs="Arial"/>
                <w:color w:val="2E7D32"/>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color w:val="2E7D32"/>
                <w:lang w:val="en-US"/>
              </w:rPr>
              <w:t xml:space="preserve">Success Message: </w:t>
            </w:r>
            <w:r w:rsidRPr="0093226B">
              <w:rPr>
                <w:rFonts w:ascii="Arial" w:hAnsi="Arial" w:cs="Arial"/>
                <w:color w:val="2E7D32"/>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color w:val="2E7D32"/>
              </w:rPr>
              <w:t>Button: Reject</w:t>
            </w:r>
            <w:r w:rsidRPr="00994CD1">
              <w:rPr>
                <w:rFonts w:ascii="Arial" w:hAnsi="Arial" w:cs="Arial"/>
                <w:color w:val="2E7D32"/>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color w:val="2E7D32"/>
              </w:rPr>
              <w:t>A prompt will be displayed by the system requiring the user to provide a reason or remarks for the rejection.</w:t>
            </w:r>
            <w:r w:rsidRPr="00994CD1">
              <w:rPr>
                <w:rFonts w:ascii="Arial" w:hAnsi="Arial" w:cs="Arial"/>
                <w:color w:val="2E7D32"/>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color w:val="2E7D32"/>
              </w:rPr>
              <w:t>When clicked, the system shall automatically update the status of the account to “Returned Account”.</w:t>
            </w:r>
            <w:r w:rsidRPr="00994CD1">
              <w:rPr>
                <w:rFonts w:ascii="Arial" w:hAnsi="Arial" w:cs="Arial"/>
                <w:color w:val="2E7D32"/>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color w:val="2E7D32"/>
                <w:lang w:val="en-US"/>
              </w:rPr>
              <w:t xml:space="preserve">Success message: </w:t>
            </w:r>
            <w:r w:rsidRPr="00F618FF">
              <w:rPr>
                <w:rFonts w:ascii="Arial" w:hAnsi="Arial" w:cs="Arial"/>
                <w:color w:val="2E7D32"/>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color w:val="2E7D32"/>
                <w:lang w:val="en-US"/>
              </w:rPr>
              <w:t>The system shall r</w:t>
            </w:r>
            <w:r w:rsidRPr="00510972">
              <w:rPr>
                <w:rFonts w:ascii="Arial" w:hAnsi="Arial" w:cs="Arial"/>
                <w:color w:val="2E7D32"/>
                <w:lang w:val="en-US"/>
              </w:rPr>
              <w:t xml:space="preserve">eturn the account to the originating work queue of the authorized user responsible for the </w:t>
            </w:r>
            <w:r>
              <w:rPr>
                <w:rFonts w:ascii="Arial" w:hAnsi="Arial" w:cs="Arial"/>
                <w:color w:val="2E7D32"/>
                <w:lang w:val="en-US"/>
              </w:rPr>
              <w:t xml:space="preserve">renewal </w:t>
            </w:r>
            <w:r w:rsidRPr="00510972">
              <w:rPr>
                <w:rFonts w:ascii="Arial" w:hAnsi="Arial" w:cs="Arial"/>
                <w:color w:val="2E7D32"/>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color w:val="2E7D32"/>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color w:val="2E7D32"/>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lastRenderedPageBreak/>
              <w:t>Update the account status to "Submitted for Approval</w:t>
            </w:r>
            <w:r w:rsidRPr="5E9F2FE5">
              <w:rPr>
                <w:rFonts w:ascii="Arial" w:hAnsi="Arial" w:cs="Arial"/>
                <w:color w:val="2E7D32"/>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color w:val="2E7D32"/>
              </w:rPr>
              <w:t>FRRN</w:t>
            </w:r>
            <w:r w:rsidR="26AA99CC" w:rsidRPr="3C7F3FD4">
              <w:rPr>
                <w:rFonts w:ascii="Arial" w:hAnsi="Arial" w:cs="Arial"/>
                <w:b/>
                <w:bCs/>
                <w:color w:val="2E7D32"/>
              </w:rPr>
              <w:t xml:space="preserve">.27.01 </w:t>
            </w:r>
            <w:r w:rsidR="7DA381C6" w:rsidRPr="3C7F3FD4">
              <w:rPr>
                <w:rFonts w:ascii="Arial" w:hAnsi="Arial" w:cs="Arial"/>
                <w:b/>
                <w:bCs/>
                <w:color w:val="2E7D32"/>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color w:val="2E7D32"/>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color w:val="2E7D32"/>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color w:val="2E7D32"/>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color w:val="2E7D32"/>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 xml:space="preserve">10 calendar days </w:t>
            </w:r>
            <w:r w:rsidR="005A2EAB">
              <w:rPr>
                <w:rFonts w:ascii="Arial" w:hAnsi="Arial" w:cs="Arial"/>
                <w:color w:val="2E7D32"/>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color w:val="2E7D32"/>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color w:val="2E7D32"/>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color w:val="2E7D32"/>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rPr>
              <w:t>File types:</w:t>
            </w:r>
            <w:r w:rsidRPr="3C7F3FD4">
              <w:rPr>
                <w:rFonts w:ascii="Arial" w:hAnsi="Arial" w:cs="Arial"/>
                <w:color w:val="2E7D32"/>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Built-in: contains amortized accounts</w:t>
            </w:r>
            <w:r w:rsidRPr="3C7F3FD4">
              <w:rPr>
                <w:rFonts w:ascii="Arial" w:hAnsi="Arial" w:cs="Arial"/>
                <w:color w:val="2E7D32"/>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_CLPC Billing Built in_ is constant</w:t>
            </w:r>
            <w:r w:rsidRPr="3C7F3FD4">
              <w:rPr>
                <w:rFonts w:ascii="Arial" w:hAnsi="Arial" w:cs="Arial"/>
                <w:color w:val="2E7D32"/>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Non-Built-in: contains non-amortized accounts</w:t>
            </w:r>
            <w:r w:rsidRPr="3C7F3FD4">
              <w:rPr>
                <w:rFonts w:ascii="Arial" w:hAnsi="Arial" w:cs="Arial"/>
                <w:color w:val="2E7D32"/>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&lt;Product Line&gt; is Product</w:t>
            </w:r>
            <w:r w:rsidRPr="3C7F3FD4">
              <w:rPr>
                <w:rFonts w:ascii="Arial" w:hAnsi="Arial" w:cs="Arial"/>
                <w:color w:val="2E7D32"/>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_CLPC Billing NonBuilt in_ is constant</w:t>
            </w:r>
            <w:r w:rsidRPr="3C7F3FD4">
              <w:rPr>
                <w:rFonts w:ascii="Arial" w:hAnsi="Arial" w:cs="Arial"/>
                <w:color w:val="2E7D32"/>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color w:val="2E7D32"/>
              </w:rPr>
              <w:t>FRRN</w:t>
            </w:r>
            <w:r w:rsidR="528EDD91" w:rsidRPr="3C7F3FD4">
              <w:rPr>
                <w:rFonts w:ascii="Arial" w:hAnsi="Arial" w:cs="Arial"/>
                <w:b/>
                <w:bCs/>
                <w:color w:val="2E7D32"/>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color w:val="2E7D32"/>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color w:val="2E7D32"/>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color w:val="2E7D32"/>
              </w:rPr>
              <w:t xml:space="preserve">Insurer is tagged as </w:t>
            </w:r>
            <w:r w:rsidRPr="3C7F3FD4">
              <w:rPr>
                <w:rFonts w:ascii="Arial" w:hAnsi="Arial" w:cs="Arial"/>
                <w:b/>
                <w:bCs/>
                <w:color w:val="2E7D32"/>
              </w:rPr>
              <w:t>MFT Enrolled</w:t>
            </w:r>
            <w:r w:rsidRPr="3C7F3FD4">
              <w:rPr>
                <w:rFonts w:ascii="Arial" w:hAnsi="Arial" w:cs="Arial"/>
                <w:color w:val="2E7D32"/>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color w:val="2E7D32"/>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color w:val="2E7D32"/>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color w:val="2E7D32"/>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color w:val="2E7D32"/>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color w:val="2E7D32"/>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color w:val="2E7D32"/>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color w:val="2E7D32"/>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color w:val="2E7D32"/>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color w:val="2E7D32"/>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color w:val="2E7D32"/>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color w:val="2E7D32"/>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color w:val="2E7D32"/>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color w:val="2E7D32"/>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color w:val="2E7D32"/>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color w:val="2E7D32"/>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color w:val="2E7D32"/>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color w:val="2E7D32"/>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color w:val="2E7D32"/>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color w:val="2E7D32"/>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color w:val="2E7D32"/>
              </w:rPr>
              <w:t>FRRN</w:t>
            </w:r>
            <w:r w:rsidR="2DE5A2AC" w:rsidRPr="3C7F3FD4">
              <w:rPr>
                <w:rFonts w:ascii="Arial" w:hAnsi="Arial" w:cs="Arial"/>
                <w:b/>
                <w:bCs/>
                <w:color w:val="2E7D32"/>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Beyond SLA</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7"/>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color w:val="2E7D32"/>
                <w:lang w:eastAsia="en-US"/>
              </w:rPr>
              <w:t>FRRN</w:t>
            </w:r>
            <w:r w:rsidR="00190B6B" w:rsidRPr="3C7F3FD4">
              <w:rPr>
                <w:rFonts w:ascii="Arial" w:hAnsi="Arial" w:cs="Arial"/>
                <w:b/>
                <w:bCs/>
                <w:color w:val="2E7D32"/>
                <w:lang w:eastAsia="en-US"/>
              </w:rPr>
              <w:t>.0</w:t>
            </w:r>
            <w:r w:rsidR="30341C30" w:rsidRPr="3C7F3FD4">
              <w:rPr>
                <w:rFonts w:ascii="Arial" w:hAnsi="Arial" w:cs="Arial"/>
                <w:b/>
                <w:bCs/>
                <w:color w:val="2E7D32"/>
                <w:lang w:eastAsia="en-US"/>
              </w:rPr>
              <w:t>33</w:t>
            </w:r>
            <w:r w:rsidR="00190B6B" w:rsidRPr="3C7F3FD4">
              <w:rPr>
                <w:rFonts w:ascii="Arial" w:hAnsi="Arial" w:cs="Arial"/>
                <w:b/>
                <w:bCs/>
                <w:color w:val="2E7D32"/>
                <w:lang w:eastAsia="en-US"/>
              </w:rPr>
              <w:t>.01</w:t>
            </w:r>
            <w:r w:rsidR="00D47412" w:rsidRPr="3C7F3FD4">
              <w:rPr>
                <w:rFonts w:ascii="Arial" w:hAnsi="Arial" w:cs="Arial"/>
                <w:b/>
                <w:bCs/>
                <w:color w:val="2E7D32"/>
                <w:lang w:eastAsia="en-US"/>
              </w:rPr>
              <w:t xml:space="preserve"> </w:t>
            </w:r>
            <w:r w:rsidR="7E387922" w:rsidRPr="3C7F3FD4">
              <w:rPr>
                <w:rFonts w:ascii="Arial" w:hAnsi="Arial" w:cs="Arial"/>
                <w:b/>
                <w:bCs/>
                <w:color w:val="2E7D32"/>
                <w:lang w:val="en-US" w:eastAsia="en-US"/>
              </w:rPr>
              <w:t>Receipt</w:t>
            </w:r>
            <w:r w:rsidR="00D47412" w:rsidRPr="3C7F3FD4">
              <w:rPr>
                <w:rFonts w:ascii="Arial" w:hAnsi="Arial" w:cs="Arial"/>
                <w:b/>
                <w:bCs/>
                <w:color w:val="2E7D32"/>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color w:val="2E7D32"/>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color w:val="2E7D32"/>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color w:val="2E7D32"/>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color w:val="2E7D32"/>
                <w:lang w:val="en-US"/>
              </w:rPr>
              <w:t xml:space="preserve">The system shall automatically match extracted documents using the </w:t>
            </w:r>
            <w:r w:rsidRPr="3C7F3FD4">
              <w:rPr>
                <w:rFonts w:ascii="Arial" w:hAnsi="Arial" w:cs="Arial"/>
                <w:b/>
                <w:bCs/>
                <w:color w:val="2E7D32"/>
                <w:lang w:val="en-US"/>
              </w:rPr>
              <w:t>Reference Number</w:t>
            </w:r>
            <w:r w:rsidRPr="3C7F3FD4">
              <w:rPr>
                <w:rFonts w:ascii="Arial" w:hAnsi="Arial" w:cs="Arial"/>
                <w:color w:val="2E7D32"/>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color w:val="2E7D32"/>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color w:val="2E7D32"/>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color w:val="2E7D32"/>
                <w:lang w:val="en-US"/>
              </w:rPr>
              <w:t xml:space="preserve">Attach the corresponding </w:t>
            </w:r>
            <w:r>
              <w:rPr>
                <w:rFonts w:ascii="Arial" w:hAnsi="Arial" w:cs="Arial"/>
                <w:color w:val="2E7D32"/>
                <w:lang w:val="en-US"/>
              </w:rPr>
              <w:t>E-</w:t>
            </w:r>
            <w:r w:rsidRPr="002B5F12">
              <w:rPr>
                <w:rFonts w:ascii="Arial" w:hAnsi="Arial" w:cs="Arial"/>
                <w:color w:val="2E7D32"/>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color w:val="2E7D32"/>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color w:val="2E7D32"/>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rPr>
                <w:rFonts w:ascii="Arial" w:hAnsi="Arial" w:cs="Arial"/>
              </w:rPr>
            </w:pPr>
            <w:r>
              <w:rPr>
                <w:rFonts w:ascii="Arial" w:hAnsi="Arial" w:cs="Arial"/>
              </w:rPr>
              <w:t xml:space="preserve">No user can set the incentive code by hand.</w:t>
            </w:r>
          </w:p>
          <w:p>
            <w:pPr>
              <w:pStyle w:val="ListParagraph"/>
              <w:numPr>
                <w:ilvl w:val="0"/>
                <w:numId w:val="265"/>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color w:val="2E7D32"/>
              </w:rPr>
              <w:t>FRRN</w:t>
            </w:r>
            <w:r w:rsidR="06B569EF" w:rsidRPr="3C7F3FD4">
              <w:rPr>
                <w:rFonts w:ascii="Arial" w:hAnsi="Arial" w:cs="Arial"/>
                <w:b/>
                <w:bCs/>
                <w:color w:val="2E7D32"/>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rPr>
                <w:rFonts w:ascii="Arial" w:hAnsi="Arial" w:cs="Arial"/>
              </w:rPr>
            </w:pPr>
            <w:r>
              <w:rPr>
                <w:rFonts w:ascii="Arial" w:hAnsi="Arial" w:cs="Arial"/>
              </w:rPr>
              <w:t xml:space="preserve">A retroactive effective date is refused.</w:t>
            </w:r>
          </w:p>
          <w:p>
            <w:pPr>
              <w:pStyle w:val="ListParagraph"/>
              <w:numPr>
                <w:ilvl w:val="0"/>
                <w:numId w:val="280"/>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color w:val="2E7D32"/>
              </w:rPr>
              <w:t>FRRN</w:t>
            </w:r>
            <w:r w:rsidR="00355594" w:rsidRPr="57AD56D7">
              <w:rPr>
                <w:rFonts w:ascii="Arial" w:hAnsi="Arial" w:cs="Arial"/>
                <w:b/>
                <w:bCs/>
                <w:color w:val="2E7D32"/>
              </w:rPr>
              <w:t>.</w:t>
            </w:r>
            <w:r w:rsidR="00355594" w:rsidRPr="18CF4360">
              <w:rPr>
                <w:rFonts w:ascii="Arial" w:hAnsi="Arial" w:cs="Arial"/>
                <w:b/>
                <w:bCs/>
                <w:color w:val="2E7D32"/>
              </w:rPr>
              <w:t>03</w:t>
            </w:r>
            <w:r w:rsidR="4EE04CF8" w:rsidRPr="18CF4360">
              <w:rPr>
                <w:rFonts w:ascii="Arial" w:hAnsi="Arial" w:cs="Arial"/>
                <w:b/>
                <w:bCs/>
                <w:color w:val="2E7D32"/>
              </w:rPr>
              <w:t>9</w:t>
            </w:r>
            <w:r w:rsidR="00355594" w:rsidRPr="57AD56D7">
              <w:rPr>
                <w:rFonts w:ascii="Arial" w:hAnsi="Arial" w:cs="Arial"/>
                <w:b/>
                <w:bCs/>
                <w:color w:val="2E7D32"/>
              </w:rPr>
              <w:t xml:space="preserve">.02 </w:t>
            </w:r>
            <w:r w:rsidR="00591D31" w:rsidRPr="57AD56D7">
              <w:rPr>
                <w:rFonts w:ascii="Arial" w:hAnsi="Arial" w:cs="Arial"/>
                <w:b/>
                <w:bCs/>
                <w:color w:val="2E7D32"/>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color w:val="2E7D32"/>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color w:val="2E7D32"/>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 xml:space="preserve">KYC </w:t>
            </w:r>
            <w:r w:rsidR="00F77F91">
              <w:rPr>
                <w:rFonts w:ascii="Arial" w:hAnsi="Arial" w:cs="Arial"/>
                <w:color w:val="2E7D32"/>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color w:val="2E7D32"/>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color w:val="2E7D32"/>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rPr>
                <w:rFonts w:ascii="Arial" w:hAnsi="Arial" w:cs="Arial"/>
              </w:rPr>
            </w:pPr>
            <w:r>
              <w:rPr>
                <w:rFonts w:ascii="Arial" w:hAnsi="Arial" w:cs="Arial"/>
              </w:rPr>
              <w:t xml:space="preserve">A rule that maps a failed rule to Clean cannot be saved.</w:t>
            </w:r>
          </w:p>
          <w:p>
            <w:pPr>
              <w:pStyle w:val="ListParagraph"/>
              <w:numPr>
                <w:ilvl w:val="0"/>
                <w:numId w:val="285"/>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20"/>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1"/>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2"/>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rPr>
                <w:rFonts w:ascii="Arial" w:hAnsi="Arial" w:cs="Arial"/>
              </w:rPr>
            </w:pPr>
            <w:r>
              <w:rPr>
                <w:rFonts w:ascii="Arial" w:hAnsi="Arial" w:cs="Arial"/>
              </w:rPr>
              <w:t xml:space="preserve">The lead days shall never be fixed in the system (BRRN.030).</w:t>
            </w:r>
          </w:p>
          <w:p>
            <w:pPr>
              <w:pStyle w:val="ListParagraph"/>
              <w:numPr>
                <w:ilvl w:val="0"/>
                <w:numId w:val="322"/>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3"/>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color w:val="2E7D32"/>
              </w:rPr>
              <w:t>FRRN</w:t>
            </w:r>
            <w:r w:rsidR="65D4CE8A" w:rsidRPr="18CF4360">
              <w:rPr>
                <w:rFonts w:ascii="Arial" w:hAnsi="Arial" w:cs="Arial"/>
                <w:b/>
                <w:bCs/>
                <w:color w:val="2E7D32"/>
              </w:rPr>
              <w:t xml:space="preserve">.041.01 </w:t>
            </w:r>
            <w:r w:rsidR="4B5F02DE" w:rsidRPr="18CF4360">
              <w:rPr>
                <w:rFonts w:ascii="Arial" w:hAnsi="Arial" w:cs="Arial"/>
                <w:b/>
                <w:bCs/>
                <w:color w:val="2E7D32"/>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color w:val="2E7D32"/>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color w:val="2E7D32"/>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color w:val="2E7D32"/>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color w:val="2E7D32"/>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color w:val="2E7D32"/>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color w:val="2E7D32"/>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color w:val="2E7D32"/>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color w:val="2E7D32"/>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color w:val="2E7D32"/>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color w:val="2E7D32"/>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color w:val="2E7D32"/>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color w:val="2E7D32"/>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color w:val="2E7D32"/>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color w:val="2E7D32"/>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color w:val="2E7D32"/>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color w:val="2E7D32"/>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color w:val="2E7D32"/>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color w:val="2E7D32"/>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color w:val="2E7D32"/>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color w:val="2E7D32"/>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color w:val="2E7D32"/>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color w:val="2E7D32"/>
              </w:rPr>
              <w:t>FRRN</w:t>
            </w:r>
            <w:r w:rsidR="00236C3E" w:rsidRPr="57AD56D7">
              <w:rPr>
                <w:rFonts w:ascii="Arial" w:hAnsi="Arial" w:cs="Arial"/>
                <w:b/>
                <w:bCs/>
                <w:color w:val="2E7D32"/>
              </w:rPr>
              <w:t>.</w:t>
            </w:r>
            <w:r w:rsidR="00236C3E" w:rsidRPr="18CF4360">
              <w:rPr>
                <w:rFonts w:ascii="Arial" w:hAnsi="Arial" w:cs="Arial"/>
                <w:b/>
                <w:bCs/>
                <w:color w:val="2E7D32"/>
              </w:rPr>
              <w:t>0</w:t>
            </w:r>
            <w:r w:rsidR="2D2B4171" w:rsidRPr="18CF4360">
              <w:rPr>
                <w:rFonts w:ascii="Arial" w:hAnsi="Arial" w:cs="Arial"/>
                <w:b/>
                <w:bCs/>
                <w:color w:val="2E7D32"/>
              </w:rPr>
              <w:t>42</w:t>
            </w:r>
            <w:r w:rsidR="00236C3E" w:rsidRPr="57AD56D7">
              <w:rPr>
                <w:rFonts w:ascii="Arial" w:hAnsi="Arial" w:cs="Arial"/>
                <w:b/>
                <w:bCs/>
                <w:color w:val="2E7D32"/>
              </w:rPr>
              <w:t>.01 </w:t>
            </w:r>
            <w:r w:rsidR="00236C3E" w:rsidRPr="00236C3E">
              <w:rPr>
                <w:rFonts w:ascii="Arial" w:hAnsi="Arial" w:cs="Arial"/>
                <w:b/>
                <w:bCs/>
                <w:color w:val="2E7D32"/>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color w:val="2E7D32"/>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color w:val="2E7D32"/>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5"/>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4"/>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5"/>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rPr>
                <w:rFonts w:ascii="Arial" w:hAnsi="Arial" w:cs="Arial"/>
              </w:rPr>
            </w:pPr>
            <w:r>
              <w:rPr>
                <w:rFonts w:ascii="Arial" w:hAnsi="Arial" w:cs="Arial"/>
              </w:rPr>
              <w:t xml:space="preserve">The Excel and PDF files have the same rows as the screen.</w:t>
            </w:r>
          </w:p>
          <w:p>
            <w:pPr>
              <w:pStyle w:val="ListParagraph"/>
              <w:numPr>
                <w:ilvl w:val="0"/>
                <w:numId w:val="325"/>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6"/>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7"/>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8"/>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9"/>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30"/>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1"/>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2"/>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3"/>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4"/>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5"/>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6"/>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7"/>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9"/>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40"/>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1"/>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2"/>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3"/>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AA.15 -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tcPr>
          <w:p>
            <w:pPr>
              <w:spacing w:after="0"/>
              <w:rPr>
                <w:rFonts w:ascii="Calibri" w:hAnsi="Calibri" w:cs="Calibri"/>
                <w:sz w:val="15"/>
                <w:szCs w:val="15"/>
              </w:rPr>
            </w:pPr>
            <w:r>
              <w:rPr>
                <w:rFonts w:ascii="Calibri" w:hAnsi="Calibri" w:cs="Calibri"/>
                <w:sz w:val="15"/>
                <w:szCs w:val="15"/>
              </w:rPr>
              <w:t xml:space="preserve">Card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tcPr>
          <w:p>
            <w:pPr>
              <w:spacing w:after="0"/>
              <w:rPr>
                <w:rFonts w:ascii="Calibri" w:hAnsi="Calibri" w:cs="Calibri"/>
                <w:sz w:val="15"/>
                <w:szCs w:val="15"/>
              </w:rPr>
            </w:pPr>
            <w:r>
              <w:rPr>
                <w:rFonts w:ascii="Calibri" w:hAnsi="Calibri" w:cs="Calibri"/>
                <w:sz w:val="15"/>
                <w:szCs w:val="15"/>
              </w:rPr>
              <w:t xml:space="preserve">Toggle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Accept</w:t>
            </w:r>
          </w:p>
        </w:tc>
        <w:tc>
          <w:tcPr>
            <w:tcW w:w="1584" w:type="dxa"/>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tcPr>
          <w:p>
            <w:pPr>
              <w:spacing w:after="0"/>
              <w:rPr>
                <w:rFonts w:ascii="Calibri" w:hAnsi="Calibri" w:cs="Calibri"/>
                <w:sz w:val="15"/>
                <w:szCs w:val="15"/>
              </w:rPr>
            </w:pPr>
            <w:r>
              <w:rPr>
                <w:rFonts w:ascii="Calibri" w:hAnsi="Calibri" w:cs="Calibri"/>
                <w:sz w:val="15"/>
                <w:szCs w:val="15"/>
              </w:rPr>
              <w:t xml:space="preserve">Source unit</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tcPr>
          <w:p>
            <w:pPr>
              <w:spacing w:after="0"/>
              <w:rPr>
                <w:rFonts w:ascii="Calibri" w:hAnsi="Calibri" w:cs="Calibri"/>
                <w:sz w:val="15"/>
                <w:szCs w:val="15"/>
              </w:rPr>
            </w:pPr>
            <w:r>
              <w:rPr>
                <w:rFonts w:ascii="Calibri" w:hAnsi="Calibri" w:cs="Calibri"/>
                <w:sz w:val="15"/>
                <w:szCs w:val="15"/>
              </w:rPr>
              <w:t xml:space="preserve">Cancelled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w:t>
            </w:r>
          </w:p>
        </w:tc>
        <w:tc>
          <w:tcPr>
            <w:tcW w:w="1584" w:type="dxa"/>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Placement</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[Card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tcPr>
          <w:p>
            <w:pPr>
              <w:spacing w:after="0"/>
              <w:rPr>
                <w:rFonts w:ascii="Calibri" w:hAnsi="Calibri" w:cs="Calibri"/>
                <w:sz w:val="15"/>
                <w:szCs w:val="15"/>
              </w:rPr>
            </w:pPr>
            <w:r>
              <w:rPr>
                <w:rFonts w:ascii="Calibri" w:hAnsi="Calibri" w:cs="Calibri"/>
                <w:sz w:val="15"/>
                <w:szCs w:val="15"/>
              </w:rPr>
              <w:t xml:space="preserve">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Y / N</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 Update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Check</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Export</w:t>
            </w:r>
          </w:p>
        </w:tc>
        <w:tc>
          <w:tcPr>
            <w:tcW w:w="1584" w:type="dxa"/>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N / N / N</w:t>
            </w:r>
          </w:p>
        </w:tc>
        <w:tc>
          <w:tcPr>
            <w:tcW w:w="3311" w:type="dxa"/>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tcPr>
          <w:p>
            <w:pPr>
              <w:spacing w:after="0"/>
              <w:rPr>
                <w:rFonts w:ascii="Calibri" w:hAnsi="Calibri" w:cs="Calibri"/>
                <w:sz w:val="15"/>
                <w:szCs w:val="15"/>
              </w:rPr>
            </w:pPr>
            <w:r>
              <w:rPr>
                <w:rFonts w:ascii="Calibri" w:hAnsi="Calibri" w:cs="Calibri"/>
                <w:sz w:val="15"/>
                <w:szCs w:val="15"/>
              </w:rPr>
              <w:t xml:space="preserve">Number</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0"/>
              <w:rPr>
                <w:rFonts w:ascii="Calibri" w:hAnsi="Calibri" w:cs="Calibri"/>
                <w:sz w:val="15"/>
                <w:szCs w:val="15"/>
              </w:rPr>
            </w:pPr>
            <w:r>
              <w:rPr>
                <w:rFonts w:ascii="Calibri" w:hAnsi="Calibri" w:cs="Calibri"/>
                <w:sz w:val="15"/>
                <w:szCs w:val="15"/>
              </w:rPr>
              <w:t xml:space="preserve">Drop-down, text</w:t>
            </w:r>
          </w:p>
        </w:tc>
        <w:tc>
          <w:tcPr>
            <w:tcW w:w="1152" w:type="dxa"/>
          </w:tcPr>
          <w:p>
            <w:pPr>
              <w:spacing w:after="0"/>
              <w:rPr>
                <w:rFonts w:ascii="Calibri" w:hAnsi="Calibri" w:cs="Calibri"/>
                <w:sz w:val="15"/>
                <w:szCs w:val="15"/>
              </w:rPr>
            </w:pPr>
            <w:r>
              <w:rPr>
                <w:rFonts w:ascii="Calibri" w:hAnsi="Calibri" w:cs="Calibri"/>
                <w:sz w:val="15"/>
                <w:szCs w:val="15"/>
              </w:rPr>
              <w:t xml:space="preserve">Cond.</w:t>
            </w:r>
          </w:p>
        </w:tc>
        <w:tc>
          <w:tcPr>
            <w:tcW w:w="3311" w:type="dxa"/>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For Proposal</w:t>
            </w:r>
          </w:p>
        </w:tc>
        <w:tc>
          <w:tcPr>
            <w:tcW w:w="3311" w:type="dxa"/>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tcPr>
          <w:p>
            <w:pPr>
              <w:spacing w:after="0"/>
              <w:rPr>
                <w:rFonts w:ascii="Calibri" w:hAnsi="Calibri" w:cs="Calibri"/>
                <w:sz w:val="15"/>
                <w:szCs w:val="15"/>
              </w:rPr>
            </w:pPr>
            <w:r>
              <w:rPr>
                <w:rFonts w:ascii="Calibri" w:hAnsi="Calibri" w:cs="Calibri"/>
                <w:sz w:val="15"/>
                <w:szCs w:val="15"/>
              </w:rPr>
              <w:t xml:space="preserve">Proposal 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tcPr>
          <w:p>
            <w:pPr>
              <w:spacing w:after="0"/>
              <w:rPr>
                <w:rFonts w:ascii="Calibri" w:hAnsi="Calibri" w:cs="Calibri"/>
                <w:sz w:val="15"/>
                <w:szCs w:val="15"/>
              </w:rPr>
            </w:pPr>
            <w:r>
              <w:rPr>
                <w:rFonts w:ascii="Calibri" w:hAnsi="Calibri" w:cs="Calibri"/>
                <w:sz w:val="15"/>
                <w:szCs w:val="15"/>
              </w:rPr>
              <w:t xml:space="preserve">No open deals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160" w:type="dxa"/>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160" w:type="dxa"/>
          </w:tcPr>
          <w:p>
            <w:pPr>
              <w:spacing w:after="0"/>
              <w:rPr>
                <w:rFonts w:ascii="Calibri" w:hAnsi="Calibri" w:cs="Calibri"/>
                <w:sz w:val="15"/>
                <w:szCs w:val="15"/>
              </w:rPr>
            </w:pPr>
            <w:r>
              <w:rPr>
                <w:rFonts w:ascii="Calibri" w:hAnsi="Calibri" w:cs="Calibri"/>
                <w:sz w:val="15"/>
                <w:szCs w:val="15"/>
              </w:rPr>
              <w:t xml:space="preserve">TSU Requests</w:t>
            </w:r>
          </w:p>
        </w:tc>
        <w:tc>
          <w:tcPr>
            <w:tcW w:w="2880" w:type="dxa"/>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160" w:type="dxa"/>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tcPr>
          <w:p>
            <w:pPr>
              <w:spacing w:after="0"/>
              <w:rPr>
                <w:rFonts w:ascii="Calibri" w:hAnsi="Calibri" w:cs="Calibri"/>
                <w:sz w:val="15"/>
                <w:szCs w:val="15"/>
              </w:rPr>
            </w:pPr>
            <w:r>
              <w:rPr>
                <w:rFonts w:ascii="Calibri" w:hAnsi="Calibri" w:cs="Calibri"/>
                <w:sz w:val="15"/>
                <w:szCs w:val="15"/>
              </w:rPr>
              <w:t xml:space="preserve">No account</w:t>
            </w:r>
          </w:p>
        </w:tc>
        <w:tc>
          <w:tcPr>
            <w:tcW w:w="1584" w:type="dxa"/>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160" w:type="dxa"/>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tcPr>
          <w:p>
            <w:pPr>
              <w:spacing w:after="0"/>
              <w:rPr>
                <w:rFonts w:ascii="Calibri" w:hAnsi="Calibri" w:cs="Calibri"/>
                <w:sz w:val="15"/>
                <w:szCs w:val="15"/>
              </w:rPr>
            </w:pPr>
            <w:r>
              <w:rPr>
                <w:rFonts w:ascii="Calibri" w:hAnsi="Calibri" w:cs="Calibri"/>
                <w:sz w:val="15"/>
                <w:szCs w:val="15"/>
              </w:rPr>
              <w:t xml:space="preserve">No risk code</w:t>
            </w:r>
          </w:p>
        </w:tc>
        <w:tc>
          <w:tcPr>
            <w:tcW w:w="1584" w:type="dxa"/>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160" w:type="dxa"/>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tcPr>
          <w:p>
            <w:pPr>
              <w:spacing w:after="0"/>
              <w:rPr>
                <w:rFonts w:ascii="Calibri" w:hAnsi="Calibri" w:cs="Calibri"/>
                <w:sz w:val="15"/>
                <w:szCs w:val="15"/>
              </w:rPr>
            </w:pPr>
            <w:r>
              <w:rPr>
                <w:rFonts w:ascii="Calibri" w:hAnsi="Calibri" w:cs="Calibri"/>
                <w:sz w:val="15"/>
                <w:szCs w:val="15"/>
              </w:rPr>
              <w:t xml:space="preserve">No record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160" w:type="dxa"/>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tcPr>
          <w:p>
            <w:pPr>
              <w:spacing w:after="0"/>
              <w:rPr>
                <w:rFonts w:ascii="Calibri" w:hAnsi="Calibri" w:cs="Calibri"/>
                <w:sz w:val="15"/>
                <w:szCs w:val="15"/>
              </w:rPr>
            </w:pPr>
            <w:r>
              <w:rPr>
                <w:rFonts w:ascii="Calibri" w:hAnsi="Calibri" w:cs="Calibri"/>
                <w:sz w:val="15"/>
                <w:szCs w:val="15"/>
              </w:rPr>
              <w:t xml:space="preserve">No message</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tcPr>
          <w:p>
            <w:pPr>
              <w:spacing w:after="0"/>
              <w:rPr>
                <w:rFonts w:ascii="Calibri" w:hAnsi="Calibri" w:cs="Calibri"/>
                <w:sz w:val="15"/>
                <w:szCs w:val="15"/>
              </w:rPr>
            </w:pPr>
            <w:r>
              <w:rPr>
                <w:rFonts w:ascii="Calibri" w:hAnsi="Calibri" w:cs="Calibri"/>
                <w:sz w:val="15"/>
                <w:szCs w:val="15"/>
              </w:rPr>
              <w:t xml:space="preserve">No status yet</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160" w:type="dxa"/>
          </w:tcPr>
          <w:p>
            <w:pPr>
              <w:spacing w:after="0"/>
              <w:rPr>
                <w:rFonts w:ascii="Calibri" w:hAnsi="Calibri" w:cs="Calibri"/>
                <w:sz w:val="15"/>
                <w:szCs w:val="15"/>
              </w:rPr>
            </w:pPr>
            <w:r>
              <w:rPr>
                <w:rFonts w:ascii="Calibri" w:hAnsi="Calibri" w:cs="Calibri"/>
                <w:sz w:val="15"/>
                <w:szCs w:val="15"/>
              </w:rPr>
              <w:t xml:space="preserve">Audit Logs</w:t>
            </w:r>
          </w:p>
        </w:tc>
        <w:tc>
          <w:tcPr>
            <w:tcW w:w="2880" w:type="dxa"/>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tcPr>
          <w:p>
            <w:pPr>
              <w:spacing w:after="0"/>
              <w:rPr>
                <w:rFonts w:ascii="Calibri" w:hAnsi="Calibri" w:cs="Calibri"/>
                <w:sz w:val="15"/>
                <w:szCs w:val="15"/>
              </w:rPr>
            </w:pPr>
            <w:r>
              <w:rPr>
                <w:rFonts w:ascii="Calibri" w:hAnsi="Calibri" w:cs="Calibri"/>
                <w:sz w:val="15"/>
                <w:szCs w:val="15"/>
              </w:rPr>
              <w:t xml:space="preserve">No insurer</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161</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162</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tcPr>
          <w:p>
            <w:pPr>
              <w:spacing w:after="0"/>
              <w:rPr>
                <w:rFonts w:ascii="Calibri" w:hAnsi="Calibri" w:cs="Calibri"/>
                <w:sz w:val="15"/>
                <w:szCs w:val="15"/>
              </w:rPr>
            </w:pPr>
            <w:r>
              <w:rPr>
                <w:rFonts w:ascii="Calibri" w:hAnsi="Calibri" w:cs="Calibri"/>
                <w:sz w:val="15"/>
                <w:szCs w:val="15"/>
              </w:rPr>
              <w:t xml:space="preserve">C01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C02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C06</w:t>
            </w:r>
          </w:p>
        </w:tc>
        <w:tc>
          <w:tcPr>
            <w:tcW w:w="1620" w:type="dxa"/>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C07</w:t>
            </w:r>
          </w:p>
        </w:tc>
        <w:tc>
          <w:tcPr>
            <w:tcW w:w="1620" w:type="dxa"/>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C15</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tcPr>
          <w:p>
            <w:pPr>
              <w:spacing w:after="0"/>
              <w:rPr>
                <w:rFonts w:ascii="Calibri" w:hAnsi="Calibri" w:cs="Calibri"/>
                <w:sz w:val="15"/>
                <w:szCs w:val="15"/>
              </w:rPr>
            </w:pPr>
            <w:r>
              <w:rPr>
                <w:rFonts w:ascii="Calibri" w:hAnsi="Calibri" w:cs="Calibri"/>
                <w:sz w:val="15"/>
                <w:szCs w:val="15"/>
              </w:rPr>
              <w:t xml:space="preserve">C16</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C17</w:t>
            </w:r>
          </w:p>
        </w:tc>
        <w:tc>
          <w:tcPr>
            <w:tcW w:w="1620" w:type="dxa"/>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C20</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C21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C24</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Status names</w:t>
            </w:r>
          </w:p>
        </w:tc>
        <w:tc>
          <w:tcPr>
            <w:tcW w:w="4320" w:type="dxa"/>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tcPr>
          <w:p>
            <w:pPr>
              <w:spacing w:after="0"/>
              <w:rPr>
                <w:rFonts w:ascii="Calibri" w:hAnsi="Calibri" w:cs="Calibri"/>
                <w:sz w:val="15"/>
                <w:szCs w:val="15"/>
              </w:rPr>
            </w:pPr>
            <w:r>
              <w:rPr>
                <w:rFonts w:ascii="Calibri" w:hAnsi="Calibri" w:cs="Calibri"/>
                <w:sz w:val="15"/>
                <w:szCs w:val="15"/>
              </w:rPr>
              <w:t xml:space="preserve">C25</w:t>
            </w:r>
          </w:p>
        </w:tc>
        <w:tc>
          <w:tcPr>
            <w:tcW w:w="1620" w:type="dxa"/>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tcPr>
          <w:p>
            <w:pPr>
              <w:keepNext/>
              <w:spacing w:after="0"/>
              <w:rPr>
                <w:rFonts w:ascii="Calibri" w:hAnsi="Calibri" w:cs="Calibri"/>
                <w:sz w:val="15"/>
                <w:szCs w:val="15"/>
              </w:rPr>
            </w:pPr>
            <w:r>
              <w:rPr>
                <w:rFonts w:ascii="Calibri" w:hAnsi="Calibri" w:cs="Calibri"/>
                <w:sz w:val="15"/>
                <w:szCs w:val="15"/>
              </w:rPr>
              <w:t xml:space="preserve">C26</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tcPr>
          <w:p>
            <w:pPr>
              <w:keepNext/>
              <w:spacing w:after="0"/>
              <w:rPr>
                <w:rFonts w:ascii="Calibri" w:hAnsi="Calibri" w:cs="Calibri"/>
                <w:sz w:val="15"/>
                <w:szCs w:val="15"/>
              </w:rPr>
            </w:pPr>
            <w:r>
              <w:rPr>
                <w:rFonts w:ascii="Calibri" w:hAnsi="Calibri" w:cs="Calibri"/>
                <w:sz w:val="15"/>
                <w:szCs w:val="15"/>
              </w:rPr>
              <w:t xml:space="preserve">C27</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tcPr>
          <w:p>
            <w:pPr>
              <w:spacing w:after="0"/>
              <w:rPr>
                <w:rFonts w:ascii="Calibri" w:hAnsi="Calibri" w:cs="Calibri"/>
                <w:sz w:val="15"/>
                <w:szCs w:val="15"/>
              </w:rPr>
            </w:pPr>
            <w:r>
              <w:rPr>
                <w:rFonts w:ascii="Calibri" w:hAnsi="Calibri" w:cs="Calibri"/>
                <w:sz w:val="15"/>
                <w:szCs w:val="15"/>
              </w:rPr>
              <w:t xml:space="preserve">-</w:t>
            </w:r>
          </w:p>
        </w:tc>
        <w:tc>
          <w:tcPr>
            <w:tcW w:w="1620" w:type="dxa"/>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c>
          <w:tcPr>
            <w:tcW w:w="1065"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AE.34</w:t>
            </w:r>
          </w:p>
        </w:tc>
        <w:tc>
          <w:tcPr>
            <w:tcW w:w="3456" w:type="dxa"/>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AE.35</w:t>
            </w:r>
          </w:p>
        </w:tc>
        <w:tc>
          <w:tcPr>
            <w:tcW w:w="3456" w:type="dxa"/>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AE.36</w:t>
            </w:r>
          </w:p>
        </w:tc>
        <w:tc>
          <w:tcPr>
            <w:tcW w:w="3456" w:type="dxa"/>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AE.37</w:t>
            </w:r>
          </w:p>
        </w:tc>
        <w:tc>
          <w:tcPr>
            <w:tcW w:w="3456" w:type="dxa"/>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AE.38</w:t>
            </w:r>
          </w:p>
        </w:tc>
        <w:tc>
          <w:tcPr>
            <w:tcW w:w="3456" w:type="dxa"/>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AE.39</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AE.40</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AE.41</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AE.44</w:t>
            </w:r>
          </w:p>
        </w:tc>
        <w:tc>
          <w:tcPr>
            <w:tcW w:w="3456" w:type="dxa"/>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RN-NFR-14</w:t>
            </w:r>
          </w:p>
        </w:tc>
        <w:tc>
          <w:tcPr>
            <w:tcW w:w="1152" w:type="dxa"/>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1440" w:type="dxa"/>
          </w:tcPr>
          <w:p>
            <w:pPr>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tcPr>
          <w:p>
            <w:pPr>
              <w:spacing w:after="0"/>
              <w:rPr>
                <w:rFonts w:ascii="Calibri" w:hAnsi="Calibri" w:cs="Calibri"/>
                <w:sz w:val="14"/>
                <w:szCs w:val="14"/>
              </w:rPr>
            </w:pPr>
            <w:r>
              <w:rPr>
                <w:rFonts w:ascii="Calibri" w:hAnsi="Calibri" w:cs="Calibri"/>
                <w:color w:val="2E7D32"/>
                <w:sz w:val="14"/>
                <w:szCs w:val="14"/>
              </w:rPr>
              <w:t xml:space="preserve">RN-NFR-15</w:t>
            </w:r>
          </w:p>
        </w:tc>
        <w:tc>
          <w:tcPr>
            <w:tcW w:w="1152" w:type="dxa"/>
          </w:tcPr>
          <w:p>
            <w:pPr>
              <w:spacing w:after="0"/>
              <w:rPr>
                <w:rFonts w:ascii="Calibri" w:hAnsi="Calibri" w:cs="Calibri"/>
                <w:sz w:val="14"/>
                <w:szCs w:val="14"/>
              </w:rPr>
            </w:pPr>
            <w:r>
              <w:rPr>
                <w:rFonts w:ascii="Calibri" w:hAnsi="Calibri" w:cs="Calibri"/>
                <w:color w:val="2E7D32"/>
                <w:sz w:val="14"/>
                <w:szCs w:val="14"/>
              </w:rPr>
              <w:t xml:space="preserve">E-mail channel</w:t>
            </w:r>
          </w:p>
        </w:tc>
        <w:tc>
          <w:tcPr>
            <w:tcW w:w="3024" w:type="dxa"/>
          </w:tcPr>
          <w:p>
            <w:pPr>
              <w:spacing w:after="0"/>
              <w:rPr>
                <w:rFonts w:ascii="Calibri" w:hAnsi="Calibri" w:cs="Calibri"/>
                <w:sz w:val="14"/>
                <w:szCs w:val="14"/>
              </w:rPr>
            </w:pPr>
            <w:r>
              <w:rPr>
                <w:rFonts w:ascii="Calibri" w:hAnsi="Calibri" w:cs="Calibri"/>
                <w:color w:val="2E7D32"/>
                <w:sz w:val="14"/>
                <w:szCs w:val="14"/>
              </w:rPr>
              <w:t xml:space="preserve">Proposals, Renewal Advices, letters through CCM (BDOI FRS)</w:t>
            </w:r>
          </w:p>
        </w:tc>
        <w:tc>
          <w:tcPr>
            <w:tcW w:w="2736" w:type="dxa"/>
          </w:tcPr>
          <w:p>
            <w:pPr>
              <w:spacing w:after="0"/>
              <w:rPr>
                <w:rFonts w:ascii="Calibri" w:hAnsi="Calibri" w:cs="Calibri"/>
                <w:sz w:val="14"/>
                <w:szCs w:val="14"/>
              </w:rPr>
            </w:pPr>
            <w:r>
              <w:rPr>
                <w:rFonts w:ascii="Calibri" w:hAnsi="Calibri" w:cs="Calibri"/>
                <w:color w:val="2E7D32"/>
                <w:sz w:val="14"/>
                <w:szCs w:val="14"/>
              </w:rPr>
              <w:t xml:space="preserve">Through CCM when in scope; e-mail of the system as the fall-back</w:t>
            </w:r>
          </w:p>
        </w:tc>
        <w:tc>
          <w:tcPr>
            <w:tcW w:w="1296" w:type="dxa"/>
          </w:tcPr>
          <w:p>
            <w:pPr>
              <w:spacing w:after="0"/>
              <w:rPr>
                <w:rFonts w:ascii="Calibri" w:hAnsi="Calibri" w:cs="Calibri"/>
                <w:sz w:val="14"/>
                <w:szCs w:val="14"/>
              </w:rPr>
            </w:pPr>
            <w:r>
              <w:rPr>
                <w:rFonts w:ascii="Calibri" w:hAnsi="Calibri" w:cs="Calibri"/>
                <w:color w:val="2E7D32"/>
                <w:sz w:val="14"/>
                <w:szCs w:val="14"/>
              </w:rPr>
              <w:t xml:space="preserve">FRRN.022.02, 023.02</w:t>
            </w:r>
          </w:p>
        </w:tc>
        <w:tc>
          <w:tcPr>
            <w:tcW w:w="1440" w:type="dxa"/>
          </w:tcPr>
          <w:p>
            <w:pPr>
              <w:spacing w:after="0"/>
              <w:rPr>
                <w:rFonts w:ascii="Calibri" w:hAnsi="Calibri" w:cs="Calibri"/>
                <w:sz w:val="14"/>
                <w:szCs w:val="14"/>
              </w:rPr>
            </w:pPr>
            <w:r>
              <w:rPr>
                <w:rFonts w:ascii="Calibri" w:hAnsi="Calibri" w:cs="Calibri"/>
                <w:color w:val="2E7D32"/>
                <w:sz w:val="14"/>
                <w:szCs w:val="14"/>
              </w:rPr>
              <w:t xml:space="preserve">NFR-INT-05</w:t>
            </w:r>
          </w:p>
        </w:tc>
      </w:tr>
      <w:tr>
        <w:trPr>
          <w:cantSplit/>
        </w:trPr>
        <w:tc>
          <w:tcPr>
            <w:tcW w:w="1007" w:type="dxa"/>
          </w:tcPr>
          <w:p>
            <w:pPr>
              <w:keepNext/>
              <w:spacing w:after="0"/>
              <w:rPr>
                <w:rFonts w:ascii="Calibri" w:hAnsi="Calibri" w:cs="Calibri"/>
                <w:sz w:val="14"/>
                <w:szCs w:val="14"/>
              </w:rPr>
            </w:pPr>
            <w:r>
              <w:rPr>
                <w:rFonts w:ascii="Calibri" w:hAnsi="Calibri" w:cs="Calibri"/>
                <w:color w:val="E65100"/>
                <w:sz w:val="14"/>
                <w:szCs w:val="14"/>
              </w:rPr>
              <w:t xml:space="preserve">RN-NFR-16</w:t>
            </w:r>
          </w:p>
        </w:tc>
        <w:tc>
          <w:tcPr>
            <w:tcW w:w="1152" w:type="dxa"/>
          </w:tcPr>
          <w:p>
            <w:pPr>
              <w:keepNext/>
              <w:spacing w:after="0"/>
              <w:rPr>
                <w:rFonts w:ascii="Calibri" w:hAnsi="Calibri" w:cs="Calibri"/>
                <w:sz w:val="14"/>
                <w:szCs w:val="14"/>
              </w:rPr>
            </w:pPr>
            <w:r>
              <w:rPr>
                <w:rFonts w:ascii="Calibri" w:hAnsi="Calibri" w:cs="Calibri"/>
                <w:color w:val="E65100"/>
                <w:sz w:val="14"/>
                <w:szCs w:val="14"/>
              </w:rPr>
              <w:t xml:space="preserve">Accessibility</w:t>
            </w:r>
          </w:p>
        </w:tc>
        <w:tc>
          <w:tcPr>
            <w:tcW w:w="3024" w:type="dxa"/>
          </w:tcPr>
          <w:p>
            <w:pPr>
              <w:keepNext/>
              <w:spacing w:after="0"/>
              <w:rPr>
                <w:rFonts w:ascii="Calibri" w:hAnsi="Calibri" w:cs="Calibri"/>
                <w:sz w:val="14"/>
                <w:szCs w:val="14"/>
              </w:rPr>
            </w:pPr>
            <w:r>
              <w:rPr>
                <w:rFonts w:ascii="Calibri" w:hAnsi="Calibri" w:cs="Calibri"/>
                <w:color w:val="E65100"/>
                <w:sz w:val="14"/>
                <w:szCs w:val="14"/>
              </w:rPr>
              <w:t xml:space="preserve">-</w:t>
            </w:r>
          </w:p>
        </w:tc>
        <w:tc>
          <w:tcPr>
            <w:tcW w:w="2736" w:type="dxa"/>
          </w:tcPr>
          <w:p>
            <w:pPr>
              <w:keepNext/>
              <w:spacing w:after="0"/>
              <w:rPr>
                <w:rFonts w:ascii="Calibri" w:hAnsi="Calibri" w:cs="Calibri"/>
                <w:sz w:val="14"/>
                <w:szCs w:val="14"/>
              </w:rPr>
            </w:pPr>
            <w:r>
              <w:rPr>
                <w:rFonts w:ascii="Calibri" w:hAnsi="Calibri" w:cs="Calibri"/>
                <w:color w:val="E65100"/>
                <w:sz w:val="14"/>
                <w:szCs w:val="14"/>
              </w:rPr>
              <w:t xml:space="preserve">Screens meet WCAG 2.2 level AA</w:t>
            </w:r>
          </w:p>
        </w:tc>
        <w:tc>
          <w:tcPr>
            <w:tcW w:w="1296" w:type="dxa"/>
          </w:tcPr>
          <w:p>
            <w:pPr>
              <w:keepNext/>
              <w:spacing w:after="0"/>
              <w:rPr>
                <w:rFonts w:ascii="Calibri" w:hAnsi="Calibri" w:cs="Calibri"/>
                <w:sz w:val="14"/>
                <w:szCs w:val="14"/>
              </w:rPr>
            </w:pPr>
            <w:r>
              <w:rPr>
                <w:rFonts w:ascii="Calibri" w:hAnsi="Calibri" w:cs="Calibri"/>
                <w:color w:val="E65100"/>
                <w:sz w:val="14"/>
                <w:szCs w:val="14"/>
              </w:rPr>
              <w:t xml:space="preserve">-</w:t>
            </w:r>
          </w:p>
        </w:tc>
        <w:tc>
          <w:tcPr>
            <w:tcW w:w="1440" w:type="dxa"/>
          </w:tcPr>
          <w:p>
            <w:pPr>
              <w:keepNext/>
              <w:spacing w:after="0"/>
              <w:rPr>
                <w:rFonts w:ascii="Calibri" w:hAnsi="Calibri" w:cs="Calibri"/>
                <w:sz w:val="14"/>
                <w:szCs w:val="14"/>
              </w:rPr>
            </w:pPr>
            <w:r>
              <w:rPr>
                <w:rFonts w:ascii="Calibri" w:hAnsi="Calibri" w:cs="Calibri"/>
                <w:color w:val="E65100"/>
                <w:sz w:val="14"/>
                <w:szCs w:val="14"/>
              </w:rPr>
              <w:t xml:space="preserve">NFR-ACC-01</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RN-NFR-17</w:t>
            </w:r>
          </w:p>
        </w:tc>
        <w:tc>
          <w:tcPr>
            <w:tcW w:w="1152" w:type="dxa"/>
          </w:tcPr>
          <w:p>
            <w:pPr>
              <w:keepNext/>
              <w:spacing w:after="0"/>
              <w:rPr>
                <w:rFonts w:ascii="Calibri" w:hAnsi="Calibri" w:cs="Calibri"/>
                <w:sz w:val="14"/>
                <w:szCs w:val="14"/>
              </w:rPr>
            </w:pPr>
            <w:r>
              <w:rPr>
                <w:rFonts w:ascii="Calibri" w:hAnsi="Calibri" w:cs="Calibri"/>
                <w:sz w:val="14"/>
                <w:szCs w:val="14"/>
              </w:rPr>
              <w:t xml:space="preserve">One session per device</w:t>
            </w:r>
          </w:p>
        </w:tc>
        <w:tc>
          <w:tcPr>
            <w:tcW w:w="3024" w:type="dxa"/>
          </w:tcPr>
          <w:p>
            <w:pPr>
              <w:keepNext/>
              <w:spacing w:after="0"/>
              <w:rPr>
                <w:rFonts w:ascii="Calibri" w:hAnsi="Calibri" w:cs="Calibri"/>
                <w:sz w:val="14"/>
                <w:szCs w:val="14"/>
              </w:rPr>
            </w:pPr>
            <w:r>
              <w:rPr>
                <w:rFonts w:ascii="Calibri" w:hAnsi="Calibri" w:cs="Calibri"/>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0"/>
              <w:rPr>
                <w:rFonts w:ascii="Calibri" w:hAnsi="Calibri" w:cs="Calibri"/>
                <w:sz w:val="14"/>
                <w:szCs w:val="14"/>
              </w:rPr>
            </w:pPr>
            <w:r>
              <w:rPr>
                <w:rFonts w:ascii="Calibri" w:hAnsi="Calibri" w:cs="Calibri"/>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0"/>
              <w:rPr>
                <w:rFonts w:ascii="Calibri" w:hAnsi="Calibri" w:cs="Calibri"/>
                <w:sz w:val="14"/>
                <w:szCs w:val="14"/>
              </w:rPr>
            </w:pPr>
            <w:r>
              <w:rPr>
                <w:rFonts w:ascii="Calibri" w:hAnsi="Calibri" w:cs="Calibri"/>
                <w:sz w:val="14"/>
                <w:szCs w:val="14"/>
              </w:rPr>
              <w:t xml:space="preserve">FRRN.001.01</w:t>
            </w:r>
          </w:p>
        </w:tc>
        <w:tc>
          <w:tcPr>
            <w:tcW w:w="1440" w:type="dxa"/>
          </w:tcPr>
          <w:p>
            <w:pPr>
              <w:keepNext/>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RN-NFR-18</w:t>
            </w:r>
          </w:p>
        </w:tc>
        <w:tc>
          <w:tcPr>
            <w:tcW w:w="1152" w:type="dxa"/>
          </w:tcPr>
          <w:p>
            <w:pPr>
              <w:spacing w:after="0"/>
              <w:rPr>
                <w:rFonts w:ascii="Calibri" w:hAnsi="Calibri" w:cs="Calibri"/>
                <w:sz w:val="14"/>
                <w:szCs w:val="14"/>
              </w:rPr>
            </w:pPr>
            <w:r>
              <w:rPr>
                <w:rFonts w:ascii="Calibri" w:hAnsi="Calibri" w:cs="Calibri"/>
                <w:sz w:val="14"/>
                <w:szCs w:val="14"/>
              </w:rPr>
              <w:t xml:space="preserve">Audit source</w:t>
            </w:r>
          </w:p>
        </w:tc>
        <w:tc>
          <w:tcPr>
            <w:tcW w:w="3024" w:type="dxa"/>
          </w:tcPr>
          <w:p>
            <w:pPr>
              <w:spacing w:after="0"/>
              <w:rPr>
                <w:rFonts w:ascii="Calibri" w:hAnsi="Calibri" w:cs="Calibri"/>
                <w:sz w:val="14"/>
                <w:szCs w:val="14"/>
              </w:rPr>
            </w:pPr>
            <w:r>
              <w:rPr>
                <w:rFonts w:ascii="Calibri" w:hAnsi="Calibri" w:cs="Calibri"/>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0"/>
              <w:rPr>
                <w:rFonts w:ascii="Calibri" w:hAnsi="Calibri" w:cs="Calibri"/>
                <w:sz w:val="14"/>
                <w:szCs w:val="14"/>
              </w:rPr>
            </w:pPr>
            <w:r>
              <w:rPr>
                <w:rFonts w:ascii="Calibri" w:hAnsi="Calibri" w:cs="Calibri"/>
                <w:sz w:val="14"/>
                <w:szCs w:val="14"/>
              </w:rPr>
              <w:t xml:space="preserve">Audit entries with the user, time, action and source address; read-only for every user</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keepNext/>
              <w:spacing w:after="0"/>
              <w:rPr>
                <w:rFonts w:ascii="Calibri" w:hAnsi="Calibri" w:cs="Calibri"/>
                <w:sz w:val="15"/>
                <w:szCs w:val="15"/>
              </w:rPr>
            </w:pPr>
            <w:r>
              <w:rPr>
                <w:rFonts w:ascii="Calibri" w:hAnsi="Calibri" w:cs="Calibri"/>
                <w:sz w:val="15"/>
                <w:szCs w:val="15"/>
              </w:rPr>
              <w:t xml:space="preserve">MBS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BRRN.002 (p.48-49)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BRRN.003 (p.49)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BRRN.004 (p.49-50)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BRRN.005 (p.50-51)</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BRRN.006 (p.51)</w:t>
            </w:r>
          </w:p>
        </w:tc>
        <w:tc>
          <w:tcPr>
            <w:tcW w:w="6048" w:type="dxa"/>
          </w:tcPr>
          <w:p>
            <w:pPr>
              <w:spacing w:after="0"/>
              <w:rPr>
                <w:rFonts w:ascii="Calibri" w:hAnsi="Calibri" w:cs="Calibri"/>
                <w:sz w:val="15"/>
                <w:szCs w:val="15"/>
              </w:rPr>
            </w:pPr>
            <w:r>
              <w:rPr>
                <w:rFonts w:ascii="Calibri" w:hAnsi="Calibri" w:cs="Calibri"/>
                <w:sz w:val="15"/>
                <w:szCs w:val="15"/>
              </w:rPr>
              <w:t xml:space="preserve">FRRN.002</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BRRN.007 (p.51-52)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BRRN.008 (p.52)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BRRN.009 (p.52-53)</w:t>
            </w:r>
          </w:p>
        </w:tc>
        <w:tc>
          <w:tcPr>
            <w:tcW w:w="6048"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BRRN.010 (p.53-54)</w:t>
            </w:r>
          </w:p>
        </w:tc>
        <w:tc>
          <w:tcPr>
            <w:tcW w:w="6048" w:type="dxa"/>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BRRN.011 (p.54-55)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BRRN.012 (p.55)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BRRN.013 (p.55-56)</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BRRN.014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BRRN.015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BRRN.016 (p.56-57)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BRRN.017 (p.57)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BRRN.018 (p.57)</w:t>
            </w:r>
          </w:p>
        </w:tc>
        <w:tc>
          <w:tcPr>
            <w:tcW w:w="6048" w:type="dxa"/>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BRRN.019 (p.58-59)</w:t>
            </w:r>
          </w:p>
        </w:tc>
        <w:tc>
          <w:tcPr>
            <w:tcW w:w="6048" w:type="dxa"/>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BRRN.021 (p.30)</w:t>
            </w:r>
          </w:p>
        </w:tc>
        <w:tc>
          <w:tcPr>
            <w:tcW w:w="6048"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BRRN.022 (p.30)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BRRN.025 (p.32)</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BRRN.026 (p.32-33)</w:t>
            </w:r>
          </w:p>
        </w:tc>
        <w:tc>
          <w:tcPr>
            <w:tcW w:w="6048" w:type="dxa"/>
          </w:tcPr>
          <w:p>
            <w:pPr>
              <w:spacing w:after="0"/>
              <w:rPr>
                <w:rFonts w:ascii="Calibri" w:hAnsi="Calibri" w:cs="Calibri"/>
                <w:sz w:val="15"/>
                <w:szCs w:val="15"/>
              </w:rPr>
            </w:pPr>
            <w:r>
              <w:rPr>
                <w:rFonts w:ascii="Calibri" w:hAnsi="Calibri" w:cs="Calibri"/>
                <w:sz w:val="15"/>
                <w:szCs w:val="15"/>
              </w:rPr>
              <w:t xml:space="preserve">FRRN.047.01</w:t>
            </w:r>
          </w:p>
        </w:tc>
        <w:tc>
          <w:tcPr>
            <w:tcW w:w="6048" w:type="dxa"/>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BRRN.027 (p.33)</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tcPr>
          <w:p>
            <w:pPr>
              <w:spacing w:after="0"/>
              <w:rPr>
                <w:rFonts w:ascii="Calibri" w:hAnsi="Calibri" w:cs="Calibri"/>
                <w:sz w:val="15"/>
                <w:szCs w:val="15"/>
              </w:rPr>
            </w:pPr>
            <w:r>
              <w:rPr>
                <w:rFonts w:ascii="Calibri" w:hAnsi="Calibri" w:cs="Calibri"/>
                <w:sz w:val="15"/>
                <w:szCs w:val="15"/>
              </w:rPr>
              <w:t xml:space="preserve">FRRN.039</w:t>
            </w:r>
          </w:p>
        </w:tc>
        <w:tc>
          <w:tcPr>
            <w:tcW w:w="6048" w:type="dxa"/>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BRRN.031 (p.35-36)</w:t>
            </w:r>
          </w:p>
        </w:tc>
        <w:tc>
          <w:tcPr>
            <w:tcW w:w="6048"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BRRN.032 (p.36)</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BRRN.038 (p.40)</w:t>
            </w:r>
          </w:p>
        </w:tc>
        <w:tc>
          <w:tcPr>
            <w:tcW w:w="6048"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BRRN.039 (p.40)</w:t>
            </w:r>
          </w:p>
        </w:tc>
        <w:tc>
          <w:tcPr>
            <w:tcW w:w="6048" w:type="dxa"/>
          </w:tcPr>
          <w:p>
            <w:pPr>
              <w:spacing w:after="0"/>
              <w:rPr>
                <w:rFonts w:ascii="Calibri" w:hAnsi="Calibri" w:cs="Calibri"/>
                <w:sz w:val="15"/>
                <w:szCs w:val="15"/>
              </w:rPr>
            </w:pPr>
            <w:r>
              <w:rPr>
                <w:rFonts w:ascii="Calibri" w:hAnsi="Calibri" w:cs="Calibri"/>
                <w:sz w:val="15"/>
                <w:szCs w:val="15"/>
              </w:rPr>
              <w:t xml:space="preserve">FRRN.012</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BRRN.042 (p.14-15)</w:t>
            </w:r>
          </w:p>
        </w:tc>
        <w:tc>
          <w:tcPr>
            <w:tcW w:w="6048" w:type="dxa"/>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1.001 Log in</w:t>
            </w:r>
          </w:p>
        </w:tc>
        <w:tc>
          <w:tcPr>
            <w:tcW w:w="2880"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744" w:type="dxa"/>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744" w:type="dxa"/>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744" w:type="dxa"/>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2.001 Log in</w:t>
            </w:r>
          </w:p>
        </w:tc>
        <w:tc>
          <w:tcPr>
            <w:tcW w:w="2880"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744"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3.001 Log in</w:t>
            </w:r>
          </w:p>
        </w:tc>
        <w:tc>
          <w:tcPr>
            <w:tcW w:w="2880"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744" w:type="dxa"/>
          </w:tcPr>
          <w:p>
            <w:pPr>
              <w:spacing w:after="0"/>
              <w:rPr>
                <w:rFonts w:ascii="Calibri" w:hAnsi="Calibri" w:cs="Calibri"/>
                <w:sz w:val="14"/>
                <w:szCs w:val="14"/>
              </w:rPr>
            </w:pPr>
            <w:r>
              <w:rPr>
                <w:rFonts w:ascii="Calibri" w:hAnsi="Calibri" w:cs="Calibri"/>
                <w:sz w:val="14"/>
                <w:szCs w:val="14"/>
              </w:rPr>
              <w:t xml:space="preserve">FRRN.010.01</w:t>
            </w:r>
          </w:p>
        </w:tc>
        <w:tc>
          <w:tcPr>
            <w:tcW w:w="4176" w:type="dxa"/>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4.001 Log in</w:t>
            </w:r>
          </w:p>
        </w:tc>
        <w:tc>
          <w:tcPr>
            <w:tcW w:w="2880"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5.001 Log in</w:t>
            </w:r>
          </w:p>
        </w:tc>
        <w:tc>
          <w:tcPr>
            <w:tcW w:w="2880"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744" w:type="dxa"/>
          </w:tcPr>
          <w:p>
            <w:pPr>
              <w:spacing w:after="0"/>
              <w:rPr>
                <w:rFonts w:ascii="Calibri" w:hAnsi="Calibri" w:cs="Calibri"/>
                <w:sz w:val="14"/>
                <w:szCs w:val="14"/>
              </w:rPr>
            </w:pPr>
            <w:r>
              <w:rPr>
                <w:rFonts w:ascii="Calibri" w:hAnsi="Calibri" w:cs="Calibri"/>
                <w:sz w:val="14"/>
                <w:szCs w:val="14"/>
              </w:rPr>
              <w:t xml:space="preserve">FRRN.049.01</w:t>
            </w:r>
          </w:p>
        </w:tc>
        <w:tc>
          <w:tcPr>
            <w:tcW w:w="4176" w:type="dxa"/>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FRRN.049.02</w:t>
            </w:r>
          </w:p>
        </w:tc>
        <w:tc>
          <w:tcPr>
            <w:tcW w:w="4176" w:type="dxa"/>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744" w:type="dxa"/>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FRRN.001.01</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FRRN.001.02</w:t>
            </w:r>
          </w:p>
        </w:tc>
        <w:tc>
          <w:tcPr>
            <w:tcW w:w="5760" w:type="dxa"/>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FRRN.001.03</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FRRN.001.04</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FRRN.001.05</w:t>
            </w:r>
          </w:p>
        </w:tc>
        <w:tc>
          <w:tcPr>
            <w:tcW w:w="5760" w:type="dxa"/>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w:t>
            </w:r>
          </w:p>
        </w:tc>
        <w:tc>
          <w:tcPr>
            <w:tcW w:w="5760" w:type="dxa"/>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FRRN.002.02.08</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FRRN.002.02.09</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FRRN.002.05</w:t>
            </w:r>
          </w:p>
        </w:tc>
        <w:tc>
          <w:tcPr>
            <w:tcW w:w="5760" w:type="dxa"/>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FRRN.002.06</w:t>
            </w:r>
          </w:p>
        </w:tc>
        <w:tc>
          <w:tcPr>
            <w:tcW w:w="5760" w:type="dxa"/>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FRRN.002.07</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FRRN.002.08</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FRRN.003.01</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FRRN.003.02.06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FRRN.003.05</w:t>
            </w:r>
          </w:p>
        </w:tc>
        <w:tc>
          <w:tcPr>
            <w:tcW w:w="5760" w:type="dxa"/>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w:t>
            </w:r>
          </w:p>
        </w:tc>
        <w:tc>
          <w:tcPr>
            <w:tcW w:w="5760" w:type="dxa"/>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FRRN.004.01</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FRRN.004.02</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FRRN.004.03</w:t>
            </w:r>
          </w:p>
        </w:tc>
        <w:tc>
          <w:tcPr>
            <w:tcW w:w="5760" w:type="dxa"/>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FRRN.004.04</w:t>
            </w:r>
          </w:p>
        </w:tc>
        <w:tc>
          <w:tcPr>
            <w:tcW w:w="5760" w:type="dxa"/>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w:t>
            </w:r>
          </w:p>
        </w:tc>
        <w:tc>
          <w:tcPr>
            <w:tcW w:w="5760" w:type="dxa"/>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 (2nd)</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FRRN.004.07</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FRRN.005.01</w:t>
            </w:r>
          </w:p>
        </w:tc>
        <w:tc>
          <w:tcPr>
            <w:tcW w:w="5760" w:type="dxa"/>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w:t>
            </w:r>
          </w:p>
        </w:tc>
        <w:tc>
          <w:tcPr>
            <w:tcW w:w="5760" w:type="dxa"/>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w:t>
            </w:r>
          </w:p>
        </w:tc>
        <w:tc>
          <w:tcPr>
            <w:tcW w:w="5760" w:type="dxa"/>
          </w:tcPr>
          <w:p>
            <w:pPr>
              <w:spacing w:after="0"/>
              <w:rPr>
                <w:rFonts w:ascii="Calibri" w:hAnsi="Calibri" w:cs="Calibri"/>
                <w:sz w:val="14"/>
                <w:szCs w:val="14"/>
              </w:rPr>
            </w:pPr>
            <w:r>
              <w:rPr>
                <w:rFonts w:ascii="Calibri" w:hAnsi="Calibri" w:cs="Calibri"/>
                <w:sz w:val="14"/>
                <w:szCs w:val="14"/>
              </w:rPr>
              <w:t xml:space="preserve">BRRN.023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FRRN.08</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FRRN.008.01</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FRRN.009.01</w:t>
            </w:r>
          </w:p>
        </w:tc>
        <w:tc>
          <w:tcPr>
            <w:tcW w:w="5760" w:type="dxa"/>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w:t>
            </w:r>
          </w:p>
        </w:tc>
        <w:tc>
          <w:tcPr>
            <w:tcW w:w="5760" w:type="dxa"/>
          </w:tcPr>
          <w:p>
            <w:pPr>
              <w:spacing w:after="0"/>
              <w:rPr>
                <w:rFonts w:ascii="Calibri" w:hAnsi="Calibri" w:cs="Calibri"/>
                <w:sz w:val="14"/>
                <w:szCs w:val="14"/>
              </w:rPr>
            </w:pPr>
            <w:r>
              <w:rPr>
                <w:rFonts w:ascii="Calibri" w:hAnsi="Calibri" w:cs="Calibri"/>
                <w:sz w:val="14"/>
                <w:szCs w:val="14"/>
              </w:rPr>
              <w:t xml:space="preserve">BRRN.011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FRRN.010.01</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FRRN.010.02</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FRRN.011.06</w:t>
            </w:r>
          </w:p>
        </w:tc>
        <w:tc>
          <w:tcPr>
            <w:tcW w:w="5760" w:type="dxa"/>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w:t>
            </w:r>
          </w:p>
        </w:tc>
        <w:tc>
          <w:tcPr>
            <w:tcW w:w="5760" w:type="dxa"/>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w:t>
            </w:r>
          </w:p>
        </w:tc>
        <w:tc>
          <w:tcPr>
            <w:tcW w:w="5760" w:type="dxa"/>
          </w:tcPr>
          <w:p>
            <w:pPr>
              <w:spacing w:after="0"/>
              <w:rPr>
                <w:rFonts w:ascii="Calibri" w:hAnsi="Calibri" w:cs="Calibri"/>
                <w:sz w:val="14"/>
                <w:szCs w:val="14"/>
              </w:rPr>
            </w:pPr>
            <w:r>
              <w:rPr>
                <w:rFonts w:ascii="Calibri" w:hAnsi="Calibri" w:cs="Calibri"/>
                <w:sz w:val="14"/>
                <w:szCs w:val="14"/>
              </w:rPr>
              <w:t xml:space="preserve">BRRN.035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FRRN.013.01</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FRRN.013.02</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FRRN.013.05</w:t>
            </w:r>
          </w:p>
        </w:tc>
        <w:tc>
          <w:tcPr>
            <w:tcW w:w="5760" w:type="dxa"/>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FRRN.014.01</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FRRN.014.02</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FRRN.014.04</w:t>
            </w:r>
          </w:p>
        </w:tc>
        <w:tc>
          <w:tcPr>
            <w:tcW w:w="576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FRRN.014.06</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FRRN.014.07</w:t>
            </w:r>
          </w:p>
        </w:tc>
        <w:tc>
          <w:tcPr>
            <w:tcW w:w="5760" w:type="dxa"/>
          </w:tcPr>
          <w:p>
            <w:pPr>
              <w:spacing w:after="0"/>
              <w:rPr>
                <w:rFonts w:ascii="Calibri" w:hAnsi="Calibri" w:cs="Calibri"/>
                <w:sz w:val="14"/>
                <w:szCs w:val="14"/>
              </w:rPr>
            </w:pPr>
            <w:r>
              <w:rPr>
                <w:rFonts w:ascii="Calibri" w:hAnsi="Calibri" w:cs="Calibri"/>
                <w:sz w:val="14"/>
                <w:szCs w:val="14"/>
              </w:rPr>
              <w:t xml:space="preserve">2.004.10, 3.004.5</w:t>
            </w:r>
          </w:p>
        </w:tc>
        <w:tc>
          <w:tcPr>
            <w:tcW w:w="6480"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w:t>
            </w:r>
          </w:p>
        </w:tc>
        <w:tc>
          <w:tcPr>
            <w:tcW w:w="5760" w:type="dxa"/>
          </w:tcPr>
          <w:p>
            <w:pPr>
              <w:spacing w:after="0"/>
              <w:rPr>
                <w:rFonts w:ascii="Calibri" w:hAnsi="Calibri" w:cs="Calibri"/>
                <w:sz w:val="14"/>
                <w:szCs w:val="14"/>
              </w:rPr>
            </w:pPr>
            <w:r>
              <w:rPr>
                <w:rFonts w:ascii="Calibri" w:hAnsi="Calibri" w:cs="Calibri"/>
                <w:sz w:val="14"/>
                <w:szCs w:val="14"/>
              </w:rPr>
              <w:t xml:space="preserve">BRRN.018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FRRN.015.03</w:t>
            </w:r>
          </w:p>
        </w:tc>
        <w:tc>
          <w:tcPr>
            <w:tcW w:w="5760" w:type="dxa"/>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FRRN.015.07</w:t>
            </w:r>
          </w:p>
        </w:tc>
        <w:tc>
          <w:tcPr>
            <w:tcW w:w="5760" w:type="dxa"/>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FRRN.016.01</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FRRN.018.02</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FRRN.020.01</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FRRN.020.02</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FRRN.020.03</w:t>
            </w:r>
          </w:p>
        </w:tc>
        <w:tc>
          <w:tcPr>
            <w:tcW w:w="5760" w:type="dxa"/>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FRRN.021</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w:t>
            </w:r>
          </w:p>
        </w:tc>
        <w:tc>
          <w:tcPr>
            <w:tcW w:w="5760" w:type="dxa"/>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FRRN.022.01</w:t>
            </w:r>
          </w:p>
        </w:tc>
        <w:tc>
          <w:tcPr>
            <w:tcW w:w="5760" w:type="dxa"/>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FRRN.022.02</w:t>
            </w:r>
          </w:p>
        </w:tc>
        <w:tc>
          <w:tcPr>
            <w:tcW w:w="5760" w:type="dxa"/>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w:t>
            </w:r>
          </w:p>
        </w:tc>
        <w:tc>
          <w:tcPr>
            <w:tcW w:w="5760" w:type="dxa"/>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FRRN.023.03</w:t>
            </w:r>
          </w:p>
        </w:tc>
        <w:tc>
          <w:tcPr>
            <w:tcW w:w="5760" w:type="dxa"/>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FRRN.024.01</w:t>
            </w:r>
          </w:p>
        </w:tc>
        <w:tc>
          <w:tcPr>
            <w:tcW w:w="5760" w:type="dxa"/>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FRRN.26.01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FRRN.028.02</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FRRN.029</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FRRN.29.05</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FRRN.031.01</w:t>
            </w:r>
          </w:p>
        </w:tc>
        <w:tc>
          <w:tcPr>
            <w:tcW w:w="5760" w:type="dxa"/>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w:t>
            </w:r>
          </w:p>
        </w:tc>
        <w:tc>
          <w:tcPr>
            <w:tcW w:w="5760" w:type="dxa"/>
          </w:tcPr>
          <w:p>
            <w:pPr>
              <w:spacing w:after="0"/>
              <w:rPr>
                <w:rFonts w:ascii="Calibri" w:hAnsi="Calibri" w:cs="Calibri"/>
                <w:sz w:val="14"/>
                <w:szCs w:val="14"/>
              </w:rPr>
            </w:pPr>
            <w:r>
              <w:rPr>
                <w:rFonts w:ascii="Calibri" w:hAnsi="Calibri" w:cs="Calibri"/>
                <w:sz w:val="14"/>
                <w:szCs w:val="14"/>
              </w:rPr>
              <w:t xml:space="preserve">BRRN.041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FRRN.035.01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w:t>
            </w:r>
          </w:p>
        </w:tc>
        <w:tc>
          <w:tcPr>
            <w:tcW w:w="5760" w:type="dxa"/>
          </w:tcPr>
          <w:p>
            <w:pPr>
              <w:spacing w:after="0"/>
              <w:rPr>
                <w:rFonts w:ascii="Calibri" w:hAnsi="Calibri" w:cs="Calibri"/>
                <w:sz w:val="14"/>
                <w:szCs w:val="14"/>
              </w:rPr>
            </w:pPr>
            <w:r>
              <w:rPr>
                <w:rFonts w:ascii="Calibri" w:hAnsi="Calibri" w:cs="Calibri"/>
                <w:sz w:val="14"/>
                <w:szCs w:val="14"/>
              </w:rPr>
              <w:t xml:space="preserve">BRRN.042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FRRN.037.02</w:t>
            </w:r>
          </w:p>
        </w:tc>
        <w:tc>
          <w:tcPr>
            <w:tcW w:w="5760" w:type="dxa"/>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w:t>
            </w:r>
          </w:p>
        </w:tc>
        <w:tc>
          <w:tcPr>
            <w:tcW w:w="5760" w:type="dxa"/>
          </w:tcPr>
          <w:p>
            <w:pPr>
              <w:spacing w:after="0"/>
              <w:rPr>
                <w:rFonts w:ascii="Calibri" w:hAnsi="Calibri" w:cs="Calibri"/>
                <w:sz w:val="14"/>
                <w:szCs w:val="14"/>
              </w:rPr>
            </w:pPr>
            <w:r>
              <w:rPr>
                <w:rFonts w:ascii="Calibri" w:hAnsi="Calibri" w:cs="Calibri"/>
                <w:sz w:val="14"/>
                <w:szCs w:val="14"/>
              </w:rPr>
              <w:t xml:space="preserve">BRRN.009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FRRN.038.01</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w:t>
            </w:r>
          </w:p>
        </w:tc>
        <w:tc>
          <w:tcPr>
            <w:tcW w:w="5760" w:type="dxa"/>
          </w:tcPr>
          <w:p>
            <w:pPr>
              <w:spacing w:after="0"/>
              <w:rPr>
                <w:rFonts w:ascii="Calibri" w:hAnsi="Calibri" w:cs="Calibri"/>
                <w:sz w:val="14"/>
                <w:szCs w:val="14"/>
              </w:rPr>
            </w:pPr>
            <w:r>
              <w:rPr>
                <w:rFonts w:ascii="Calibri" w:hAnsi="Calibri" w:cs="Calibri"/>
                <w:sz w:val="14"/>
                <w:szCs w:val="14"/>
              </w:rPr>
              <w:t xml:space="preserve">BRRN.028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w:t>
            </w:r>
          </w:p>
        </w:tc>
        <w:tc>
          <w:tcPr>
            <w:tcW w:w="5760" w:type="dxa"/>
          </w:tcPr>
          <w:p>
            <w:pPr>
              <w:spacing w:after="0"/>
              <w:rPr>
                <w:rFonts w:ascii="Calibri" w:hAnsi="Calibri" w:cs="Calibri"/>
                <w:sz w:val="14"/>
                <w:szCs w:val="14"/>
              </w:rPr>
            </w:pPr>
            <w:r>
              <w:rPr>
                <w:rFonts w:ascii="Calibri" w:hAnsi="Calibri" w:cs="Calibri"/>
                <w:sz w:val="14"/>
                <w:szCs w:val="14"/>
              </w:rPr>
              <w:t xml:space="preserve">BRRN.034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FRRN.040.02</w:t>
            </w:r>
          </w:p>
        </w:tc>
        <w:tc>
          <w:tcPr>
            <w:tcW w:w="5760" w:type="dxa"/>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FRRN.040.03</w:t>
            </w:r>
          </w:p>
        </w:tc>
        <w:tc>
          <w:tcPr>
            <w:tcW w:w="5760" w:type="dxa"/>
          </w:tcPr>
          <w:p>
            <w:pPr>
              <w:spacing w:after="0"/>
              <w:rPr>
                <w:rFonts w:ascii="Calibri" w:hAnsi="Calibri" w:cs="Calibri"/>
                <w:sz w:val="14"/>
                <w:szCs w:val="14"/>
              </w:rPr>
            </w:pPr>
            <w:r>
              <w:rPr>
                <w:rFonts w:ascii="Calibri" w:hAnsi="Calibri" w:cs="Calibri"/>
                <w:sz w:val="14"/>
                <w:szCs w:val="14"/>
              </w:rPr>
              <w:t xml:space="preserve">BRRN.030</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FRRN.041.01</w:t>
            </w:r>
          </w:p>
        </w:tc>
        <w:tc>
          <w:tcPr>
            <w:tcW w:w="5760" w:type="dxa"/>
          </w:tcPr>
          <w:p>
            <w:pPr>
              <w:spacing w:after="0"/>
              <w:rPr>
                <w:rFonts w:ascii="Calibri" w:hAnsi="Calibri" w:cs="Calibri"/>
                <w:sz w:val="14"/>
                <w:szCs w:val="14"/>
              </w:rPr>
            </w:pPr>
            <w:r>
              <w:rPr>
                <w:rFonts w:ascii="Calibri" w:hAnsi="Calibri" w:cs="Calibri"/>
                <w:sz w:val="14"/>
                <w:szCs w:val="14"/>
              </w:rPr>
              <w:t xml:space="preserve">BRRN.029</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w:t>
            </w:r>
          </w:p>
        </w:tc>
        <w:tc>
          <w:tcPr>
            <w:tcW w:w="5760" w:type="dxa"/>
          </w:tcPr>
          <w:p>
            <w:pPr>
              <w:spacing w:after="0"/>
              <w:rPr>
                <w:rFonts w:ascii="Calibri" w:hAnsi="Calibri" w:cs="Calibri"/>
                <w:sz w:val="14"/>
                <w:szCs w:val="14"/>
              </w:rPr>
            </w:pPr>
            <w:r>
              <w:rPr>
                <w:rFonts w:ascii="Calibri" w:hAnsi="Calibri" w:cs="Calibri"/>
                <w:sz w:val="14"/>
                <w:szCs w:val="14"/>
              </w:rPr>
              <w:t xml:space="preserve">BRRN.019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FRRN.044.01</w:t>
            </w:r>
          </w:p>
        </w:tc>
        <w:tc>
          <w:tcPr>
            <w:tcW w:w="5760" w:type="dxa"/>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FRRN.044.02</w:t>
            </w:r>
          </w:p>
        </w:tc>
        <w:tc>
          <w:tcPr>
            <w:tcW w:w="5760" w:type="dxa"/>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FRRN.044.03</w:t>
            </w:r>
          </w:p>
        </w:tc>
        <w:tc>
          <w:tcPr>
            <w:tcW w:w="5760" w:type="dxa"/>
          </w:tcPr>
          <w:p>
            <w:pPr>
              <w:spacing w:after="0"/>
              <w:rPr>
                <w:rFonts w:ascii="Calibri" w:hAnsi="Calibri" w:cs="Calibri"/>
                <w:sz w:val="14"/>
                <w:szCs w:val="14"/>
              </w:rPr>
            </w:pPr>
            <w:r>
              <w:rPr>
                <w:rFonts w:ascii="Calibri" w:hAnsi="Calibri" w:cs="Calibri"/>
                <w:sz w:val="14"/>
                <w:szCs w:val="14"/>
              </w:rPr>
              <w:t xml:space="preserve">BRRN.036</w:t>
            </w:r>
          </w:p>
        </w:tc>
        <w:tc>
          <w:tcPr>
            <w:tcW w:w="6480" w:type="dxa"/>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FRRN.044.04</w:t>
            </w:r>
          </w:p>
        </w:tc>
        <w:tc>
          <w:tcPr>
            <w:tcW w:w="5760" w:type="dxa"/>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FRRN.045.01</w:t>
            </w:r>
          </w:p>
        </w:tc>
        <w:tc>
          <w:tcPr>
            <w:tcW w:w="5760" w:type="dxa"/>
          </w:tcPr>
          <w:p>
            <w:pPr>
              <w:spacing w:after="0"/>
              <w:rPr>
                <w:rFonts w:ascii="Calibri" w:hAnsi="Calibri" w:cs="Calibri"/>
                <w:sz w:val="14"/>
                <w:szCs w:val="14"/>
              </w:rPr>
            </w:pPr>
            <w:r>
              <w:rPr>
                <w:rFonts w:ascii="Calibri" w:hAnsi="Calibri" w:cs="Calibri"/>
                <w:sz w:val="14"/>
                <w:szCs w:val="14"/>
              </w:rPr>
              <w:t xml:space="preserve">BRRN.005</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FRRN.046.01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FRRN.047.01</w:t>
            </w:r>
          </w:p>
        </w:tc>
        <w:tc>
          <w:tcPr>
            <w:tcW w:w="5760" w:type="dxa"/>
          </w:tcPr>
          <w:p>
            <w:pPr>
              <w:spacing w:after="0"/>
              <w:rPr>
                <w:rFonts w:ascii="Calibri" w:hAnsi="Calibri" w:cs="Calibri"/>
                <w:sz w:val="14"/>
                <w:szCs w:val="14"/>
              </w:rPr>
            </w:pPr>
            <w:r>
              <w:rPr>
                <w:rFonts w:ascii="Calibri" w:hAnsi="Calibri" w:cs="Calibri"/>
                <w:sz w:val="14"/>
                <w:szCs w:val="14"/>
              </w:rPr>
              <w:t xml:space="preserve">BRRN.026</w:t>
            </w:r>
          </w:p>
        </w:tc>
        <w:tc>
          <w:tcPr>
            <w:tcW w:w="6480" w:type="dxa"/>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FRRN.049.02</w:t>
            </w:r>
          </w:p>
        </w:tc>
        <w:tc>
          <w:tcPr>
            <w:tcW w:w="5760" w:type="dxa"/>
          </w:tcPr>
          <w:p>
            <w:pPr>
              <w:spacing w:after="0"/>
              <w:rPr>
                <w:rFonts w:ascii="Calibri" w:hAnsi="Calibri" w:cs="Calibri"/>
                <w:sz w:val="14"/>
                <w:szCs w:val="14"/>
              </w:rPr>
            </w:pPr>
            <w:r>
              <w:rPr>
                <w:rFonts w:ascii="Calibri" w:hAnsi="Calibri" w:cs="Calibri"/>
                <w:sz w:val="14"/>
                <w:szCs w:val="14"/>
              </w:rPr>
              <w:t xml:space="preserve">5.005.1, 6.002.2.25</w:t>
            </w:r>
          </w:p>
        </w:tc>
        <w:tc>
          <w:tcPr>
            <w:tcW w:w="6480" w:type="dxa"/>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Concept Paper point</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in this FRS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Renewal intake and pipeline tracking; RMEL extract ingestion and validation</w:t>
            </w:r>
          </w:p>
        </w:tc>
        <w:tc>
          <w:tcPr>
            <w:tcW w:w="4896" w:type="dxa"/>
          </w:tcPr>
          <w:p>
            <w:pPr>
              <w:spacing w:after="0"/>
              <w:rPr>
                <w:rFonts w:ascii="Calibri" w:hAnsi="Calibri" w:cs="Calibri"/>
                <w:sz w:val="15"/>
                <w:szCs w:val="15"/>
              </w:rPr>
            </w:pPr>
            <w:r>
              <w:rPr>
                <w:rFonts w:ascii="Calibri" w:hAnsi="Calibri" w:cs="Calibri"/>
                <w:sz w:val="15"/>
                <w:szCs w:val="15"/>
              </w:rPr>
              <w:t xml:space="preserve">FRRN.002, FRRN.004, FRRN.045</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Data sanitation and enrichment; RMEL data quality with exception handling (Annex C risk)</w:t>
            </w:r>
          </w:p>
        </w:tc>
        <w:tc>
          <w:tcPr>
            <w:tcW w:w="4896" w:type="dxa"/>
          </w:tcPr>
          <w:p>
            <w:pPr>
              <w:spacing w:after="0"/>
              <w:rPr>
                <w:rFonts w:ascii="Calibri" w:hAnsi="Calibri" w:cs="Calibri"/>
                <w:sz w:val="15"/>
                <w:szCs w:val="15"/>
              </w:rPr>
            </w:pPr>
            <w:r>
              <w:rPr>
                <w:rFonts w:ascii="Calibri" w:hAnsi="Calibri" w:cs="Calibri"/>
                <w:sz w:val="15"/>
                <w:szCs w:val="15"/>
              </w:rPr>
              <w:t xml:space="preserve">FRRN.006 to FRRN.009, FRRN.040.02; Annex AC.4</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Disposition management</w:t>
            </w:r>
          </w:p>
        </w:tc>
        <w:tc>
          <w:tcPr>
            <w:tcW w:w="4896" w:type="dxa"/>
          </w:tcPr>
          <w:p>
            <w:pPr>
              <w:spacing w:after="0"/>
              <w:rPr>
                <w:rFonts w:ascii="Calibri" w:hAnsi="Calibri" w:cs="Calibri"/>
                <w:sz w:val="15"/>
                <w:szCs w:val="15"/>
              </w:rPr>
            </w:pPr>
            <w:r>
              <w:rPr>
                <w:rFonts w:ascii="Calibri" w:hAnsi="Calibri" w:cs="Calibri"/>
                <w:sz w:val="15"/>
                <w:szCs w:val="15"/>
              </w:rPr>
              <w:t xml:space="preserve">FRRN.014 to FRRN.016, FRRN.020</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Proposal / quotation generation; TSU quotation capability</w:t>
            </w:r>
          </w:p>
        </w:tc>
        <w:tc>
          <w:tcPr>
            <w:tcW w:w="4896" w:type="dxa"/>
          </w:tcPr>
          <w:p>
            <w:pPr>
              <w:spacing w:after="0"/>
              <w:rPr>
                <w:rFonts w:ascii="Calibri" w:hAnsi="Calibri" w:cs="Calibri"/>
                <w:sz w:val="15"/>
                <w:szCs w:val="15"/>
              </w:rPr>
            </w:pPr>
            <w:r>
              <w:rPr>
                <w:rFonts w:ascii="Calibri" w:hAnsi="Calibri" w:cs="Calibri"/>
                <w:sz w:val="15"/>
                <w:szCs w:val="15"/>
              </w:rPr>
              <w:t xml:space="preserve">FRRN.017 to FRRN.019 (Product Maintenance and New Business FRS for the quotation)</w:t>
            </w:r>
          </w:p>
        </w:tc>
        <w:tc>
          <w:tcPr>
            <w:tcW w:w="3456" w:type="dxa"/>
          </w:tcPr>
          <w:p>
            <w:pPr>
              <w:spacing w:after="0"/>
              <w:rPr>
                <w:rFonts w:ascii="Calibri" w:hAnsi="Calibri" w:cs="Calibri"/>
                <w:sz w:val="15"/>
                <w:szCs w:val="15"/>
              </w:rPr>
            </w:pPr>
            <w:r>
              <w:rPr>
                <w:rFonts w:ascii="Calibri" w:hAnsi="Calibri" w:cs="Calibri"/>
                <w:sz w:val="15"/>
                <w:szCs w:val="15"/>
              </w:rPr>
              <w:t xml:space="preserve">Covered; TSU functions in their own FRS</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Insurer engagement and approval tracking</w:t>
            </w:r>
          </w:p>
        </w:tc>
        <w:tc>
          <w:tcPr>
            <w:tcW w:w="4896" w:type="dxa"/>
          </w:tcPr>
          <w:p>
            <w:pPr>
              <w:spacing w:after="0"/>
              <w:rPr>
                <w:rFonts w:ascii="Calibri" w:hAnsi="Calibri" w:cs="Calibri"/>
                <w:sz w:val="15"/>
                <w:szCs w:val="15"/>
              </w:rPr>
            </w:pPr>
            <w:r>
              <w:rPr>
                <w:rFonts w:ascii="Calibri" w:hAnsi="Calibri" w:cs="Calibri"/>
                <w:sz w:val="15"/>
                <w:szCs w:val="15"/>
              </w:rPr>
              <w:t xml:space="preserve">FRRN.013, FRRN.021, FRRN.029</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Renewal Advice generation; NAL and NRL processing</w:t>
            </w:r>
          </w:p>
        </w:tc>
        <w:tc>
          <w:tcPr>
            <w:tcW w:w="4896" w:type="dxa"/>
          </w:tcPr>
          <w:p>
            <w:pPr>
              <w:spacing w:after="0"/>
              <w:rPr>
                <w:rFonts w:ascii="Calibri" w:hAnsi="Calibri" w:cs="Calibri"/>
                <w:sz w:val="15"/>
                <w:szCs w:val="15"/>
              </w:rPr>
            </w:pPr>
            <w:r>
              <w:rPr>
                <w:rFonts w:ascii="Calibri" w:hAnsi="Calibri" w:cs="Calibri"/>
                <w:sz w:val="15"/>
                <w:szCs w:val="15"/>
              </w:rPr>
              <w:t xml:space="preserve">FRRN.022 to FRRN.024; Annex AE</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Pre-placement adjustments</w:t>
            </w:r>
          </w:p>
        </w:tc>
        <w:tc>
          <w:tcPr>
            <w:tcW w:w="4896" w:type="dxa"/>
          </w:tcPr>
          <w:p>
            <w:pPr>
              <w:spacing w:after="0"/>
              <w:rPr>
                <w:rFonts w:ascii="Calibri" w:hAnsi="Calibri" w:cs="Calibri"/>
                <w:sz w:val="15"/>
                <w:szCs w:val="15"/>
              </w:rPr>
            </w:pPr>
            <w:r>
              <w:rPr>
                <w:rFonts w:ascii="Calibri" w:hAnsi="Calibri" w:cs="Calibri"/>
                <w:sz w:val="15"/>
                <w:szCs w:val="15"/>
              </w:rPr>
              <w:t xml:space="preserve">FRRN.018.02, FRRN.025</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Submitted Policy and Free First Year renewal processing</w:t>
            </w:r>
          </w:p>
        </w:tc>
        <w:tc>
          <w:tcPr>
            <w:tcW w:w="4896" w:type="dxa"/>
          </w:tcPr>
          <w:p>
            <w:pPr>
              <w:spacing w:after="0"/>
              <w:rPr>
                <w:rFonts w:ascii="Calibri" w:hAnsi="Calibri" w:cs="Calibri"/>
                <w:sz w:val="15"/>
                <w:szCs w:val="15"/>
              </w:rPr>
            </w:pPr>
            <w:r>
              <w:rPr>
                <w:rFonts w:ascii="Calibri" w:hAnsi="Calibri" w:cs="Calibri"/>
                <w:sz w:val="15"/>
                <w:szCs w:val="15"/>
              </w:rPr>
              <w:t xml:space="preserve">FRRN.048.01; FRRN.27.01</w:t>
            </w:r>
          </w:p>
        </w:tc>
        <w:tc>
          <w:tcPr>
            <w:tcW w:w="3456" w:type="dxa"/>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Package remapping: design decision on upload or sanitation</w:t>
            </w:r>
          </w:p>
        </w:tc>
        <w:tc>
          <w:tcPr>
            <w:tcW w:w="4896" w:type="dxa"/>
          </w:tcPr>
          <w:p>
            <w:pPr>
              <w:spacing w:after="0"/>
              <w:rPr>
                <w:rFonts w:ascii="Calibri" w:hAnsi="Calibri" w:cs="Calibri"/>
                <w:sz w:val="15"/>
                <w:szCs w:val="15"/>
              </w:rPr>
            </w:pPr>
            <w:r>
              <w:rPr>
                <w:rFonts w:ascii="Calibri" w:hAnsi="Calibri" w:cs="Calibri"/>
                <w:sz w:val="15"/>
                <w:szCs w:val="15"/>
              </w:rPr>
              <w:t xml:space="preserve">FRRN.046.01 (at sanitation); Annex AO</w:t>
            </w:r>
          </w:p>
        </w:tc>
        <w:tc>
          <w:tcPr>
            <w:tcW w:w="3456" w:type="dxa"/>
          </w:tcPr>
          <w:p>
            <w:pPr>
              <w:spacing w:after="0"/>
              <w:rPr>
                <w:rFonts w:ascii="Calibri" w:hAnsi="Calibri" w:cs="Calibri"/>
                <w:sz w:val="15"/>
                <w:szCs w:val="15"/>
              </w:rPr>
            </w:pPr>
            <w:r>
              <w:rPr>
                <w:rFonts w:ascii="Calibri" w:hAnsi="Calibri" w:cs="Calibri"/>
                <w:sz w:val="15"/>
                <w:szCs w:val="15"/>
              </w:rPr>
              <w:t xml:space="preserve">Covered; BDOI confirms (Concept Paper decision owner)</w:t>
            </w:r>
          </w:p>
        </w:tc>
      </w:tr>
      <w:tr>
        <w:trPr>
          <w:cantSplit/>
        </w:trPr>
        <w:tc>
          <w:tcPr>
            <w:tcW w:w="6048" w:type="dxa"/>
          </w:tcPr>
          <w:p>
            <w:pPr>
              <w:keepNext/>
              <w:spacing w:after="0"/>
              <w:rPr>
                <w:rFonts w:ascii="Calibri" w:hAnsi="Calibri" w:cs="Calibri"/>
                <w:sz w:val="15"/>
                <w:szCs w:val="15"/>
              </w:rPr>
            </w:pPr>
            <w:r>
              <w:rPr>
                <w:rFonts w:ascii="Calibri" w:hAnsi="Calibri" w:cs="Calibri"/>
                <w:sz w:val="15"/>
                <w:szCs w:val="15"/>
              </w:rPr>
              <w:t xml:space="preserve">Early migration of the Client Master and reference data (LOV, MIS, insurer, branch, product)</w:t>
            </w:r>
          </w:p>
        </w:tc>
        <w:tc>
          <w:tcPr>
            <w:tcW w:w="4896" w:type="dxa"/>
          </w:tcPr>
          <w:p>
            <w:pPr>
              <w:keepNext/>
              <w:spacing w:after="0"/>
              <w:rPr>
                <w:rFonts w:ascii="Calibri" w:hAnsi="Calibri" w:cs="Calibri"/>
                <w:sz w:val="15"/>
                <w:szCs w:val="15"/>
              </w:rPr>
            </w:pPr>
            <w:r>
              <w:rPr>
                <w:rFonts w:ascii="Calibri" w:hAnsi="Calibri" w:cs="Calibri"/>
                <w:sz w:val="15"/>
                <w:szCs w:val="15"/>
              </w:rPr>
              <w:t xml:space="preserve">Annex AK</w:t>
            </w:r>
          </w:p>
        </w:tc>
        <w:tc>
          <w:tcPr>
            <w:tcW w:w="3456" w:type="dxa"/>
          </w:tcPr>
          <w:p>
            <w:pPr>
              <w:keepNext/>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tcPr>
          <w:p>
            <w:pPr>
              <w:keepNext/>
              <w:spacing w:after="0"/>
              <w:rPr>
                <w:rFonts w:ascii="Calibri" w:hAnsi="Calibri" w:cs="Calibri"/>
                <w:sz w:val="15"/>
                <w:szCs w:val="15"/>
              </w:rPr>
            </w:pPr>
            <w:r>
              <w:rPr>
                <w:rFonts w:ascii="Calibri" w:hAnsi="Calibri" w:cs="Calibri"/>
                <w:sz w:val="15"/>
                <w:szCs w:val="15"/>
              </w:rPr>
              <w:t xml:space="preserve">User readiness: role-based training and a pilot or batch dry run</w:t>
            </w:r>
          </w:p>
        </w:tc>
        <w:tc>
          <w:tcPr>
            <w:tcW w:w="4896" w:type="dxa"/>
          </w:tcPr>
          <w:p>
            <w:pPr>
              <w:keepNext/>
              <w:spacing w:after="0"/>
              <w:rPr>
                <w:rFonts w:ascii="Calibri" w:hAnsi="Calibri" w:cs="Calibri"/>
                <w:sz w:val="15"/>
                <w:szCs w:val="15"/>
              </w:rPr>
            </w:pPr>
            <w:r>
              <w:rPr>
                <w:rFonts w:ascii="Calibri" w:hAnsi="Calibri" w:cs="Calibri"/>
                <w:sz w:val="15"/>
                <w:szCs w:val="15"/>
              </w:rPr>
              <w:t xml:space="preserve">Annex AQ; walkthrough users workbook (Annex AL)</w:t>
            </w:r>
          </w:p>
        </w:tc>
        <w:tc>
          <w:tcPr>
            <w:tcW w:w="3456" w:type="dxa"/>
          </w:tcPr>
          <w:p>
            <w:pPr>
              <w:keepNext/>
              <w:spacing w:after="0"/>
              <w:rPr>
                <w:rFonts w:ascii="Calibri" w:hAnsi="Calibri" w:cs="Calibri"/>
                <w:sz w:val="15"/>
                <w:szCs w:val="15"/>
              </w:rPr>
            </w:pPr>
            <w:r>
              <w:rPr>
                <w:rFonts w:ascii="Calibri" w:hAnsi="Calibri" w:cs="Calibri"/>
                <w:sz w:val="15"/>
                <w:szCs w:val="15"/>
              </w:rPr>
              <w:t xml:space="preserve">Covered by the programme's training and UAT plan</w:t>
            </w:r>
          </w:p>
        </w:tc>
      </w:tr>
      <w:tr>
        <w:trPr>
          <w:cantSplit/>
        </w:trPr>
        <w:tc>
          <w:tcPr>
            <w:tcW w:w="6048" w:type="dxa"/>
          </w:tcPr>
          <w:p>
            <w:pPr>
              <w:spacing w:after="0"/>
              <w:rPr>
                <w:rFonts w:ascii="Calibri" w:hAnsi="Calibri" w:cs="Calibri"/>
                <w:sz w:val="15"/>
                <w:szCs w:val="15"/>
              </w:rPr>
            </w:pPr>
            <w:r>
              <w:rPr>
                <w:rFonts w:ascii="Calibri" w:hAnsi="Calibri" w:cs="Calibri"/>
                <w:sz w:val="15"/>
                <w:szCs w:val="15"/>
              </w:rPr>
              <w:t xml:space="preserve">Early release by 15-Aug-2027 for January to May 2028 expiries; no placement or booking before the January 2028 cut-over</w:t>
            </w:r>
          </w:p>
        </w:tc>
        <w:tc>
          <w:tcPr>
            <w:tcW w:w="4896" w:type="dxa"/>
          </w:tcPr>
          <w:p>
            <w:pPr>
              <w:spacing w:after="0"/>
              <w:rPr>
                <w:rFonts w:ascii="Calibri" w:hAnsi="Calibri" w:cs="Calibri"/>
                <w:sz w:val="15"/>
                <w:szCs w:val="15"/>
              </w:rPr>
            </w:pPr>
            <w:r>
              <w:rPr>
                <w:rFonts w:ascii="Calibri" w:hAnsi="Calibri" w:cs="Calibri"/>
                <w:sz w:val="15"/>
                <w:szCs w:val="15"/>
              </w:rPr>
              <w:t xml:space="preserve">FRRN.045 (go-live take-over of expiries to 31-May-2028)</w:t>
            </w:r>
          </w:p>
        </w:tc>
        <w:tc>
          <w:tcPr>
            <w:tcW w:w="3456" w:type="dxa"/>
          </w:tcPr>
          <w:p>
            <w:pPr>
              <w:spacing w:after="0"/>
              <w:rPr>
                <w:rFonts w:ascii="Calibri" w:hAnsi="Calibri" w:cs="Calibri"/>
                <w:sz w:val="15"/>
                <w:szCs w:val="15"/>
              </w:rPr>
            </w:pPr>
            <w:r>
              <w:rPr>
                <w:rFonts w:ascii="Calibri" w:hAnsi="Calibri" w:cs="Calibri"/>
                <w:sz w:val="15"/>
                <w:szCs w:val="15"/>
              </w:rPr>
              <w:t xml:space="preserve">Superseded by BDOI's decision of 26-Sep-2026: single go-live in January 2028, so no pre-cut-over placement rule is needed</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Raise</w:t>
            </w:r>
          </w:p>
        </w:tc>
        <w:tc>
          <w:tcPr>
            <w:tcW w:w="4536"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Assess</w:t>
            </w:r>
          </w:p>
        </w:tc>
        <w:tc>
          <w:tcPr>
            <w:tcW w:w="4536"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Approve</w:t>
            </w:r>
          </w:p>
        </w:tc>
        <w:tc>
          <w:tcPr>
            <w:tcW w:w="4536"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tcPr>
          <w:p>
            <w:pPr>
              <w:keepNext/>
              <w:spacing w:after="0"/>
              <w:rPr>
                <w:rFonts w:ascii="Calibri" w:hAnsi="Calibri" w:cs="Calibri"/>
                <w:sz w:val="16"/>
                <w:szCs w:val="16"/>
              </w:rPr>
            </w:pPr>
            <w:r>
              <w:rPr>
                <w:rFonts w:ascii="Calibri" w:hAnsi="Calibri" w:cs="Calibri"/>
                <w:sz w:val="16"/>
                <w:szCs w:val="16"/>
              </w:rPr>
              <w:t xml:space="preserve">PMO</w:t>
            </w:r>
          </w:p>
        </w:tc>
        <w:tc>
          <w:tcPr>
            <w:tcW w:w="2592" w:type="dxa"/>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Close</w:t>
            </w:r>
          </w:p>
        </w:tc>
        <w:tc>
          <w:tcPr>
            <w:tcW w:w="4536"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Green points are offered by the system out of the box and cost nothing; they stay in the Change Request Register as candidates for BDOI's confirmation of scope. Orange points need a change request; their effort, by activity, is in the CR Effort Estimate workbook (one man-day = 8 hours, estimate within plus or minus 20 percent).</w:t>
      </w:r>
    </w:p>
    <w:p>
      <w:pPr>
        <w:keepNext/>
        <w:rPr>
          <w:rFonts w:ascii="Arial" w:hAnsi="Arial" w:cs="Arial"/>
        </w:rPr>
      </w:pPr>
      <w:r>
        <w:rPr>
          <w:rFonts w:ascii="Arial" w:hAnsi="Arial" w:cs="Arial"/>
          <w:b/>
          <w:bCs/>
          <w:color w:val="2E7D32"/>
        </w:rPr>
        <w:t xml:space="preserve">Green - beyond the BRD, out of the box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440"/>
        <w:gridCol w:w="2736"/>
        <w:gridCol w:w="1872"/>
        <w:gridCol w:w="3024"/>
        <w:gridCol w:w="1007"/>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Point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(what it asks)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Offered by the system</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Register</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G-01</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FRRN.010.01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Automatic assignment by team and sub-team (Annex F)</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BRD 1.005, 3.005 (the Team Lead assigns)</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Automatic assignment of the market segments chosen to the Account Officer of the team with the fewest open accounts; a setting of Renewal Setup</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CR-RN-001</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G-02</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FRRN.011.03</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New Business account from an accepted referral</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BRD 1.006 (transfer of the account)</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Referral to another unit, accepted by the receiving unit, which opens the New Business account; transfer or referral is a setting</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CR-RN-002</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G-03</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FRRN.002.02.01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Marketing dashboard metrics (budget, pipeline, closing ratio, top deals, persistency, product mix)</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BRD 1.009.7 (accounts per officer)</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Renewal Dashboard with the budget, pipeline, closing ratio, top deals, persistency and product mix tiles and their drill-downs</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CR-RN-003</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G-04</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FRRN.003.02</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Processing dashboard cards and drill-downs</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BRD 3.010.7</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Processing Dashboard with the placement, booking, policy and releasing cards and drill-downs</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CR-RN-004</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G-05</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FRRN.042.01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Annual renewal budget maintenance, upload, inquiry and history</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BRD 1.009.7 (dashboard)</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Renewal Budget screen: maintenance with four eyes, upload, inquiry and history</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CR-RN-005</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G-06</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FRRN.039.02</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KYC monitoring statuses, history and dashboard</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BRRN.028 (KYC flag)</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KYC Monitoring screen with statuses, history and counts, and the daily KYC run</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CR-RN-006</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G-07</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FRRN.012.06</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BDOFC and SOLD uploads and matching</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BRRN.029</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Upload of the BDOFC and SOLD reports in the Upload Centre with matching on the PN and the sanitation rule</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CR-RN-007</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G-08</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FRRN.009.01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CBG Motor automatic update (depreciation, BI / PD tiers, Auto Promo to Regular)</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BRRN.039</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Automatic update of CBG Motor renewals with the depreciation and tier tables maintained by the Business Administrator</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CR-RN-008</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G-09</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FRRN.014.03</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Allocation to several insurers by percentage or amount</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Insurer allocation on the renewal account by percentage or amount</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CR-RN-009</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G-10</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FRRN.014.05</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Direct-to-Insurer Payment approval (blanket or Unit Head)</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Direct-to-Insurer Payment tag with blanket or Unit Head approval in the Approvals screen</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CR-RN-010</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G-11</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FRRN.036.03</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Hold cover automation (CBG at 75 days, extensions, CBG Home on the 15th)</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BRRN.042</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Hold Cover Requests with the automatic CBG requests, extensions and insurer batches</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CR-RN-011</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G-12</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FRRN.022.02</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Delivery through CCM</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BRRN.010 (sending)</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CCM channel with delivery statuses in the Channel Monitor; the e-mail of the system as the fall-back. The connection details come from BDO ITG</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CR-RN-012</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G-13</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FRRN.29.03</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MFT exchange with insurers</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MFT inbox and per-insurer delivery of placement, hold cover and e-policy files</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CR-RN-013</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G-14</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FRRN.033.01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E-policy batch processing (summary file and ZIP)</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E-policy screen: receipt of the summary file and ZIP, matching and batch sending</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CR-RN-014</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G-15</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FRRN.29.05</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Placement turnaround time (business days, With Issue, resolution date)</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Placement tracking with the TAT in business days, With Issue and resolution date</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CR-RN-015</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G-16</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FRRN.26.01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Second approval after acceptance</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BRRN.040 (no delay)</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Submitted for Approval before placement, a setting (Annex AO C23)</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CR-RN-016</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G-17</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FRRN.013.02</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Nine insurer disposition values</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BRRN.035 (three outcomes)</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BDOI's nine values mapped to the three outcomes of the BRD in the insurer disposition list</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CR-RN-017</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G-18</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FRRN.006.01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Duplicate criteria per line and segment (Annex B)</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BRRN.005</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Duplicate check of the sanitation with criteria per line and segment</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CR-RN-018</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G-19</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FRRN.022.01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Renewal Advice per line; first and last notice set by the system</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BRRN.010</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BDOI's Renewal Advice templates per line; notice set from the days before expiry (setting, Annex AO C13)</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CR-RN-019</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G-20</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FRRN.024.01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Password convention of protected files</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BRRN.010 (encrypt and add password)</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BDOI's password convention, a setting (Annex AO C16)</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CR-RN-020</w:t>
            </w:r>
          </w:p>
        </w:tc>
      </w:tr>
      <w:tr>
        <w:trPr>
          <w:cantSplit/>
        </w:trPr>
        <w:tc>
          <w:tcPr>
            <w:tcW w:w="720" w:type="dxa"/>
          </w:tcPr>
          <w:p>
            <w:pPr>
              <w:keepNext/>
              <w:spacing w:after="0"/>
              <w:rPr>
                <w:rFonts w:ascii="Calibri" w:hAnsi="Calibri" w:cs="Calibri"/>
                <w:sz w:val="15"/>
                <w:szCs w:val="15"/>
              </w:rPr>
            </w:pPr>
            <w:r>
              <w:rPr>
                <w:rFonts w:ascii="Calibri" w:hAnsi="Calibri" w:cs="Calibri"/>
                <w:color w:val="2E7D32"/>
                <w:sz w:val="15"/>
                <w:szCs w:val="15"/>
              </w:rPr>
              <w:t xml:space="preserve">G-21</w:t>
            </w:r>
          </w:p>
        </w:tc>
        <w:tc>
          <w:tcPr>
            <w:tcW w:w="1440" w:type="dxa"/>
          </w:tcPr>
          <w:p>
            <w:pPr>
              <w:keepNext/>
              <w:spacing w:after="0"/>
              <w:rPr>
                <w:rFonts w:ascii="Calibri" w:hAnsi="Calibri" w:cs="Calibri"/>
                <w:sz w:val="15"/>
                <w:szCs w:val="15"/>
              </w:rPr>
            </w:pPr>
            <w:r>
              <w:rPr>
                <w:rFonts w:ascii="Calibri" w:hAnsi="Calibri" w:cs="Calibri"/>
                <w:color w:val="2E7D32"/>
                <w:sz w:val="15"/>
                <w:szCs w:val="15"/>
              </w:rPr>
              <w:t xml:space="preserve">FRRN.27.01</w:t>
            </w:r>
          </w:p>
        </w:tc>
        <w:tc>
          <w:tcPr>
            <w:tcW w:w="2736" w:type="dxa"/>
          </w:tcPr>
          <w:p>
            <w:pPr>
              <w:keepNext/>
              <w:spacing w:after="0"/>
              <w:rPr>
                <w:rFonts w:ascii="Calibri" w:hAnsi="Calibri" w:cs="Calibri"/>
                <w:sz w:val="15"/>
                <w:szCs w:val="15"/>
              </w:rPr>
            </w:pPr>
            <w:r>
              <w:rPr>
                <w:rFonts w:ascii="Calibri" w:hAnsi="Calibri" w:cs="Calibri"/>
                <w:color w:val="2E7D32"/>
                <w:sz w:val="15"/>
                <w:szCs w:val="15"/>
              </w:rPr>
              <w:t xml:space="preserve">Scheduled CLPC billing (CBG Home, FFY Motor) and the e-mail of Annex S</w:t>
            </w:r>
          </w:p>
        </w:tc>
        <w:tc>
          <w:tcPr>
            <w:tcW w:w="1872" w:type="dxa"/>
          </w:tcPr>
          <w:p>
            <w:pPr>
              <w:keepNext/>
              <w:spacing w:after="0"/>
              <w:rPr>
                <w:rFonts w:ascii="Calibri" w:hAnsi="Calibri" w:cs="Calibri"/>
                <w:sz w:val="15"/>
                <w:szCs w:val="15"/>
              </w:rPr>
            </w:pPr>
            <w:r>
              <w:rPr>
                <w:rFonts w:ascii="Calibri" w:hAnsi="Calibri" w:cs="Calibri"/>
                <w:color w:val="2E7D32"/>
                <w:sz w:val="15"/>
                <w:szCs w:val="15"/>
              </w:rPr>
              <w:t xml:space="preserve">BRRN.040</w:t>
            </w:r>
          </w:p>
        </w:tc>
        <w:tc>
          <w:tcPr>
            <w:tcW w:w="3024" w:type="dxa"/>
          </w:tcPr>
          <w:p>
            <w:pPr>
              <w:keepNext/>
              <w:spacing w:after="0"/>
              <w:rPr>
                <w:rFonts w:ascii="Calibri" w:hAnsi="Calibri" w:cs="Calibri"/>
                <w:sz w:val="15"/>
                <w:szCs w:val="15"/>
              </w:rPr>
            </w:pPr>
            <w:r>
              <w:rPr>
                <w:rFonts w:ascii="Calibri" w:hAnsi="Calibri" w:cs="Calibri"/>
                <w:color w:val="2E7D32"/>
                <w:sz w:val="15"/>
                <w:szCs w:val="15"/>
              </w:rPr>
              <w:t xml:space="preserve">Billing Files screen and the scheduled billing runs</w:t>
            </w:r>
          </w:p>
        </w:tc>
        <w:tc>
          <w:tcPr>
            <w:tcW w:w="1007" w:type="dxa"/>
          </w:tcPr>
          <w:p>
            <w:pPr>
              <w:keepNext/>
              <w:spacing w:after="0"/>
              <w:rPr>
                <w:rFonts w:ascii="Calibri" w:hAnsi="Calibri" w:cs="Calibri"/>
                <w:sz w:val="15"/>
                <w:szCs w:val="15"/>
              </w:rPr>
            </w:pPr>
            <w:r>
              <w:rPr>
                <w:rFonts w:ascii="Calibri" w:hAnsi="Calibri" w:cs="Calibri"/>
                <w:color w:val="2E7D32"/>
                <w:sz w:val="15"/>
                <w:szCs w:val="15"/>
              </w:rPr>
              <w:t xml:space="preserve">CR-RN-021</w:t>
            </w:r>
          </w:p>
        </w:tc>
      </w:tr>
      <w:tr>
        <w:trPr>
          <w:cantSplit/>
        </w:trPr>
        <w:tc>
          <w:tcPr>
            <w:tcW w:w="720" w:type="dxa"/>
          </w:tcPr>
          <w:p>
            <w:pPr>
              <w:keepNext/>
              <w:spacing w:after="0"/>
              <w:rPr>
                <w:rFonts w:ascii="Calibri" w:hAnsi="Calibri" w:cs="Calibri"/>
                <w:sz w:val="15"/>
                <w:szCs w:val="15"/>
              </w:rPr>
            </w:pPr>
            <w:r>
              <w:rPr>
                <w:rFonts w:ascii="Calibri" w:hAnsi="Calibri" w:cs="Calibri"/>
                <w:color w:val="2E7D32"/>
                <w:sz w:val="15"/>
                <w:szCs w:val="15"/>
              </w:rPr>
              <w:t xml:space="preserve">G-22</w:t>
            </w:r>
          </w:p>
        </w:tc>
        <w:tc>
          <w:tcPr>
            <w:tcW w:w="1440" w:type="dxa"/>
          </w:tcPr>
          <w:p>
            <w:pPr>
              <w:keepNext/>
              <w:spacing w:after="0"/>
              <w:rPr>
                <w:rFonts w:ascii="Calibri" w:hAnsi="Calibri" w:cs="Calibri"/>
                <w:sz w:val="15"/>
                <w:szCs w:val="15"/>
              </w:rPr>
            </w:pPr>
            <w:r>
              <w:rPr>
                <w:rFonts w:ascii="Calibri" w:hAnsi="Calibri" w:cs="Calibri"/>
                <w:color w:val="2E7D32"/>
                <w:sz w:val="15"/>
                <w:szCs w:val="15"/>
              </w:rPr>
              <w:t xml:space="preserve">FRRN.041.01</w:t>
            </w:r>
          </w:p>
        </w:tc>
        <w:tc>
          <w:tcPr>
            <w:tcW w:w="2736" w:type="dxa"/>
          </w:tcPr>
          <w:p>
            <w:pPr>
              <w:keepNext/>
              <w:spacing w:after="0"/>
              <w:rPr>
                <w:rFonts w:ascii="Calibri" w:hAnsi="Calibri" w:cs="Calibri"/>
                <w:sz w:val="15"/>
                <w:szCs w:val="15"/>
              </w:rPr>
            </w:pPr>
            <w:r>
              <w:rPr>
                <w:rFonts w:ascii="Calibri" w:hAnsi="Calibri" w:cs="Calibri"/>
                <w:color w:val="2E7D32"/>
                <w:sz w:val="15"/>
                <w:szCs w:val="15"/>
              </w:rPr>
              <w:t xml:space="preserve">RMU Account Officer maintenance</w:t>
            </w:r>
          </w:p>
        </w:tc>
        <w:tc>
          <w:tcPr>
            <w:tcW w:w="1872" w:type="dxa"/>
          </w:tcPr>
          <w:p>
            <w:pPr>
              <w:keepNext/>
              <w:spacing w:after="0"/>
              <w:rPr>
                <w:rFonts w:ascii="Calibri" w:hAnsi="Calibri" w:cs="Calibri"/>
                <w:sz w:val="15"/>
                <w:szCs w:val="15"/>
              </w:rPr>
            </w:pPr>
            <w:r>
              <w:rPr>
                <w:rFonts w:ascii="Calibri" w:hAnsi="Calibri" w:cs="Calibri"/>
                <w:color w:val="2E7D32"/>
                <w:sz w:val="15"/>
                <w:szCs w:val="15"/>
              </w:rPr>
              <w:t xml:space="preserve">BRRN.029</w:t>
            </w:r>
          </w:p>
        </w:tc>
        <w:tc>
          <w:tcPr>
            <w:tcW w:w="3024" w:type="dxa"/>
          </w:tcPr>
          <w:p>
            <w:pPr>
              <w:keepNext/>
              <w:spacing w:after="0"/>
              <w:rPr>
                <w:rFonts w:ascii="Calibri" w:hAnsi="Calibri" w:cs="Calibri"/>
                <w:sz w:val="15"/>
                <w:szCs w:val="15"/>
              </w:rPr>
            </w:pPr>
            <w:r>
              <w:rPr>
                <w:rFonts w:ascii="Calibri" w:hAnsi="Calibri" w:cs="Calibri"/>
                <w:color w:val="2E7D32"/>
                <w:sz w:val="15"/>
                <w:szCs w:val="15"/>
              </w:rPr>
              <w:t xml:space="preserve">RMU Officers screen</w:t>
            </w:r>
          </w:p>
        </w:tc>
        <w:tc>
          <w:tcPr>
            <w:tcW w:w="1007" w:type="dxa"/>
          </w:tcPr>
          <w:p>
            <w:pPr>
              <w:keepNext/>
              <w:spacing w:after="0"/>
              <w:rPr>
                <w:rFonts w:ascii="Calibri" w:hAnsi="Calibri" w:cs="Calibri"/>
                <w:sz w:val="15"/>
                <w:szCs w:val="15"/>
              </w:rPr>
            </w:pPr>
            <w:r>
              <w:rPr>
                <w:rFonts w:ascii="Calibri" w:hAnsi="Calibri" w:cs="Calibri"/>
                <w:color w:val="2E7D32"/>
                <w:sz w:val="15"/>
                <w:szCs w:val="15"/>
              </w:rPr>
              <w:t xml:space="preserve">CR-RN-022</w:t>
            </w:r>
          </w:p>
        </w:tc>
      </w:tr>
      <w:tr>
        <w:trPr>
          <w:cantSplit/>
        </w:trPr>
        <w:tc>
          <w:tcPr>
            <w:tcW w:w="720" w:type="dxa"/>
          </w:tcPr>
          <w:p>
            <w:pPr>
              <w:spacing w:after="0"/>
              <w:rPr>
                <w:rFonts w:ascii="Calibri" w:hAnsi="Calibri" w:cs="Calibri"/>
                <w:sz w:val="15"/>
                <w:szCs w:val="15"/>
              </w:rPr>
            </w:pPr>
            <w:r>
              <w:rPr>
                <w:rFonts w:ascii="Calibri" w:hAnsi="Calibri" w:cs="Calibri"/>
                <w:color w:val="2E7D32"/>
                <w:sz w:val="15"/>
                <w:szCs w:val="15"/>
              </w:rPr>
              <w:t xml:space="preserve">G-23</w:t>
            </w:r>
          </w:p>
        </w:tc>
        <w:tc>
          <w:tcPr>
            <w:tcW w:w="1440" w:type="dxa"/>
          </w:tcPr>
          <w:p>
            <w:pPr>
              <w:spacing w:after="0"/>
              <w:rPr>
                <w:rFonts w:ascii="Calibri" w:hAnsi="Calibri" w:cs="Calibri"/>
                <w:sz w:val="15"/>
                <w:szCs w:val="15"/>
              </w:rPr>
            </w:pPr>
            <w:r>
              <w:rPr>
                <w:rFonts w:ascii="Calibri" w:hAnsi="Calibri" w:cs="Calibri"/>
                <w:color w:val="2E7D32"/>
                <w:sz w:val="15"/>
                <w:szCs w:val="15"/>
              </w:rPr>
              <w:t xml:space="preserve">FRRN.043.01</w:t>
            </w:r>
          </w:p>
        </w:tc>
        <w:tc>
          <w:tcPr>
            <w:tcW w:w="2736" w:type="dxa"/>
          </w:tcPr>
          <w:p>
            <w:pPr>
              <w:spacing w:after="0"/>
              <w:rPr>
                <w:rFonts w:ascii="Calibri" w:hAnsi="Calibri" w:cs="Calibri"/>
                <w:sz w:val="15"/>
                <w:szCs w:val="15"/>
              </w:rPr>
            </w:pPr>
            <w:r>
              <w:rPr>
                <w:rFonts w:ascii="Calibri" w:hAnsi="Calibri" w:cs="Calibri"/>
                <w:color w:val="2E7D32"/>
                <w:sz w:val="15"/>
                <w:szCs w:val="15"/>
              </w:rPr>
              <w:t xml:space="preserve">Audit Logs menu with filters and export</w:t>
            </w:r>
          </w:p>
        </w:tc>
        <w:tc>
          <w:tcPr>
            <w:tcW w:w="1872" w:type="dxa"/>
          </w:tcPr>
          <w:p>
            <w:pPr>
              <w:spacing w:after="0"/>
              <w:rPr>
                <w:rFonts w:ascii="Calibri" w:hAnsi="Calibri" w:cs="Calibri"/>
                <w:sz w:val="15"/>
                <w:szCs w:val="15"/>
              </w:rPr>
            </w:pPr>
            <w:r>
              <w:rPr>
                <w:rFonts w:ascii="Calibri" w:hAnsi="Calibri" w:cs="Calibri"/>
                <w:color w:val="2E7D32"/>
                <w:sz w:val="15"/>
                <w:szCs w:val="15"/>
              </w:rPr>
              <w:t xml:space="preserve">BRRN.021</w:t>
            </w:r>
          </w:p>
        </w:tc>
        <w:tc>
          <w:tcPr>
            <w:tcW w:w="3024" w:type="dxa"/>
          </w:tcPr>
          <w:p>
            <w:pPr>
              <w:spacing w:after="0"/>
              <w:rPr>
                <w:rFonts w:ascii="Calibri" w:hAnsi="Calibri" w:cs="Calibri"/>
                <w:sz w:val="15"/>
                <w:szCs w:val="15"/>
              </w:rPr>
            </w:pPr>
            <w:r>
              <w:rPr>
                <w:rFonts w:ascii="Calibri" w:hAnsi="Calibri" w:cs="Calibri"/>
                <w:color w:val="2E7D32"/>
                <w:sz w:val="15"/>
                <w:szCs w:val="15"/>
              </w:rPr>
              <w:t xml:space="preserve">Audit Logs screen with filters and export</w:t>
            </w:r>
          </w:p>
        </w:tc>
        <w:tc>
          <w:tcPr>
            <w:tcW w:w="1007" w:type="dxa"/>
          </w:tcPr>
          <w:p>
            <w:pPr>
              <w:spacing w:after="0"/>
              <w:rPr>
                <w:rFonts w:ascii="Calibri" w:hAnsi="Calibri" w:cs="Calibri"/>
                <w:sz w:val="15"/>
                <w:szCs w:val="15"/>
              </w:rPr>
            </w:pPr>
            <w:r>
              <w:rPr>
                <w:rFonts w:ascii="Calibri" w:hAnsi="Calibri" w:cs="Calibri"/>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152"/>
        <w:gridCol w:w="1296"/>
        <w:gridCol w:w="2304"/>
        <w:gridCol w:w="864"/>
        <w:gridCol w:w="3456"/>
        <w:gridCol w:w="864"/>
        <w:gridCol w:w="864"/>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Why it is needed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c>
          <w:tcPr>
            <w:tcW w:w="1152" w:type="dxa"/>
          </w:tcPr>
          <w:p>
            <w:pPr>
              <w:spacing w:after="0"/>
              <w:rPr>
                <w:rFonts w:ascii="Calibri" w:hAnsi="Calibri" w:cs="Calibri"/>
                <w:sz w:val="15"/>
                <w:szCs w:val="15"/>
              </w:rPr>
            </w:pPr>
            <w:r>
              <w:rPr>
                <w:rFonts w:ascii="Calibri" w:hAnsi="Calibri" w:cs="Calibri"/>
                <w:color w:val="E65100"/>
                <w:sz w:val="15"/>
                <w:szCs w:val="15"/>
              </w:rPr>
              <w:t xml:space="preserve">CR-RN-024</w:t>
            </w:r>
          </w:p>
        </w:tc>
        <w:tc>
          <w:tcPr>
            <w:tcW w:w="1296" w:type="dxa"/>
          </w:tcPr>
          <w:p>
            <w:pPr>
              <w:spacing w:after="0"/>
              <w:rPr>
                <w:rFonts w:ascii="Calibri" w:hAnsi="Calibri" w:cs="Calibri"/>
                <w:sz w:val="15"/>
                <w:szCs w:val="15"/>
              </w:rPr>
            </w:pPr>
            <w:r>
              <w:rPr>
                <w:rFonts w:ascii="Calibri" w:hAnsi="Calibri" w:cs="Calibri"/>
                <w:color w:val="E65100"/>
                <w:sz w:val="15"/>
                <w:szCs w:val="15"/>
              </w:rPr>
              <w:t xml:space="preserve">Annex AJ RN-NFR-16</w:t>
            </w:r>
          </w:p>
        </w:tc>
        <w:tc>
          <w:tcPr>
            <w:tcW w:w="2304" w:type="dxa"/>
          </w:tcPr>
          <w:p>
            <w:pPr>
              <w:spacing w:after="0"/>
              <w:rPr>
                <w:rFonts w:ascii="Calibri" w:hAnsi="Calibri" w:cs="Calibri"/>
                <w:sz w:val="15"/>
                <w:szCs w:val="15"/>
              </w:rPr>
            </w:pPr>
            <w:r>
              <w:rPr>
                <w:rFonts w:ascii="Calibri" w:hAnsi="Calibri" w:cs="Calibri"/>
                <w:color w:val="E65100"/>
                <w:sz w:val="15"/>
                <w:szCs w:val="15"/>
              </w:rPr>
              <w:t xml:space="preserve">Accessibility conformance (WCAG 2.2 level AA) of the Renewal screens</w:t>
            </w:r>
          </w:p>
        </w:tc>
        <w:tc>
          <w:tcPr>
            <w:tcW w:w="864" w:type="dxa"/>
          </w:tcPr>
          <w:p>
            <w:pPr>
              <w:spacing w:after="0"/>
              <w:rPr>
                <w:rFonts w:ascii="Calibri" w:hAnsi="Calibri" w:cs="Calibri"/>
                <w:sz w:val="15"/>
                <w:szCs w:val="15"/>
              </w:rPr>
            </w:pPr>
            <w:r>
              <w:rPr>
                <w:rFonts w:ascii="Calibri" w:hAnsi="Calibri" w:cs="Calibri"/>
                <w:color w:val="E65100"/>
                <w:sz w:val="15"/>
                <w:szCs w:val="15"/>
              </w:rPr>
              <w:t xml:space="preserve">Not in BRD</w:t>
            </w:r>
          </w:p>
        </w:tc>
        <w:tc>
          <w:tcPr>
            <w:tcW w:w="3456" w:type="dxa"/>
          </w:tcPr>
          <w:p>
            <w:pPr>
              <w:spacing w:after="0"/>
              <w:rPr>
                <w:rFonts w:ascii="Calibri" w:hAnsi="Calibri" w:cs="Calibri"/>
                <w:sz w:val="15"/>
                <w:szCs w:val="15"/>
              </w:rPr>
            </w:pPr>
            <w:r>
              <w:rPr>
                <w:rFonts w:ascii="Calibri" w:hAnsi="Calibri" w:cs="Calibri"/>
                <w:color w:val="E65100"/>
                <w:sz w:val="15"/>
                <w:szCs w:val="15"/>
              </w:rPr>
              <w:t xml:space="preserve">The BRD has no accessibility requirement; BDO's policies and the programme register expect screens usable with the keyboard and a screen reader, with sufficient contrast. A conformance claim needs a check of every Renewal screen and the corrections it finds.</w:t>
            </w:r>
          </w:p>
        </w:tc>
        <w:tc>
          <w:tcPr>
            <w:tcW w:w="864" w:type="dxa"/>
          </w:tcPr>
          <w:p>
            <w:pPr>
              <w:spacing w:after="0"/>
              <w:rPr>
                <w:rFonts w:ascii="Calibri" w:hAnsi="Calibri" w:cs="Calibri"/>
                <w:sz w:val="15"/>
                <w:szCs w:val="15"/>
              </w:rPr>
            </w:pPr>
            <w:r>
              <w:rPr>
                <w:rFonts w:ascii="Calibri" w:hAnsi="Calibri" w:cs="Calibri"/>
                <w:color w:val="E65100"/>
                <w:sz w:val="15"/>
                <w:szCs w:val="15"/>
              </w:rPr>
              <w:t xml:space="preserve">20.0</w:t>
            </w:r>
          </w:p>
        </w:tc>
        <w:tc>
          <w:tcPr>
            <w:tcW w:w="864" w:type="dxa"/>
          </w:tcPr>
          <w:p>
            <w:pPr>
              <w:spacing w:after="0"/>
              <w:rPr>
                <w:rFonts w:ascii="Calibri" w:hAnsi="Calibri" w:cs="Calibri"/>
                <w:sz w:val="15"/>
                <w:szCs w:val="15"/>
              </w:rPr>
            </w:pPr>
            <w:r>
              <w:rPr>
                <w:rFonts w:ascii="Calibri" w:hAnsi="Calibri" w:cs="Calibri"/>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20.0 man-days (1 change request). The requirements of other BRDs of the programme that also apply to Renewal (Annex AJ, RN-NFR-17 and RN-NFR-18) are BRD requirements and are not change requests of Renewal.</w:t>
      </w:r>
    </w:p>
    <w:p>
      <w:pPr>
        <w:pStyle w:val="Heading1"/>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w:t>
            </w:r>
          </w:p>
        </w:tc>
        <w:tc>
          <w:tcPr>
            <w:tcW w:w="1763" w:type="dxa"/>
          </w:tcPr>
          <w:p>
            <w:pPr>
              <w:spacing w:after="0"/>
              <w:rPr>
                <w:rFonts w:ascii="Calibri" w:hAnsi="Calibri" w:cs="Calibri"/>
                <w:sz w:val="16"/>
                <w:szCs w:val="16"/>
              </w:rPr>
            </w:pPr>
            <w:r>
              <w:rPr>
                <w:rFonts w:ascii="Calibri" w:hAnsi="Calibri" w:cs="Calibri"/>
                <w:sz w:val="16"/>
                <w:szCs w:val="16"/>
              </w:rPr>
              <w:t xml:space="preserve">Scope</w:t>
            </w:r>
          </w:p>
        </w:tc>
        <w:tc>
          <w:tcPr>
            <w:tcW w:w="2644"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w:t>
            </w:r>
          </w:p>
        </w:tc>
        <w:tc>
          <w:tcPr>
            <w:tcW w:w="1763" w:type="dxa"/>
          </w:tcPr>
          <w:p>
            <w:pPr>
              <w:spacing w:after="0"/>
              <w:rPr>
                <w:rFonts w:ascii="Calibri" w:hAnsi="Calibri" w:cs="Calibri"/>
                <w:sz w:val="16"/>
                <w:szCs w:val="16"/>
              </w:rPr>
            </w:pPr>
            <w:r>
              <w:rPr>
                <w:rFonts w:ascii="Calibri" w:hAnsi="Calibri" w:cs="Calibri"/>
                <w:sz w:val="16"/>
                <w:szCs w:val="16"/>
              </w:rPr>
              <w:t xml:space="preserve">BRD coverage</w:t>
            </w:r>
          </w:p>
        </w:tc>
        <w:tc>
          <w:tcPr>
            <w:tcW w:w="2644"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3</w:t>
            </w:r>
          </w:p>
        </w:tc>
        <w:tc>
          <w:tcPr>
            <w:tcW w:w="1763" w:type="dxa"/>
          </w:tcPr>
          <w:p>
            <w:pPr>
              <w:spacing w:after="0"/>
              <w:rPr>
                <w:rFonts w:ascii="Calibri" w:hAnsi="Calibri" w:cs="Calibri"/>
                <w:sz w:val="16"/>
                <w:szCs w:val="16"/>
              </w:rPr>
            </w:pPr>
            <w:r>
              <w:rPr>
                <w:rFonts w:ascii="Calibri" w:hAnsi="Calibri" w:cs="Calibri"/>
                <w:sz w:val="16"/>
                <w:szCs w:val="16"/>
              </w:rPr>
              <w:t xml:space="preserve">Decisions</w:t>
            </w:r>
          </w:p>
        </w:tc>
        <w:tc>
          <w:tcPr>
            <w:tcW w:w="2644" w:type="dxa"/>
          </w:tcPr>
          <w:p>
            <w:pPr>
              <w:spacing w:after="0"/>
              <w:rPr>
                <w:rFonts w:ascii="Calibri" w:hAnsi="Calibri" w:cs="Calibri"/>
                <w:sz w:val="16"/>
                <w:szCs w:val="16"/>
              </w:rPr>
            </w:pPr>
            <w:r>
              <w:rPr>
                <w:rFonts w:ascii="Calibri" w:hAnsi="Calibri" w:cs="Calibri"/>
                <w:sz w:val="16"/>
                <w:szCs w:val="16"/>
              </w:rPr>
              <w:t xml:space="preserve">Annex AO</w:t>
            </w:r>
          </w:p>
        </w:tc>
        <w:tc>
          <w:tcPr>
            <w:tcW w:w="3195"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4</w:t>
            </w:r>
          </w:p>
        </w:tc>
        <w:tc>
          <w:tcPr>
            <w:tcW w:w="1763" w:type="dxa"/>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tcPr>
          <w:p>
            <w:pPr>
              <w:spacing w:after="0"/>
              <w:rPr>
                <w:rFonts w:ascii="Calibri" w:hAnsi="Calibri" w:cs="Calibri"/>
                <w:sz w:val="16"/>
                <w:szCs w:val="16"/>
              </w:rPr>
            </w:pPr>
            <w:r>
              <w:rPr>
                <w:rFonts w:ascii="Calibri" w:hAnsi="Calibri" w:cs="Calibri"/>
                <w:sz w:val="16"/>
                <w:szCs w:val="16"/>
              </w:rPr>
              <w:t xml:space="preserve">Annex AN</w:t>
            </w:r>
          </w:p>
        </w:tc>
        <w:tc>
          <w:tcPr>
            <w:tcW w:w="3195"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5</w:t>
            </w:r>
          </w:p>
        </w:tc>
        <w:tc>
          <w:tcPr>
            <w:tcW w:w="1763" w:type="dxa"/>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6</w:t>
            </w:r>
          </w:p>
        </w:tc>
        <w:tc>
          <w:tcPr>
            <w:tcW w:w="1763"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7</w:t>
            </w:r>
          </w:p>
        </w:tc>
        <w:tc>
          <w:tcPr>
            <w:tcW w:w="1763"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tcPr>
          <w:p>
            <w:pPr>
              <w:spacing w:after="0"/>
              <w:rPr>
                <w:rFonts w:ascii="Calibri" w:hAnsi="Calibri" w:cs="Calibri"/>
                <w:sz w:val="16"/>
                <w:szCs w:val="16"/>
              </w:rPr>
            </w:pPr>
            <w:r>
              <w:rPr>
                <w:rFonts w:ascii="Calibri" w:hAnsi="Calibri" w:cs="Calibri"/>
                <w:sz w:val="16"/>
                <w:szCs w:val="16"/>
              </w:rPr>
              <w:t xml:space="preserve">FRRN.010-011</w:t>
            </w:r>
          </w:p>
        </w:tc>
        <w:tc>
          <w:tcPr>
            <w:tcW w:w="3195"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8</w:t>
            </w:r>
          </w:p>
        </w:tc>
        <w:tc>
          <w:tcPr>
            <w:tcW w:w="1763" w:type="dxa"/>
          </w:tcPr>
          <w:p>
            <w:pPr>
              <w:spacing w:after="0"/>
              <w:rPr>
                <w:rFonts w:ascii="Calibri" w:hAnsi="Calibri" w:cs="Calibri"/>
                <w:sz w:val="16"/>
                <w:szCs w:val="16"/>
              </w:rPr>
            </w:pPr>
            <w:r>
              <w:rPr>
                <w:rFonts w:ascii="Calibri" w:hAnsi="Calibri" w:cs="Calibri"/>
                <w:sz w:val="16"/>
                <w:szCs w:val="16"/>
              </w:rPr>
              <w:t xml:space="preserve">LAMD and RMU</w:t>
            </w:r>
          </w:p>
        </w:tc>
        <w:tc>
          <w:tcPr>
            <w:tcW w:w="2644" w:type="dxa"/>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tcPr>
          <w:p>
            <w:pPr>
              <w:spacing w:after="0"/>
              <w:rPr>
                <w:rFonts w:ascii="Calibri" w:hAnsi="Calibri" w:cs="Calibri"/>
                <w:sz w:val="16"/>
                <w:szCs w:val="16"/>
              </w:rPr>
            </w:pPr>
            <w:r>
              <w:rPr>
                <w:rFonts w:ascii="Calibri" w:hAnsi="Calibri" w:cs="Calibri"/>
                <w:sz w:val="16"/>
                <w:szCs w:val="16"/>
              </w:rPr>
              <w:t xml:space="preserve">LAMD;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9</w:t>
            </w:r>
          </w:p>
        </w:tc>
        <w:tc>
          <w:tcPr>
            <w:tcW w:w="1763"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10</w:t>
            </w:r>
          </w:p>
        </w:tc>
        <w:tc>
          <w:tcPr>
            <w:tcW w:w="1763"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11</w:t>
            </w:r>
          </w:p>
        </w:tc>
        <w:tc>
          <w:tcPr>
            <w:tcW w:w="1763" w:type="dxa"/>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tcPr>
          <w:p>
            <w:pPr>
              <w:spacing w:after="0"/>
              <w:rPr>
                <w:rFonts w:ascii="Calibri" w:hAnsi="Calibri" w:cs="Calibri"/>
                <w:sz w:val="16"/>
                <w:szCs w:val="16"/>
              </w:rPr>
            </w:pPr>
            <w:r>
              <w:rPr>
                <w:rFonts w:ascii="Calibri" w:hAnsi="Calibri" w:cs="Calibri"/>
                <w:sz w:val="16"/>
                <w:szCs w:val="16"/>
              </w:rPr>
              <w:t xml:space="preserve">FRRN.017-019</w:t>
            </w:r>
          </w:p>
        </w:tc>
        <w:tc>
          <w:tcPr>
            <w:tcW w:w="3195"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tcPr>
          <w:p>
            <w:pPr>
              <w:spacing w:after="0"/>
              <w:rPr>
                <w:rFonts w:ascii="Calibri" w:hAnsi="Calibri" w:cs="Calibri"/>
                <w:sz w:val="16"/>
                <w:szCs w:val="16"/>
              </w:rPr>
            </w:pPr>
            <w:r>
              <w:rPr>
                <w:rFonts w:ascii="Calibri" w:hAnsi="Calibri" w:cs="Calibri"/>
                <w:sz w:val="16"/>
                <w:szCs w:val="16"/>
              </w:rPr>
              <w:t xml:space="preserve">Marketing; TSU</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12</w:t>
            </w:r>
          </w:p>
        </w:tc>
        <w:tc>
          <w:tcPr>
            <w:tcW w:w="1763"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13</w:t>
            </w:r>
          </w:p>
        </w:tc>
        <w:tc>
          <w:tcPr>
            <w:tcW w:w="1763"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tcPr>
          <w:p>
            <w:pPr>
              <w:spacing w:after="0"/>
              <w:rPr>
                <w:rFonts w:ascii="Calibri" w:hAnsi="Calibri" w:cs="Calibri"/>
                <w:sz w:val="16"/>
                <w:szCs w:val="16"/>
              </w:rPr>
            </w:pPr>
            <w:r>
              <w:rPr>
                <w:rFonts w:ascii="Calibri" w:hAnsi="Calibri" w:cs="Calibri"/>
                <w:sz w:val="16"/>
                <w:szCs w:val="16"/>
              </w:rPr>
              <w:t xml:space="preserve">FRRN.025-031</w:t>
            </w:r>
          </w:p>
        </w:tc>
        <w:tc>
          <w:tcPr>
            <w:tcW w:w="3195"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14</w:t>
            </w:r>
          </w:p>
        </w:tc>
        <w:tc>
          <w:tcPr>
            <w:tcW w:w="1763"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tcPr>
          <w:p>
            <w:pPr>
              <w:spacing w:after="0"/>
              <w:rPr>
                <w:rFonts w:ascii="Calibri" w:hAnsi="Calibri" w:cs="Calibri"/>
                <w:sz w:val="16"/>
                <w:szCs w:val="16"/>
              </w:rPr>
            </w:pPr>
            <w:r>
              <w:rPr>
                <w:rFonts w:ascii="Calibri" w:hAnsi="Calibri" w:cs="Calibri"/>
                <w:sz w:val="16"/>
                <w:szCs w:val="16"/>
              </w:rPr>
              <w:t xml:space="preserve">FRRN.032-033</w:t>
            </w:r>
          </w:p>
        </w:tc>
        <w:tc>
          <w:tcPr>
            <w:tcW w:w="3195"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15</w:t>
            </w:r>
          </w:p>
        </w:tc>
        <w:tc>
          <w:tcPr>
            <w:tcW w:w="1763"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tcPr>
          <w:p>
            <w:pPr>
              <w:spacing w:after="0"/>
              <w:rPr>
                <w:rFonts w:ascii="Calibri" w:hAnsi="Calibri" w:cs="Calibri"/>
                <w:sz w:val="16"/>
                <w:szCs w:val="16"/>
              </w:rPr>
            </w:pPr>
            <w:r>
              <w:rPr>
                <w:rFonts w:ascii="Calibri" w:hAnsi="Calibri" w:cs="Calibri"/>
                <w:sz w:val="16"/>
                <w:szCs w:val="16"/>
              </w:rPr>
              <w:t xml:space="preserve">FRRN.034-035</w:t>
            </w:r>
          </w:p>
        </w:tc>
        <w:tc>
          <w:tcPr>
            <w:tcW w:w="3195"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16</w:t>
            </w:r>
          </w:p>
        </w:tc>
        <w:tc>
          <w:tcPr>
            <w:tcW w:w="1763" w:type="dxa"/>
          </w:tcPr>
          <w:p>
            <w:pPr>
              <w:spacing w:after="0"/>
              <w:rPr>
                <w:rFonts w:ascii="Calibri" w:hAnsi="Calibri" w:cs="Calibri"/>
                <w:sz w:val="16"/>
                <w:szCs w:val="16"/>
              </w:rPr>
            </w:pPr>
            <w:r>
              <w:rPr>
                <w:rFonts w:ascii="Calibri" w:hAnsi="Calibri" w:cs="Calibri"/>
                <w:sz w:val="16"/>
                <w:szCs w:val="16"/>
              </w:rPr>
              <w:t xml:space="preserve">Hold cover</w:t>
            </w:r>
          </w:p>
        </w:tc>
        <w:tc>
          <w:tcPr>
            <w:tcW w:w="2644" w:type="dxa"/>
          </w:tcPr>
          <w:p>
            <w:pPr>
              <w:spacing w:after="0"/>
              <w:rPr>
                <w:rFonts w:ascii="Calibri" w:hAnsi="Calibri" w:cs="Calibri"/>
                <w:sz w:val="16"/>
                <w:szCs w:val="16"/>
              </w:rPr>
            </w:pPr>
            <w:r>
              <w:rPr>
                <w:rFonts w:ascii="Calibri" w:hAnsi="Calibri" w:cs="Calibri"/>
                <w:sz w:val="16"/>
                <w:szCs w:val="16"/>
              </w:rPr>
              <w:t xml:space="preserve">FRRN.036-037</w:t>
            </w:r>
          </w:p>
        </w:tc>
        <w:tc>
          <w:tcPr>
            <w:tcW w:w="3195"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17</w:t>
            </w:r>
          </w:p>
        </w:tc>
        <w:tc>
          <w:tcPr>
            <w:tcW w:w="1763"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18</w:t>
            </w:r>
          </w:p>
        </w:tc>
        <w:tc>
          <w:tcPr>
            <w:tcW w:w="1763"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tcPr>
          <w:p>
            <w:pPr>
              <w:spacing w:after="0"/>
              <w:rPr>
                <w:rFonts w:ascii="Calibri" w:hAnsi="Calibri" w:cs="Calibri"/>
                <w:sz w:val="16"/>
                <w:szCs w:val="16"/>
              </w:rPr>
            </w:pPr>
            <w:r>
              <w:rPr>
                <w:rFonts w:ascii="Calibri" w:hAnsi="Calibri" w:cs="Calibri"/>
                <w:sz w:val="16"/>
                <w:szCs w:val="16"/>
              </w:rPr>
              <w:t xml:space="preserve">Annex AD</w:t>
            </w:r>
          </w:p>
        </w:tc>
        <w:tc>
          <w:tcPr>
            <w:tcW w:w="3195"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19</w:t>
            </w:r>
          </w:p>
        </w:tc>
        <w:tc>
          <w:tcPr>
            <w:tcW w:w="1763"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tcPr>
          <w:p>
            <w:pPr>
              <w:spacing w:after="0"/>
              <w:rPr>
                <w:rFonts w:ascii="Calibri" w:hAnsi="Calibri" w:cs="Calibri"/>
                <w:sz w:val="16"/>
                <w:szCs w:val="16"/>
              </w:rPr>
            </w:pPr>
            <w:r>
              <w:rPr>
                <w:rFonts w:ascii="Calibri" w:hAnsi="Calibri" w:cs="Calibri"/>
                <w:sz w:val="16"/>
                <w:szCs w:val="16"/>
              </w:rPr>
              <w:t xml:space="preserve">Annex AE</w:t>
            </w:r>
          </w:p>
        </w:tc>
        <w:tc>
          <w:tcPr>
            <w:tcW w:w="3195"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20</w:t>
            </w:r>
          </w:p>
        </w:tc>
        <w:tc>
          <w:tcPr>
            <w:tcW w:w="1763"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tcPr>
          <w:p>
            <w:pPr>
              <w:spacing w:after="0"/>
              <w:rPr>
                <w:rFonts w:ascii="Calibri" w:hAnsi="Calibri" w:cs="Calibri"/>
                <w:sz w:val="16"/>
                <w:szCs w:val="16"/>
              </w:rPr>
            </w:pPr>
            <w:r>
              <w:rPr>
                <w:rFonts w:ascii="Calibri" w:hAnsi="Calibri" w:cs="Calibri"/>
                <w:sz w:val="16"/>
                <w:szCs w:val="16"/>
              </w:rPr>
              <w:t xml:space="preserve">Annex AF</w:t>
            </w:r>
          </w:p>
        </w:tc>
        <w:tc>
          <w:tcPr>
            <w:tcW w:w="3195"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21</w:t>
            </w:r>
          </w:p>
        </w:tc>
        <w:tc>
          <w:tcPr>
            <w:tcW w:w="1763"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tcPr>
          <w:p>
            <w:pPr>
              <w:spacing w:after="0"/>
              <w:rPr>
                <w:rFonts w:ascii="Calibri" w:hAnsi="Calibri" w:cs="Calibri"/>
                <w:sz w:val="16"/>
                <w:szCs w:val="16"/>
              </w:rPr>
            </w:pPr>
            <w:r>
              <w:rPr>
                <w:rFonts w:ascii="Calibri" w:hAnsi="Calibri" w:cs="Calibri"/>
                <w:sz w:val="16"/>
                <w:szCs w:val="16"/>
              </w:rPr>
              <w:t xml:space="preserve">Annex AG</w:t>
            </w:r>
          </w:p>
        </w:tc>
        <w:tc>
          <w:tcPr>
            <w:tcW w:w="3195"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22</w:t>
            </w:r>
          </w:p>
        </w:tc>
        <w:tc>
          <w:tcPr>
            <w:tcW w:w="1763" w:type="dxa"/>
          </w:tcPr>
          <w:p>
            <w:pPr>
              <w:spacing w:after="0"/>
              <w:rPr>
                <w:rFonts w:ascii="Calibri" w:hAnsi="Calibri" w:cs="Calibri"/>
                <w:sz w:val="16"/>
                <w:szCs w:val="16"/>
              </w:rPr>
            </w:pPr>
            <w:r>
              <w:rPr>
                <w:rFonts w:ascii="Calibri" w:hAnsi="Calibri" w:cs="Calibri"/>
                <w:sz w:val="16"/>
                <w:szCs w:val="16"/>
              </w:rPr>
              <w:t xml:space="preserve">Integrations</w:t>
            </w:r>
          </w:p>
        </w:tc>
        <w:tc>
          <w:tcPr>
            <w:tcW w:w="2644" w:type="dxa"/>
          </w:tcPr>
          <w:p>
            <w:pPr>
              <w:spacing w:after="0"/>
              <w:rPr>
                <w:rFonts w:ascii="Calibri" w:hAnsi="Calibri" w:cs="Calibri"/>
                <w:sz w:val="16"/>
                <w:szCs w:val="16"/>
              </w:rPr>
            </w:pPr>
            <w:r>
              <w:rPr>
                <w:rFonts w:ascii="Calibri" w:hAnsi="Calibri" w:cs="Calibri"/>
                <w:sz w:val="16"/>
                <w:szCs w:val="16"/>
              </w:rPr>
              <w:t xml:space="preserve">Annex AH</w:t>
            </w:r>
          </w:p>
        </w:tc>
        <w:tc>
          <w:tcPr>
            <w:tcW w:w="3195"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23</w:t>
            </w:r>
          </w:p>
        </w:tc>
        <w:tc>
          <w:tcPr>
            <w:tcW w:w="1763" w:type="dxa"/>
          </w:tcPr>
          <w:p>
            <w:pPr>
              <w:spacing w:after="0"/>
              <w:rPr>
                <w:rFonts w:ascii="Calibri" w:hAnsi="Calibri" w:cs="Calibri"/>
                <w:sz w:val="16"/>
                <w:szCs w:val="16"/>
              </w:rPr>
            </w:pPr>
            <w:r>
              <w:rPr>
                <w:rFonts w:ascii="Calibri" w:hAnsi="Calibri" w:cs="Calibri"/>
                <w:sz w:val="16"/>
                <w:szCs w:val="16"/>
              </w:rPr>
              <w:t xml:space="preserve">Non-functional</w:t>
            </w:r>
          </w:p>
        </w:tc>
        <w:tc>
          <w:tcPr>
            <w:tcW w:w="2644" w:type="dxa"/>
          </w:tcPr>
          <w:p>
            <w:pPr>
              <w:spacing w:after="0"/>
              <w:rPr>
                <w:rFonts w:ascii="Calibri" w:hAnsi="Calibri" w:cs="Calibri"/>
                <w:sz w:val="16"/>
                <w:szCs w:val="16"/>
              </w:rPr>
            </w:pPr>
            <w:r>
              <w:rPr>
                <w:rFonts w:ascii="Calibri" w:hAnsi="Calibri" w:cs="Calibri"/>
                <w:sz w:val="16"/>
                <w:szCs w:val="16"/>
              </w:rPr>
              <w:t xml:space="preserve">Annex AJ</w:t>
            </w:r>
          </w:p>
        </w:tc>
        <w:tc>
          <w:tcPr>
            <w:tcW w:w="3195"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24</w:t>
            </w:r>
          </w:p>
        </w:tc>
        <w:tc>
          <w:tcPr>
            <w:tcW w:w="1763" w:type="dxa"/>
          </w:tcPr>
          <w:p>
            <w:pPr>
              <w:spacing w:after="0"/>
              <w:rPr>
                <w:rFonts w:ascii="Calibri" w:hAnsi="Calibri" w:cs="Calibri"/>
                <w:sz w:val="16"/>
                <w:szCs w:val="16"/>
              </w:rPr>
            </w:pPr>
            <w:r>
              <w:rPr>
                <w:rFonts w:ascii="Calibri" w:hAnsi="Calibri" w:cs="Calibri"/>
                <w:sz w:val="16"/>
                <w:szCs w:val="16"/>
              </w:rPr>
              <w:t xml:space="preserve">Data set-up</w:t>
            </w:r>
          </w:p>
        </w:tc>
        <w:tc>
          <w:tcPr>
            <w:tcW w:w="2644" w:type="dxa"/>
          </w:tcPr>
          <w:p>
            <w:pPr>
              <w:spacing w:after="0"/>
              <w:rPr>
                <w:rFonts w:ascii="Calibri" w:hAnsi="Calibri" w:cs="Calibri"/>
                <w:sz w:val="16"/>
                <w:szCs w:val="16"/>
              </w:rPr>
            </w:pPr>
            <w:r>
              <w:rPr>
                <w:rFonts w:ascii="Calibri" w:hAnsi="Calibri" w:cs="Calibri"/>
                <w:sz w:val="16"/>
                <w:szCs w:val="16"/>
              </w:rPr>
              <w:t xml:space="preserve">Annex AK</w:t>
            </w:r>
          </w:p>
        </w:tc>
        <w:tc>
          <w:tcPr>
            <w:tcW w:w="3195"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25</w:t>
            </w:r>
          </w:p>
        </w:tc>
        <w:tc>
          <w:tcPr>
            <w:tcW w:w="1763" w:type="dxa"/>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26</w:t>
            </w:r>
          </w:p>
        </w:tc>
        <w:tc>
          <w:tcPr>
            <w:tcW w:w="1763"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27</w:t>
            </w:r>
          </w:p>
        </w:tc>
        <w:tc>
          <w:tcPr>
            <w:tcW w:w="1763" w:type="dxa"/>
          </w:tcPr>
          <w:p>
            <w:pPr>
              <w:spacing w:after="0"/>
              <w:rPr>
                <w:rFonts w:ascii="Calibri" w:hAnsi="Calibri" w:cs="Calibri"/>
                <w:sz w:val="16"/>
                <w:szCs w:val="16"/>
              </w:rPr>
            </w:pPr>
            <w:r>
              <w:rPr>
                <w:rFonts w:ascii="Calibri" w:hAnsi="Calibri" w:cs="Calibri"/>
                <w:sz w:val="16"/>
                <w:szCs w:val="16"/>
              </w:rPr>
              <w:t xml:space="preserve">Signatories</w:t>
            </w:r>
          </w:p>
        </w:tc>
        <w:tc>
          <w:tcPr>
            <w:tcW w:w="2644"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