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BRD-02 Operations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28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28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BRD-2 Operations business sign-off pack (replaces the release note of the set)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M. Jarin, Operations: Financial Transactions and Processing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Operations</w:t>
            </w:r>
          </w:p>
        </w:tc>
      </w:tr>
      <w:tr>
        <w:trPr>
          <w:cantSplit w:val="true"/>
        </w:trPr>
        <w:tc>
          <w:tcPr>
            <w:tcW w:type="dxa" w:w="2606"/>
            <w:tcMar>
              <w:top w:w="50" w:type="dxa"/>
              <w:bottom w:w="50" w:type="dxa"/>
              <w:left w:w="90" w:type="dxa"/>
              <w:right w:w="90" w:type="dxa"/>
            </w:tcMar>
          </w:tcPr>
          <w:p>
            <w:pPr>
              <w:pStyle w:val="BDOITable"/>
            </w:pPr>
            <w:r>
              <w:rPr>
                <w:sz w:val="18"/>
              </w:rPr>
              <w:t>Shirley Catapang and Perjelyn Joy Gutierrez, Operations: FT&amp;P</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screens and rows of their teams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Remittance, Adjustment, Production Reconciliation, Commission Receivables, Marketing Collection, Comptrollership and Disbursement</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tcPr>
          <w:p>
            <w:pPr>
              <w:pStyle w:val="BDOITable"/>
            </w:pPr>
            <w:r>
              <w:rPr>
                <w:sz w:val="18"/>
              </w:rPr>
              <w:t>Information Technology Group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Interfaces, jobs, access; the Technical Specification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Dan Ace Cauton and Zean C. Ibay, ESG - 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6</w:t>
        </w:r>
      </w:hyperlink>
    </w:p>
    <w:p>
      <w:pPr>
        <w:pStyle w:val="toc1"/>
      </w:pPr>
      <w:hyperlink w:anchor="_Toc000106" w:history="1">
        <w:r>
          <w:t xml:space="preserve">6 Change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BRD-2 Operations of BIBS, screen by screen, so that each Operations team can confirm what it will get and sign it off: the invoice ledger and Invoice 360, Cashiering, Remittance, Adjustment, Production Reconciliation and Commission Receivables, with the Disbursement queue, the interfaces and the Operations reports. Signing freezes the content, the screens and the navigation of Operations;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BRD-02_Operations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00_BIBS_StartHere_BRD-02_Operations_v2.0.docx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01_BIBS_GuideDeck_BRD-02_Operations_v2.0.pptx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and impacts on other modules,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02_BIBS_FRS_BRD-02_Operations_v2.0.docx</w:t>
            </w:r>
          </w:p>
        </w:tc>
        <w:tc>
          <w:tcPr>
            <w:tcW w:type="dxa" w:w="3626"/>
            <w:tcMar>
              <w:top w:w="50" w:type="dxa"/>
              <w:bottom w:w="50" w:type="dxa"/>
              <w:left w:w="90" w:type="dxa"/>
              <w:right w:w="90" w:type="dxa"/>
            </w:tcMar>
          </w:tcPr>
          <w:p>
            <w:pPr>
              <w:pStyle w:val="BDOITable"/>
            </w:pPr>
            <w:r>
              <w:rPr>
                <w:sz w:val="15"/>
              </w:rPr>
              <w:t>Functional Requirements Specification v2.0: requirements, navigation, 64 screen specifications with screenshots, walkthroughs, messages, notifications, documents, uploads, cross-BRD contract</w:t>
            </w:r>
          </w:p>
        </w:tc>
        <w:tc>
          <w:tcPr>
            <w:tcW w:type="dxa" w:w="1926"/>
            <w:tcMar>
              <w:top w:w="50" w:type="dxa"/>
              <w:bottom w:w="50" w:type="dxa"/>
              <w:left w:w="90" w:type="dxa"/>
              <w:right w:w="90" w:type="dxa"/>
            </w:tcMar>
          </w:tcPr>
          <w:p>
            <w:pPr>
              <w:pStyle w:val="BDOITable"/>
            </w:pPr>
            <w:r>
              <w:rPr>
                <w:sz w:val="15"/>
              </w:rPr>
              <w:t>Business users of each Operations team; Comptrollership, Disbursement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03_BIBS_Signoff_BRD-02_Operations_v2.0.xlsx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04_BIBS_TestPlan_BRD-02_Operations_v2.0.xlsx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05_BIBS_TestPlan_BRD-02_Operations_Summary_v2.0.docx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07_BIBS_UXDeck_BRD-02_Operations_v2.0.pptx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08_BIBS_UXScreens_BRD-02_Operations_v2.0.xlsx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09_BIBS_UXScreens_BRD-02_Operations_v2.0.zip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Operations FT&amp;P)</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and 21 (proposed rules for confirmation);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Cashiering (cashiers and Team Leader)</w:t>
            </w:r>
          </w:p>
        </w:tc>
        <w:tc>
          <w:tcPr>
            <w:tcW w:type="dxa" w:w="7592"/>
            <w:tcMar>
              <w:top w:w="50" w:type="dxa"/>
              <w:bottom w:w="50" w:type="dxa"/>
              <w:left w:w="90" w:type="dxa"/>
              <w:right w:w="90" w:type="dxa"/>
            </w:tcMar>
            <w:shd w:val="clear" w:color="auto" w:fill="E5F5FF"/>
          </w:tcPr>
          <w:p>
            <w:pPr>
              <w:pStyle w:val="BDOITable"/>
            </w:pPr>
            <w:r>
              <w:rPr>
                <w:sz w:val="16"/>
              </w:rPr>
              <w:t>FRS chapter 4 Cashiering; the Cashiering screens of chapter 13 (SCR-OP-07 to 22); walkthroughs A (steps 3-4), B (steps 8-9) and D (steps 3-4); messages in chapter 15; documents DO-01 and DO-02 in chapter 17; upload templates in chapter 18</w:t>
            </w:r>
          </w:p>
        </w:tc>
      </w:tr>
      <w:tr>
        <w:tc>
          <w:tcPr>
            <w:tcW w:type="dxa" w:w="2380"/>
            <w:tcMar>
              <w:top w:w="50" w:type="dxa"/>
              <w:bottom w:w="50" w:type="dxa"/>
              <w:left w:w="90" w:type="dxa"/>
              <w:right w:w="90" w:type="dxa"/>
            </w:tcMar>
          </w:tcPr>
          <w:p>
            <w:pPr>
              <w:pStyle w:val="BDOITable"/>
            </w:pPr>
            <w:r>
              <w:rPr>
                <w:b/>
                <w:sz w:val="16"/>
              </w:rPr>
              <w:t>Remittance (processors and Team Leader)</w:t>
            </w:r>
          </w:p>
        </w:tc>
        <w:tc>
          <w:tcPr>
            <w:tcW w:type="dxa" w:w="7592"/>
            <w:tcMar>
              <w:top w:w="50" w:type="dxa"/>
              <w:bottom w:w="50" w:type="dxa"/>
              <w:left w:w="90" w:type="dxa"/>
              <w:right w:w="90" w:type="dxa"/>
            </w:tcMar>
          </w:tcPr>
          <w:p>
            <w:pPr>
              <w:pStyle w:val="BDOITable"/>
            </w:pPr>
            <w:r>
              <w:rPr>
                <w:sz w:val="16"/>
              </w:rPr>
              <w:t>FRS chapter 4 Remittance; screens SCR-OP-23 to 36; walkthroughs A (steps 5-10) and D (step 5); notifications in chapter 16; documents DO-03 and DO-04</w:t>
            </w:r>
          </w:p>
        </w:tc>
      </w:tr>
      <w:tr>
        <w:tc>
          <w:tcPr>
            <w:tcW w:type="dxa" w:w="2380"/>
            <w:tcMar>
              <w:top w:w="50" w:type="dxa"/>
              <w:bottom w:w="50" w:type="dxa"/>
              <w:left w:w="90" w:type="dxa"/>
              <w:right w:w="90" w:type="dxa"/>
            </w:tcMar>
            <w:shd w:val="clear" w:color="auto" w:fill="E5F5FF"/>
          </w:tcPr>
          <w:p>
            <w:pPr>
              <w:pStyle w:val="BDOITable"/>
            </w:pPr>
            <w:r>
              <w:rPr>
                <w:b/>
                <w:sz w:val="16"/>
              </w:rPr>
              <w:t>Adjustment (processors and Team Leader)</w:t>
            </w:r>
          </w:p>
        </w:tc>
        <w:tc>
          <w:tcPr>
            <w:tcW w:type="dxa" w:w="7592"/>
            <w:tcMar>
              <w:top w:w="50" w:type="dxa"/>
              <w:bottom w:w="50" w:type="dxa"/>
              <w:left w:w="90" w:type="dxa"/>
              <w:right w:w="90" w:type="dxa"/>
            </w:tcMar>
            <w:shd w:val="clear" w:color="auto" w:fill="E5F5FF"/>
          </w:tcPr>
          <w:p>
            <w:pPr>
              <w:pStyle w:val="BDOITable"/>
            </w:pPr>
            <w:r>
              <w:rPr>
                <w:sz w:val="16"/>
              </w:rPr>
              <w:t>FRS chapter 4 Adjustment / Cancellation; screens SCR-OP-37 to 42; walkthrough B; documents DO-05 and DO-06; Policy Transactions in chapter 12</w:t>
            </w:r>
          </w:p>
        </w:tc>
      </w:tr>
      <w:tr>
        <w:tc>
          <w:tcPr>
            <w:tcW w:type="dxa" w:w="2380"/>
            <w:tcMar>
              <w:top w:w="50" w:type="dxa"/>
              <w:bottom w:w="50" w:type="dxa"/>
              <w:left w:w="90" w:type="dxa"/>
              <w:right w:w="90" w:type="dxa"/>
            </w:tcMar>
          </w:tcPr>
          <w:p>
            <w:pPr>
              <w:pStyle w:val="BDOITable"/>
            </w:pPr>
            <w:r>
              <w:rPr>
                <w:b/>
                <w:sz w:val="16"/>
              </w:rPr>
              <w:t>Production Reconciliation and Commission Receivables</w:t>
            </w:r>
          </w:p>
        </w:tc>
        <w:tc>
          <w:tcPr>
            <w:tcW w:type="dxa" w:w="7592"/>
            <w:tcMar>
              <w:top w:w="50" w:type="dxa"/>
              <w:bottom w:w="50" w:type="dxa"/>
              <w:left w:w="90" w:type="dxa"/>
              <w:right w:w="90" w:type="dxa"/>
            </w:tcMar>
          </w:tcPr>
          <w:p>
            <w:pPr>
              <w:pStyle w:val="BDOITable"/>
            </w:pPr>
            <w:r>
              <w:rPr>
                <w:sz w:val="16"/>
              </w:rPr>
              <w:t>FRS chapter 4 Production Reconciliation and Commission Receivables; screens SCR-OP-43 to 60; walkthrough C; documents DO-07 and DO-08</w:t>
            </w:r>
          </w:p>
        </w:tc>
      </w:tr>
      <w:tr>
        <w:tc>
          <w:tcPr>
            <w:tcW w:type="dxa" w:w="2380"/>
            <w:tcMar>
              <w:top w:w="50" w:type="dxa"/>
              <w:bottom w:w="50" w:type="dxa"/>
              <w:left w:w="90" w:type="dxa"/>
              <w:right w:w="90" w:type="dxa"/>
            </w:tcMar>
            <w:shd w:val="clear" w:color="auto" w:fill="E5F5FF"/>
          </w:tcPr>
          <w:p>
            <w:pPr>
              <w:pStyle w:val="BDOITable"/>
            </w:pPr>
            <w:r>
              <w:rPr>
                <w:b/>
                <w:sz w:val="16"/>
              </w:rPr>
              <w:t>Marketing Collection and Marketing Team Leader</w:t>
            </w:r>
          </w:p>
        </w:tc>
        <w:tc>
          <w:tcPr>
            <w:tcW w:type="dxa" w:w="7592"/>
            <w:tcMar>
              <w:top w:w="50" w:type="dxa"/>
              <w:bottom w:w="50" w:type="dxa"/>
              <w:left w:w="90" w:type="dxa"/>
              <w:right w:w="90" w:type="dxa"/>
            </w:tcMar>
            <w:shd w:val="clear" w:color="auto" w:fill="E5F5FF"/>
          </w:tcPr>
          <w:p>
            <w:pPr>
              <w:pStyle w:val="BDOITable"/>
            </w:pPr>
            <w:r>
              <w:rPr>
                <w:sz w:val="16"/>
              </w:rPr>
              <w:t>Holds, special remittance, BIR 2307 tags and endorsement requests (SCR-OP-19, 28 to 31, 38); walkthrough B steps 1-3 and D steps 1-2</w:t>
            </w:r>
          </w:p>
        </w:tc>
      </w:tr>
      <w:tr>
        <w:tc>
          <w:tcPr>
            <w:tcW w:type="dxa" w:w="2380"/>
            <w:tcMar>
              <w:top w:w="50" w:type="dxa"/>
              <w:bottom w:w="50" w:type="dxa"/>
              <w:left w:w="90" w:type="dxa"/>
              <w:right w:w="90" w:type="dxa"/>
            </w:tcMar>
          </w:tcPr>
          <w:p>
            <w:pPr>
              <w:pStyle w:val="BDOITable"/>
            </w:pPr>
            <w:r>
              <w:rPr>
                <w:b/>
                <w:sz w:val="16"/>
              </w:rPr>
              <w:t>Comptrollership, Disbursement and ACSL (BRD-5)</w:t>
            </w:r>
          </w:p>
        </w:tc>
        <w:tc>
          <w:tcPr>
            <w:tcW w:type="dxa" w:w="7592"/>
            <w:tcMar>
              <w:top w:w="50" w:type="dxa"/>
              <w:bottom w:w="50" w:type="dxa"/>
              <w:left w:w="90" w:type="dxa"/>
              <w:right w:w="90" w:type="dxa"/>
            </w:tcMar>
          </w:tcPr>
          <w:p>
            <w:pPr>
              <w:pStyle w:val="BDOITable"/>
            </w:pPr>
            <w:r>
              <w:rPr>
                <w:sz w:val="16"/>
              </w:rPr>
              <w:t>Accounting events (chapter 5); Disbursement Queue and Remittance Deductions (SCR-OP-33, 34, 36); BIR certificates (SCR-OP-58, 59); cross-BRD contract (chapter 19)</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configuration and jobs (chapter 9), Interfaces screen (SCR-OP-61), cross-BRD contract (chapter 19); the Technical Specification, reviewed by BDOI IT</w:t>
            </w:r>
          </w:p>
        </w:tc>
      </w:tr>
      <w:tr>
        <w:tc>
          <w:tcPr>
            <w:tcW w:type="dxa" w:w="2380"/>
            <w:tcMar>
              <w:top w:w="50" w:type="dxa"/>
              <w:bottom w:w="50" w:type="dxa"/>
              <w:left w:w="90" w:type="dxa"/>
              <w:right w:w="90" w:type="dxa"/>
            </w:tcMar>
          </w:tcPr>
          <w:p>
            <w:pPr>
              <w:pStyle w:val="BDOITable"/>
            </w:pPr>
            <w:r>
              <w:rPr>
                <w:b/>
                <w:sz w:val="16"/>
              </w:rPr>
              <w:t>BDOI UX Design team</w:t>
            </w:r>
          </w:p>
        </w:tc>
        <w:tc>
          <w:tcPr>
            <w:tcW w:type="dxa" w:w="7592"/>
            <w:tcMar>
              <w:top w:w="50" w:type="dxa"/>
              <w:bottom w:w="50" w:type="dxa"/>
              <w:left w:w="90" w:type="dxa"/>
              <w:right w:w="90" w:type="dxa"/>
            </w:tcMar>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cashier, cashbr and cashtl (Cashiering), remit and remittl (Remittance), adjust and adjtl (Adjustment), recon (Production Reconciliation), commrec and commtl (Commission Receivables), mktcoll and mkttl (Marketing Collection), acsl and acsltl (ACSL), comptrol (Comptrollership), disb (Disbursement), admin (System Administrator) and auditor.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BRD-02 folder; invitations to the sessions</w:t>
            </w:r>
          </w:p>
        </w:tc>
        <w:tc>
          <w:tcPr>
            <w:tcW w:type="dxa" w:w="1926"/>
            <w:tcMar>
              <w:top w:w="50" w:type="dxa"/>
              <w:bottom w:w="50" w:type="dxa"/>
              <w:left w:w="90" w:type="dxa"/>
              <w:right w:w="90" w:type="dxa"/>
            </w:tcMar>
          </w:tcPr>
          <w:p>
            <w:pPr>
              <w:pStyle w:val="BDOITable"/>
            </w:pPr>
            <w:r>
              <w:rPr>
                <w:sz w:val="15"/>
              </w:rPr>
              <w:t>Day 0 (Mon 28-Sep-2026); sessions scheduled after the BRD-10, 12, 6 and 9 sign-offs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Operations FT&amp;P unit heads; I: BDOI IT</w:t>
            </w:r>
          </w:p>
        </w:tc>
        <w:tc>
          <w:tcPr>
            <w:tcW w:type="dxa" w:w="2946"/>
            <w:tcMar>
              <w:top w:w="50" w:type="dxa"/>
              <w:bottom w:w="50" w:type="dxa"/>
              <w:left w:w="90" w:type="dxa"/>
              <w:right w:w="90" w:type="dxa"/>
            </w:tcMar>
            <w:shd w:val="clear" w:color="auto" w:fill="E5F5FF"/>
          </w:tcPr>
          <w:p>
            <w:pPr>
              <w:pStyle w:val="BDOITable"/>
            </w:pPr>
            <w:r>
              <w:rPr>
                <w:sz w:val="15"/>
              </w:rPr>
              <w:t>Screens shown live per team (Cashiering, Remittance, Adjustment, Production Reconciliation and Commission Receivables);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5 sessions, 16 to 20-Nov-2026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business users of each Operations team; A: Operations FT&amp;P unit heads;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Fri 4-Dec-2026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Wed 9-Dec-2026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v2.1 on Fri 11-Dec-2026; check by the reviewers until Wed 16-Dec-2026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Operations FT&amp;P, Comptrollership,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Fri 18-Dec-2026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Mon 21-Dec-2026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team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team is enough. Chapter 21 of the FRS lists the proposed rules and clarifications on which BDOI is asked to decide.</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Teams</w:t>
            </w:r>
          </w:p>
        </w:tc>
      </w:tr>
      <w:tr>
        <w:trPr>
          <w:cantSplit w:val="true"/>
        </w:trPr>
        <w:tc>
          <w:tcPr>
            <w:tcW w:type="dxa" w:w="2040"/>
            <w:tcMar>
              <w:top w:w="50" w:type="dxa"/>
              <w:bottom w:w="50" w:type="dxa"/>
              <w:left w:w="90" w:type="dxa"/>
              <w:right w:w="90" w:type="dxa"/>
            </w:tcMar>
          </w:tcPr>
          <w:p>
            <w:pPr>
              <w:pStyle w:val="BDOITable"/>
            </w:pPr>
            <w:r>
              <w:rPr>
                <w:sz w:val="18"/>
              </w:rPr>
              <w:t>Mon 16-Nov-2026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invoice ledger and Invoice 360; Cashiering: receipts, application, unapplied payments and dispositions (walkthrough A steps 1-4, walkthrough D steps 3-4)</w:t>
            </w:r>
          </w:p>
        </w:tc>
        <w:tc>
          <w:tcPr>
            <w:tcW w:type="dxa" w:w="2493"/>
            <w:tcMar>
              <w:top w:w="50" w:type="dxa"/>
              <w:bottom w:w="50" w:type="dxa"/>
              <w:left w:w="90" w:type="dxa"/>
              <w:right w:w="90" w:type="dxa"/>
            </w:tcMar>
          </w:tcPr>
          <w:p>
            <w:pPr>
              <w:pStyle w:val="BDOITable"/>
            </w:pPr>
            <w:r>
              <w:rPr>
                <w:sz w:val="18"/>
              </w:rPr>
              <w:t>Cashiering, Operations FT&amp;P</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17-Nov-2026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Remittance: extraction, batches, approval, Disbursement queue, insurer ORs, holds and special remittance (walkthrough A steps 5-10, walkthrough D steps 1, 2 and 5)</w:t>
            </w:r>
          </w:p>
        </w:tc>
        <w:tc>
          <w:tcPr>
            <w:tcW w:type="dxa" w:w="2493"/>
            <w:tcMar>
              <w:top w:w="50" w:type="dxa"/>
              <w:bottom w:w="50" w:type="dxa"/>
              <w:left w:w="90" w:type="dxa"/>
              <w:right w:w="90" w:type="dxa"/>
            </w:tcMar>
            <w:shd w:val="clear" w:color="auto" w:fill="E5F5FF"/>
          </w:tcPr>
          <w:p>
            <w:pPr>
              <w:pStyle w:val="BDOITable"/>
            </w:pPr>
            <w:r>
              <w:rPr>
                <w:sz w:val="18"/>
              </w:rPr>
              <w:t>Remittance, Marketing Collection, Disbursement</w:t>
            </w:r>
          </w:p>
        </w:tc>
      </w:tr>
      <w:tr>
        <w:trPr>
          <w:cantSplit w:val="true"/>
        </w:trPr>
        <w:tc>
          <w:tcPr>
            <w:tcW w:type="dxa" w:w="2040"/>
            <w:tcMar>
              <w:top w:w="50" w:type="dxa"/>
              <w:bottom w:w="50" w:type="dxa"/>
              <w:left w:w="90" w:type="dxa"/>
              <w:right w:w="90" w:type="dxa"/>
            </w:tcMar>
          </w:tcPr>
          <w:p>
            <w:pPr>
              <w:pStyle w:val="BDOITable"/>
            </w:pPr>
            <w:r>
              <w:rPr>
                <w:sz w:val="18"/>
              </w:rPr>
              <w:t>Wed 18-Nov-2026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Adjustment: endorsement and cancellation requests, posting, Policy Transactions, refund (walkthrough B)</w:t>
            </w:r>
          </w:p>
        </w:tc>
        <w:tc>
          <w:tcPr>
            <w:tcW w:type="dxa" w:w="2493"/>
            <w:tcMar>
              <w:top w:w="50" w:type="dxa"/>
              <w:bottom w:w="50" w:type="dxa"/>
              <w:left w:w="90" w:type="dxa"/>
              <w:right w:w="90" w:type="dxa"/>
            </w:tcMar>
          </w:tcPr>
          <w:p>
            <w:pPr>
              <w:pStyle w:val="BDOITable"/>
            </w:pPr>
            <w:r>
              <w:rPr>
                <w:sz w:val="18"/>
              </w:rPr>
              <w:t>Adjustment, Marketing Collection, Cashiering</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19-Nov-2026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Production Reconciliation and Commission Receivables: registers, feedback, DP billing and collection, incentives, BIR certificates (walkthrough C)</w:t>
            </w:r>
          </w:p>
        </w:tc>
        <w:tc>
          <w:tcPr>
            <w:tcW w:type="dxa" w:w="2493"/>
            <w:tcMar>
              <w:top w:w="50" w:type="dxa"/>
              <w:bottom w:w="50" w:type="dxa"/>
              <w:left w:w="90" w:type="dxa"/>
              <w:right w:w="90" w:type="dxa"/>
            </w:tcMar>
            <w:shd w:val="clear" w:color="auto" w:fill="E5F5FF"/>
          </w:tcPr>
          <w:p>
            <w:pPr>
              <w:pStyle w:val="BDOITable"/>
            </w:pPr>
            <w:r>
              <w:rPr>
                <w:sz w:val="18"/>
              </w:rPr>
              <w:t>Production Reconciliation, Commission Receivables, Comptrollership</w:t>
            </w:r>
          </w:p>
        </w:tc>
      </w:tr>
      <w:tr>
        <w:trPr>
          <w:cantSplit w:val="true"/>
        </w:trPr>
        <w:tc>
          <w:tcPr>
            <w:tcW w:type="dxa" w:w="2040"/>
            <w:tcMar>
              <w:top w:w="50" w:type="dxa"/>
              <w:bottom w:w="50" w:type="dxa"/>
              <w:left w:w="90" w:type="dxa"/>
              <w:right w:w="90" w:type="dxa"/>
            </w:tcMar>
          </w:tcPr>
          <w:p>
            <w:pPr>
              <w:pStyle w:val="BDOITable"/>
            </w:pPr>
            <w:r>
              <w:rPr>
                <w:sz w:val="18"/>
              </w:rPr>
              <w:t>Fri 20-Nov-2026</w:t>
            </w:r>
          </w:p>
        </w:tc>
        <w:tc>
          <w:tcPr>
            <w:tcW w:type="dxa" w:w="1360"/>
            <w:tcMar>
              <w:top w:w="50" w:type="dxa"/>
              <w:bottom w:w="50" w:type="dxa"/>
              <w:left w:w="90" w:type="dxa"/>
              <w:right w:w="90" w:type="dxa"/>
            </w:tcMar>
          </w:tcPr>
          <w:p>
            <w:pPr>
              <w:pStyle w:val="BDOITable"/>
            </w:pPr>
            <w:r>
              <w:rPr>
                <w:sz w:val="18"/>
              </w:rPr>
              <w:t>09:30-11:30</w:t>
            </w:r>
          </w:p>
        </w:tc>
        <w:tc>
          <w:tcPr>
            <w:tcW w:type="dxa" w:w="4079"/>
            <w:tcMar>
              <w:top w:w="50" w:type="dxa"/>
              <w:bottom w:w="50" w:type="dxa"/>
              <w:left w:w="90" w:type="dxa"/>
              <w:right w:w="90" w:type="dxa"/>
            </w:tcMar>
          </w:tcPr>
          <w:p>
            <w:pPr>
              <w:pStyle w:val="BDOITable"/>
            </w:pPr>
            <w:r>
              <w:rPr>
                <w:sz w:val="18"/>
              </w:rPr>
              <w:t>Uploads with the error file, reports, interfaces and the accounting of Operations</w:t>
            </w:r>
          </w:p>
        </w:tc>
        <w:tc>
          <w:tcPr>
            <w:tcW w:type="dxa" w:w="2493"/>
            <w:tcMar>
              <w:top w:w="50" w:type="dxa"/>
              <w:bottom w:w="50" w:type="dxa"/>
              <w:left w:w="90" w:type="dxa"/>
              <w:right w:w="90" w:type="dxa"/>
            </w:tcMar>
          </w:tcPr>
          <w:p>
            <w:pPr>
              <w:pStyle w:val="BDOITable"/>
            </w:pPr>
            <w:r>
              <w:rPr>
                <w:sz w:val="18"/>
              </w:rPr>
              <w:t>Operations FT&amp;P, Comptrollership, BDOI IT</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Operations BRD: iorta TechNXT and the Business Analyst of Business Project Services prepare the set, Operations: Financial Transactions and Processing provides the input, BDOI IT reviews the interfaces, the user access and the Technical Specification, and the Program Manager of Business Project Services, Operations: Financial Transactions and Processing and the Product Owner approve it.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Operations FT&amp;P</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FT&amp;P input, BA (BPS)</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Operations FT&amp;P</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Operations FT&amp;P</w:t>
            </w:r>
          </w:p>
        </w:tc>
      </w:tr>
      <w:tr>
        <w:tc>
          <w:tcPr>
            <w:tcW w:type="dxa" w:w="2946"/>
            <w:tcMar>
              <w:top w:w="50" w:type="dxa"/>
              <w:bottom w:w="50" w:type="dxa"/>
              <w:left w:w="90" w:type="dxa"/>
              <w:right w:w="90" w:type="dxa"/>
            </w:tcMar>
            <w:shd w:val="clear" w:color="auto" w:fill="E5F5FF"/>
          </w:tcPr>
          <w:p>
            <w:pPr>
              <w:pStyle w:val="BDOITable"/>
            </w:pPr>
            <w:r>
              <w:rPr>
                <w:b/>
                <w:sz w:val="15"/>
              </w:rPr>
              <w:t>Documents and reports (receipts, remittance schedules, slips, registers, billings,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FT&amp;P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Operations FT&amp;P</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Proposed business rules and clarifications for confirmation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 FT&amp;P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Operations FT&amp;P</w:t>
            </w:r>
          </w:p>
        </w:tc>
      </w:tr>
      <w:tr>
        <w:tc>
          <w:tcPr>
            <w:tcW w:type="dxa" w:w="2946"/>
            <w:tcMar>
              <w:top w:w="50" w:type="dxa"/>
              <w:bottom w:w="50" w:type="dxa"/>
              <w:left w:w="90" w:type="dxa"/>
              <w:right w:w="90" w:type="dxa"/>
            </w:tcMar>
          </w:tcPr>
          <w:p>
            <w:pPr>
              <w:pStyle w:val="BDOITable"/>
            </w:pPr>
            <w:r>
              <w:rPr>
                <w:b/>
                <w:sz w:val="15"/>
              </w:rPr>
              <w:t>Interfaces, scheduled runs, user access and menus by persona</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Test plan (04 workbook, 05 summary)</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FT&amp;P input</w:t>
            </w:r>
          </w:p>
        </w:tc>
        <w:tc>
          <w:tcPr>
            <w:tcW w:type="dxa" w:w="1700"/>
            <w:tcMar>
              <w:top w:w="50" w:type="dxa"/>
              <w:bottom w:w="50" w:type="dxa"/>
              <w:left w:w="90" w:type="dxa"/>
              <w:right w:w="90" w:type="dxa"/>
            </w:tcMar>
            <w:shd w:val="clear" w:color="auto" w:fill="E5F5FF"/>
          </w:tcPr>
          <w:p>
            <w:pPr>
              <w:pStyle w:val="BDOITable"/>
            </w:pPr>
            <w:r>
              <w:rPr>
                <w:sz w:val="15"/>
              </w:rPr>
              <w:t>Program Manager (BPS), BDOI IT</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BDOI IT</w:t>
            </w:r>
          </w:p>
        </w:tc>
        <w:tc>
          <w:tcPr>
            <w:tcW w:type="dxa" w:w="1700"/>
            <w:tcMar>
              <w:top w:w="50" w:type="dxa"/>
              <w:bottom w:w="50" w:type="dxa"/>
              <w:left w:w="90" w:type="dxa"/>
              <w:right w:w="90" w:type="dxa"/>
            </w:tcMar>
            <w:shd w:val="clear" w:color="auto" w:fill="E5F5FF"/>
          </w:tcPr>
          <w:p>
            <w:pPr>
              <w:pStyle w:val="BDOITable"/>
            </w:pPr>
            <w:r>
              <w:rPr>
                <w:sz w:val="15"/>
              </w:rPr>
              <w:t>BDOI IT</w:t>
            </w:r>
          </w:p>
        </w:tc>
        <w:tc>
          <w:tcPr>
            <w:tcW w:type="dxa" w:w="2153"/>
            <w:tcMar>
              <w:top w:w="50" w:type="dxa"/>
              <w:bottom w:w="50" w:type="dxa"/>
              <w:left w:w="90" w:type="dxa"/>
              <w:right w:w="90" w:type="dxa"/>
            </w:tcMar>
            <w:shd w:val="clear" w:color="auto" w:fill="E5F5FF"/>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(Operations BRD approval sheet p.6-7 (Prepared by, Input Provided by, Reviewed by, Approved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Group - Business Project Services (BPS) (Zean C. Ibay)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(p.6)</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Operations: Financial Transactions and Processing, BU representatives (Shirley Catapang, Perjelyn Joy Gutierrez) (BDOI)</w:t>
            </w:r>
          </w:p>
        </w:tc>
        <w:tc>
          <w:tcPr>
            <w:tcW w:type="dxa" w:w="3853"/>
            <w:tcMar>
              <w:top w:w="50" w:type="dxa"/>
              <w:bottom w:w="50" w:type="dxa"/>
              <w:left w:w="90" w:type="dxa"/>
              <w:right w:w="90" w:type="dxa"/>
            </w:tcMar>
          </w:tcPr>
          <w:p>
            <w:pPr>
              <w:pStyle w:val="BDOITable"/>
            </w:pPr>
            <w:r>
              <w:rPr>
                <w:sz w:val="15"/>
              </w:rPr>
              <w:t>The Cashiering, Remittance, Adjustment, Production Reconciliation and Commission Receivables screens, fields, rules and messages match the business input</w:t>
            </w:r>
          </w:p>
        </w:tc>
        <w:tc>
          <w:tcPr>
            <w:tcW w:type="dxa" w:w="2040"/>
            <w:tcMar>
              <w:top w:w="50" w:type="dxa"/>
              <w:bottom w:w="50" w:type="dxa"/>
              <w:left w:w="90" w:type="dxa"/>
              <w:right w:w="90" w:type="dxa"/>
            </w:tcMar>
          </w:tcPr>
          <w:p>
            <w:pPr>
              <w:pStyle w:val="BDOITable"/>
            </w:pPr>
            <w:r>
              <w:rPr>
                <w:sz w:val="15"/>
              </w:rPr>
              <w:t>Input Provided by (p.6)</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(BDOI IT) (BDOI)</w:t>
            </w:r>
          </w:p>
        </w:tc>
        <w:tc>
          <w:tcPr>
            <w:tcW w:type="dxa" w:w="3853"/>
            <w:tcMar>
              <w:top w:w="50" w:type="dxa"/>
              <w:bottom w:w="50" w:type="dxa"/>
              <w:left w:w="90" w:type="dxa"/>
              <w:right w:w="90" w:type="dxa"/>
            </w:tcMar>
            <w:shd w:val="clear" w:color="auto" w:fill="E5F5FF"/>
          </w:tcPr>
          <w:p>
            <w:pPr>
              <w:pStyle w:val="BDOITable"/>
            </w:pPr>
            <w:r>
              <w:rPr>
                <w:sz w:val="15"/>
              </w:rPr>
              <w:t>Interfaces and scheduled runs, user access and menus, the Disbursement queue and the uploads that stand in for other systems,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Reviewed by (p.6-7)</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Program Manager, Enterprise Services Group - Business Project Services (BPS) (Dan Ace Cauton)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tcPr>
          <w:p>
            <w:pPr>
              <w:pStyle w:val="BDOITable"/>
            </w:pPr>
            <w:r>
              <w:rPr>
                <w:sz w:val="15"/>
              </w:rPr>
              <w:t>Approved by (p.7)</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Operations: Financial Transactions and Processing (Jose Melvin M. Jarin) (BDOI)</w:t>
            </w:r>
          </w:p>
        </w:tc>
        <w:tc>
          <w:tcPr>
            <w:tcW w:type="dxa" w:w="3853"/>
            <w:tcMar>
              <w:top w:w="50" w:type="dxa"/>
              <w:bottom w:w="50" w:type="dxa"/>
              <w:left w:w="90" w:type="dxa"/>
              <w:right w:w="90" w:type="dxa"/>
            </w:tcMar>
            <w:shd w:val="clear" w:color="auto" w:fill="E5F5FF"/>
          </w:tcPr>
          <w:p>
            <w:pPr>
              <w:pStyle w:val="BDOITable"/>
            </w:pPr>
            <w:r>
              <w:rPr>
                <w:sz w:val="15"/>
              </w:rPr>
              <w:t>The Operations screens, rules, messages, notifications, documents and accounting events</w:t>
            </w:r>
          </w:p>
        </w:tc>
        <w:tc>
          <w:tcPr>
            <w:tcW w:type="dxa" w:w="2040"/>
            <w:tcMar>
              <w:top w:w="50" w:type="dxa"/>
              <w:bottom w:w="50" w:type="dxa"/>
              <w:left w:w="90" w:type="dxa"/>
              <w:right w:w="90" w:type="dxa"/>
            </w:tcMar>
            <w:shd w:val="clear" w:color="auto" w:fill="E5F5FF"/>
          </w:tcPr>
          <w:p>
            <w:pPr>
              <w:pStyle w:val="BDOITable"/>
            </w:pPr>
            <w:r>
              <w:rPr>
                <w:sz w:val="15"/>
              </w:rPr>
              <w:t>Approved by (p.7)</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AVP (Shellah Marie C. Miranda) (BDOI)</w:t>
            </w:r>
          </w:p>
        </w:tc>
        <w:tc>
          <w:tcPr>
            <w:tcW w:type="dxa" w:w="3853"/>
            <w:tcMar>
              <w:top w:w="50" w:type="dxa"/>
              <w:bottom w:w="50" w:type="dxa"/>
              <w:left w:w="90" w:type="dxa"/>
              <w:right w:w="90" w:type="dxa"/>
            </w:tcMar>
          </w:tcPr>
          <w:p>
            <w:pPr>
              <w:pStyle w:val="BDOITable"/>
            </w:pPr>
            <w:r>
              <w:rPr>
                <w:sz w:val="15"/>
              </w:rPr>
              <w:t>Owns the set and approves all of its contents</w:t>
            </w:r>
          </w:p>
        </w:tc>
        <w:tc>
          <w:tcPr>
            <w:tcW w:type="dxa" w:w="2040"/>
            <w:tcMar>
              <w:top w:w="50" w:type="dxa"/>
              <w:bottom w:w="50" w:type="dxa"/>
              <w:left w:w="90" w:type="dxa"/>
              <w:right w:w="90" w:type="dxa"/>
            </w:tcMar>
          </w:tcPr>
          <w:p>
            <w:pPr>
              <w:pStyle w:val="BDOITable"/>
            </w:pPr>
            <w:r>
              <w:rPr>
                <w:sz w:val="15"/>
              </w:rPr>
              <w:t>Approved by (p.7)</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freezes the Operations screens, fields, navigation, actions, business rules, messages, notifications, documents, upload templates and the cross-BRD contract as specified. Configuration values marked "default" (receipt series, tolerances, thresholds, schedules, list entries, templates, incentive rules) are not frozen. A change to anything frozen is raised in the Change Management Register with the screen, field, rule or message concerned, assessed with its mandays and its effect on the other BRDs (Operations feeds Collections, Accounting, Disbursement and ACSL),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BRD-2 Operations</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BRD-02,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