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BRD-01 New Business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 New Business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Marketing, TSU, Processing,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KYC and screening;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BRD-1 New Business as built in BIBS on 27-Sep-2026, screen by screen, so that each BDOI business unit can confirm what it will get and sign it off. Signing freezes the content, the screens and the navigation of New Business;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BRD-01_New_Business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00_BIBS_StartHere_BRD-01_New_Business_v2.0.docx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01_BIBS_GuideDeck_BRD-01_New_Business_v2.0.pptx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02_BIBS_FRS_BRD-01_New_Business_v2.0.docx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46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area; Finance, Compliance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03_BIBS_Signoff_BRD-01_New_Business_v2.0.xlsx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04_BIBS_TestPlan_BRD-01_New_Business_v2.0.xlsx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05_BIBS_TestPlan_BRD-01_New_Business_Summary_v2.0.docx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Head of MBS)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and 20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users (Marketing, TSU, Processing)</w:t>
            </w:r>
          </w:p>
        </w:tc>
        <w:tc>
          <w:tcPr>
            <w:tcW w:type="dxa" w:w="7592"/>
            <w:tcMar>
              <w:top w:w="50" w:type="dxa"/>
              <w:bottom w:w="50" w:type="dxa"/>
              <w:left w:w="90" w:type="dxa"/>
              <w:right w:w="90" w:type="dxa"/>
            </w:tcMar>
            <w:shd w:val="clear" w:color="auto" w:fill="E5F5FF"/>
          </w:tcPr>
          <w:p>
            <w:pPr>
              <w:pStyle w:val="BDOITable"/>
            </w:pPr>
            <w:r>
              <w:rPr>
                <w:sz w:val="16"/>
              </w:rPr>
              <w:t>FRS chapter 12 (navigation) and the screens of your area in chapter 13; walkthroughs in chapter 14; messages in chapter 15; workbook Screen standards, Screen catalogue, Field register, Business rules and Messages</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FRS Booking requirements (chapter 4) and generated documents (chapter 17: service invoice); walkthrough A steps 16-17; cross-BRD contract with Operations, Collections and Accounting (chapter 19); workbook Business rules of the booking screens</w:t>
            </w:r>
          </w:p>
        </w:tc>
      </w:tr>
      <w:tr>
        <w:tc>
          <w:tcPr>
            <w:tcW w:type="dxa" w:w="2380"/>
            <w:tcMar>
              <w:top w:w="50" w:type="dxa"/>
              <w:bottom w:w="50" w:type="dxa"/>
              <w:left w:w="90" w:type="dxa"/>
              <w:right w:w="90" w:type="dxa"/>
            </w:tcMar>
            <w:shd w:val="clear" w:color="auto" w:fill="E5F5FF"/>
          </w:tcPr>
          <w:p>
            <w:pPr>
              <w:pStyle w:val="BDOITable"/>
            </w:pPr>
            <w:r>
              <w:rPr>
                <w:b/>
                <w:sz w:val="16"/>
              </w:rPr>
              <w:t>Compliance</w:t>
            </w:r>
          </w:p>
        </w:tc>
        <w:tc>
          <w:tcPr>
            <w:tcW w:type="dxa" w:w="7592"/>
            <w:tcMar>
              <w:top w:w="50" w:type="dxa"/>
              <w:bottom w:w="50" w:type="dxa"/>
              <w:left w:w="90" w:type="dxa"/>
              <w:right w:w="90" w:type="dxa"/>
            </w:tcMar>
            <w:shd w:val="clear" w:color="auto" w:fill="E5F5FF"/>
          </w:tcPr>
          <w:p>
            <w:pPr>
              <w:pStyle w:val="BDOITable"/>
            </w:pPr>
            <w:r>
              <w:rPr>
                <w:sz w:val="16"/>
              </w:rPr>
              <w:t>Client onboarding and KYC screens (SCR-NB-01 to 04); sanction screening lines of the contract (chapter 19); retention rules; messages of the client screens</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Interfaces and integration (chapter 7), non-functional requirements (chapter 8), menu by persona (chapter 12), cross-BRD contract (chapter 19); integrations pending specifications (Guide deck, caveats)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 proc, proctl and epol (Processing), badmin (Business Administration).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BRD-01 folder; invitations to the sessions</w:t>
            </w:r>
          </w:p>
        </w:tc>
        <w:tc>
          <w:tcPr>
            <w:tcW w:type="dxa" w:w="1926"/>
            <w:tcMar>
              <w:top w:w="50" w:type="dxa"/>
              <w:bottom w:w="50" w:type="dxa"/>
              <w:left w:w="90" w:type="dxa"/>
              <w:right w:w="90" w:type="dxa"/>
            </w:tcMar>
          </w:tcPr>
          <w:p>
            <w:pPr>
              <w:pStyle w:val="BDOITable"/>
            </w:pPr>
            <w:r>
              <w:rPr>
                <w:sz w:val="15"/>
              </w:rPr>
              <w:t>Day 0 (Mon 28-Sep-2026)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4 sessions, 1 to 6-Oct-2026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unit;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defect,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21-Oct-2026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23-Oct-2026; check by the reviewers until Wed 28-Oct-2026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unit heads, Finance,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30-Oct-2026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development or build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Build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Thu 1-Oct-2026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client onboarding, KYC and package quotation (walkthrough A steps 1-9)</w:t>
            </w:r>
          </w:p>
        </w:tc>
        <w:tc>
          <w:tcPr>
            <w:tcW w:type="dxa" w:w="2493"/>
            <w:tcMar>
              <w:top w:w="50" w:type="dxa"/>
              <w:bottom w:w="50" w:type="dxa"/>
              <w:left w:w="90" w:type="dxa"/>
              <w:right w:w="90" w:type="dxa"/>
            </w:tcMar>
          </w:tcPr>
          <w:p>
            <w:pPr>
              <w:pStyle w:val="BDOITable"/>
            </w:pPr>
            <w:r>
              <w:rPr>
                <w:sz w:val="18"/>
              </w:rPr>
              <w:t>Marketing,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Fri 2-Oct-2026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Non-package placement: PRF, quotation slip, insurer responses, proposal slip (walkthrough B)</w:t>
            </w:r>
          </w:p>
        </w:tc>
        <w:tc>
          <w:tcPr>
            <w:tcW w:type="dxa" w:w="2493"/>
            <w:tcMar>
              <w:top w:w="50" w:type="dxa"/>
              <w:bottom w:w="50" w:type="dxa"/>
              <w:left w:w="90" w:type="dxa"/>
              <w:right w:w="90" w:type="dxa"/>
            </w:tcMar>
            <w:shd w:val="clear" w:color="auto" w:fill="E5F5FF"/>
          </w:tcPr>
          <w:p>
            <w:pPr>
              <w:pStyle w:val="BDOITable"/>
            </w:pPr>
            <w:r>
              <w:rPr>
                <w:sz w:val="18"/>
              </w:rPr>
              <w:t>TSU, Marketing</w:t>
            </w:r>
          </w:p>
        </w:tc>
      </w:tr>
      <w:tr>
        <w:trPr>
          <w:cantSplit w:val="true"/>
        </w:trPr>
        <w:tc>
          <w:tcPr>
            <w:tcW w:type="dxa" w:w="2040"/>
            <w:tcMar>
              <w:top w:w="50" w:type="dxa"/>
              <w:bottom w:w="50" w:type="dxa"/>
              <w:left w:w="90" w:type="dxa"/>
              <w:right w:w="90" w:type="dxa"/>
            </w:tcMar>
          </w:tcPr>
          <w:p>
            <w:pPr>
              <w:pStyle w:val="BDOITable"/>
            </w:pPr>
            <w:r>
              <w:rPr>
                <w:sz w:val="18"/>
              </w:rPr>
              <w:t>Mon 5-Oct-2026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Validation, payment, placement, issuance and booking; returns and messages (walkthrough A steps 10-17, walkthrough C)</w:t>
            </w:r>
          </w:p>
        </w:tc>
        <w:tc>
          <w:tcPr>
            <w:tcW w:type="dxa" w:w="2493"/>
            <w:tcMar>
              <w:top w:w="50" w:type="dxa"/>
              <w:bottom w:w="50" w:type="dxa"/>
              <w:left w:w="90" w:type="dxa"/>
              <w:right w:w="90" w:type="dxa"/>
            </w:tcMar>
          </w:tcPr>
          <w:p>
            <w:pPr>
              <w:pStyle w:val="BDOITable"/>
            </w:pPr>
            <w:r>
              <w:rPr>
                <w:sz w:val="18"/>
              </w:rPr>
              <w:t>Processing,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6-Oct-2026</w:t>
            </w:r>
          </w:p>
        </w:tc>
        <w:tc>
          <w:tcPr>
            <w:tcW w:type="dxa" w:w="1360"/>
            <w:tcMar>
              <w:top w:w="50" w:type="dxa"/>
              <w:bottom w:w="50" w:type="dxa"/>
              <w:left w:w="90" w:type="dxa"/>
              <w:right w:w="90" w:type="dxa"/>
            </w:tcMar>
            <w:shd w:val="clear" w:color="auto" w:fill="E5F5FF"/>
          </w:tcPr>
          <w:p>
            <w:pPr>
              <w:pStyle w:val="BDOITable"/>
            </w:pPr>
            <w:r>
              <w:rPr>
                <w:sz w:val="18"/>
              </w:rPr>
              <w:t>09:30-11:30</w:t>
            </w:r>
          </w:p>
        </w:tc>
        <w:tc>
          <w:tcPr>
            <w:tcW w:type="dxa" w:w="4079"/>
            <w:tcMar>
              <w:top w:w="50" w:type="dxa"/>
              <w:bottom w:w="50" w:type="dxa"/>
              <w:left w:w="90" w:type="dxa"/>
              <w:right w:w="90" w:type="dxa"/>
            </w:tcMar>
            <w:shd w:val="clear" w:color="auto" w:fill="E5F5FF"/>
          </w:tcPr>
          <w:p>
            <w:pPr>
              <w:pStyle w:val="BDOITable"/>
            </w:pPr>
            <w:r>
              <w:rPr>
                <w:sz w:val="18"/>
              </w:rPr>
              <w:t>Bulk uploads with the error file, reports and dashboard, administration screens</w:t>
            </w:r>
          </w:p>
        </w:tc>
        <w:tc>
          <w:tcPr>
            <w:tcW w:type="dxa" w:w="2493"/>
            <w:tcMar>
              <w:top w:w="50" w:type="dxa"/>
              <w:bottom w:w="50" w:type="dxa"/>
              <w:left w:w="90" w:type="dxa"/>
              <w:right w:w="90" w:type="dxa"/>
            </w:tcMar>
            <w:shd w:val="clear" w:color="auto" w:fill="E5F5FF"/>
          </w:tcPr>
          <w:p>
            <w:pPr>
              <w:pStyle w:val="BDOITable"/>
            </w:pPr>
            <w:r>
              <w:rPr>
                <w:sz w:val="18"/>
              </w:rPr>
              <w:t>MBS, Business Administration, Compliance, BDOI IT</w:t>
            </w:r>
          </w:p>
        </w:tc>
      </w:tr>
    </w:tbl>
    <w:p>
      <w:pPr>
        <w:pStyle w:val="BDOISpacer"/>
      </w:pPr>
    </w:p>
    <w:p>
      <w:pPr>
        <w:pStyle w:val="Heading1"/>
        <w:pBdr>
          <w:bottom w:val="single" w:sz="4" w:space="4" w:color="99C1E7"/>
        </w:pBdr>
      </w:pPr>
      <w:bookmarkStart w:id="105" w:name="_Toc000105"/>
      <w:r>
        <w:rPr/>
        <w:t>5 Change control after sign-off</w:t>
      </w:r>
      <w:bookmarkEnd w:id="105"/>
    </w:p>
    <w:p>
      <w:r>
        <w:rPr/>
        <w:t>Signing freezes the New Business screens, fields, navigation, actions, business rules, messages, notifications, documents, upload templates and the cross-BRD contract as specified. Configuration values marked "default" (SLA hours, thresholds, list entries, templates) are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 New Business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