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John Barbachano</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09/21/2026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1.4</w:t>
            </w:r>
            <w:r w:rsidRPr="61F2B567" w:rsidR="756A8E89">
              <w:rPr>
                <w:rFonts w:ascii="Arial" w:hAnsi="Arial" w:cs="Arial"/>
                <w:lang w:val="en-US" w:eastAsia="en-US"/>
              </w:rPr>
              <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21 Sep 2026 - 09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As issued by BDO ITG (created 09/21/2026, last updated 10/09/2026)</w:t>
            </w:r>
          </w:p>
        </w:tc>
        <w:tc>
          <w:tcPr>
            <w:tcW w:w="1984" w:type="dxa"/>
          </w:tcPr>
          <w:p>
            <w:pPr>
              <w:spacing w:after="20" w:before="20"/>
              <w:rPr>
                <w:rFonts w:ascii="Arial" w:hAnsi="Arial" w:cs="Arial"/>
                <w:sz w:val="18"/>
                <w:szCs w:val="18"/>
              </w:rPr>
            </w:pPr>
            <w:r>
              <w:rPr>
                <w:rFonts w:ascii="Arial" w:hAnsi="Arial" w:cs="Arial"/>
                <w:sz w:val="18"/>
                <w:szCs w:val="18"/>
              </w:rPr>
              <w:t xml:space="preserve">John Barbachano</w:t>
            </w:r>
          </w:p>
        </w:tc>
      </w:tr>
      <w:tr>
        <w:trPr>
          <w:cantSplit/>
        </w:trPr>
        <w:tc>
          <w:tcPr>
            <w:tcW w:w="1751" w:type="dxa"/>
          </w:tcPr>
          <w:p>
            <w:pPr>
              <w:keepNext/>
              <w:spacing w:after="20" w:before="20"/>
              <w:rPr>
                <w:rFonts w:ascii="Arial" w:hAnsi="Arial" w:cs="Arial"/>
                <w:sz w:val="18"/>
                <w:szCs w:val="18"/>
              </w:rPr>
            </w:pPr>
            <w:r>
              <w:rPr>
                <w:rFonts w:ascii="Arial" w:hAnsi="Arial" w:cs="Arial"/>
                <w:sz w:val="18"/>
                <w:szCs w:val="18"/>
              </w:rPr>
              <w:t xml:space="preserve">09 Oct 2026</w:t>
            </w:r>
          </w:p>
        </w:tc>
        <w:tc>
          <w:tcPr>
            <w:tcW w:w="1150" w:type="dxa"/>
          </w:tcPr>
          <w:p>
            <w:pPr>
              <w:keepNext/>
              <w:spacing w:after="20" w:before="20"/>
              <w:rPr>
                <w:rFonts w:ascii="Arial" w:hAnsi="Arial" w:cs="Arial"/>
                <w:sz w:val="18"/>
                <w:szCs w:val="18"/>
              </w:rPr>
            </w:pPr>
            <w:r>
              <w:rPr>
                <w:rFonts w:ascii="Arial" w:hAnsi="Arial" w:cs="Arial"/>
                <w:sz w:val="18"/>
                <w:szCs w:val="18"/>
              </w:rPr>
              <w:t xml:space="preserve">1.2</w:t>
            </w:r>
          </w:p>
        </w:tc>
        <w:tc>
          <w:tcPr>
            <w:tcW w:w="3753" w:type="dxa"/>
          </w:tcPr>
          <w:p>
            <w:pPr>
              <w:keepNext/>
              <w:spacing w:after="20" w:before="20"/>
              <w:rPr>
                <w:rFonts w:ascii="Arial" w:hAnsi="Arial" w:cs="Arial"/>
                <w:sz w:val="18"/>
                <w:szCs w:val="18"/>
              </w:rPr>
            </w:pPr>
            <w:r>
              <w:rPr>
                <w:rFonts w:ascii="Arial" w:hAnsi="Arial" w:cs="Arial"/>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1984" w:type="dxa"/>
          </w:tcPr>
          <w:p>
            <w:pPr>
              <w:keepNext/>
              <w:spacing w:after="20" w:before="20"/>
              <w:rPr>
                <w:rFonts w:ascii="Arial" w:hAnsi="Arial" w:cs="Arial"/>
                <w:sz w:val="18"/>
                <w:szCs w:val="18"/>
              </w:rPr>
            </w:pPr>
            <w:r>
              <w:rPr>
                <w:rFonts w:ascii="Arial" w:hAnsi="Arial" w:cs="Arial"/>
                <w:sz w:val="18"/>
                <w:szCs w:val="18"/>
              </w:rPr>
              <w:t xml:space="preserve">iorta TechNXT Project Team (drafting support); for review by John Barbachano</w:t>
            </w:r>
          </w:p>
        </w:tc>
      </w:tr>
      <w:tr>
        <w:tc>
          <w:tcPr>
            <w:tcW w:w="1751" w:type="dxa"/>
          </w:tcPr>
          <w:p>
            <w:pPr>
              <w:spacing w:after="20" w:before="20"/>
              <w:rPr>
                <w:rFonts w:ascii="Arial" w:hAnsi="Arial" w:cs="Arial"/>
                <w:sz w:val="18"/>
                <w:szCs w:val="18"/>
              </w:rPr>
            </w:pPr>
            <w:r>
              <w:rPr>
                <w:rFonts w:ascii="Arial" w:hAnsi="Arial" w:cs="Arial"/>
                <w:sz w:val="18"/>
                <w:szCs w:val="18"/>
              </w:rPr>
              <w:t xml:space="preserve">09 Oct 2026 - 10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on 10 Oct 2026: new and changed screens with screenshots (Identity Synchronisation, directory details, conflicting permission combinations, Session Timed Out, inactivity warning, Audit Trail), settings for the points BDOI decides (Annex M.10), notices and integrations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w:t>
            </w:r>
          </w:p>
        </w:tc>
      </w:tr>
      <w:t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Product owner reviews: three sources only (the BRD with BRD-00 and the programme NFRs, BDOI's FRS v1.1, the iNXT BrokerVerse OOTB platform), no description of the BIBS system as configured for BDOI; full-page screenshots, one per figure on its own page (Annexes J, O, U, AC); BDOI's review comments answered (Annex Q.6): the user access request steps placed in UIDM-ISC are integration scope; Annex AC User Access Report; colour code of the points beyond the BRD against the iNXT BrokerVerse OOTB platform (Feature List vs OOTB; green: offered by the OOTB platform; orange: change request) with its legend; simplified and end-to-end process flows (section 1.8, Annex N); BRD and programme-wide NFR validation (Annex X.2); change requests with effort, the points offered by the OOTB platform and the BRD items to deliver (Annex AA.2 to AA.4); uniform fonts, tables, captions and page layout.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John Barbachano</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How to Read This Document</w:t>
      </w:r>
      <w:r>
        <w:tab/>
      </w:r>
      <w:r>
        <w:t xml:space="preserve">4</w:t>
      </w:r>
    </w:p>
    <w:p>
      <w:pPr>
        <w:pStyle w:val="TOC1"/>
        <w:tabs>
          <w:tab w:val="right" w:leader="dot" w:pos="9630"/>
        </w:tabs>
      </w:pPr>
      <w:r>
        <w:t xml:space="preserve">Table of Contents</w:t>
      </w:r>
      <w:r>
        <w:tab/>
      </w:r>
      <w:r>
        <w:t xml:space="preserve">5</w:t>
      </w:r>
    </w:p>
    <w:p>
      <w:pPr>
        <w:pStyle w:val="TOC1"/>
        <w:tabs>
          <w:tab w:val="right" w:leader="dot" w:pos="9630"/>
        </w:tabs>
      </w:pPr>
      <w:r>
        <w:t xml:space="preserve">1. Introduction</w:t>
      </w:r>
      <w:r>
        <w:tab/>
      </w:r>
      <w:r>
        <w:t xml:space="preserve">8</w:t>
      </w:r>
    </w:p>
    <w:p>
      <w:pPr>
        <w:pStyle w:val="TOC2"/>
        <w:tabs>
          <w:tab w:val="right" w:leader="dot" w:pos="9630"/>
        </w:tabs>
      </w:pPr>
      <w:r>
        <w:t xml:space="preserve">1.1. Document Purpose</w:t>
      </w:r>
      <w:r>
        <w:tab/>
      </w:r>
      <w:r>
        <w:t xml:space="preserve">8</w:t>
      </w:r>
    </w:p>
    <w:p>
      <w:pPr>
        <w:pStyle w:val="TOC2"/>
        <w:tabs>
          <w:tab w:val="right" w:leader="dot" w:pos="9630"/>
        </w:tabs>
      </w:pPr>
      <w:r>
        <w:t xml:space="preserve">1.2. Intended Audience</w:t>
      </w:r>
      <w:r>
        <w:tab/>
      </w:r>
      <w:r>
        <w:t xml:space="preserve">8</w:t>
      </w:r>
    </w:p>
    <w:p>
      <w:pPr>
        <w:pStyle w:val="TOC2"/>
        <w:tabs>
          <w:tab w:val="right" w:leader="dot" w:pos="9630"/>
        </w:tabs>
      </w:pPr>
      <w:r>
        <w:t xml:space="preserve">1.3. Project Background</w:t>
      </w:r>
      <w:r>
        <w:tab/>
      </w:r>
      <w:r>
        <w:t xml:space="preserve">8</w:t>
      </w:r>
    </w:p>
    <w:p>
      <w:pPr>
        <w:pStyle w:val="TOC2"/>
        <w:tabs>
          <w:tab w:val="right" w:leader="dot" w:pos="9630"/>
        </w:tabs>
      </w:pPr>
      <w:r>
        <w:t xml:space="preserve">1.4. Objectives to be Achieved</w:t>
      </w:r>
      <w:r>
        <w:tab/>
      </w:r>
      <w:r>
        <w:t xml:space="preserve">8</w:t>
      </w:r>
    </w:p>
    <w:p>
      <w:pPr>
        <w:pStyle w:val="TOC2"/>
        <w:tabs>
          <w:tab w:val="right" w:leader="dot" w:pos="9630"/>
        </w:tabs>
      </w:pPr>
      <w:r>
        <w:t xml:space="preserve">1.5. Rationale</w:t>
      </w:r>
      <w:r>
        <w:tab/>
      </w:r>
      <w:r>
        <w:t xml:space="preserve">8</w:t>
      </w:r>
    </w:p>
    <w:p>
      <w:pPr>
        <w:pStyle w:val="TOC2"/>
        <w:tabs>
          <w:tab w:val="right" w:leader="dot" w:pos="9630"/>
        </w:tabs>
      </w:pPr>
      <w:r>
        <w:t xml:space="preserve">1.6. Document Preparation, Review and Approval</w:t>
      </w:r>
      <w:r>
        <w:tab/>
      </w:r>
      <w:r>
        <w:t xml:space="preserve">9</w:t>
      </w:r>
    </w:p>
    <w:p>
      <w:pPr>
        <w:pStyle w:val="TOC2"/>
        <w:tabs>
          <w:tab w:val="right" w:leader="dot" w:pos="9630"/>
        </w:tabs>
      </w:pPr>
      <w:r>
        <w:t xml:space="preserve">1.7. References</w:t>
      </w:r>
      <w:r>
        <w:tab/>
      </w:r>
      <w:r>
        <w:t xml:space="preserve">9</w:t>
      </w:r>
    </w:p>
    <w:p>
      <w:pPr>
        <w:pStyle w:val="TOC2"/>
        <w:tabs>
          <w:tab w:val="right" w:leader="dot" w:pos="9630"/>
        </w:tabs>
      </w:pPr>
      <w:r>
        <w:t xml:space="preserve">1.8. Summary for the Business Unit Review</w:t>
      </w:r>
      <w:r>
        <w:tab/>
      </w:r>
      <w:r>
        <w:t xml:space="preserve">9</w:t>
      </w:r>
    </w:p>
    <w:p>
      <w:pPr>
        <w:pStyle w:val="TOC1"/>
        <w:tabs>
          <w:tab w:val="right" w:leader="dot" w:pos="9630"/>
        </w:tabs>
      </w:pPr>
      <w:r>
        <w:t xml:space="preserve">2. Business Requirements Mapping</w:t>
      </w:r>
      <w:r>
        <w:tab/>
      </w:r>
      <w:r>
        <w:t xml:space="preserve">13</w:t>
      </w:r>
    </w:p>
    <w:p>
      <w:pPr>
        <w:pStyle w:val="TOC1"/>
        <w:tabs>
          <w:tab w:val="right" w:leader="dot" w:pos="9630"/>
        </w:tabs>
      </w:pPr>
      <w:r>
        <w:t xml:space="preserve">3. Functional Requirements</w:t>
      </w:r>
      <w:r>
        <w:tab/>
      </w:r>
      <w:r>
        <w:t xml:space="preserve">22</w:t>
      </w:r>
    </w:p>
    <w:p>
      <w:pPr>
        <w:pStyle w:val="TOC1"/>
        <w:tabs>
          <w:tab w:val="right" w:leader="dot" w:pos="9630"/>
        </w:tabs>
      </w:pPr>
      <w:r>
        <w:t xml:space="preserve">Annex A – To-Be Process FlowS</w:t>
      </w:r>
      <w:r>
        <w:tab/>
      </w:r>
      <w:r>
        <w:t xml:space="preserve">61</w:t>
      </w:r>
    </w:p>
    <w:p>
      <w:pPr>
        <w:pStyle w:val="TOC1"/>
        <w:tabs>
          <w:tab w:val="right" w:leader="dot" w:pos="9630"/>
        </w:tabs>
      </w:pPr>
      <w:r>
        <w:t xml:space="preserve">Annex B – Report Template</w:t>
      </w:r>
      <w:r>
        <w:tab/>
      </w:r>
      <w:r>
        <w:t xml:space="preserve">76</w:t>
      </w:r>
    </w:p>
    <w:p>
      <w:pPr>
        <w:pStyle w:val="TOC1"/>
        <w:tabs>
          <w:tab w:val="right" w:leader="dot" w:pos="9630"/>
        </w:tabs>
      </w:pPr>
      <w:r>
        <w:t xml:space="preserve">Annex C - User AcCess Matrix</w:t>
      </w:r>
      <w:r>
        <w:tab/>
      </w:r>
      <w:r>
        <w:t xml:space="preserve">76</w:t>
      </w:r>
    </w:p>
    <w:p>
      <w:pPr>
        <w:pStyle w:val="TOC1"/>
        <w:tabs>
          <w:tab w:val="right" w:leader="dot" w:pos="9630"/>
        </w:tabs>
      </w:pPr>
      <w:r>
        <w:t xml:space="preserve">Annex D – Audit Log Export</w:t>
      </w:r>
      <w:r>
        <w:tab/>
      </w:r>
      <w:r>
        <w:t xml:space="preserve">77</w:t>
      </w:r>
    </w:p>
    <w:p>
      <w:pPr>
        <w:pStyle w:val="TOC1"/>
        <w:tabs>
          <w:tab w:val="right" w:leader="dot" w:pos="9630"/>
        </w:tabs>
      </w:pPr>
      <w:r>
        <w:t xml:space="preserve">Annex E – User Access Report Fields</w:t>
      </w:r>
      <w:r>
        <w:tab/>
      </w:r>
      <w:r>
        <w:t xml:space="preserve">77</w:t>
      </w:r>
    </w:p>
    <w:p>
      <w:pPr>
        <w:pStyle w:val="TOC1"/>
        <w:tabs>
          <w:tab w:val="right" w:leader="dot" w:pos="9630"/>
        </w:tabs>
      </w:pPr>
      <w:r>
        <w:t xml:space="preserve">ANnex F – Group Profile Membership List</w:t>
      </w:r>
      <w:r>
        <w:tab/>
      </w:r>
      <w:r>
        <w:t xml:space="preserve">77</w:t>
      </w:r>
    </w:p>
    <w:p>
      <w:pPr>
        <w:pStyle w:val="TOC1"/>
        <w:tabs>
          <w:tab w:val="right" w:leader="dot" w:pos="9630"/>
        </w:tabs>
      </w:pPr>
      <w:r>
        <w:t xml:space="preserve">ANnex G – User Group Membership Report Fields</w:t>
      </w:r>
      <w:r>
        <w:tab/>
      </w:r>
      <w:r>
        <w:t xml:space="preserve">78</w:t>
      </w:r>
    </w:p>
    <w:p>
      <w:pPr>
        <w:pStyle w:val="TOC1"/>
        <w:tabs>
          <w:tab w:val="right" w:leader="dot" w:pos="9630"/>
        </w:tabs>
      </w:pPr>
      <w:r>
        <w:t xml:space="preserve">Annex H – Audit Log Fields</w:t>
      </w:r>
      <w:r>
        <w:tab/>
      </w:r>
      <w:r>
        <w:t xml:space="preserve">78</w:t>
      </w:r>
    </w:p>
    <w:p>
      <w:pPr>
        <w:pStyle w:val="TOC1"/>
        <w:tabs>
          <w:tab w:val="right" w:leader="dot" w:pos="9630"/>
        </w:tabs>
      </w:pPr>
      <w:r>
        <w:t xml:space="preserve">Annex I – Password Guidelines</w:t>
      </w:r>
      <w:r>
        <w:tab/>
      </w:r>
      <w:r>
        <w:t xml:space="preserve">79</w:t>
      </w:r>
    </w:p>
    <w:p>
      <w:pPr>
        <w:pStyle w:val="TOC1"/>
        <w:tabs>
          <w:tab w:val="right" w:leader="dot" w:pos="9630"/>
        </w:tabs>
      </w:pPr>
      <w:r>
        <w:t xml:space="preserve">Annex J – Screen Specifications</w:t>
      </w:r>
      <w:r>
        <w:tab/>
      </w:r>
      <w:r>
        <w:t xml:space="preserve">79</w:t>
      </w:r>
    </w:p>
    <w:p>
      <w:pPr>
        <w:pStyle w:val="TOC2"/>
        <w:tabs>
          <w:tab w:val="right" w:leader="dot" w:pos="9630"/>
        </w:tabs>
      </w:pPr>
      <w:r>
        <w:t xml:space="preserve">J.1 Login (SCR-UA-01)</w:t>
      </w:r>
      <w:r>
        <w:tab/>
      </w:r>
      <w:r>
        <w:t xml:space="preserve">80</w:t>
      </w:r>
    </w:p>
    <w:p>
      <w:pPr>
        <w:pStyle w:val="TOC2"/>
        <w:tabs>
          <w:tab w:val="right" w:leader="dot" w:pos="9630"/>
        </w:tabs>
      </w:pPr>
      <w:r>
        <w:t xml:space="preserve">J.2 Forgot Password and Set a New Password (SCR-UA-02)</w:t>
      </w:r>
      <w:r>
        <w:tab/>
      </w:r>
      <w:r>
        <w:t xml:space="preserve">82</w:t>
      </w:r>
    </w:p>
    <w:p>
      <w:pPr>
        <w:pStyle w:val="TOC2"/>
        <w:tabs>
          <w:tab w:val="right" w:leader="dot" w:pos="9630"/>
        </w:tabs>
      </w:pPr>
      <w:r>
        <w:t xml:space="preserve">J.3 Change Your Password (Forced Change) (SCR-UA-03)</w:t>
      </w:r>
      <w:r>
        <w:tab/>
      </w:r>
      <w:r>
        <w:t xml:space="preserve">84</w:t>
      </w:r>
    </w:p>
    <w:p>
      <w:pPr>
        <w:pStyle w:val="TOC2"/>
        <w:tabs>
          <w:tab w:val="right" w:leader="dot" w:pos="9630"/>
        </w:tabs>
      </w:pPr>
      <w:r>
        <w:t xml:space="preserve">J.4 Inactivity and Session-end Warnings (SCR-UA-04)</w:t>
      </w:r>
      <w:r>
        <w:tab/>
      </w:r>
      <w:r>
        <w:t xml:space="preserve">86</w:t>
      </w:r>
    </w:p>
    <w:p>
      <w:pPr>
        <w:pStyle w:val="TOC2"/>
        <w:tabs>
          <w:tab w:val="right" w:leader="dot" w:pos="9630"/>
        </w:tabs>
      </w:pPr>
      <w:r>
        <w:t xml:space="preserve">J.5 Session Timed Out (SCR-UA-21)</w:t>
      </w:r>
      <w:r>
        <w:tab/>
      </w:r>
      <w:r>
        <w:t xml:space="preserve">88</w:t>
      </w:r>
    </w:p>
    <w:p>
      <w:pPr>
        <w:pStyle w:val="TOC2"/>
        <w:tabs>
          <w:tab w:val="right" w:leader="dot" w:pos="9630"/>
        </w:tabs>
      </w:pPr>
      <w:r>
        <w:t xml:space="preserve">J.6 My Profile (SCR-UA-05)</w:t>
      </w:r>
      <w:r>
        <w:tab/>
      </w:r>
      <w:r>
        <w:t xml:space="preserve">90</w:t>
      </w:r>
    </w:p>
    <w:p>
      <w:pPr>
        <w:pStyle w:val="TOC2"/>
        <w:tabs>
          <w:tab w:val="right" w:leader="dot" w:pos="9630"/>
        </w:tabs>
      </w:pPr>
      <w:r>
        <w:t xml:space="preserve">J.7 Access Requests (SCR-UA-06)</w:t>
      </w:r>
      <w:r>
        <w:tab/>
      </w:r>
      <w:r>
        <w:t xml:space="preserve">92</w:t>
      </w:r>
    </w:p>
    <w:p>
      <w:pPr>
        <w:pStyle w:val="TOC2"/>
        <w:tabs>
          <w:tab w:val="right" w:leader="dot" w:pos="9630"/>
        </w:tabs>
      </w:pPr>
      <w:r>
        <w:t xml:space="preserve">J.8 New Request and Edit Request (User Requests) (SCR-UA-07)</w:t>
      </w:r>
      <w:r>
        <w:tab/>
      </w:r>
      <w:r>
        <w:t xml:space="preserve">94</w:t>
      </w:r>
    </w:p>
    <w:p>
      <w:pPr>
        <w:pStyle w:val="TOC2"/>
        <w:tabs>
          <w:tab w:val="right" w:leader="dot" w:pos="9630"/>
        </w:tabs>
      </w:pPr>
      <w:r>
        <w:t xml:space="preserve">J.9 Access Request Record (SCR-UA-08)</w:t>
      </w:r>
      <w:r>
        <w:tab/>
      </w:r>
      <w:r>
        <w:t xml:space="preserve">97</w:t>
      </w:r>
    </w:p>
    <w:p>
      <w:pPr>
        <w:pStyle w:val="TOC2"/>
        <w:tabs>
          <w:tab w:val="right" w:leader="dot" w:pos="9630"/>
        </w:tabs>
      </w:pPr>
      <w:r>
        <w:t xml:space="preserve">J.10 Bulk Request (SCR-UA-09)</w:t>
      </w:r>
      <w:r>
        <w:tab/>
      </w:r>
      <w:r>
        <w:t xml:space="preserve">100</w:t>
      </w:r>
    </w:p>
    <w:p>
      <w:pPr>
        <w:pStyle w:val="TOC2"/>
        <w:tabs>
          <w:tab w:val="right" w:leader="dot" w:pos="9630"/>
        </w:tabs>
      </w:pPr>
      <w:r>
        <w:t xml:space="preserve">J.11 Bulk Request Batch (SCR-UA-10)</w:t>
      </w:r>
      <w:r>
        <w:tab/>
      </w:r>
      <w:r>
        <w:t xml:space="preserve">102</w:t>
      </w:r>
    </w:p>
    <w:p>
      <w:pPr>
        <w:pStyle w:val="TOC2"/>
        <w:tabs>
          <w:tab w:val="right" w:leader="dot" w:pos="9630"/>
        </w:tabs>
      </w:pPr>
      <w:r>
        <w:t xml:space="preserve">J.12 Group Profile Requests (SCR-UA-11)</w:t>
      </w:r>
      <w:r>
        <w:tab/>
      </w:r>
      <w:r>
        <w:t xml:space="preserve">104</w:t>
      </w:r>
    </w:p>
    <w:p>
      <w:pPr>
        <w:pStyle w:val="TOC2"/>
        <w:tabs>
          <w:tab w:val="right" w:leader="dot" w:pos="9630"/>
        </w:tabs>
      </w:pPr>
      <w:r>
        <w:t xml:space="preserve">J.13 New Group Profile Request and Edit Request (SCR-UA-12)</w:t>
      </w:r>
      <w:r>
        <w:tab/>
      </w:r>
      <w:r>
        <w:t xml:space="preserve">106</w:t>
      </w:r>
    </w:p>
    <w:p>
      <w:pPr>
        <w:pStyle w:val="TOC2"/>
        <w:tabs>
          <w:tab w:val="right" w:leader="dot" w:pos="9630"/>
        </w:tabs>
      </w:pPr>
      <w:r>
        <w:t xml:space="preserve">J.14 User Access Matrix (SCR-UA-13)</w:t>
      </w:r>
      <w:r>
        <w:tab/>
      </w:r>
      <w:r>
        <w:t xml:space="preserve">108</w:t>
      </w:r>
    </w:p>
    <w:p>
      <w:pPr>
        <w:pStyle w:val="TOC2"/>
        <w:tabs>
          <w:tab w:val="right" w:leader="dot" w:pos="9630"/>
        </w:tabs>
      </w:pPr>
      <w:r>
        <w:t xml:space="preserve">J.15 User Access Reports (SCR-UA-14)</w:t>
      </w:r>
      <w:r>
        <w:tab/>
      </w:r>
      <w:r>
        <w:t xml:space="preserve">110</w:t>
      </w:r>
    </w:p>
    <w:p>
      <w:pPr>
        <w:pStyle w:val="TOC2"/>
        <w:tabs>
          <w:tab w:val="right" w:leader="dot" w:pos="9630"/>
        </w:tabs>
      </w:pPr>
      <w:r>
        <w:t xml:space="preserve">J.16 Users (SCR-UA-15)</w:t>
      </w:r>
      <w:r>
        <w:tab/>
      </w:r>
      <w:r>
        <w:t xml:space="preserve">112</w:t>
      </w:r>
    </w:p>
    <w:p>
      <w:pPr>
        <w:pStyle w:val="TOC2"/>
        <w:tabs>
          <w:tab w:val="right" w:leader="dot" w:pos="9630"/>
        </w:tabs>
      </w:pPr>
      <w:r>
        <w:t xml:space="preserve">J.17 Roles &amp; Permissions (SCR-UA-16)</w:t>
      </w:r>
      <w:r>
        <w:tab/>
      </w:r>
      <w:r>
        <w:t xml:space="preserve">114</w:t>
      </w:r>
    </w:p>
    <w:p>
      <w:pPr>
        <w:pStyle w:val="TOC2"/>
        <w:tabs>
          <w:tab w:val="right" w:leader="dot" w:pos="9630"/>
        </w:tabs>
      </w:pPr>
      <w:r>
        <w:t xml:space="preserve">J.18 User Access Report (Report Runner) (SCR-UA-17)</w:t>
      </w:r>
      <w:r>
        <w:tab/>
      </w:r>
      <w:r>
        <w:t xml:space="preserve">116</w:t>
      </w:r>
    </w:p>
    <w:p>
      <w:pPr>
        <w:pStyle w:val="TOC2"/>
        <w:tabs>
          <w:tab w:val="right" w:leader="dot" w:pos="9630"/>
        </w:tabs>
      </w:pPr>
      <w:r>
        <w:t xml:space="preserve">J.19 System Parameters (Sign-in, Password and Access Settings) (SCR-UA-18)</w:t>
      </w:r>
      <w:r>
        <w:tab/>
      </w:r>
      <w:r>
        <w:t xml:space="preserve">118</w:t>
      </w:r>
    </w:p>
    <w:p>
      <w:pPr>
        <w:pStyle w:val="TOC2"/>
        <w:tabs>
          <w:tab w:val="right" w:leader="dot" w:pos="9630"/>
        </w:tabs>
      </w:pPr>
      <w:r>
        <w:t xml:space="preserve">J.20 Separation of Duties (SCR-UA-19)</w:t>
      </w:r>
      <w:r>
        <w:tab/>
      </w:r>
      <w:r>
        <w:t xml:space="preserve">120</w:t>
      </w:r>
    </w:p>
    <w:p>
      <w:pPr>
        <w:pStyle w:val="TOC2"/>
        <w:tabs>
          <w:tab w:val="right" w:leader="dot" w:pos="9630"/>
        </w:tabs>
      </w:pPr>
      <w:r>
        <w:t xml:space="preserve">J.21 Identity Synchronisation (SCR-UA-20)</w:t>
      </w:r>
      <w:r>
        <w:tab/>
      </w:r>
      <w:r>
        <w:t xml:space="preserve">122</w:t>
      </w:r>
    </w:p>
    <w:p>
      <w:pPr>
        <w:pStyle w:val="TOC2"/>
        <w:tabs>
          <w:tab w:val="right" w:leader="dot" w:pos="9630"/>
        </w:tabs>
      </w:pPr>
      <w:r>
        <w:t xml:space="preserve">J.22 Audit Trail (SCR-UA-22)</w:t>
      </w:r>
      <w:r>
        <w:tab/>
      </w:r>
      <w:r>
        <w:t xml:space="preserve">124</w:t>
      </w:r>
    </w:p>
    <w:p>
      <w:pPr>
        <w:pStyle w:val="TOC2"/>
        <w:tabs>
          <w:tab w:val="right" w:leader="dot" w:pos="9630"/>
        </w:tabs>
      </w:pPr>
      <w:r>
        <w:t xml:space="preserve">J.23 Menu by Persona</w:t>
      </w:r>
      <w:r>
        <w:tab/>
      </w:r>
      <w:r>
        <w:t xml:space="preserve">125</w:t>
      </w:r>
    </w:p>
    <w:p>
      <w:pPr>
        <w:pStyle w:val="TOC1"/>
        <w:tabs>
          <w:tab w:val="right" w:leader="dot" w:pos="9630"/>
        </w:tabs>
      </w:pPr>
      <w:r>
        <w:t xml:space="preserve">Annex K – Messages and Validations</w:t>
      </w:r>
      <w:r>
        <w:tab/>
      </w:r>
      <w:r>
        <w:t xml:space="preserve">126</w:t>
      </w:r>
    </w:p>
    <w:p>
      <w:pPr>
        <w:pStyle w:val="TOC1"/>
        <w:tabs>
          <w:tab w:val="right" w:leader="dot" w:pos="9630"/>
        </w:tabs>
      </w:pPr>
      <w:r>
        <w:t xml:space="preserve">Annex L – Notifications and E-mails</w:t>
      </w:r>
      <w:r>
        <w:tab/>
      </w:r>
      <w:r>
        <w:t xml:space="preserve">132</w:t>
      </w:r>
    </w:p>
    <w:p>
      <w:pPr>
        <w:pStyle w:val="TOC1"/>
        <w:tabs>
          <w:tab w:val="right" w:leader="dot" w:pos="9630"/>
        </w:tabs>
      </w:pPr>
      <w:r>
        <w:t xml:space="preserve">Annex M – Business Rules and Parameters</w:t>
      </w:r>
      <w:r>
        <w:tab/>
      </w:r>
      <w:r>
        <w:t xml:space="preserve">134</w:t>
      </w:r>
    </w:p>
    <w:p>
      <w:pPr>
        <w:pStyle w:val="TOC2"/>
        <w:tabs>
          <w:tab w:val="right" w:leader="dot" w:pos="9630"/>
        </w:tabs>
      </w:pPr>
      <w:r>
        <w:t xml:space="preserve">M.1 Personas</w:t>
      </w:r>
      <w:r>
        <w:tab/>
      </w:r>
      <w:r>
        <w:t xml:space="preserve">134</w:t>
      </w:r>
    </w:p>
    <w:p>
      <w:pPr>
        <w:pStyle w:val="TOC2"/>
        <w:tabs>
          <w:tab w:val="right" w:leader="dot" w:pos="9630"/>
        </w:tabs>
      </w:pPr>
      <w:r>
        <w:t xml:space="preserve">M.2 Permissions of the Access Functions</w:t>
      </w:r>
      <w:r>
        <w:tab/>
      </w:r>
      <w:r>
        <w:t xml:space="preserve">134</w:t>
      </w:r>
    </w:p>
    <w:p>
      <w:pPr>
        <w:pStyle w:val="TOC2"/>
        <w:tabs>
          <w:tab w:val="right" w:leader="dot" w:pos="9630"/>
        </w:tabs>
      </w:pPr>
      <w:r>
        <w:t xml:space="preserve">M.3 Proposed Role-to-action Matrix</w:t>
      </w:r>
      <w:r>
        <w:tab/>
      </w:r>
      <w:r>
        <w:t xml:space="preserve">134</w:t>
      </w:r>
    </w:p>
    <w:p>
      <w:pPr>
        <w:pStyle w:val="TOC2"/>
        <w:tabs>
          <w:tab w:val="right" w:leader="dot" w:pos="9630"/>
        </w:tabs>
      </w:pPr>
      <w:r>
        <w:t xml:space="preserve">M.4 Password, Lock-out and Second Factor</w:t>
      </w:r>
      <w:r>
        <w:tab/>
      </w:r>
      <w:r>
        <w:t xml:space="preserve">135</w:t>
      </w:r>
    </w:p>
    <w:p>
      <w:pPr>
        <w:pStyle w:val="TOC2"/>
        <w:tabs>
          <w:tab w:val="right" w:leader="dot" w:pos="9630"/>
        </w:tabs>
      </w:pPr>
      <w:r>
        <w:t xml:space="preserve">M.5 Session Policy</w:t>
      </w:r>
      <w:r>
        <w:tab/>
      </w:r>
      <w:r>
        <w:t xml:space="preserve">135</w:t>
      </w:r>
    </w:p>
    <w:p>
      <w:pPr>
        <w:pStyle w:val="TOC2"/>
        <w:tabs>
          <w:tab w:val="right" w:leader="dot" w:pos="9630"/>
        </w:tabs>
      </w:pPr>
      <w:r>
        <w:t xml:space="preserve">M.6 Segregation and Separation-of-duties Rules</w:t>
      </w:r>
      <w:r>
        <w:tab/>
      </w:r>
      <w:r>
        <w:t xml:space="preserve">135</w:t>
      </w:r>
    </w:p>
    <w:p>
      <w:pPr>
        <w:pStyle w:val="TOC2"/>
        <w:tabs>
          <w:tab w:val="right" w:leader="dot" w:pos="9630"/>
        </w:tabs>
      </w:pPr>
      <w:r>
        <w:t xml:space="preserve">M.7 Configurable Parameters</w:t>
      </w:r>
      <w:r>
        <w:tab/>
      </w:r>
      <w:r>
        <w:t xml:space="preserve">136</w:t>
      </w:r>
    </w:p>
    <w:p>
      <w:pPr>
        <w:pStyle w:val="TOC2"/>
        <w:tabs>
          <w:tab w:val="right" w:leader="dot" w:pos="9630"/>
        </w:tabs>
      </w:pPr>
      <w:r>
        <w:t xml:space="preserve">M.8 Lists of Values</w:t>
      </w:r>
      <w:r>
        <w:tab/>
      </w:r>
      <w:r>
        <w:t xml:space="preserve">136</w:t>
      </w:r>
    </w:p>
    <w:p>
      <w:pPr>
        <w:pStyle w:val="TOC2"/>
        <w:tabs>
          <w:tab w:val="right" w:leader="dot" w:pos="9630"/>
        </w:tabs>
      </w:pPr>
      <w:r>
        <w:t xml:space="preserve">M.9 Request Statuses and Transitions</w:t>
      </w:r>
      <w:r>
        <w:tab/>
      </w:r>
      <w:r>
        <w:t xml:space="preserve">136</w:t>
      </w:r>
    </w:p>
    <w:p>
      <w:pPr>
        <w:pStyle w:val="TOC2"/>
        <w:tabs>
          <w:tab w:val="right" w:leader="dot" w:pos="9630"/>
        </w:tabs>
      </w:pPr>
      <w:r>
        <w:t xml:space="preserve">M.10 Settings for the Points BDOI Decides</w:t>
      </w:r>
      <w:r>
        <w:tab/>
      </w:r>
      <w:r>
        <w:t xml:space="preserve">137</w:t>
      </w:r>
    </w:p>
    <w:p>
      <w:pPr>
        <w:pStyle w:val="TOC1"/>
        <w:tabs>
          <w:tab w:val="right" w:leader="dot" w:pos="9630"/>
        </w:tabs>
      </w:pPr>
      <w:r>
        <w:t xml:space="preserve">Annex N – Sign-in and Identity Integration</w:t>
      </w:r>
      <w:r>
        <w:tab/>
      </w:r>
      <w:r>
        <w:t xml:space="preserve">139</w:t>
      </w:r>
    </w:p>
    <w:p>
      <w:pPr>
        <w:pStyle w:val="TOC2"/>
        <w:tabs>
          <w:tab w:val="right" w:leader="dot" w:pos="9630"/>
        </w:tabs>
      </w:pPr>
      <w:r>
        <w:t xml:space="preserve">N.0 End-to-end Process and Identity Integration</w:t>
      </w:r>
      <w:r>
        <w:tab/>
      </w:r>
      <w:r>
        <w:t xml:space="preserve">140</w:t>
      </w:r>
    </w:p>
    <w:p>
      <w:pPr>
        <w:pStyle w:val="TOC2"/>
        <w:tabs>
          <w:tab w:val="right" w:leader="dot" w:pos="9630"/>
        </w:tabs>
      </w:pPr>
      <w:r>
        <w:t xml:space="preserve">N.1 Sign-in Modes</w:t>
      </w:r>
      <w:r>
        <w:tab/>
      </w:r>
      <w:r>
        <w:t xml:space="preserve">141</w:t>
      </w:r>
    </w:p>
    <w:p>
      <w:pPr>
        <w:pStyle w:val="TOC2"/>
        <w:tabs>
          <w:tab w:val="right" w:leader="dot" w:pos="9630"/>
        </w:tabs>
      </w:pPr>
      <w:r>
        <w:t xml:space="preserve">N.2 Single Sign-on with EIAM</w:t>
      </w:r>
      <w:r>
        <w:tab/>
      </w:r>
      <w:r>
        <w:t xml:space="preserve">141</w:t>
      </w:r>
    </w:p>
    <w:p>
      <w:pPr>
        <w:pStyle w:val="TOC2"/>
        <w:tabs>
          <w:tab w:val="right" w:leader="dot" w:pos="9630"/>
        </w:tabs>
      </w:pPr>
      <w:r>
        <w:t xml:space="preserve">N.3 Provisioning from UIDM-ISC</w:t>
      </w:r>
      <w:r>
        <w:tab/>
      </w:r>
      <w:r>
        <w:t xml:space="preserve">141</w:t>
      </w:r>
    </w:p>
    <w:p>
      <w:pPr>
        <w:pStyle w:val="TOC2"/>
        <w:tabs>
          <w:tab w:val="right" w:leader="dot" w:pos="9630"/>
        </w:tabs>
      </w:pPr>
      <w:r>
        <w:t xml:space="preserve">N.4 Break-glass Administrators</w:t>
      </w:r>
      <w:r>
        <w:tab/>
      </w:r>
      <w:r>
        <w:t xml:space="preserve">142</w:t>
      </w:r>
    </w:p>
    <w:p>
      <w:pPr>
        <w:pStyle w:val="TOC2"/>
        <w:tabs>
          <w:tab w:val="right" w:leader="dot" w:pos="9630"/>
        </w:tabs>
      </w:pPr>
      <w:r>
        <w:t xml:space="preserve">N.5 What BDOI IT Provides</w:t>
      </w:r>
      <w:r>
        <w:tab/>
      </w:r>
      <w:r>
        <w:t xml:space="preserve">142</w:t>
      </w:r>
    </w:p>
    <w:p>
      <w:pPr>
        <w:pStyle w:val="TOC1"/>
        <w:tabs>
          <w:tab w:val="right" w:leader="dot" w:pos="9630"/>
        </w:tabs>
      </w:pPr>
      <w:r>
        <w:t xml:space="preserve">Annex O – Process Walkthroughs</w:t>
      </w:r>
      <w:r>
        <w:tab/>
      </w:r>
      <w:r>
        <w:t xml:space="preserve">143</w:t>
      </w:r>
    </w:p>
    <w:p>
      <w:pPr>
        <w:pStyle w:val="TOC2"/>
        <w:tabs>
          <w:tab w:val="right" w:leader="dot" w:pos="9630"/>
        </w:tabs>
      </w:pPr>
      <w:r>
        <w:t xml:space="preserve">WT-A A New User from the Enrolment Request to the First Sign-in with the Menus of the Persona</w:t>
      </w:r>
      <w:r>
        <w:tab/>
      </w:r>
      <w:r>
        <w:t xml:space="preserve">143</w:t>
      </w:r>
    </w:p>
    <w:p>
      <w:pPr>
        <w:pStyle w:val="TOC2"/>
        <w:tabs>
          <w:tab w:val="right" w:leader="dot" w:pos="9630"/>
        </w:tabs>
      </w:pPr>
      <w:r>
        <w:t xml:space="preserve">WT-B A Change and a Revocation Under Four Eyes, and a Group-profile Change Approved in Order and Implemented</w:t>
      </w:r>
      <w:r>
        <w:tab/>
      </w:r>
      <w:r>
        <w:t xml:space="preserve">153</w:t>
      </w:r>
    </w:p>
    <w:p>
      <w:pPr>
        <w:pStyle w:val="TOC2"/>
        <w:tabs>
          <w:tab w:val="right" w:leader="dot" w:pos="9630"/>
        </w:tabs>
      </w:pPr>
      <w:r>
        <w:t xml:space="preserve">WT-C Refused Cases and the Messages the User Sees</w:t>
      </w:r>
      <w:r>
        <w:tab/>
      </w:r>
      <w:r>
        <w:t xml:space="preserve">164</w:t>
      </w:r>
    </w:p>
    <w:p>
      <w:pPr>
        <w:pStyle w:val="TOC2"/>
        <w:tabs>
          <w:tab w:val="right" w:leader="dot" w:pos="9630"/>
        </w:tabs>
      </w:pPr>
      <w:r>
        <w:t xml:space="preserve">WT-D The Evidence of Access for the Auditor and Information Security</w:t>
      </w:r>
      <w:r>
        <w:tab/>
      </w:r>
      <w:r>
        <w:t xml:space="preserve">178</w:t>
      </w:r>
    </w:p>
    <w:p>
      <w:pPr>
        <w:pStyle w:val="TOC1"/>
        <w:tabs>
          <w:tab w:val="right" w:leader="dot" w:pos="9630"/>
        </w:tabs>
      </w:pPr>
      <w:r>
        <w:t xml:space="preserve">Annex P – Requirements Traceability</w:t>
      </w:r>
      <w:r>
        <w:tab/>
      </w:r>
      <w:r>
        <w:t xml:space="preserve">184</w:t>
      </w:r>
    </w:p>
    <w:p>
      <w:pPr>
        <w:pStyle w:val="TOC2"/>
        <w:tabs>
          <w:tab w:val="right" w:leader="dot" w:pos="9630"/>
        </w:tabs>
      </w:pPr>
      <w:r>
        <w:t xml:space="preserve">P.1 BRD Requirement to FRUM and Test Conditions</w:t>
      </w:r>
      <w:r>
        <w:tab/>
      </w:r>
      <w:r>
        <w:t xml:space="preserve">184</w:t>
      </w:r>
    </w:p>
    <w:p>
      <w:pPr>
        <w:pStyle w:val="TOC2"/>
        <w:tabs>
          <w:tab w:val="right" w:leader="dot" w:pos="9630"/>
        </w:tabs>
      </w:pPr>
      <w:r>
        <w:t xml:space="preserve">P.2 FRUM Item to BRD Lines and Test Conditions</w:t>
      </w:r>
      <w:r>
        <w:tab/>
      </w:r>
      <w:r>
        <w:t xml:space="preserve">189</w:t>
      </w:r>
    </w:p>
    <w:p>
      <w:pPr>
        <w:pStyle w:val="TOC1"/>
        <w:tabs>
          <w:tab w:val="right" w:leader="dot" w:pos="9630"/>
        </w:tabs>
      </w:pPr>
      <w:r>
        <w:t xml:space="preserve">Annex Q – Observations and Points for BDOI Decision</w:t>
      </w:r>
      <w:r>
        <w:tab/>
      </w:r>
      <w:r>
        <w:t xml:space="preserve">191</w:t>
      </w:r>
    </w:p>
    <w:p>
      <w:pPr>
        <w:pStyle w:val="TOC2"/>
        <w:tabs>
          <w:tab w:val="right" w:leader="dot" w:pos="9630"/>
        </w:tabs>
      </w:pPr>
      <w:r>
        <w:t xml:space="preserve">Q.1 Points Where the Proposed Behaviour Differs from the Original Text of This FRS</w:t>
      </w:r>
      <w:r>
        <w:tab/>
      </w:r>
      <w:r>
        <w:t xml:space="preserve">191</w:t>
      </w:r>
    </w:p>
    <w:p>
      <w:pPr>
        <w:pStyle w:val="TOC2"/>
        <w:tabs>
          <w:tab w:val="right" w:leader="dot" w:pos="9630"/>
        </w:tabs>
      </w:pPr>
      <w:r>
        <w:t xml:space="preserve">Q.2 Slips Noticed in BDOI's FRS (Proposed Corrections; BDOI's Text is not Changed)</w:t>
      </w:r>
      <w:r>
        <w:tab/>
      </w:r>
      <w:r>
        <w:t xml:space="preserve">198</w:t>
      </w:r>
    </w:p>
    <w:p>
      <w:pPr>
        <w:pStyle w:val="TOC2"/>
        <w:tabs>
          <w:tab w:val="right" w:leader="dot" w:pos="9630"/>
        </w:tabs>
      </w:pPr>
      <w:r>
        <w:t xml:space="preserve">Q.3 Changes to the Business Requirements Mapping</w:t>
      </w:r>
      <w:r>
        <w:tab/>
      </w:r>
      <w:r>
        <w:t xml:space="preserve">199</w:t>
      </w:r>
    </w:p>
    <w:p>
      <w:pPr>
        <w:pStyle w:val="TOC2"/>
        <w:tabs>
          <w:tab w:val="right" w:leader="dot" w:pos="9630"/>
        </w:tabs>
      </w:pPr>
      <w:r>
        <w:t xml:space="preserve">Q.4 Rows Added to BDOI's Annexes and Other Observations</w:t>
      </w:r>
      <w:r>
        <w:tab/>
      </w:r>
      <w:r>
        <w:t xml:space="preserve">203</w:t>
      </w:r>
    </w:p>
    <w:p>
      <w:pPr>
        <w:pStyle w:val="TOC2"/>
        <w:tabs>
          <w:tab w:val="right" w:leader="dot" w:pos="9630"/>
        </w:tabs>
      </w:pPr>
      <w:r>
        <w:t xml:space="preserve">Q.5 Observations of Version 1.3</w:t>
      </w:r>
      <w:r>
        <w:tab/>
      </w:r>
      <w:r>
        <w:t xml:space="preserve">205</w:t>
      </w:r>
    </w:p>
    <w:p>
      <w:pPr>
        <w:pStyle w:val="TOC2"/>
        <w:tabs>
          <w:tab w:val="right" w:leader="dot" w:pos="9630"/>
        </w:tabs>
      </w:pPr>
      <w:r>
        <w:t xml:space="preserve">Q.6 BDOI's Review Comments and Our Responses</w:t>
      </w:r>
      <w:r>
        <w:tab/>
      </w:r>
      <w:r>
        <w:t xml:space="preserve">206</w:t>
      </w:r>
    </w:p>
    <w:p>
      <w:pPr>
        <w:pStyle w:val="TOC1"/>
        <w:tabs>
          <w:tab w:val="right" w:leader="dot" w:pos="9630"/>
        </w:tabs>
      </w:pPr>
      <w:r>
        <w:t xml:space="preserve">Annex R – Glossary</w:t>
      </w:r>
      <w:r>
        <w:tab/>
      </w:r>
      <w:r>
        <w:t xml:space="preserve">208</w:t>
      </w:r>
    </w:p>
    <w:p>
      <w:pPr>
        <w:pStyle w:val="TOC1"/>
        <w:tabs>
          <w:tab w:val="right" w:leader="dot" w:pos="9630"/>
        </w:tabs>
      </w:pPr>
      <w:r>
        <w:t xml:space="preserve">Annex S – Workflow and Approvals</w:t>
      </w:r>
      <w:r>
        <w:tab/>
      </w:r>
      <w:r>
        <w:t xml:space="preserve">209</w:t>
      </w:r>
    </w:p>
    <w:p>
      <w:pPr>
        <w:pStyle w:val="TOC1"/>
        <w:tabs>
          <w:tab w:val="right" w:leader="dot" w:pos="9630"/>
        </w:tabs>
      </w:pPr>
      <w:r>
        <w:t xml:space="preserve">Annex T – E-mail and Notification Texts</w:t>
      </w:r>
      <w:r>
        <w:tab/>
      </w:r>
      <w:r>
        <w:t xml:space="preserve">211</w:t>
      </w:r>
    </w:p>
    <w:p>
      <w:pPr>
        <w:pStyle w:val="TOC2"/>
        <w:tabs>
          <w:tab w:val="right" w:leader="dot" w:pos="9630"/>
        </w:tabs>
      </w:pPr>
      <w:r>
        <w:t xml:space="preserve">NT-01 Request to Approve</w:t>
      </w:r>
      <w:r>
        <w:tab/>
      </w:r>
      <w:r>
        <w:t xml:space="preserve">211</w:t>
      </w:r>
    </w:p>
    <w:p>
      <w:pPr>
        <w:pStyle w:val="TOC2"/>
        <w:tabs>
          <w:tab w:val="right" w:leader="dot" w:pos="9630"/>
        </w:tabs>
      </w:pPr>
      <w:r>
        <w:t xml:space="preserve">NT-02 Request for Second Approval</w:t>
      </w:r>
      <w:r>
        <w:tab/>
      </w:r>
      <w:r>
        <w:t xml:space="preserve">212</w:t>
      </w:r>
    </w:p>
    <w:p>
      <w:pPr>
        <w:pStyle w:val="TOC2"/>
        <w:tabs>
          <w:tab w:val="right" w:leader="dot" w:pos="9630"/>
        </w:tabs>
      </w:pPr>
      <w:r>
        <w:t xml:space="preserve">NT-03 Request to Implement</w:t>
      </w:r>
      <w:r>
        <w:tab/>
      </w:r>
      <w:r>
        <w:t xml:space="preserve">212</w:t>
      </w:r>
    </w:p>
    <w:p>
      <w:pPr>
        <w:pStyle w:val="TOC2"/>
        <w:tabs>
          <w:tab w:val="right" w:leader="dot" w:pos="9630"/>
        </w:tabs>
      </w:pPr>
      <w:r>
        <w:t xml:space="preserve">NT-04 Decision on the Request</w:t>
      </w:r>
      <w:r>
        <w:tab/>
      </w:r>
      <w:r>
        <w:t xml:space="preserve">212</w:t>
      </w:r>
    </w:p>
    <w:p>
      <w:pPr>
        <w:pStyle w:val="TOC2"/>
        <w:tabs>
          <w:tab w:val="right" w:leader="dot" w:pos="9630"/>
        </w:tabs>
      </w:pPr>
      <w:r>
        <w:t xml:space="preserve">NT-05 Request Returned</w:t>
      </w:r>
      <w:r>
        <w:tab/>
      </w:r>
      <w:r>
        <w:t xml:space="preserve">213</w:t>
      </w:r>
    </w:p>
    <w:p>
      <w:pPr>
        <w:pStyle w:val="TOC2"/>
        <w:tabs>
          <w:tab w:val="right" w:leader="dot" w:pos="9630"/>
        </w:tabs>
      </w:pPr>
      <w:r>
        <w:t xml:space="preserve">NT-06 Request Cancelled</w:t>
      </w:r>
      <w:r>
        <w:tab/>
      </w:r>
      <w:r>
        <w:t xml:space="preserve">213</w:t>
      </w:r>
    </w:p>
    <w:p>
      <w:pPr>
        <w:pStyle w:val="TOC2"/>
        <w:tabs>
          <w:tab w:val="right" w:leader="dot" w:pos="9630"/>
        </w:tabs>
      </w:pPr>
      <w:r>
        <w:t xml:space="preserve">NT-07 Your Access Changed</w:t>
      </w:r>
      <w:r>
        <w:tab/>
      </w:r>
      <w:r>
        <w:t xml:space="preserve">213</w:t>
      </w:r>
    </w:p>
    <w:p>
      <w:pPr>
        <w:pStyle w:val="TOC2"/>
        <w:tabs>
          <w:tab w:val="right" w:leader="dot" w:pos="9630"/>
        </w:tabs>
      </w:pPr>
      <w:r>
        <w:t xml:space="preserve">NT-14 Your Access Changed (Group Profile Deactivated or Reactivated)</w:t>
      </w:r>
      <w:r>
        <w:tab/>
      </w:r>
      <w:r>
        <w:t xml:space="preserve">214</w:t>
      </w:r>
    </w:p>
    <w:p>
      <w:pPr>
        <w:pStyle w:val="TOC2"/>
        <w:tabs>
          <w:tab w:val="right" w:leader="dot" w:pos="9630"/>
        </w:tabs>
      </w:pPr>
      <w:r>
        <w:t xml:space="preserve">NT-15 Your Account Will be Deactivated</w:t>
      </w:r>
      <w:r>
        <w:tab/>
      </w:r>
      <w:r>
        <w:t xml:space="preserve">214</w:t>
      </w:r>
    </w:p>
    <w:p>
      <w:pPr>
        <w:pStyle w:val="TOC2"/>
        <w:tabs>
          <w:tab w:val="right" w:leader="dot" w:pos="9630"/>
        </w:tabs>
      </w:pPr>
      <w:r>
        <w:t xml:space="preserve">NT-16 Dormant Users Deactivated</w:t>
      </w:r>
      <w:r>
        <w:tab/>
      </w:r>
      <w:r>
        <w:t xml:space="preserve">214</w:t>
      </w:r>
    </w:p>
    <w:p>
      <w:pPr>
        <w:pStyle w:val="TOC2"/>
        <w:tabs>
          <w:tab w:val="right" w:leader="dot" w:pos="9630"/>
        </w:tabs>
      </w:pPr>
      <w:r>
        <w:t xml:space="preserve">NT-08 Reset Your Password (Break-glass Accounts Only)</w:t>
      </w:r>
      <w:r>
        <w:tab/>
      </w:r>
      <w:r>
        <w:t xml:space="preserve">214</w:t>
      </w:r>
    </w:p>
    <w:p>
      <w:pPr>
        <w:pStyle w:val="TOC2"/>
        <w:tabs>
          <w:tab w:val="right" w:leader="dot" w:pos="9630"/>
        </w:tabs>
      </w:pPr>
      <w:r>
        <w:t xml:space="preserve">NT-09 Your Password Expires Soon (Break-glass Accounts)</w:t>
      </w:r>
      <w:r>
        <w:tab/>
      </w:r>
      <w:r>
        <w:t xml:space="preserve">215</w:t>
      </w:r>
    </w:p>
    <w:p>
      <w:pPr>
        <w:pStyle w:val="TOC2"/>
        <w:tabs>
          <w:tab w:val="right" w:leader="dot" w:pos="9630"/>
        </w:tabs>
      </w:pPr>
      <w:r>
        <w:t xml:space="preserve">NT-10 Batch Job Failed</w:t>
      </w:r>
      <w:r>
        <w:tab/>
      </w:r>
      <w:r>
        <w:t xml:space="preserve">215</w:t>
      </w:r>
    </w:p>
    <w:p>
      <w:pPr>
        <w:pStyle w:val="TOC2"/>
        <w:tabs>
          <w:tab w:val="right" w:leader="dot" w:pos="9630"/>
        </w:tabs>
      </w:pPr>
      <w:r>
        <w:t xml:space="preserve">NT-11 Alert: Privileged Access Change</w:t>
      </w:r>
      <w:r>
        <w:tab/>
      </w:r>
      <w:r>
        <w:t xml:space="preserve">215</w:t>
      </w:r>
    </w:p>
    <w:p>
      <w:pPr>
        <w:pStyle w:val="TOC2"/>
        <w:tabs>
          <w:tab w:val="right" w:leader="dot" w:pos="9630"/>
        </w:tabs>
      </w:pPr>
      <w:r>
        <w:t xml:space="preserve">NT-12 Alert: Scheduled Access Change Failed</w:t>
      </w:r>
      <w:r>
        <w:tab/>
      </w:r>
      <w:r>
        <w:t xml:space="preserve">216</w:t>
      </w:r>
    </w:p>
    <w:p>
      <w:pPr>
        <w:pStyle w:val="TOC2"/>
        <w:tabs>
          <w:tab w:val="right" w:leader="dot" w:pos="9630"/>
        </w:tabs>
      </w:pPr>
      <w:r>
        <w:t xml:space="preserve">NT-13 Alert: Role Edited Outside a Request</w:t>
      </w:r>
      <w:r>
        <w:tab/>
      </w:r>
      <w:r>
        <w:t xml:space="preserve">216</w:t>
      </w:r>
    </w:p>
    <w:p>
      <w:pPr>
        <w:pStyle w:val="TOC2"/>
        <w:tabs>
          <w:tab w:val="right" w:leader="dot" w:pos="9630"/>
        </w:tabs>
      </w:pPr>
      <w:r>
        <w:t xml:space="preserve">NT-17 Separation-of-duties Rule to Authorise</w:t>
      </w:r>
      <w:r>
        <w:tab/>
      </w:r>
      <w:r>
        <w:t xml:space="preserve">216</w:t>
      </w:r>
    </w:p>
    <w:p>
      <w:pPr>
        <w:pStyle w:val="TOC2"/>
        <w:tabs>
          <w:tab w:val="right" w:leader="dot" w:pos="9630"/>
        </w:tabs>
      </w:pPr>
      <w:r>
        <w:t xml:space="preserve">NT-18 Security Setting to Approve</w:t>
      </w:r>
      <w:r>
        <w:tab/>
      </w:r>
      <w:r>
        <w:t xml:space="preserve">217</w:t>
      </w:r>
    </w:p>
    <w:p>
      <w:pPr>
        <w:pStyle w:val="TOC2"/>
        <w:tabs>
          <w:tab w:val="right" w:leader="dot" w:pos="9630"/>
        </w:tabs>
      </w:pPr>
      <w:r>
        <w:t xml:space="preserve">NT-19 Second-factor Reset to Approve</w:t>
      </w:r>
      <w:r>
        <w:tab/>
      </w:r>
      <w:r>
        <w:t xml:space="preserve">217</w:t>
      </w:r>
    </w:p>
    <w:p>
      <w:pPr>
        <w:pStyle w:val="TOC2"/>
        <w:tabs>
          <w:tab w:val="right" w:leader="dot" w:pos="9630"/>
        </w:tabs>
      </w:pPr>
      <w:r>
        <w:t xml:space="preserve">NT-20 Authenticator App Reset</w:t>
      </w:r>
      <w:r>
        <w:tab/>
      </w:r>
      <w:r>
        <w:t xml:space="preserve">217</w:t>
      </w:r>
    </w:p>
    <w:p>
      <w:pPr>
        <w:pStyle w:val="TOC2"/>
        <w:tabs>
          <w:tab w:val="right" w:leader="dot" w:pos="9630"/>
        </w:tabs>
      </w:pPr>
      <w:r>
        <w:t xml:space="preserve">NT-21 Identity Event to Review</w:t>
      </w:r>
      <w:r>
        <w:tab/>
      </w:r>
      <w:r>
        <w:t xml:space="preserve">217</w:t>
      </w:r>
    </w:p>
    <w:p>
      <w:pPr>
        <w:pStyle w:val="TOC2"/>
        <w:tabs>
          <w:tab w:val="right" w:leader="dot" w:pos="9630"/>
        </w:tabs>
      </w:pPr>
      <w:r>
        <w:t xml:space="preserve">NT-22 Break-glass Sign-in</w:t>
      </w:r>
      <w:r>
        <w:tab/>
      </w:r>
      <w:r>
        <w:t xml:space="preserve">218</w:t>
      </w:r>
    </w:p>
    <w:p>
      <w:pPr>
        <w:pStyle w:val="TOC1"/>
        <w:tabs>
          <w:tab w:val="right" w:leader="dot" w:pos="9630"/>
        </w:tabs>
      </w:pPr>
      <w:r>
        <w:t xml:space="preserve">Annex U – Document Prints and Output Formats</w:t>
      </w:r>
      <w:r>
        <w:tab/>
      </w:r>
      <w:r>
        <w:t xml:space="preserve">219</w:t>
      </w:r>
    </w:p>
    <w:p>
      <w:pPr>
        <w:pStyle w:val="TOC2"/>
        <w:tabs>
          <w:tab w:val="right" w:leader="dot" w:pos="9630"/>
        </w:tabs>
      </w:pPr>
      <w:r>
        <w:t xml:space="preserve">U.1 User Access Report (DO-01)</w:t>
      </w:r>
      <w:r>
        <w:tab/>
      </w:r>
      <w:r>
        <w:t xml:space="preserve">219</w:t>
      </w:r>
    </w:p>
    <w:p>
      <w:pPr>
        <w:pStyle w:val="TOC2"/>
        <w:tabs>
          <w:tab w:val="right" w:leader="dot" w:pos="9630"/>
        </w:tabs>
      </w:pPr>
      <w:r>
        <w:t xml:space="preserve">U.2 User Group Profile Report (DO-02)</w:t>
      </w:r>
      <w:r>
        <w:tab/>
      </w:r>
      <w:r>
        <w:t xml:space="preserve">221</w:t>
      </w:r>
    </w:p>
    <w:p>
      <w:pPr>
        <w:pStyle w:val="TOC2"/>
        <w:tabs>
          <w:tab w:val="right" w:leader="dot" w:pos="9630"/>
        </w:tabs>
      </w:pPr>
      <w:r>
        <w:t xml:space="preserve">U.3 Group Profile Membership (DO-03)</w:t>
      </w:r>
      <w:r>
        <w:tab/>
      </w:r>
      <w:r>
        <w:t xml:space="preserve">222</w:t>
      </w:r>
    </w:p>
    <w:p>
      <w:pPr>
        <w:pStyle w:val="TOC2"/>
        <w:tabs>
          <w:tab w:val="right" w:leader="dot" w:pos="9630"/>
        </w:tabs>
      </w:pPr>
      <w:r>
        <w:t xml:space="preserve">U.4 User Access Audit Log (DO-04)</w:t>
      </w:r>
      <w:r>
        <w:tab/>
      </w:r>
      <w:r>
        <w:t xml:space="preserve">224</w:t>
      </w:r>
    </w:p>
    <w:p>
      <w:pPr>
        <w:pStyle w:val="TOC2"/>
        <w:tabs>
          <w:tab w:val="right" w:leader="dot" w:pos="9630"/>
        </w:tabs>
      </w:pPr>
      <w:r>
        <w:t xml:space="preserve">U.5 Access Requests (DO-05)</w:t>
      </w:r>
      <w:r>
        <w:tab/>
      </w:r>
      <w:r>
        <w:t xml:space="preserve">227</w:t>
      </w:r>
    </w:p>
    <w:p>
      <w:pPr>
        <w:pStyle w:val="TOC2"/>
        <w:tabs>
          <w:tab w:val="right" w:leader="dot" w:pos="9630"/>
        </w:tabs>
      </w:pPr>
      <w:r>
        <w:t xml:space="preserve">U.6 User Access Matrix (Excel) (DO-06)</w:t>
      </w:r>
      <w:r>
        <w:tab/>
      </w:r>
      <w:r>
        <w:t xml:space="preserve">229</w:t>
      </w:r>
    </w:p>
    <w:p>
      <w:pPr>
        <w:pStyle w:val="TOC2"/>
        <w:tabs>
          <w:tab w:val="right" w:leader="dot" w:pos="9630"/>
        </w:tabs>
      </w:pPr>
      <w:r>
        <w:t xml:space="preserve">U.7 Bulk Request Template and Error File (DO-07)</w:t>
      </w:r>
      <w:r>
        <w:tab/>
      </w:r>
      <w:r>
        <w:t xml:space="preserve">231</w:t>
      </w:r>
    </w:p>
    <w:p>
      <w:pPr>
        <w:pStyle w:val="TOC2"/>
        <w:tabs>
          <w:tab w:val="right" w:leader="dot" w:pos="9630"/>
        </w:tabs>
      </w:pPr>
      <w:r>
        <w:t xml:space="preserve">U.8 Temporary Password of a New Break-glass User (Screen Only) (DO-08)</w:t>
      </w:r>
      <w:r>
        <w:tab/>
      </w:r>
      <w:r>
        <w:t xml:space="preserve">231</w:t>
      </w:r>
    </w:p>
    <w:p>
      <w:pPr>
        <w:pStyle w:val="TOC1"/>
        <w:tabs>
          <w:tab w:val="right" w:leader="dot" w:pos="9630"/>
        </w:tabs>
      </w:pPr>
      <w:r>
        <w:t xml:space="preserve">Annex V – Reports and Schedules</w:t>
      </w:r>
      <w:r>
        <w:tab/>
      </w:r>
      <w:r>
        <w:t xml:space="preserve">232</w:t>
      </w:r>
    </w:p>
    <w:p>
      <w:pPr>
        <w:pStyle w:val="TOC1"/>
        <w:tabs>
          <w:tab w:val="right" w:leader="dot" w:pos="9630"/>
        </w:tabs>
      </w:pPr>
      <w:r>
        <w:t xml:space="preserve">Annex W – Integrations</w:t>
      </w:r>
      <w:r>
        <w:tab/>
      </w:r>
      <w:r>
        <w:t xml:space="preserve">234</w:t>
      </w:r>
    </w:p>
    <w:p>
      <w:pPr>
        <w:pStyle w:val="TOC1"/>
        <w:tabs>
          <w:tab w:val="right" w:leader="dot" w:pos="9630"/>
        </w:tabs>
      </w:pPr>
      <w:r>
        <w:t xml:space="preserve">Annex X – Non-functional Requirements</w:t>
      </w:r>
      <w:r>
        <w:tab/>
      </w:r>
      <w:r>
        <w:t xml:space="preserve">236</w:t>
      </w:r>
    </w:p>
    <w:p>
      <w:pPr>
        <w:pStyle w:val="TOC2"/>
        <w:tabs>
          <w:tab w:val="right" w:leader="dot" w:pos="9630"/>
        </w:tabs>
      </w:pPr>
      <w:r>
        <w:t xml:space="preserve">X.2 Programme-wide Security Requirements of the Other BRDs and Addenda</w:t>
      </w:r>
      <w:r>
        <w:tab/>
      </w:r>
      <w:r>
        <w:t xml:space="preserve">240</w:t>
      </w:r>
    </w:p>
    <w:p>
      <w:pPr>
        <w:pStyle w:val="TOC1"/>
        <w:tabs>
          <w:tab w:val="right" w:leader="dot" w:pos="9630"/>
        </w:tabs>
      </w:pPr>
      <w:r>
        <w:t xml:space="preserve">Annex Y – Data Set-up and Migration at Go-live</w:t>
      </w:r>
      <w:r>
        <w:tab/>
      </w:r>
      <w:r>
        <w:t xml:space="preserve">242</w:t>
      </w:r>
    </w:p>
    <w:p>
      <w:pPr>
        <w:pStyle w:val="TOC1"/>
        <w:tabs>
          <w:tab w:val="right" w:leader="dot" w:pos="9630"/>
        </w:tabs>
      </w:pPr>
      <w:r>
        <w:t xml:space="preserve">Annex Z – Assumptions, Dependencies and Open Questions</w:t>
      </w:r>
      <w:r>
        <w:tab/>
      </w:r>
      <w:r>
        <w:t xml:space="preserve">243</w:t>
      </w:r>
    </w:p>
    <w:p>
      <w:pPr>
        <w:pStyle w:val="TOC2"/>
        <w:tabs>
          <w:tab w:val="right" w:leader="dot" w:pos="9630"/>
        </w:tabs>
      </w:pPr>
      <w:r>
        <w:t xml:space="preserve">Z.1 Assumptions</w:t>
      </w:r>
      <w:r>
        <w:tab/>
      </w:r>
      <w:r>
        <w:t xml:space="preserve">243</w:t>
      </w:r>
    </w:p>
    <w:p>
      <w:pPr>
        <w:pStyle w:val="TOC2"/>
        <w:tabs>
          <w:tab w:val="right" w:leader="dot" w:pos="9630"/>
        </w:tabs>
      </w:pPr>
      <w:r>
        <w:t xml:space="preserve">Z.2 Dependencies</w:t>
      </w:r>
      <w:r>
        <w:tab/>
      </w:r>
      <w:r>
        <w:t xml:space="preserve">243</w:t>
      </w:r>
    </w:p>
    <w:p>
      <w:pPr>
        <w:pStyle w:val="TOC2"/>
        <w:tabs>
          <w:tab w:val="right" w:leader="dot" w:pos="9630"/>
        </w:tabs>
      </w:pPr>
      <w:r>
        <w:t xml:space="preserve">Z.3 Open Questions not Answered in BDOI's FRS</w:t>
      </w:r>
      <w:r>
        <w:tab/>
      </w:r>
      <w:r>
        <w:t xml:space="preserve">243</w:t>
      </w:r>
    </w:p>
    <w:p>
      <w:pPr>
        <w:pStyle w:val="TOC1"/>
        <w:tabs>
          <w:tab w:val="right" w:leader="dot" w:pos="9630"/>
        </w:tabs>
      </w:pPr>
      <w:r>
        <w:t xml:space="preserve">Annex AA – Change Control After Sign-off</w:t>
      </w:r>
      <w:r>
        <w:tab/>
      </w:r>
      <w:r>
        <w:t xml:space="preserve">246</w:t>
      </w:r>
    </w:p>
    <w:p>
      <w:pPr>
        <w:pStyle w:val="TOC2"/>
        <w:tabs>
          <w:tab w:val="right" w:leader="dot" w:pos="9630"/>
        </w:tabs>
      </w:pPr>
      <w:r>
        <w:t xml:space="preserve">AA.2 Change Requests Identified at Version 1.4</w:t>
      </w:r>
      <w:r>
        <w:tab/>
      </w:r>
      <w:r>
        <w:t xml:space="preserve">246</w:t>
      </w:r>
    </w:p>
    <w:p>
      <w:pPr>
        <w:pStyle w:val="TOC2"/>
        <w:tabs>
          <w:tab w:val="right" w:leader="dot" w:pos="9630"/>
        </w:tabs>
      </w:pPr>
      <w:r>
        <w:t xml:space="preserve">AA.3 Beyond the BRD, Offered by the iNXT BrokerVerse OOTB Platform (No Change Request)</w:t>
      </w:r>
      <w:r>
        <w:tab/>
      </w:r>
      <w:r>
        <w:t xml:space="preserve">247</w:t>
      </w:r>
    </w:p>
    <w:p>
      <w:pPr>
        <w:pStyle w:val="TOC2"/>
        <w:tabs>
          <w:tab w:val="right" w:leader="dot" w:pos="9630"/>
        </w:tabs>
      </w:pPr>
      <w:r>
        <w:t xml:space="preserve">AA.4 BRD Requirements to Deliver (in Scope, No Change Request)</w:t>
      </w:r>
      <w:r>
        <w:tab/>
      </w:r>
      <w:r>
        <w:t xml:space="preserve">248</w:t>
      </w:r>
    </w:p>
    <w:p>
      <w:pPr>
        <w:pStyle w:val="TOC2"/>
        <w:tabs>
          <w:tab w:val="right" w:leader="dot" w:pos="9630"/>
        </w:tabs>
      </w:pPr>
      <w:r>
        <w:t xml:space="preserve">AA.5 Covered by the Integration and Data Migration Scope (not Change Requests)</w:t>
      </w:r>
      <w:r>
        <w:tab/>
      </w:r>
      <w:r>
        <w:t xml:space="preserve">250</w:t>
      </w:r>
    </w:p>
    <w:p>
      <w:pPr>
        <w:pStyle w:val="TOC2"/>
        <w:tabs>
          <w:tab w:val="right" w:leader="dot" w:pos="9630"/>
        </w:tabs>
      </w:pPr>
      <w:r>
        <w:t xml:space="preserve">AA.6 Best-practice Recommendations (not in the BRD, the FRS or OOTB)</w:t>
      </w:r>
      <w:r>
        <w:tab/>
      </w:r>
      <w:r>
        <w:t xml:space="preserve">251</w:t>
      </w:r>
    </w:p>
    <w:p>
      <w:pPr>
        <w:pStyle w:val="TOC1"/>
        <w:tabs>
          <w:tab w:val="right" w:leader="dot" w:pos="9630"/>
        </w:tabs>
      </w:pPr>
      <w:r>
        <w:t xml:space="preserve">Annex AB – Business Unit Review Checklist</w:t>
      </w:r>
      <w:r>
        <w:tab/>
      </w:r>
      <w:r>
        <w:t xml:space="preserve">252</w:t>
      </w:r>
    </w:p>
    <w:p>
      <w:pPr>
        <w:pStyle w:val="TOC1"/>
        <w:tabs>
          <w:tab w:val="right" w:leader="dot" w:pos="9630"/>
        </w:tabs>
      </w:pPr>
      <w:r>
        <w:t xml:space="preserve">Annex AC – User Access Report: Fields and Sample Layout</w:t>
      </w:r>
      <w:r>
        <w:tab/>
      </w:r>
      <w:r>
        <w:t xml:space="preserve">253</w:t>
      </w:r>
    </w:p>
    <w:p>
      <w:pPr>
        <w:pStyle w:val="TOC1"/>
        <w:tabs>
          <w:tab w:val="right" w:leader="dot" w:pos="9630"/>
        </w:tabs>
      </w:pPr>
      <w:r>
        <w:t xml:space="preserve">SIgNOff Sheet</w:t>
      </w:r>
      <w:r>
        <w:tab/>
      </w:r>
      <w:r>
        <w:t xml:space="preserve">255</w:t>
      </w:r>
      <w:r>
        <w:fldChar w:fldCharType="end"/>
      </w:r>
    </w:p>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