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Cashier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BIBS-QRG-CASH</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Cashier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2.1 Receive a payment and issue the receipt</w:t>
        </w:r>
        <w:r>
          <w:t xml:space="preserve">	</w:t>
        </w:r>
        <w:r>
          <w:t xml:space="preserve">4</w:t>
        </w:r>
      </w:hyperlink>
    </w:p>
    <w:p>
      <w:pPr>
        <w:pStyle w:val="toc2"/>
      </w:pPr>
      <w:hyperlink w:anchor="_Toc000105" w:history="1">
        <w:r>
          <w:t xml:space="preserve">2.2 Act on a collector's request and a check pick-up</w:t>
        </w:r>
        <w:r>
          <w:t xml:space="preserve">	</w:t>
        </w:r>
        <w:r>
          <w:t xml:space="preserve">4</w:t>
        </w:r>
      </w:hyperlink>
    </w:p>
    <w:p>
      <w:pPr>
        <w:pStyle w:val="toc2"/>
      </w:pPr>
      <w:hyperlink w:anchor="_Toc000106" w:history="1">
        <w:r>
          <w:t xml:space="preserve">2.3 Refund an unapplied payment</w:t>
        </w:r>
        <w:r>
          <w:t xml:space="preserve">	</w:t>
        </w:r>
        <w:r>
          <w:t xml:space="preserve">5</w:t>
        </w:r>
      </w:hyperlink>
    </w:p>
    <w:p>
      <w:pPr>
        <w:pStyle w:val="toc2"/>
      </w:pPr>
      <w:hyperlink w:anchor="_Toc000107" w:history="1">
        <w:r>
          <w:t xml:space="preserve">2.4 Cancel a receipt</w:t>
        </w:r>
        <w:r>
          <w:t xml:space="preserve">	</w:t>
        </w:r>
        <w:r>
          <w:t xml:space="preserve">5</w:t>
        </w:r>
      </w:hyperlink>
    </w:p>
    <w:p>
      <w:pPr>
        <w:pStyle w:val="toc1"/>
      </w:pPr>
      <w:hyperlink w:anchor="_Toc000108" w:history="1">
        <w:r>
          <w:t xml:space="preserve">3 Tips</w:t>
        </w:r>
        <w:r>
          <w:t xml:space="preserve">	</w:t>
        </w:r>
        <w:r>
          <w:t xml:space="preserve">5</w:t>
        </w:r>
      </w:hyperlink>
    </w:p>
    <w:p>
      <w:pPr>
        <w:pStyle w:val="toc1"/>
      </w:pPr>
      <w:hyperlink w:anchor="_Toc000109"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receive and apply client payments. In BIBS you find the invoice, receive the payment, issue the acknowledgement receipt and apply it, process the payment uploads of the bank channels, act on the requests of the collectors, prepare check pick-ups, refund unapplied payments and cancel receipts under approval.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BRD-02 Operations (Cashiering), BRD-04 Collections (requests), BRD-13 (legacy items)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Cashiering Workbench: counts of payments, unapplied items and incoming requests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Operations &gt; Operations: Operations Home, Invoice Search</w:t>
      </w:r>
    </w:p>
    <w:p>
      <w:pPr>
        <w:tabs>
          <w:tab w:pos="312" w:val="left"/>
        </w:tabs>
        <w:spacing w:after="40"/>
        <w:ind w:left="312" w:hanging="283"/>
      </w:pPr>
      <w:r>
        <w:rPr>
          <w:color w:val="004EA8"/>
        </w:rPr>
        <w:t>•</w:t>
        <w:tab/>
      </w:r>
      <w:r>
        <w:rPr/>
        <w:t>Finance &gt; Cashiering: Cashiering Workbench, Receive Payment, Receipts, Unapplied Payments, Incoming Requests, Pre-booked Payments, Payment Uploads, PDC Warehouse, Check Pick-up, Batch Print, Receipt Series</w:t>
      </w:r>
    </w:p>
    <w:p>
      <w:pPr>
        <w:tabs>
          <w:tab w:pos="312" w:val="left"/>
        </w:tabs>
        <w:spacing w:after="120"/>
        <w:ind w:left="312" w:hanging="283"/>
      </w:pPr>
      <w:r>
        <w:rPr>
          <w:color w:val="004EA8"/>
        </w:rPr>
        <w:t>•</w:t>
        <w:tab/>
      </w:r>
      <w:r>
        <w:rPr/>
        <w:t>Finance &gt; Collections (read access and exports)</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2.1 Receive a payment and issue the receipt</w:t>
      </w:r>
      <w:bookmarkEnd w:id="104"/>
    </w:p>
    <w:p>
      <w:r>
        <w:rPr/>
        <w:t>Reference: FRS BRD-02, walkthrough WT-A steps 2-4.</w:t>
      </w:r>
    </w:p>
    <w:p>
      <w:pPr>
        <w:pStyle w:val="Caption"/>
        <w:keepNext/>
        <w:spacing w:after="60"/>
      </w:pPr>
      <w:r>
        <w:rPr>
          <w:b/>
          <w:i w:val="0"/>
        </w:rPr>
        <w:t xml:space="preserve">Table 1: </w:t>
      </w:r>
      <w:r>
        <w:rPr/>
        <w:t>Receive a payment and issue the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Search the ARN on Invoice Search.</w:t>
            </w:r>
          </w:p>
        </w:tc>
        <w:tc>
          <w:tcPr>
            <w:tcW w:type="dxa" w:w="2523"/>
            <w:tcMar>
              <w:top w:w="50" w:type="dxa"/>
              <w:bottom w:w="50" w:type="dxa"/>
              <w:left w:w="90" w:type="dxa"/>
              <w:right w:w="90" w:type="dxa"/>
            </w:tcMar>
          </w:tcPr>
          <w:p>
            <w:pPr>
              <w:pStyle w:val="BDOITable"/>
            </w:pPr>
            <w:r>
              <w:rPr>
                <w:sz w:val="17"/>
              </w:rPr>
              <w:t>SCR-OP-02 Invoice Search</w:t>
            </w:r>
          </w:p>
        </w:tc>
        <w:tc>
          <w:tcPr>
            <w:tcW w:type="dxa" w:w="1322"/>
            <w:tcMar>
              <w:top w:w="50" w:type="dxa"/>
              <w:bottom w:w="50" w:type="dxa"/>
              <w:left w:w="90" w:type="dxa"/>
              <w:right w:w="90" w:type="dxa"/>
            </w:tcMar>
          </w:tcPr>
          <w:p>
            <w:pPr>
              <w:pStyle w:val="BDOITable"/>
            </w:pPr>
            <w:r>
              <w:rPr>
                <w:sz w:val="17"/>
              </w:rPr>
              <w:t>WT-A.2</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Receive Payment, enter the ARN, the payor, the amount paid and the payment date, and check the preview.</w:t>
            </w:r>
          </w:p>
        </w:tc>
        <w:tc>
          <w:tcPr>
            <w:tcW w:type="dxa" w:w="2523"/>
            <w:tcMar>
              <w:top w:w="50" w:type="dxa"/>
              <w:bottom w:w="50" w:type="dxa"/>
              <w:left w:w="90" w:type="dxa"/>
              <w:right w:w="90" w:type="dxa"/>
            </w:tcMar>
            <w:shd w:val="clear" w:color="auto" w:fill="E5F5FF"/>
          </w:tcPr>
          <w:p>
            <w:pPr>
              <w:pStyle w:val="BDOITable"/>
            </w:pPr>
            <w:r>
              <w:rPr>
                <w:sz w:val="17"/>
              </w:rPr>
              <w:t>SCR-OP-08 Receive Payment</w:t>
            </w:r>
          </w:p>
        </w:tc>
        <w:tc>
          <w:tcPr>
            <w:tcW w:type="dxa" w:w="1322"/>
            <w:tcMar>
              <w:top w:w="50" w:type="dxa"/>
              <w:bottom w:w="50" w:type="dxa"/>
              <w:left w:w="90" w:type="dxa"/>
              <w:right w:w="90" w:type="dxa"/>
            </w:tcMar>
            <w:shd w:val="clear" w:color="auto" w:fill="E5F5FF"/>
          </w:tcPr>
          <w:p>
            <w:pPr>
              <w:pStyle w:val="BDOITable"/>
            </w:pPr>
            <w:r>
              <w:rPr>
                <w:sz w:val="17"/>
              </w:rPr>
              <w:t>WT-A.3</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Click Issue AR and Apply.</w:t>
            </w:r>
          </w:p>
        </w:tc>
        <w:tc>
          <w:tcPr>
            <w:tcW w:type="dxa" w:w="2523"/>
            <w:tcMar>
              <w:top w:w="50" w:type="dxa"/>
              <w:bottom w:w="50" w:type="dxa"/>
              <w:left w:w="90" w:type="dxa"/>
              <w:right w:w="90" w:type="dxa"/>
            </w:tcMar>
          </w:tcPr>
          <w:p>
            <w:pPr>
              <w:pStyle w:val="BDOITable"/>
            </w:pPr>
            <w:r>
              <w:rPr>
                <w:sz w:val="17"/>
              </w:rPr>
              <w:t>SCR-OP-10 Receipt</w:t>
            </w:r>
          </w:p>
        </w:tc>
        <w:tc>
          <w:tcPr>
            <w:tcW w:type="dxa" w:w="1322"/>
            <w:tcMar>
              <w:top w:w="50" w:type="dxa"/>
              <w:bottom w:w="50" w:type="dxa"/>
              <w:left w:w="90" w:type="dxa"/>
              <w:right w:w="90" w:type="dxa"/>
            </w:tcMar>
          </w:tcPr>
          <w:p>
            <w:pPr>
              <w:pStyle w:val="BDOITable"/>
            </w:pPr>
            <w:r>
              <w:rPr>
                <w:sz w:val="17"/>
              </w:rPr>
              <w:t>WT-A.4</w:t>
            </w:r>
          </w:p>
        </w:tc>
      </w:tr>
    </w:tbl>
    <w:p>
      <w:pPr>
        <w:pStyle w:val="BDOISpacer"/>
      </w:pPr>
    </w:p>
    <w:p>
      <w:pPr>
        <w:pStyle w:val="Heading2"/>
      </w:pPr>
      <w:bookmarkStart w:id="105" w:name="_Toc000105"/>
      <w:r>
        <w:rPr/>
        <w:t>2.2 Act on a collector's request and a check pick-up</w:t>
      </w:r>
      <w:bookmarkEnd w:id="105"/>
    </w:p>
    <w:p>
      <w:r>
        <w:rPr/>
        <w:t>Reference: FRS BRD-04, walkthroughs WT-C step 3 and WT-A step 6.</w:t>
      </w:r>
    </w:p>
    <w:p>
      <w:pPr>
        <w:pStyle w:val="Caption"/>
        <w:keepNext/>
        <w:spacing w:after="60"/>
      </w:pPr>
      <w:r>
        <w:rPr>
          <w:b/>
          <w:i w:val="0"/>
        </w:rPr>
        <w:t xml:space="preserve">Table 2: </w:t>
      </w:r>
      <w:r>
        <w:rPr/>
        <w:t>Act on a collector's request and a check pick-up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Incoming Requests, select the collector request and click Accept Request.</w:t>
            </w:r>
          </w:p>
        </w:tc>
        <w:tc>
          <w:tcPr>
            <w:tcW w:type="dxa" w:w="2523"/>
            <w:tcMar>
              <w:top w:w="50" w:type="dxa"/>
              <w:bottom w:w="50" w:type="dxa"/>
              <w:left w:w="90" w:type="dxa"/>
              <w:right w:w="90" w:type="dxa"/>
            </w:tcMar>
          </w:tcPr>
          <w:p>
            <w:pPr>
              <w:pStyle w:val="BDOITable"/>
            </w:pPr>
            <w:r>
              <w:rPr>
                <w:sz w:val="17"/>
              </w:rPr>
              <w:t>SCR-OP-13 Incoming Requests</w:t>
            </w:r>
          </w:p>
        </w:tc>
        <w:tc>
          <w:tcPr>
            <w:tcW w:type="dxa" w:w="1322"/>
            <w:tcMar>
              <w:top w:w="50" w:type="dxa"/>
              <w:bottom w:w="50" w:type="dxa"/>
              <w:left w:w="90" w:type="dxa"/>
              <w:right w:w="90" w:type="dxa"/>
            </w:tcMar>
          </w:tcPr>
          <w:p>
            <w:pPr>
              <w:pStyle w:val="BDOITable"/>
            </w:pPr>
            <w:r>
              <w:rPr>
                <w:sz w:val="17"/>
              </w:rPr>
              <w:t>BRD-04 WT-C.3</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Check Pick-up to see the pick-ups recorded by the collectors with date, address, contact and amount.</w:t>
            </w:r>
          </w:p>
        </w:tc>
        <w:tc>
          <w:tcPr>
            <w:tcW w:type="dxa" w:w="2523"/>
            <w:tcMar>
              <w:top w:w="50" w:type="dxa"/>
              <w:bottom w:w="50" w:type="dxa"/>
              <w:left w:w="90" w:type="dxa"/>
              <w:right w:w="90" w:type="dxa"/>
            </w:tcMar>
            <w:shd w:val="clear" w:color="auto" w:fill="E5F5FF"/>
          </w:tcPr>
          <w:p>
            <w:pPr>
              <w:pStyle w:val="BDOITable"/>
            </w:pPr>
            <w:r>
              <w:rPr>
                <w:sz w:val="17"/>
              </w:rPr>
              <w:t>Check Pick-up (Cashiering)</w:t>
            </w:r>
          </w:p>
        </w:tc>
        <w:tc>
          <w:tcPr>
            <w:tcW w:type="dxa" w:w="1322"/>
            <w:tcMar>
              <w:top w:w="50" w:type="dxa"/>
              <w:bottom w:w="50" w:type="dxa"/>
              <w:left w:w="90" w:type="dxa"/>
              <w:right w:w="90" w:type="dxa"/>
            </w:tcMar>
            <w:shd w:val="clear" w:color="auto" w:fill="E5F5FF"/>
          </w:tcPr>
          <w:p>
            <w:pPr>
              <w:pStyle w:val="BDOITable"/>
            </w:pPr>
            <w:r>
              <w:rPr>
                <w:sz w:val="17"/>
              </w:rPr>
              <w:t>BRD-04 WT-A.6</w:t>
            </w:r>
          </w:p>
        </w:tc>
      </w:tr>
    </w:tbl>
    <w:p>
      <w:pPr>
        <w:pStyle w:val="BDOISpacer"/>
      </w:pPr>
    </w:p>
    <w:p>
      <w:pPr>
        <w:pStyle w:val="Heading2"/>
      </w:pPr>
      <w:bookmarkStart w:id="106" w:name="_Toc000106"/>
      <w:r>
        <w:rPr/>
        <w:t>2.3 Refund an unapplied payment</w:t>
      </w:r>
      <w:bookmarkEnd w:id="106"/>
    </w:p>
    <w:p>
      <w:r>
        <w:rPr/>
        <w:t>Reference: FRS BRD-02, walkthrough WT-B steps 8-9.</w:t>
      </w:r>
    </w:p>
    <w:p>
      <w:pPr>
        <w:pStyle w:val="Caption"/>
        <w:keepNext/>
        <w:spacing w:after="60"/>
      </w:pPr>
      <w:r>
        <w:rPr>
          <w:b/>
          <w:i w:val="0"/>
        </w:rPr>
        <w:t xml:space="preserve">Table 3: </w:t>
      </w:r>
      <w:r>
        <w:rPr/>
        <w:t>Refund an unapplied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unapplied payment, assign a refund to the client and submit it.</w:t>
            </w:r>
          </w:p>
        </w:tc>
        <w:tc>
          <w:tcPr>
            <w:tcW w:type="dxa" w:w="2523"/>
            <w:tcMar>
              <w:top w:w="50" w:type="dxa"/>
              <w:bottom w:w="50" w:type="dxa"/>
              <w:left w:w="90" w:type="dxa"/>
              <w:right w:w="90" w:type="dxa"/>
            </w:tcMar>
          </w:tcPr>
          <w:p>
            <w:pPr>
              <w:pStyle w:val="BDOITable"/>
            </w:pPr>
            <w:r>
              <w:rPr>
                <w:sz w:val="17"/>
              </w:rPr>
              <w:t>SCR-OP-12 Unapplied Payment</w:t>
            </w:r>
          </w:p>
        </w:tc>
        <w:tc>
          <w:tcPr>
            <w:tcW w:type="dxa" w:w="1322"/>
            <w:tcMar>
              <w:top w:w="50" w:type="dxa"/>
              <w:bottom w:w="50" w:type="dxa"/>
              <w:left w:w="90" w:type="dxa"/>
              <w:right w:w="90" w:type="dxa"/>
            </w:tcMar>
          </w:tcPr>
          <w:p>
            <w:pPr>
              <w:pStyle w:val="BDOITable"/>
            </w:pPr>
            <w:r>
              <w:rPr>
                <w:sz w:val="17"/>
              </w:rPr>
              <w:t>WT-B.8</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The Cashiering Team Leader opens it and clicks Approve.</w:t>
            </w:r>
          </w:p>
        </w:tc>
        <w:tc>
          <w:tcPr>
            <w:tcW w:type="dxa" w:w="2523"/>
            <w:tcMar>
              <w:top w:w="50" w:type="dxa"/>
              <w:bottom w:w="50" w:type="dxa"/>
              <w:left w:w="90" w:type="dxa"/>
              <w:right w:w="90" w:type="dxa"/>
            </w:tcMar>
            <w:shd w:val="clear" w:color="auto" w:fill="E5F5FF"/>
          </w:tcPr>
          <w:p>
            <w:pPr>
              <w:pStyle w:val="BDOITable"/>
            </w:pPr>
            <w:r>
              <w:rPr>
                <w:sz w:val="17"/>
              </w:rPr>
              <w:t>SCR-OP-12 Unapplied Payment</w:t>
            </w:r>
          </w:p>
        </w:tc>
        <w:tc>
          <w:tcPr>
            <w:tcW w:type="dxa" w:w="1322"/>
            <w:tcMar>
              <w:top w:w="50" w:type="dxa"/>
              <w:bottom w:w="50" w:type="dxa"/>
              <w:left w:w="90" w:type="dxa"/>
              <w:right w:w="90" w:type="dxa"/>
            </w:tcMar>
            <w:shd w:val="clear" w:color="auto" w:fill="E5F5FF"/>
          </w:tcPr>
          <w:p>
            <w:pPr>
              <w:pStyle w:val="BDOITable"/>
            </w:pPr>
            <w:r>
              <w:rPr>
                <w:sz w:val="17"/>
              </w:rPr>
              <w:t>WT-B.9</w:t>
            </w:r>
          </w:p>
        </w:tc>
      </w:tr>
    </w:tbl>
    <w:p>
      <w:pPr>
        <w:pStyle w:val="BDOISpacer"/>
      </w:pPr>
    </w:p>
    <w:p>
      <w:pPr>
        <w:pStyle w:val="Heading2"/>
      </w:pPr>
      <w:bookmarkStart w:id="107" w:name="_Toc000107"/>
      <w:r>
        <w:rPr/>
        <w:t>2.4 Cancel a receipt</w:t>
      </w:r>
      <w:bookmarkEnd w:id="107"/>
    </w:p>
    <w:p>
      <w:r>
        <w:rPr/>
        <w:t>Reference: FRS BRD-02, walkthrough WT-D steps 3-4.</w:t>
      </w:r>
    </w:p>
    <w:p>
      <w:pPr>
        <w:pStyle w:val="Caption"/>
        <w:keepNext/>
        <w:spacing w:after="60"/>
      </w:pPr>
      <w:r>
        <w:rPr>
          <w:b/>
          <w:i w:val="0"/>
        </w:rPr>
        <w:t xml:space="preserve">Table 4: </w:t>
      </w:r>
      <w:r>
        <w:rPr/>
        <w:t>Cancel a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receipt, click Cancel Receipt, choose the reason and submit the cancellation.</w:t>
            </w:r>
          </w:p>
        </w:tc>
        <w:tc>
          <w:tcPr>
            <w:tcW w:type="dxa" w:w="2523"/>
            <w:tcMar>
              <w:top w:w="50" w:type="dxa"/>
              <w:bottom w:w="50" w:type="dxa"/>
              <w:left w:w="90" w:type="dxa"/>
              <w:right w:w="90" w:type="dxa"/>
            </w:tcMar>
          </w:tcPr>
          <w:p>
            <w:pPr>
              <w:pStyle w:val="BDOITable"/>
            </w:pPr>
            <w:r>
              <w:rPr>
                <w:sz w:val="17"/>
              </w:rPr>
              <w:t>SCR-OP-10 Receipt</w:t>
            </w:r>
          </w:p>
        </w:tc>
        <w:tc>
          <w:tcPr>
            <w:tcW w:type="dxa" w:w="1322"/>
            <w:tcMar>
              <w:top w:w="50" w:type="dxa"/>
              <w:bottom w:w="50" w:type="dxa"/>
              <w:left w:w="90" w:type="dxa"/>
              <w:right w:w="90" w:type="dxa"/>
            </w:tcMar>
          </w:tcPr>
          <w:p>
            <w:pPr>
              <w:pStyle w:val="BDOITable"/>
            </w:pPr>
            <w:r>
              <w:rPr>
                <w:sz w:val="17"/>
              </w:rPr>
              <w:t>WT-D.3</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The Cashiering Team Leader opens the receipt and clicks Approve and Post.</w:t>
            </w:r>
          </w:p>
        </w:tc>
        <w:tc>
          <w:tcPr>
            <w:tcW w:type="dxa" w:w="2523"/>
            <w:tcMar>
              <w:top w:w="50" w:type="dxa"/>
              <w:bottom w:w="50" w:type="dxa"/>
              <w:left w:w="90" w:type="dxa"/>
              <w:right w:w="90" w:type="dxa"/>
            </w:tcMar>
            <w:shd w:val="clear" w:color="auto" w:fill="E5F5FF"/>
          </w:tcPr>
          <w:p>
            <w:pPr>
              <w:pStyle w:val="BDOITable"/>
            </w:pPr>
            <w:r>
              <w:rPr>
                <w:sz w:val="17"/>
              </w:rPr>
              <w:t>SCR-OP-10 Receipt</w:t>
            </w:r>
          </w:p>
        </w:tc>
        <w:tc>
          <w:tcPr>
            <w:tcW w:type="dxa" w:w="1322"/>
            <w:tcMar>
              <w:top w:w="50" w:type="dxa"/>
              <w:bottom w:w="50" w:type="dxa"/>
              <w:left w:w="90" w:type="dxa"/>
              <w:right w:w="90" w:type="dxa"/>
            </w:tcMar>
            <w:shd w:val="clear" w:color="auto" w:fill="E5F5FF"/>
          </w:tcPr>
          <w:p>
            <w:pPr>
              <w:pStyle w:val="BDOITable"/>
            </w:pPr>
            <w:r>
              <w:rPr>
                <w:sz w:val="17"/>
              </w:rPr>
              <w:t>WT-D.4</w:t>
            </w:r>
          </w:p>
        </w:tc>
      </w:tr>
    </w:tbl>
    <w:p>
      <w:pPr>
        <w:pStyle w:val="BDOISpacer"/>
      </w:pPr>
    </w:p>
    <w:p>
      <w:pPr>
        <w:pStyle w:val="Heading1"/>
        <w:pBdr>
          <w:bottom w:val="single" w:sz="4" w:space="4" w:color="99C1E7"/>
        </w:pBdr>
      </w:pPr>
      <w:bookmarkStart w:id="108" w:name="_Toc000108"/>
      <w:r>
        <w:rPr/>
        <w:t>3 Tips</w:t>
      </w:r>
      <w:bookmarkEnd w:id="108"/>
    </w:p>
    <w:p>
      <w:pPr>
        <w:tabs>
          <w:tab w:pos="312" w:val="left"/>
        </w:tabs>
        <w:spacing w:after="40"/>
        <w:ind w:left="312" w:hanging="283"/>
      </w:pPr>
      <w:r>
        <w:rPr>
          <w:color w:val="004EA8"/>
        </w:rPr>
        <w:t>•</w:t>
        <w:tab/>
      </w:r>
      <w:r>
        <w:rPr/>
        <w:t>Payment Uploads accept the Excel template as well as CSV or TXT files.</w:t>
      </w:r>
    </w:p>
    <w:p>
      <w:pPr>
        <w:tabs>
          <w:tab w:pos="312" w:val="left"/>
        </w:tabs>
        <w:spacing w:after="40"/>
        <w:ind w:left="312" w:hanging="283"/>
      </w:pPr>
      <w:r>
        <w:rPr>
          <w:color w:val="004EA8"/>
        </w:rPr>
        <w:t>•</w:t>
        <w:tab/>
      </w:r>
      <w:r>
        <w:rPr/>
        <w:t>A receipt cancellation is posted only after the Team Leader's approval.</w:t>
      </w:r>
    </w:p>
    <w:p>
      <w:pPr>
        <w:tabs>
          <w:tab w:pos="312" w:val="left"/>
        </w:tabs>
        <w:spacing w:after="120"/>
        <w:ind w:left="312" w:hanging="283"/>
      </w:pPr>
      <w:r>
        <w:rPr>
          <w:color w:val="004EA8"/>
        </w:rPr>
        <w:t>•</w:t>
        <w:tab/>
      </w:r>
      <w:r>
        <w:rPr/>
        <w:t>Check the preview before Issue AR and Apply: the receipt number is issued from the receipt series.</w:t>
      </w:r>
    </w:p>
    <w:p>
      <w:pPr>
        <w:pStyle w:val="Heading1"/>
        <w:pBdr>
          <w:bottom w:val="single" w:sz="4" w:space="4" w:color="99C1E7"/>
        </w:pBdr>
      </w:pPr>
      <w:bookmarkStart w:id="109" w:name="_Toc000109"/>
      <w:r>
        <w:rPr/>
        <w:t>4 Where to get help</w:t>
      </w:r>
      <w:bookmarkEnd w:id="109"/>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Cashier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Cashier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