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Processing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BIBS-QRG-PROC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Processing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2.1 Validate an account or return it to Marketing</w:t>
        </w:r>
        <w:r>
          <w:t xml:space="preserve">	</w:t>
        </w:r>
        <w:r>
          <w:t xml:space="preserve">4</w:t>
        </w:r>
      </w:hyperlink>
    </w:p>
    <w:p>
      <w:pPr>
        <w:pStyle w:val="toc2"/>
      </w:pPr>
      <w:hyperlink w:anchor="_Toc000105" w:history="1">
        <w:r>
          <w:t xml:space="preserve">2.2 Pass the payment gate (CLPC accounts)</w:t>
        </w:r>
        <w:r>
          <w:t xml:space="preserve">	</w:t>
        </w:r>
        <w:r>
          <w:t xml:space="preserve">4</w:t>
        </w:r>
      </w:hyperlink>
    </w:p>
    <w:p>
      <w:pPr>
        <w:pStyle w:val="toc2"/>
      </w:pPr>
      <w:hyperlink w:anchor="_Toc000106" w:history="1">
        <w:r>
          <w:t xml:space="preserve">2.3 Place the account and confirm the policy</w:t>
        </w:r>
        <w:r>
          <w:t xml:space="preserve">	</w:t>
        </w:r>
        <w:r>
          <w:t xml:space="preserve">5</w:t>
        </w:r>
      </w:hyperlink>
    </w:p>
    <w:p>
      <w:pPr>
        <w:pStyle w:val="toc2"/>
      </w:pPr>
      <w:hyperlink w:anchor="_Toc000107" w:history="1">
        <w:r>
          <w:t xml:space="preserve">2.4 Book the account</w:t>
        </w:r>
        <w:r>
          <w:t xml:space="preserve">	</w:t>
        </w:r>
        <w:r>
          <w:t xml:space="preserve">5</w:t>
        </w:r>
      </w:hyperlink>
    </w:p>
    <w:p>
      <w:pPr>
        <w:pStyle w:val="toc2"/>
      </w:pPr>
      <w:hyperlink w:anchor="_Toc000108" w:history="1">
        <w:r>
          <w:t xml:space="preserve">2.5 Handle an insurer return</w:t>
        </w:r>
        <w:r>
          <w:t xml:space="preserve">	</w:t>
        </w:r>
        <w:r>
          <w:t xml:space="preserve">5</w:t>
        </w:r>
      </w:hyperlink>
    </w:p>
    <w:p>
      <w:pPr>
        <w:pStyle w:val="toc1"/>
      </w:pPr>
      <w:hyperlink w:anchor="_Toc000109" w:history="1">
        <w:r>
          <w:t xml:space="preserve">3 Tips</w:t>
        </w:r>
        <w:r>
          <w:t xml:space="preserve">	</w:t>
        </w:r>
        <w:r>
          <w:t xml:space="preserve">5</w:t>
        </w:r>
      </w:hyperlink>
    </w:p>
    <w:p>
      <w:pPr>
        <w:pStyle w:val="toc1"/>
      </w:pPr>
      <w:hyperlink w:anchor="_Toc000110" w:history="1">
        <w:r>
          <w:t xml:space="preserve">4 Where to get help</w:t>
        </w:r>
        <w:r>
          <w:t xml:space="preserve">	</w:t>
        </w:r>
        <w:r>
          <w:t xml:space="preserve">6</w:t>
        </w:r>
      </w:hyperlink>
      <w:r>
        <w:fldChar w:fldCharType="end"/>
      </w:r>
    </w:p>
    <w:p>
      <w:pPr>
        <w:pStyle w:val="Heading1"/>
        <w:pageBreakBefore/>
        <w:pBdr>
          <w:bottom w:val="single" w:sz="4" w:space="4" w:color="99C1E7"/>
        </w:pBdr>
      </w:pPr>
      <w:bookmarkStart w:id="101" w:name="_Toc000101"/>
      <w:r>
        <w:rPr/>
        <w:t>1 Your role in BIBS</w:t>
      </w:r>
      <w:bookmarkEnd w:id="101"/>
    </w:p>
    <w:p>
      <w:r>
        <w:rPr/>
        <w:t>You turn an accepted quotation into a booked policy. In BIBS you validate the accounts submitted by Marketing, check the payment gate, place the account with the insurer, receive and confirm the e-policy, issue the Insurance Advice and book the account, which creates the invoice, the journal and the open items for Operations and Accounting.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Processing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BRD-01 New Business, BRD-12 Submitted Policies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My Work: placement and booking queues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Client &amp; Policy &gt; Accounts &amp; Placement: Accounts</w:t>
      </w:r>
    </w:p>
    <w:p>
      <w:pPr>
        <w:tabs>
          <w:tab w:pos="312" w:val="left"/>
        </w:tabs>
        <w:spacing w:after="40"/>
        <w:ind w:left="312" w:hanging="283"/>
      </w:pPr>
      <w:r>
        <w:rPr>
          <w:color w:val="004EA8"/>
        </w:rPr>
        <w:t>•</w:t>
        <w:tab/>
      </w:r>
      <w:r>
        <w:rPr/>
        <w:t>Client &amp; Policy &gt; Placement &amp; Booking: Placement Workbench, Placement Slips, CLPC Billing</w:t>
      </w:r>
    </w:p>
    <w:p>
      <w:pPr>
        <w:tabs>
          <w:tab w:pos="312" w:val="left"/>
        </w:tabs>
        <w:spacing w:after="40"/>
        <w:ind w:left="312" w:hanging="283"/>
      </w:pPr>
      <w:r>
        <w:rPr>
          <w:color w:val="004EA8"/>
        </w:rPr>
        <w:t>•</w:t>
        <w:tab/>
      </w:r>
      <w:r>
        <w:rPr/>
        <w:t>Client &amp; Policy &gt; Policy Issuance: Issuance Workbench, E-policy Upload, Insurance Advice, E-policy Dispatch</w:t>
      </w:r>
    </w:p>
    <w:p>
      <w:pPr>
        <w:tabs>
          <w:tab w:pos="312" w:val="left"/>
        </w:tabs>
        <w:spacing w:after="40"/>
        <w:ind w:left="312" w:hanging="283"/>
      </w:pPr>
      <w:r>
        <w:rPr>
          <w:color w:val="004EA8"/>
        </w:rPr>
        <w:t>•</w:t>
        <w:tab/>
      </w:r>
      <w:r>
        <w:rPr/>
        <w:t>Client &amp; Policy &gt; Booking: Booking Workbench, Endorsements, Service Invoices, Batch Runs</w:t>
      </w:r>
    </w:p>
    <w:p>
      <w:pPr>
        <w:tabs>
          <w:tab w:pos="312" w:val="left"/>
        </w:tabs>
        <w:spacing w:after="120"/>
        <w:ind w:left="312" w:hanging="283"/>
      </w:pPr>
      <w:r>
        <w:rPr>
          <w:color w:val="004EA8"/>
        </w:rPr>
        <w:t>•</w:t>
        <w:tab/>
      </w:r>
      <w:r>
        <w:rPr/>
        <w:t>Client &amp; Policy &gt; Submitted Policies; Bulk Processing &gt; Bulk Uploads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2.1 Validate an account or return it to Marketing</w:t>
      </w:r>
      <w:bookmarkEnd w:id="104"/>
    </w:p>
    <w:p>
      <w:r>
        <w:rPr/>
        <w:t>Reference: FRS BRD-01, walkthroughs WT-A step 10 and WT-C steps 5-6.</w:t>
      </w:r>
    </w:p>
    <w:p>
      <w:pPr>
        <w:pStyle w:val="Caption"/>
        <w:keepNext/>
        <w:spacing w:after="60"/>
      </w:pPr>
      <w:r>
        <w:rPr>
          <w:b/>
          <w:i w:val="0"/>
        </w:rPr>
        <w:t xml:space="preserve">Table 1: </w:t>
      </w:r>
      <w:r>
        <w:rPr/>
        <w:t>Validate an account or return it to Marketing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account from My Work and click Validate. It moves to Awaiting payment or Ready for placement.</w:t>
            </w:r>
          </w:p>
        </w:tc>
        <w:tc>
          <w:tcPr>
            <w:tcW w:type="dxa" w:w="2523"/>
            <w:tcMar>
              <w:top w:w="50" w:type="dxa"/>
              <w:bottom w:w="50" w:type="dxa"/>
              <w:left w:w="90" w:type="dxa"/>
              <w:right w:w="90" w:type="dxa"/>
            </w:tcMar>
          </w:tcPr>
          <w:p>
            <w:pPr>
              <w:pStyle w:val="BDOITable"/>
            </w:pPr>
            <w:r>
              <w:rPr>
                <w:sz w:val="17"/>
              </w:rPr>
              <w:t>SCR-NB-15 Account record</w:t>
            </w:r>
          </w:p>
        </w:tc>
        <w:tc>
          <w:tcPr>
            <w:tcW w:type="dxa" w:w="1322"/>
            <w:tcMar>
              <w:top w:w="50" w:type="dxa"/>
              <w:bottom w:w="50" w:type="dxa"/>
              <w:left w:w="90" w:type="dxa"/>
              <w:right w:w="90" w:type="dxa"/>
            </w:tcMar>
          </w:tcPr>
          <w:p>
            <w:pPr>
              <w:pStyle w:val="BDOITable"/>
            </w:pPr>
            <w:r>
              <w:rPr>
                <w:sz w:val="17"/>
              </w:rPr>
              <w:t>WT-A.10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If documents are missing, click Return To Marketing with the reason.</w:t>
            </w:r>
          </w:p>
        </w:tc>
        <w:tc>
          <w:tcPr>
            <w:tcW w:type="dxa" w:w="2523"/>
            <w:tcMar>
              <w:top w:w="50" w:type="dxa"/>
              <w:bottom w:w="50" w:type="dxa"/>
              <w:left w:w="90" w:type="dxa"/>
              <w:right w:w="90" w:type="dxa"/>
            </w:tcMar>
            <w:shd w:val="clear" w:color="auto" w:fill="E5F5FF"/>
          </w:tcPr>
          <w:p>
            <w:pPr>
              <w:pStyle w:val="BDOITable"/>
            </w:pPr>
            <w:r>
              <w:rPr>
                <w:sz w:val="17"/>
              </w:rPr>
              <w:t>SCR-NB-15 Account record</w:t>
            </w:r>
          </w:p>
        </w:tc>
        <w:tc>
          <w:tcPr>
            <w:tcW w:type="dxa" w:w="1322"/>
            <w:tcMar>
              <w:top w:w="50" w:type="dxa"/>
              <w:bottom w:w="50" w:type="dxa"/>
              <w:left w:w="90" w:type="dxa"/>
              <w:right w:w="90" w:type="dxa"/>
            </w:tcMar>
            <w:shd w:val="clear" w:color="auto" w:fill="E5F5FF"/>
          </w:tcPr>
          <w:p>
            <w:pPr>
              <w:pStyle w:val="BDOITable"/>
            </w:pPr>
            <w:r>
              <w:rPr>
                <w:sz w:val="17"/>
              </w:rPr>
              <w:t>WT-C.6</w:t>
            </w:r>
          </w:p>
        </w:tc>
      </w:tr>
    </w:tbl>
    <w:p>
      <w:pPr>
        <w:pStyle w:val="BDOISpacer"/>
      </w:pPr>
    </w:p>
    <w:p>
      <w:pPr>
        <w:pStyle w:val="Heading2"/>
      </w:pPr>
      <w:bookmarkStart w:id="105" w:name="_Toc000105"/>
      <w:r>
        <w:rPr/>
        <w:t>2.2 Pass the payment gate (CLPC accounts)</w:t>
      </w:r>
      <w:bookmarkEnd w:id="105"/>
    </w:p>
    <w:p>
      <w:r>
        <w:rPr/>
        <w:t>Reference: FRS BRD-01, walkthrough WT-A step 11.</w:t>
      </w:r>
    </w:p>
    <w:p>
      <w:pPr>
        <w:pStyle w:val="Caption"/>
        <w:keepNext/>
        <w:spacing w:after="60"/>
      </w:pPr>
      <w:r>
        <w:rPr>
          <w:b/>
          <w:i w:val="0"/>
        </w:rPr>
        <w:t xml:space="preserve">Table 2: </w:t>
      </w:r>
      <w:r>
        <w:rPr/>
        <w:t>Pass the payment gate (CLPC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Bill the account on CLPC Billing and download the file.</w:t>
            </w:r>
          </w:p>
        </w:tc>
        <w:tc>
          <w:tcPr>
            <w:tcW w:type="dxa" w:w="2523"/>
            <w:tcMar>
              <w:top w:w="50" w:type="dxa"/>
              <w:bottom w:w="50" w:type="dxa"/>
              <w:left w:w="90" w:type="dxa"/>
              <w:right w:w="90" w:type="dxa"/>
            </w:tcMar>
          </w:tcPr>
          <w:p>
            <w:pPr>
              <w:pStyle w:val="BDOITable"/>
            </w:pPr>
            <w:r>
              <w:rPr>
                <w:sz w:val="17"/>
              </w:rPr>
              <w:t>SCR-NB-21 CLPC Billing</w:t>
            </w:r>
          </w:p>
        </w:tc>
        <w:tc>
          <w:tcPr>
            <w:tcW w:type="dxa" w:w="1322"/>
            <w:tcMar>
              <w:top w:w="50" w:type="dxa"/>
              <w:bottom w:w="50" w:type="dxa"/>
              <w:left w:w="90" w:type="dxa"/>
              <w:right w:w="90" w:type="dxa"/>
            </w:tcMar>
          </w:tcPr>
          <w:p>
            <w:pPr>
              <w:pStyle w:val="BDOITable"/>
            </w:pPr>
            <w:r>
              <w:rPr>
                <w:sz w:val="17"/>
              </w:rPr>
              <w:t>WT-A.11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Upload CLPC's payment report and confirm the matches. Confirm Matches opens the payment gate.</w:t>
            </w:r>
          </w:p>
        </w:tc>
        <w:tc>
          <w:tcPr>
            <w:tcW w:type="dxa" w:w="2523"/>
            <w:tcMar>
              <w:top w:w="50" w:type="dxa"/>
              <w:bottom w:w="50" w:type="dxa"/>
              <w:left w:w="90" w:type="dxa"/>
              <w:right w:w="90" w:type="dxa"/>
            </w:tcMar>
            <w:shd w:val="clear" w:color="auto" w:fill="E5F5FF"/>
          </w:tcPr>
          <w:p>
            <w:pPr>
              <w:pStyle w:val="BDOITable"/>
            </w:pPr>
            <w:r>
              <w:rPr>
                <w:sz w:val="17"/>
              </w:rPr>
              <w:t>SCR-NB-22 Payment Report</w:t>
            </w:r>
          </w:p>
        </w:tc>
        <w:tc>
          <w:tcPr>
            <w:tcW w:type="dxa" w:w="1322"/>
            <w:tcMar>
              <w:top w:w="50" w:type="dxa"/>
              <w:bottom w:w="50" w:type="dxa"/>
              <w:left w:w="90" w:type="dxa"/>
              <w:right w:w="90" w:type="dxa"/>
            </w:tcMar>
            <w:shd w:val="clear" w:color="auto" w:fill="E5F5FF"/>
          </w:tcPr>
          <w:p>
            <w:pPr>
              <w:pStyle w:val="BDOITable"/>
            </w:pPr>
            <w:r>
              <w:rPr>
                <w:sz w:val="17"/>
              </w:rPr>
              <w:t>WT-A.11</w:t>
            </w:r>
          </w:p>
        </w:tc>
      </w:tr>
    </w:tbl>
    <w:p>
      <w:pPr>
        <w:pStyle w:val="BDOISpacer"/>
      </w:pPr>
    </w:p>
    <w:p>
      <w:pPr>
        <w:pStyle w:val="Heading2"/>
      </w:pPr>
      <w:bookmarkStart w:id="106" w:name="_Toc000106"/>
      <w:r>
        <w:rPr/>
        <w:t>2.3 Place the account and confirm the policy</w:t>
      </w:r>
      <w:bookmarkEnd w:id="106"/>
    </w:p>
    <w:p>
      <w:r>
        <w:rPr/>
        <w:t>Reference: FRS BRD-01, walkthrough WT-A steps 12-14.</w:t>
      </w:r>
    </w:p>
    <w:p>
      <w:pPr>
        <w:pStyle w:val="Caption"/>
        <w:keepNext/>
        <w:spacing w:after="60"/>
      </w:pPr>
      <w:r>
        <w:rPr>
          <w:b/>
          <w:i w:val="0"/>
        </w:rPr>
        <w:t xml:space="preserve">Table 3: </w:t>
      </w:r>
      <w:r>
        <w:rPr/>
        <w:t>Place the account and confirm the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Select the account on the Placement Workbench, click For Placement, then Generate Slips, then Send Slips.</w:t>
            </w:r>
          </w:p>
        </w:tc>
        <w:tc>
          <w:tcPr>
            <w:tcW w:type="dxa" w:w="2523"/>
            <w:tcMar>
              <w:top w:w="50" w:type="dxa"/>
              <w:bottom w:w="50" w:type="dxa"/>
              <w:left w:w="90" w:type="dxa"/>
              <w:right w:w="90" w:type="dxa"/>
            </w:tcMar>
          </w:tcPr>
          <w:p>
            <w:pPr>
              <w:pStyle w:val="BDOITable"/>
            </w:pPr>
            <w:r>
              <w:rPr>
                <w:sz w:val="17"/>
              </w:rPr>
              <w:t>SCR-NB-18 Placement Workbench</w:t>
            </w:r>
          </w:p>
        </w:tc>
        <w:tc>
          <w:tcPr>
            <w:tcW w:type="dxa" w:w="1322"/>
            <w:tcMar>
              <w:top w:w="50" w:type="dxa"/>
              <w:bottom w:w="50" w:type="dxa"/>
              <w:left w:w="90" w:type="dxa"/>
              <w:right w:w="90" w:type="dxa"/>
            </w:tcMar>
          </w:tcPr>
          <w:p>
            <w:pPr>
              <w:pStyle w:val="BDOITable"/>
            </w:pPr>
            <w:r>
              <w:rPr>
                <w:sz w:val="17"/>
              </w:rPr>
              <w:t>WT-A.12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Upload the insurer's e-policy PDF with the ARN. The Extraction Review opens.</w:t>
            </w:r>
          </w:p>
        </w:tc>
        <w:tc>
          <w:tcPr>
            <w:tcW w:type="dxa" w:w="2523"/>
            <w:tcMar>
              <w:top w:w="50" w:type="dxa"/>
              <w:bottom w:w="50" w:type="dxa"/>
              <w:left w:w="90" w:type="dxa"/>
              <w:right w:w="90" w:type="dxa"/>
            </w:tcMar>
            <w:shd w:val="clear" w:color="auto" w:fill="E5F5FF"/>
          </w:tcPr>
          <w:p>
            <w:pPr>
              <w:pStyle w:val="BDOITable"/>
            </w:pPr>
            <w:r>
              <w:rPr>
                <w:sz w:val="17"/>
              </w:rPr>
              <w:t>SCR-NB-24 E-policy Upload</w:t>
            </w:r>
          </w:p>
        </w:tc>
        <w:tc>
          <w:tcPr>
            <w:tcW w:type="dxa" w:w="1322"/>
            <w:tcMar>
              <w:top w:w="50" w:type="dxa"/>
              <w:bottom w:w="50" w:type="dxa"/>
              <w:left w:w="90" w:type="dxa"/>
              <w:right w:w="90" w:type="dxa"/>
            </w:tcMar>
            <w:shd w:val="clear" w:color="auto" w:fill="E5F5FF"/>
          </w:tcPr>
          <w:p>
            <w:pPr>
              <w:pStyle w:val="BDOITable"/>
            </w:pPr>
            <w:r>
              <w:rPr>
                <w:sz w:val="17"/>
              </w:rPr>
              <w:t>WT-A.13</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Check the extracted policy number against the account and click Confirm Policy. The Insurance Advice is generated.</w:t>
            </w:r>
          </w:p>
        </w:tc>
        <w:tc>
          <w:tcPr>
            <w:tcW w:type="dxa" w:w="2523"/>
            <w:tcMar>
              <w:top w:w="50" w:type="dxa"/>
              <w:bottom w:w="50" w:type="dxa"/>
              <w:left w:w="90" w:type="dxa"/>
              <w:right w:w="90" w:type="dxa"/>
            </w:tcMar>
          </w:tcPr>
          <w:p>
            <w:pPr>
              <w:pStyle w:val="BDOITable"/>
            </w:pPr>
            <w:r>
              <w:rPr>
                <w:sz w:val="17"/>
              </w:rPr>
              <w:t>SCR-NB-25 Extraction Review</w:t>
            </w:r>
          </w:p>
        </w:tc>
        <w:tc>
          <w:tcPr>
            <w:tcW w:type="dxa" w:w="1322"/>
            <w:tcMar>
              <w:top w:w="50" w:type="dxa"/>
              <w:bottom w:w="50" w:type="dxa"/>
              <w:left w:w="90" w:type="dxa"/>
              <w:right w:w="90" w:type="dxa"/>
            </w:tcMar>
          </w:tcPr>
          <w:p>
            <w:pPr>
              <w:pStyle w:val="BDOITable"/>
            </w:pPr>
            <w:r>
              <w:rPr>
                <w:sz w:val="17"/>
              </w:rPr>
              <w:t>WT-A.14</w:t>
            </w:r>
          </w:p>
        </w:tc>
      </w:tr>
    </w:tbl>
    <w:p>
      <w:pPr>
        <w:pStyle w:val="BDOISpacer"/>
      </w:pPr>
    </w:p>
    <w:p>
      <w:pPr>
        <w:pStyle w:val="Heading2"/>
      </w:pPr>
      <w:bookmarkStart w:id="107" w:name="_Toc000107"/>
      <w:r>
        <w:rPr/>
        <w:t>2.4 Book the account</w:t>
      </w:r>
      <w:bookmarkEnd w:id="107"/>
    </w:p>
    <w:p>
      <w:r>
        <w:rPr/>
        <w:t>Reference: FRS BRD-01, walkthrough WT-A steps 16-17.</w:t>
      </w:r>
    </w:p>
    <w:p>
      <w:pPr>
        <w:pStyle w:val="Caption"/>
        <w:keepNext/>
        <w:spacing w:after="60"/>
      </w:pPr>
      <w:r>
        <w:rPr>
          <w:b/>
          <w:i w:val="0"/>
        </w:rPr>
        <w:t xml:space="preserve">Table 4: </w:t>
      </w:r>
      <w:r>
        <w:rPr/>
        <w:t>Book the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account from Ready to Book, check the invoice and the journal preview and click Book Account.</w:t>
            </w:r>
          </w:p>
        </w:tc>
        <w:tc>
          <w:tcPr>
            <w:tcW w:type="dxa" w:w="2523"/>
            <w:tcMar>
              <w:top w:w="50" w:type="dxa"/>
              <w:bottom w:w="50" w:type="dxa"/>
              <w:left w:w="90" w:type="dxa"/>
              <w:right w:w="90" w:type="dxa"/>
            </w:tcMar>
          </w:tcPr>
          <w:p>
            <w:pPr>
              <w:pStyle w:val="BDOITable"/>
            </w:pPr>
            <w:r>
              <w:rPr>
                <w:sz w:val="17"/>
              </w:rPr>
              <w:t>SCR-NB-29 Pre-booking Confirmation</w:t>
            </w:r>
          </w:p>
        </w:tc>
        <w:tc>
          <w:tcPr>
            <w:tcW w:type="dxa" w:w="1322"/>
            <w:tcMar>
              <w:top w:w="50" w:type="dxa"/>
              <w:bottom w:w="50" w:type="dxa"/>
              <w:left w:w="90" w:type="dxa"/>
              <w:right w:w="90" w:type="dxa"/>
            </w:tcMar>
          </w:tcPr>
          <w:p>
            <w:pPr>
              <w:pStyle w:val="BDOITable"/>
            </w:pPr>
            <w:r>
              <w:rPr>
                <w:sz w:val="17"/>
              </w:rPr>
              <w:t>WT-A.16</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Review the Journal and Open Items tabs of the booked invoice.</w:t>
            </w:r>
          </w:p>
        </w:tc>
        <w:tc>
          <w:tcPr>
            <w:tcW w:type="dxa" w:w="2523"/>
            <w:tcMar>
              <w:top w:w="50" w:type="dxa"/>
              <w:bottom w:w="50" w:type="dxa"/>
              <w:left w:w="90" w:type="dxa"/>
              <w:right w:w="90" w:type="dxa"/>
            </w:tcMar>
            <w:shd w:val="clear" w:color="auto" w:fill="E5F5FF"/>
          </w:tcPr>
          <w:p>
            <w:pPr>
              <w:pStyle w:val="BDOITable"/>
            </w:pPr>
            <w:r>
              <w:rPr>
                <w:sz w:val="17"/>
              </w:rPr>
              <w:t>SCR-NB-30 Booked Invoice</w:t>
            </w:r>
          </w:p>
        </w:tc>
        <w:tc>
          <w:tcPr>
            <w:tcW w:type="dxa" w:w="1322"/>
            <w:tcMar>
              <w:top w:w="50" w:type="dxa"/>
              <w:bottom w:w="50" w:type="dxa"/>
              <w:left w:w="90" w:type="dxa"/>
              <w:right w:w="90" w:type="dxa"/>
            </w:tcMar>
            <w:shd w:val="clear" w:color="auto" w:fill="E5F5FF"/>
          </w:tcPr>
          <w:p>
            <w:pPr>
              <w:pStyle w:val="BDOITable"/>
            </w:pPr>
            <w:r>
              <w:rPr>
                <w:sz w:val="17"/>
              </w:rPr>
              <w:t>WT-A.17</w:t>
            </w:r>
          </w:p>
        </w:tc>
      </w:tr>
    </w:tbl>
    <w:p>
      <w:pPr>
        <w:pStyle w:val="BDOISpacer"/>
      </w:pPr>
    </w:p>
    <w:p>
      <w:pPr>
        <w:pStyle w:val="Heading2"/>
      </w:pPr>
      <w:bookmarkStart w:id="108" w:name="_Toc000108"/>
      <w:r>
        <w:rPr/>
        <w:t>2.5 Handle an insurer return</w:t>
      </w:r>
      <w:bookmarkEnd w:id="108"/>
    </w:p>
    <w:p>
      <w:r>
        <w:rPr/>
        <w:t>Reference: FRS BRD-01, walkthrough WT-C steps 8-9.</w:t>
      </w:r>
    </w:p>
    <w:p>
      <w:pPr>
        <w:pStyle w:val="Caption"/>
        <w:keepNext/>
        <w:spacing w:after="60"/>
      </w:pPr>
      <w:r>
        <w:rPr>
          <w:b/>
          <w:i w:val="0"/>
        </w:rPr>
        <w:t xml:space="preserve">Table 5: </w:t>
      </w:r>
      <w:r>
        <w:rPr/>
        <w:t>Handle an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Record the insurer return on the placed account with the reason.</w:t>
            </w:r>
          </w:p>
        </w:tc>
        <w:tc>
          <w:tcPr>
            <w:tcW w:type="dxa" w:w="2523"/>
            <w:tcMar>
              <w:top w:w="50" w:type="dxa"/>
              <w:bottom w:w="50" w:type="dxa"/>
              <w:left w:w="90" w:type="dxa"/>
              <w:right w:w="90" w:type="dxa"/>
            </w:tcMar>
          </w:tcPr>
          <w:p>
            <w:pPr>
              <w:pStyle w:val="BDOITable"/>
            </w:pPr>
            <w:r>
              <w:rPr>
                <w:sz w:val="17"/>
              </w:rPr>
              <w:t>SCR-NB-19 Account Placement</w:t>
            </w:r>
          </w:p>
        </w:tc>
        <w:tc>
          <w:tcPr>
            <w:tcW w:type="dxa" w:w="1322"/>
            <w:tcMar>
              <w:top w:w="50" w:type="dxa"/>
              <w:bottom w:w="50" w:type="dxa"/>
              <w:left w:w="90" w:type="dxa"/>
              <w:right w:w="90" w:type="dxa"/>
            </w:tcMar>
          </w:tcPr>
          <w:p>
            <w:pPr>
              <w:pStyle w:val="BDOITable"/>
            </w:pPr>
            <w:r>
              <w:rPr>
                <w:sz w:val="17"/>
              </w:rPr>
              <w:t>WT-C.8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Click Resubmit for Placement, then Generate Placement Slip, and send the new slip from the Placement Slips tab. The earlier version shows Superseded.</w:t>
            </w:r>
          </w:p>
        </w:tc>
        <w:tc>
          <w:tcPr>
            <w:tcW w:type="dxa" w:w="2523"/>
            <w:tcMar>
              <w:top w:w="50" w:type="dxa"/>
              <w:bottom w:w="50" w:type="dxa"/>
              <w:left w:w="90" w:type="dxa"/>
              <w:right w:w="90" w:type="dxa"/>
            </w:tcMar>
            <w:shd w:val="clear" w:color="auto" w:fill="E5F5FF"/>
          </w:tcPr>
          <w:p>
            <w:pPr>
              <w:pStyle w:val="BDOITable"/>
            </w:pPr>
            <w:r>
              <w:rPr>
                <w:sz w:val="17"/>
              </w:rPr>
              <w:t>SCR-NB-19 Account Placement</w:t>
            </w:r>
          </w:p>
        </w:tc>
        <w:tc>
          <w:tcPr>
            <w:tcW w:type="dxa" w:w="1322"/>
            <w:tcMar>
              <w:top w:w="50" w:type="dxa"/>
              <w:bottom w:w="50" w:type="dxa"/>
              <w:left w:w="90" w:type="dxa"/>
              <w:right w:w="90" w:type="dxa"/>
            </w:tcMar>
            <w:shd w:val="clear" w:color="auto" w:fill="E5F5FF"/>
          </w:tcPr>
          <w:p>
            <w:pPr>
              <w:pStyle w:val="BDOITable"/>
            </w:pPr>
            <w:r>
              <w:rPr>
                <w:sz w:val="17"/>
              </w:rPr>
              <w:t>WT-C.9</w:t>
            </w:r>
          </w:p>
        </w:tc>
      </w:tr>
    </w:tbl>
    <w:p>
      <w:pPr>
        <w:pStyle w:val="BDOISpacer"/>
      </w:pPr>
    </w:p>
    <w:p>
      <w:pPr>
        <w:pStyle w:val="Heading1"/>
        <w:pBdr>
          <w:bottom w:val="single" w:sz="4" w:space="4" w:color="99C1E7"/>
        </w:pBdr>
      </w:pPr>
      <w:bookmarkStart w:id="109" w:name="_Toc000109"/>
      <w:r>
        <w:rPr/>
        <w:t>3 Tips</w:t>
      </w:r>
      <w:bookmarkEnd w:id="109"/>
    </w:p>
    <w:p>
      <w:pPr>
        <w:tabs>
          <w:tab w:pos="312" w:val="left"/>
        </w:tabs>
        <w:spacing w:after="40"/>
        <w:ind w:left="312" w:hanging="283"/>
      </w:pPr>
      <w:r>
        <w:rPr>
          <w:color w:val="004EA8"/>
        </w:rPr>
        <w:t>•</w:t>
        <w:tab/>
      </w:r>
      <w:r>
        <w:rPr/>
        <w:t>An account is booked once: a second booking of the same ARN and transaction is refused (Help Center, Booking Workbench).</w:t>
      </w:r>
    </w:p>
    <w:p>
      <w:pPr>
        <w:tabs>
          <w:tab w:pos="312" w:val="left"/>
        </w:tabs>
        <w:spacing w:after="40"/>
        <w:ind w:left="312" w:hanging="283"/>
      </w:pPr>
      <w:r>
        <w:rPr>
          <w:color w:val="004EA8"/>
        </w:rPr>
        <w:t>•</w:t>
        <w:tab/>
      </w:r>
      <w:r>
        <w:rPr/>
        <w:t>The booking date cannot be in the future and its accounting period must be open.</w:t>
      </w:r>
    </w:p>
    <w:p>
      <w:pPr>
        <w:tabs>
          <w:tab w:pos="312" w:val="left"/>
        </w:tabs>
        <w:spacing w:after="120"/>
        <w:ind w:left="312" w:hanging="283"/>
      </w:pPr>
      <w:r>
        <w:rPr>
          <w:color w:val="004EA8"/>
        </w:rPr>
        <w:t>•</w:t>
        <w:tab/>
      </w:r>
      <w:r>
        <w:rPr/>
        <w:t>Validate is refused when the client is not confirmed: "Client &lt;code&gt; is not yet confirmed (onboarding and KYC incomplete)" (WT-C.5).</w:t>
      </w:r>
    </w:p>
    <w:p>
      <w:pPr>
        <w:pStyle w:val="Heading1"/>
        <w:pBdr>
          <w:bottom w:val="single" w:sz="4" w:space="4" w:color="99C1E7"/>
        </w:pBdr>
      </w:pPr>
      <w:bookmarkStart w:id="110" w:name="_Toc000110"/>
      <w:r>
        <w:rPr/>
        <w:t>4 Where to get help</w:t>
      </w:r>
      <w:bookmarkEnd w:id="110"/>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Processing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Processing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