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2232000" cy="454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o-ins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54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/>
        <w:pBdr>
          <w:bottom w:val="single" w:sz="12" w:space="1" w:color="FDB913"/>
        </w:pBdr>
      </w:pPr>
    </w:p>
    <w:p>
      <w:pPr>
        <w:spacing w:before="1600" w:after="0"/>
      </w:pPr>
    </w:p>
    <w:p>
      <w:pPr>
        <w:spacing w:after="120"/>
      </w:pPr>
      <w:r>
        <w:rPr>
          <w:b/>
          <w:color w:val="0072D8"/>
          <w:sz w:val="22"/>
        </w:rPr>
        <w:t>RUNBOOK</w:t>
      </w:r>
    </w:p>
    <w:p>
      <w:pPr>
        <w:spacing w:after="80" w:line="240" w:lineRule="auto"/>
      </w:pPr>
      <w:r>
        <w:rPr>
          <w:b/>
          <w:color w:val="004EA8"/>
          <w:sz w:val="56"/>
        </w:rPr>
        <w:t>Cutover Runbook</w:t>
      </w:r>
    </w:p>
    <w:p>
      <w:pPr>
        <w:spacing w:after="40"/>
      </w:pPr>
      <w:r>
        <w:rPr>
          <w:color w:val="2E2E2E"/>
          <w:sz w:val="28"/>
        </w:rPr>
        <w:t>BRD-13 Data Migration - production cutover from T-30 to hypercare exit</w:t>
      </w:r>
    </w:p>
    <w:p>
      <w:pPr>
        <w:spacing w:after="560"/>
      </w:pPr>
      <w:r>
        <w:rPr>
          <w:color w:val="656565"/>
          <w:sz w:val="24"/>
        </w:rPr>
        <w:t>BIBS – BDOI Broker System</w:t>
      </w:r>
    </w:p>
    <w:tbl>
      <w:tblPr>
        <w:tblW w:type="dxa" w:w="8278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237"/>
      </w:tblGrid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Client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BDO Insurance and Reinsurance Brokers, Inc.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Document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BIBS-DMC-BRD-13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Version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1.0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Date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26 September 2026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Status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Issued for BDOI review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Classification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b/>
                <w:color w:val="2E2E2E"/>
                <w:sz w:val="20"/>
              </w:rPr>
              <w:t>Confidential</w:t>
            </w:r>
          </w:p>
        </w:tc>
      </w:tr>
    </w:tbl>
    <w:p>
      <w:pPr>
        <w:spacing w:before="3000" w:after="0"/>
      </w:pPr>
    </w:p>
    <w:p>
      <w:pPr>
        <w:pBdr>
          <w:top w:val="single" w:sz="4" w:space="6" w:color="C2C2C1"/>
        </w:pBdr>
        <w:tabs>
          <w:tab w:pos="9972" w:val="right"/>
        </w:tabs>
      </w:pPr>
      <w:r>
        <w:rPr>
          <w:color w:val="656565"/>
          <w:sz w:val="18"/>
        </w:rPr>
        <w:t>Prepared by iorta TechNXT for BDOI</w:t>
      </w:r>
      <w:r>
        <w:tab/>
      </w:r>
      <w:r>
        <w:drawing>
          <wp:inline xmlns:a="http://schemas.openxmlformats.org/drawingml/2006/main" xmlns:pic="http://schemas.openxmlformats.org/drawingml/2006/picture">
            <wp:extent cx="977258" cy="2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rta-techn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258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919191"/>
          <w:sz w:val="15"/>
        </w:rPr>
        <w:t>iNXT BrokerVerse. This document is confidential to BDO Insurance and Reinsurance Brokers, Inc. and iorta TechNXT.</w:t>
      </w:r>
    </w:p>
    <w:p>
      <w:pPr>
        <w:spacing w:after="0"/>
      </w:pPr>
      <w:r>
        <w:br w:type="page"/>
      </w:r>
    </w:p>
    <w:p>
      <w:pPr>
        <w:pStyle w:val="BDOIFrontHeading"/>
      </w:pPr>
      <w:r>
        <w:t>Document Control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906"/>
        <w:gridCol w:w="1359"/>
        <w:gridCol w:w="1699"/>
        <w:gridCol w:w="1699"/>
        <w:gridCol w:w="1699"/>
        <w:gridCol w:w="2606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6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60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1.0</w:t>
            </w:r>
          </w:p>
        </w:tc>
        <w:tc>
          <w:tcPr>
            <w:tcW w:type="dxa" w:w="136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26 Sep 2026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iorta TechNXT Project Manager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iorta TechNXT Solution Architect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 Program Manager (pending)</w:t>
            </w:r>
          </w:p>
        </w:tc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First issue; dates are relative to T until BDOI confirms the go-live date (DMQ25); re-issued after the dress rehearsal with named people and measured timings</w:t>
            </w:r>
          </w:p>
        </w:tc>
      </w:tr>
    </w:tbl>
    <w:p>
      <w:pPr>
        <w:pStyle w:val="BDOISpacer"/>
      </w:pPr>
    </w:p>
    <w:p>
      <w:pPr>
        <w:spacing w:after="80"/>
      </w:pPr>
    </w:p>
    <w:p>
      <w:pPr>
        <w:pStyle w:val="BDOIFrontHeading"/>
      </w:pPr>
      <w:r>
        <w:t>Distribution List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606"/>
        <w:gridCol w:w="2266"/>
        <w:gridCol w:w="2266"/>
        <w:gridCol w:w="2833"/>
      </w:tblGrid>
      <w:tr>
        <w:trPr>
          <w:tblHeader w:val="true"/>
          <w:cantSplit w:val="true"/>
        </w:trPr>
        <w:tc>
          <w:tcPr>
            <w:tcW w:type="dxa" w:w="260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 / Unit</w:t>
            </w:r>
          </w:p>
        </w:tc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2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Program Manager, Business Project Services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Approver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 Unibank ESG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Owner of the cutover; chair of the go / no-go board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Go / no-go board members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Approver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Checkpoints GNG-1, GNG-2, GNG-3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 IT (legacy EBIX, QPS, ISYS, CMS)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Task owner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Freeze, extracts, read-only, rollback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Comptrollership; Operations; Marketing; Compliance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Task owner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Accounts, reconciliation, verification, communication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Project team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Task owner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Loads, reconciliation, environment, hypercare</w:t>
            </w:r>
          </w:p>
        </w:tc>
      </w:tr>
    </w:tbl>
    <w:p>
      <w:pPr>
        <w:pStyle w:val="BDOISpacer"/>
      </w:pPr>
    </w:p>
    <w:p>
      <w:pPr>
        <w:pStyle w:val="BDOIFrontHeading"/>
        <w:pageBreakBefore/>
      </w:pPr>
      <w:r>
        <w:t>Contents</w:t>
      </w:r>
    </w:p>
    <w:p>
      <w:pPr>
        <w:spacing w:after="0"/>
      </w:pPr>
    </w:p>
    <w:p>
      <w:pPr>
        <w:pStyle w:val="toc1"/>
      </w:pPr>
      <w:r>
        <w:fldChar w:fldCharType="begin" w:dirty="false"/>
      </w:r>
      <w:r>
        <w:instrText xml:space="preserve"> TOC \o "1-3" \h \z \u </w:instrText>
      </w:r>
      <w:r>
        <w:fldChar w:fldCharType="separate"/>
      </w:r>
      <w:hyperlink w:anchor="_Toc000101" w:history="1">
        <w:r>
          <w:t xml:space="preserve">1 Purpose and use</w:t>
        </w:r>
        <w:r>
          <w:t xml:space="preserve">	</w:t>
        </w:r>
        <w:r>
          <w:t xml:space="preserve">4</w:t>
        </w:r>
      </w:hyperlink>
    </w:p>
    <w:p>
      <w:pPr>
        <w:pStyle w:val="toc1"/>
      </w:pPr>
      <w:hyperlink w:anchor="_Toc000102" w:history="1">
        <w:r>
          <w:t xml:space="preserve">2 Cutover organisation</w:t>
        </w:r>
        <w:r>
          <w:t xml:space="preserve">	</w:t>
        </w:r>
        <w:r>
          <w:t xml:space="preserve">4</w:t>
        </w:r>
      </w:hyperlink>
    </w:p>
    <w:p>
      <w:pPr>
        <w:pStyle w:val="toc2"/>
      </w:pPr>
      <w:hyperlink w:anchor="_Toc000103" w:history="1">
        <w:r>
          <w:t xml:space="preserve">2.1 Command centre</w:t>
        </w:r>
        <w:r>
          <w:t xml:space="preserve">	</w:t>
        </w:r>
        <w:r>
          <w:t xml:space="preserve">4</w:t>
        </w:r>
      </w:hyperlink>
    </w:p>
    <w:p>
      <w:pPr>
        <w:pStyle w:val="toc2"/>
      </w:pPr>
      <w:hyperlink w:anchor="_Toc000104" w:history="1">
        <w:r>
          <w:t xml:space="preserve">2.2 Roles</w:t>
        </w:r>
        <w:r>
          <w:t xml:space="preserve">	</w:t>
        </w:r>
        <w:r>
          <w:t xml:space="preserve">4</w:t>
        </w:r>
      </w:hyperlink>
    </w:p>
    <w:p>
      <w:pPr>
        <w:pStyle w:val="toc1"/>
      </w:pPr>
      <w:hyperlink w:anchor="_Toc000105" w:history="1">
        <w:r>
          <w:t xml:space="preserve">3 Timeline</w:t>
        </w:r>
        <w:r>
          <w:t xml:space="preserve">	</w:t>
        </w:r>
        <w:r>
          <w:t xml:space="preserve">5</w:t>
        </w:r>
      </w:hyperlink>
    </w:p>
    <w:p>
      <w:pPr>
        <w:pStyle w:val="toc2"/>
      </w:pPr>
      <w:hyperlink w:anchor="_Toc000106" w:history="1">
        <w:r>
          <w:t xml:space="preserve">3.1 Freeze windows</w:t>
        </w:r>
        <w:r>
          <w:t xml:space="preserve">	</w:t>
        </w:r>
        <w:r>
          <w:t xml:space="preserve">6</w:t>
        </w:r>
      </w:hyperlink>
    </w:p>
    <w:p>
      <w:pPr>
        <w:pStyle w:val="toc1"/>
      </w:pPr>
      <w:hyperlink w:anchor="_Toc000107" w:history="1">
        <w:r>
          <w:t xml:space="preserve">4 Go / no-go checkpoints</w:t>
        </w:r>
        <w:r>
          <w:t xml:space="preserve">	</w:t>
        </w:r>
        <w:r>
          <w:t xml:space="preserve">7</w:t>
        </w:r>
      </w:hyperlink>
    </w:p>
    <w:p>
      <w:pPr>
        <w:pStyle w:val="toc1"/>
      </w:pPr>
      <w:hyperlink w:anchor="_Toc000108" w:history="1">
        <w:r>
          <w:t xml:space="preserve">5 Task list</w:t>
        </w:r>
        <w:r>
          <w:t xml:space="preserve">	</w:t>
        </w:r>
        <w:r>
          <w:t xml:space="preserve">8</w:t>
        </w:r>
      </w:hyperlink>
    </w:p>
    <w:p>
      <w:pPr>
        <w:pStyle w:val="toc2"/>
      </w:pPr>
      <w:hyperlink w:anchor="_Toc000109" w:history="1">
        <w:r>
          <w:t xml:space="preserve">5.1 Phase A - Readiness</w:t>
        </w:r>
        <w:r>
          <w:t xml:space="preserve">	</w:t>
        </w:r>
        <w:r>
          <w:t xml:space="preserve">8</w:t>
        </w:r>
      </w:hyperlink>
    </w:p>
    <w:p>
      <w:pPr>
        <w:pStyle w:val="toc2"/>
      </w:pPr>
      <w:hyperlink w:anchor="_Toc000110" w:history="1">
        <w:r>
          <w:t xml:space="preserve">5.2 Phase B - Pre-load and daily deltas</w:t>
        </w:r>
        <w:r>
          <w:t xml:space="preserve">	</w:t>
        </w:r>
        <w:r>
          <w:t xml:space="preserve">9</w:t>
        </w:r>
      </w:hyperlink>
    </w:p>
    <w:p>
      <w:pPr>
        <w:pStyle w:val="toc2"/>
      </w:pPr>
      <w:hyperlink w:anchor="_Toc000111" w:history="1">
        <w:r>
          <w:t xml:space="preserve">5.3 Phase C - Legacy freeze and final extracts</w:t>
        </w:r>
        <w:r>
          <w:t xml:space="preserve">	</w:t>
        </w:r>
        <w:r>
          <w:t xml:space="preserve">10</w:t>
        </w:r>
      </w:hyperlink>
    </w:p>
    <w:p>
      <w:pPr>
        <w:pStyle w:val="toc2"/>
      </w:pPr>
      <w:hyperlink w:anchor="_Toc000112" w:history="1">
        <w:r>
          <w:t xml:space="preserve">5.4 Phase D - Production load</w:t>
        </w:r>
        <w:r>
          <w:t xml:space="preserve">	</w:t>
        </w:r>
        <w:r>
          <w:t xml:space="preserve">10</w:t>
        </w:r>
      </w:hyperlink>
    </w:p>
    <w:p>
      <w:pPr>
        <w:pStyle w:val="toc2"/>
      </w:pPr>
      <w:hyperlink w:anchor="_Toc000113" w:history="1">
        <w:r>
          <w:t xml:space="preserve">5.5 Phase E - Reconciliation, verification and go / no-go</w:t>
        </w:r>
        <w:r>
          <w:t xml:space="preserve">	</w:t>
        </w:r>
        <w:r>
          <w:t xml:space="preserve">11</w:t>
        </w:r>
      </w:hyperlink>
    </w:p>
    <w:p>
      <w:pPr>
        <w:pStyle w:val="toc2"/>
      </w:pPr>
      <w:hyperlink w:anchor="_Toc000114" w:history="1">
        <w:r>
          <w:t xml:space="preserve">5.6 Phase F - Go-live</w:t>
        </w:r>
        <w:r>
          <w:t xml:space="preserve">	</w:t>
        </w:r>
        <w:r>
          <w:t xml:space="preserve">12</w:t>
        </w:r>
      </w:hyperlink>
    </w:p>
    <w:p>
      <w:pPr>
        <w:pStyle w:val="toc2"/>
      </w:pPr>
      <w:hyperlink w:anchor="_Toc000115" w:history="1">
        <w:r>
          <w:t xml:space="preserve">5.7 Phase G - Hypercare</w:t>
        </w:r>
        <w:r>
          <w:t xml:space="preserve">	</w:t>
        </w:r>
        <w:r>
          <w:t xml:space="preserve">12</w:t>
        </w:r>
      </w:hyperlink>
    </w:p>
    <w:p>
      <w:pPr>
        <w:pStyle w:val="toc1"/>
      </w:pPr>
      <w:hyperlink w:anchor="_Toc000116" w:history="1">
        <w:r>
          <w:t xml:space="preserve">6 Rollback</w:t>
        </w:r>
        <w:r>
          <w:t xml:space="preserve">	</w:t>
        </w:r>
        <w:r>
          <w:t xml:space="preserve">14</w:t>
        </w:r>
      </w:hyperlink>
    </w:p>
    <w:p>
      <w:pPr>
        <w:pStyle w:val="toc1"/>
      </w:pPr>
      <w:hyperlink w:anchor="_Toc000117" w:history="1">
        <w:r>
          <w:t xml:space="preserve">7 Communication plan</w:t>
        </w:r>
        <w:r>
          <w:t xml:space="preserve">	</w:t>
        </w:r>
        <w:r>
          <w:t xml:space="preserve">14</w:t>
        </w:r>
      </w:hyperlink>
    </w:p>
    <w:p>
      <w:pPr>
        <w:pStyle w:val="toc1"/>
      </w:pPr>
      <w:hyperlink w:anchor="_Toc000118" w:history="1">
        <w:r>
          <w:t xml:space="preserve">8 Hypercare</w:t>
        </w:r>
        <w:r>
          <w:t xml:space="preserve">	</w:t>
        </w:r>
        <w:r>
          <w:t xml:space="preserve">15</w:t>
        </w:r>
      </w:hyperlink>
    </w:p>
    <w:p>
      <w:pPr>
        <w:pStyle w:val="toc2"/>
      </w:pPr>
      <w:hyperlink w:anchor="_Toc000119" w:history="1">
        <w:r>
          <w:t xml:space="preserve">8.1 Roster</w:t>
        </w:r>
        <w:r>
          <w:t xml:space="preserve">	</w:t>
        </w:r>
        <w:r>
          <w:t xml:space="preserve">15</w:t>
        </w:r>
      </w:hyperlink>
    </w:p>
    <w:p>
      <w:pPr>
        <w:pStyle w:val="toc2"/>
      </w:pPr>
      <w:hyperlink w:anchor="_Toc000120" w:history="1">
        <w:r>
          <w:t xml:space="preserve">8.2 Exit criteria</w:t>
        </w:r>
        <w:r>
          <w:t xml:space="preserve">	</w:t>
        </w:r>
        <w:r>
          <w:t xml:space="preserve">15</w:t>
        </w:r>
      </w:hyperlink>
    </w:p>
    <w:p>
      <w:pPr>
        <w:pStyle w:val="toc1"/>
      </w:pPr>
      <w:hyperlink w:anchor="_Toc000121" w:history="1">
        <w:r>
          <w:t xml:space="preserve">9 Decommissioning checklists</w:t>
        </w:r>
        <w:r>
          <w:t xml:space="preserve">	</w:t>
        </w:r>
        <w:r>
          <w:t xml:space="preserve">16</w:t>
        </w:r>
      </w:hyperlink>
    </w:p>
    <w:p>
      <w:pPr>
        <w:pStyle w:val="toc1"/>
      </w:pPr>
      <w:hyperlink w:anchor="_Toc000122" w:history="1">
        <w:r>
          <w:t xml:space="preserve">Sign-off</w:t>
        </w:r>
        <w:r>
          <w:t xml:space="preserve">	</w:t>
        </w:r>
        <w:r>
          <w:t xml:space="preserve">17</w:t>
        </w:r>
      </w:hyperlink>
      <w:r>
        <w:fldChar w:fldCharType="end"/>
      </w:r>
    </w:p>
    <w:p>
      <w:pPr>
        <w:pStyle w:val="Heading1"/>
        <w:pageBreakBefore/>
        <w:pBdr>
          <w:bottom w:val="single" w:sz="4" w:space="4" w:color="99C1E7"/>
        </w:pBdr>
      </w:pPr>
      <w:bookmarkStart w:id="101" w:name="_Toc000101"/>
      <w:r>
        <w:rPr/>
        <w:t>1 Purpose and use</w:t>
      </w:r>
      <w:bookmarkEnd w:id="101"/>
    </w:p>
    <w:p>
      <w:r>
        <w:rPr/>
        <w:t>This runbook is the plan of the production cutover of BIBS: from 30 days before go-live (T) to the end of hypercare. It lists every task with its owner, start, duration, predecessors and the evidence that proves it is done; the go / no-go checkpoints with their criteria; the freeze windows; the rollback procedure; the communication plan; the hypercare roster and exit criteria; and the decommissioning checklists of the legacy systems.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>
          <w:b/>
        </w:rPr>
        <w:t>T</w:t>
      </w:r>
      <w:r>
        <w:rPr/>
        <w:t xml:space="preserve"> is the go-live date: the first business day (a Monday) of a month, after a legacy month-end close (proposal, DMQ25, register DCR-200). Days are calendar days; times are Philippine time (PHT).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/>
        <w:t>The same tasks are in the Cutover Task Plan workbook (</w:t>
      </w:r>
      <w:r>
        <w:rPr>
          <w:rFonts w:ascii="Courier New" w:hAnsi="Courier New" w:cs="Courier New" w:eastAsia="Courier New"/>
          <w:color w:val="2E2E2E"/>
          <w:sz w:val="19"/>
        </w:rPr>
        <w:t>BIBS_Migration_BRD-13_Cutover_Task_Plan_v1.0.xlsx</w:t>
      </w:r>
      <w:r>
        <w:rPr/>
        <w:t>), where names, actual times and status are recorded, and in the Migration Console as the plan of kind PRODUCTION (FR-DM-120). The console is the record during the cutover; the workbook is the planning and review copy.</w:t>
      </w:r>
    </w:p>
    <w:p>
      <w:pPr>
        <w:tabs>
          <w:tab w:pos="312" w:val="left"/>
        </w:tabs>
        <w:spacing w:after="120"/>
        <w:ind w:left="312" w:hanging="283"/>
      </w:pPr>
      <w:r>
        <w:rPr>
          <w:color w:val="004EA8"/>
        </w:rPr>
        <w:t>•</w:t>
        <w:tab/>
      </w:r>
      <w:r>
        <w:rPr/>
        <w:t>The plan was rehearsed in three mocks and a dress rehearsal (Strategy chapter 10). This version gives planned durations; version 1.1, issued after the dress rehearsal, gives the measured durations and the named people.</w:t>
      </w:r>
    </w:p>
    <w:p>
      <w:pPr>
        <w:pStyle w:val="Heading1"/>
        <w:pBdr>
          <w:bottom w:val="single" w:sz="4" w:space="4" w:color="99C1E7"/>
        </w:pBdr>
      </w:pPr>
      <w:bookmarkStart w:id="102" w:name="_Toc000102"/>
      <w:r>
        <w:rPr/>
        <w:t>2 Cutover organisation</w:t>
      </w:r>
      <w:bookmarkEnd w:id="102"/>
    </w:p>
    <w:p>
      <w:pPr>
        <w:pStyle w:val="Heading2"/>
      </w:pPr>
      <w:bookmarkStart w:id="103" w:name="_Toc000103"/>
      <w:r>
        <w:rPr/>
        <w:t>2.1 Command centre</w:t>
      </w:r>
      <w:bookmarkEnd w:id="103"/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>
          <w:b/>
        </w:rPr>
        <w:t>Location and channels.</w:t>
      </w:r>
      <w:r>
        <w:rPr/>
        <w:t xml:space="preserve"> A command centre room at BDOI head office, a standing bridge line and a chat channel for the cutover team, open from T-3 17:00 to T+5.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>
          <w:b/>
        </w:rPr>
        <w:t>Status calls.</w:t>
      </w:r>
      <w:r>
        <w:rPr/>
        <w:t xml:space="preserve"> T-3 to T: every 4 hours and at each checkpoint. T+1 to T+5: 08:00 and 17:00. Afterwards daily at 17:00 until hypercare exit.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>
          <w:b/>
        </w:rPr>
        <w:t>Decisions.</w:t>
      </w:r>
      <w:r>
        <w:rPr/>
        <w:t xml:space="preserve"> Task owners report completion with the evidence in the console. The Data Migration Lead decides within the plan; anything that changes the plan, the scope or a checkpoint goes to the go / no-go board.</w:t>
      </w:r>
    </w:p>
    <w:p>
      <w:pPr>
        <w:tabs>
          <w:tab w:pos="312" w:val="left"/>
        </w:tabs>
        <w:spacing w:after="120"/>
        <w:ind w:left="312" w:hanging="283"/>
      </w:pPr>
      <w:r>
        <w:rPr>
          <w:color w:val="004EA8"/>
        </w:rPr>
        <w:t>•</w:t>
        <w:tab/>
      </w:r>
      <w:r>
        <w:rPr>
          <w:b/>
        </w:rPr>
        <w:t>Escalation.</w:t>
      </w:r>
      <w:r>
        <w:rPr/>
        <w:t xml:space="preserve"> Task owner to the Data Migration Lead (15 minutes), to the iorta Project Manager and the Program Manager (30 minutes), to the go / no-go board (1 hour, or immediately for a stop condition).</w:t>
      </w:r>
    </w:p>
    <w:p>
      <w:r>
        <w:rPr>
          <w:b/>
        </w:rPr>
        <w:t>Stop conditions</w:t>
      </w:r>
      <w:r>
        <w:rPr/>
        <w:t xml:space="preserve"> (the board meets at once): a rejected final extract that cannot be re-sent within 2 hours; a load failure that leaves a financial object incomplete; Migration Clearing not 0.00 after the reconciliation window; a legacy posting after the freeze; loss of the production environment or of the snapshot.</w:t>
      </w:r>
    </w:p>
    <w:p>
      <w:pPr>
        <w:pStyle w:val="Heading2"/>
      </w:pPr>
      <w:bookmarkStart w:id="104" w:name="_Toc000104"/>
      <w:r>
        <w:rPr/>
        <w:t>2.2 Roles</w:t>
      </w:r>
      <w:bookmarkEnd w:id="104"/>
    </w:p>
    <w:p>
      <w:pPr>
        <w:pStyle w:val="Caption"/>
        <w:keepNext/>
        <w:spacing w:after="60"/>
      </w:pPr>
      <w:r>
        <w:rPr>
          <w:b/>
          <w:i w:val="0"/>
        </w:rPr>
        <w:t xml:space="preserve">Table 1: </w:t>
      </w:r>
      <w:r>
        <w:rPr/>
        <w:t>Roles used in the task plan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961"/>
        <w:gridCol w:w="6608"/>
        <w:gridCol w:w="2403"/>
      </w:tblGrid>
      <w:tr>
        <w:trPr>
          <w:tblHeader w:val="true"/>
          <w:cantSplit w:val="true"/>
        </w:trPr>
        <w:tc>
          <w:tcPr>
            <w:tcW w:type="dxa" w:w="96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660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40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Organisation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PM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Program Manager (ESG - Business Project Services)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DML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Data Migration Lead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OWN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Data owners (department heads of each object)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STW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Data stewards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COMP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Comptrollership (reconciliation approver for financial objects)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OPS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Operations (Financial Transactions, Cashiering, Remittance, Collections)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MKT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Marketing (Retail and Corporate) and Renewal handlers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CMP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Compliance and Audit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BIT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IT (legacy systems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extracts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GNG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Go / no-go board (Program Manager, heads of Operations, Comptrollership, Marketing, Compliance, IT; iorta Project Manager)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and iorta TechNXT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IPM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Project Manager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IML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TechNXT Migration Lead (loaders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reconciliation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IOP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Migration Operator (intake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validation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IDO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TechNXT DevOps (AWS environment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snapshots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IQA</w:t>
            </w:r>
          </w:p>
        </w:tc>
        <w:tc>
          <w:tcPr>
            <w:tcW w:type="dxa" w:w="660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QA (smoke tests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defect triage)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05" w:name="_Toc000105"/>
      <w:r>
        <w:rPr/>
        <w:t>3 Timeline</w:t>
      </w:r>
      <w:bookmarkEnd w:id="105"/>
    </w:p>
    <w:p>
      <w:pPr>
        <w:pStyle w:val="Caption"/>
        <w:keepNext/>
        <w:spacing w:after="60"/>
      </w:pPr>
      <w:r>
        <w:rPr>
          <w:b/>
          <w:i w:val="0"/>
        </w:rPr>
        <w:t xml:space="preserve">Table 2: </w:t>
      </w:r>
      <w:r>
        <w:rPr/>
        <w:t>Cutover phases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3604"/>
        <w:gridCol w:w="2403"/>
        <w:gridCol w:w="841"/>
        <w:gridCol w:w="2403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0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0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84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Tasks</w:t>
            </w:r>
          </w:p>
        </w:tc>
        <w:tc>
          <w:tcPr>
            <w:tcW w:type="dxa" w:w="240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IDs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Readiness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T-30 to T-15</w:t>
            </w:r>
          </w:p>
        </w:tc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13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CT-001 to CT-013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Pre-load and daily deltas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T-14 to T-4</w:t>
            </w:r>
          </w:p>
        </w:tc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17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CT-014 to CT-030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Legacy freeze and final extracts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T-3 (Friday)</w:t>
            </w:r>
          </w:p>
        </w:tc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6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CT-031 to CT-036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Production load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T-2 (Saturday)</w:t>
            </w:r>
          </w:p>
        </w:tc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13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CT-037 to CT-049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Reconciliation, verification and go / no-go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T-1 (Sunday)</w:t>
            </w:r>
          </w:p>
        </w:tc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8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CT-050 to CT-057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8"/>
              </w:rPr>
              <w:t>F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Go-live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T (Monday)</w:t>
            </w:r>
          </w:p>
        </w:tc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7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CT-058 to CT-064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G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Hypercare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T+1 to the first month-end close</w:t>
            </w:r>
          </w:p>
        </w:tc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11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CT-065 to CT-075</w:t>
            </w:r>
          </w:p>
        </w:tc>
      </w:tr>
    </w:tbl>
    <w:p>
      <w:pPr>
        <w:pStyle w:val="BDOISpacer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99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cutover_week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i w:val="0"/>
        </w:rPr>
        <w:t xml:space="preserve">Figure 1: </w:t>
      </w:r>
      <w:r>
        <w:rPr/>
        <w:t>The cutover weekend (T = Monday go-live; times PHT)</w:t>
      </w:r>
    </w:p>
    <w:p>
      <w:pPr>
        <w:pStyle w:val="Heading2"/>
      </w:pPr>
      <w:bookmarkStart w:id="106" w:name="_Toc000106"/>
      <w:r>
        <w:rPr/>
        <w:t>3.1 Freeze windows</w:t>
      </w:r>
      <w:bookmarkEnd w:id="106"/>
    </w:p>
    <w:p>
      <w:pPr>
        <w:pStyle w:val="Caption"/>
        <w:keepNext/>
        <w:spacing w:after="60"/>
      </w:pPr>
      <w:r>
        <w:rPr>
          <w:b/>
          <w:i w:val="0"/>
        </w:rPr>
        <w:t xml:space="preserve">Table 3: </w:t>
      </w:r>
      <w:r>
        <w:rPr/>
        <w:t>Freeze windows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1562"/>
        <w:gridCol w:w="1682"/>
        <w:gridCol w:w="1081"/>
        <w:gridCol w:w="3244"/>
        <w:gridCol w:w="2403"/>
      </w:tblGrid>
      <w:tr>
        <w:trPr>
          <w:tblHeader w:val="true"/>
          <w:cantSplit w:val="true"/>
        </w:trPr>
        <w:tc>
          <w:tcPr>
            <w:tcW w:type="dxa" w:w="156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Freeze</w:t>
            </w:r>
          </w:p>
        </w:tc>
        <w:tc>
          <w:tcPr>
            <w:tcW w:type="dxa" w:w="168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10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Until</w:t>
            </w:r>
          </w:p>
        </w:tc>
        <w:tc>
          <w:tcPr>
            <w:tcW w:type="dxa" w:w="324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40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Exception route</w:t>
            </w:r>
          </w:p>
        </w:tc>
      </w:tr>
      <w:tr>
        <w:trPr>
          <w:cantSplit w:val="true"/>
        </w:trPr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Reference data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T-7 (map freeze)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Go-live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Insurers, products, risk codes, packages, AOs, branches, LOVs in EBIX and QPS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Change request approved by the data owner; new code map version; delta load of R objects</w:t>
            </w:r>
          </w:p>
        </w:tc>
      </w:tr>
      <w:tr>
        <w:trPr>
          <w:cantSplit w:val="true"/>
        </w:trPr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Client master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T-3 22:00 (last delta)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Go-live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New and changed clients in QPS / EBIX / CMS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None after the freeze; changes keyed in BIBS after go-live</w:t>
            </w:r>
          </w:p>
        </w:tc>
      </w:tr>
      <w:tr>
        <w:trPr>
          <w:cantSplit w:val="true"/>
        </w:trPr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Business transactions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T-3 22:00 (after the last legacy EOD)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Go-live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All postings in EBIX, QPS, CMS - bookings, receipts, UPP, dispositions, remittances, endorsements, GL journals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None; an urgent item is recorded on paper and keyed in BIBS on T</w:t>
            </w:r>
          </w:p>
        </w:tc>
      </w:tr>
      <w:tr>
        <w:trPr>
          <w:cantSplit w:val="true"/>
        </w:trPr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BIBS configuration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T-2 00:00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T+3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Parameters, accounting rules, code maps, workflows in production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Emergency change approved by the go / no-go board</w:t>
            </w:r>
          </w:p>
        </w:tc>
      </w:tr>
      <w:tr>
        <w:trPr>
          <w:cantSplit w:val="true"/>
        </w:trPr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BIBS releases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T-7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T+14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Deployments to production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Hotfix of a Critical defect approved by the go / no-go board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07" w:name="_Toc000107"/>
      <w:r>
        <w:rPr/>
        <w:t>4 Go / no-go checkpoints</w:t>
      </w:r>
      <w:bookmarkEnd w:id="107"/>
    </w:p>
    <w:p>
      <w:r>
        <w:rPr/>
        <w:t>Each checkpoint is recorded in the Migration Console with the value of every criterion at the time of the decision (FR-DM-121). A criterion that is not met blocks GO unless the board records a waiver with its reason (only for criteria marked as waivable in the console; the financial and clearing criteria of GNG-3 are never waived).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4: </w:t>
      </w:r>
      <w:r>
        <w:rPr/>
        <w:t>GNG-1 at T-15 - Start the production pre-load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Dress rehearsal completed within the window with at least 20 percent margin, rollback rehearsed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Production environment, roles and PH-only access ready; masking off only in production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Legacy control accounts, Migration Clearing and LG_ rule lines approved in production (DMQ18)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Code map versions for production approved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5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Transfer path (SFTP or console) tested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6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No open Critical defect of the migration or of a Day-1 module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5: </w:t>
      </w:r>
      <w:r>
        <w:rPr/>
        <w:t>GNG-2 at T-4 - Enter the legacy freeze on T-3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Reference data and clients loaded and accepted (G6) in production; daily deltas running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Client review queue empty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Final extract jobs timed within the window (dry run)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In-flight items and remittance batches closed or listed for carry-forward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5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RMEL cohorts to carry confirmed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6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Communications sent; branches and insurers informed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6: </w:t>
      </w:r>
      <w:r>
        <w:rPr/>
        <w:t>GNG-3 at T-1 18:00 - Go live on T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Every Day-1 object at G6 (100 percent)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Counts - received = control and loaded + skipped + rejected + excluded = staged, for every object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Financial rejects (F01, F02, G01) - 0, or each excluded item approved by the owner with a manual-entry plan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Amount reconciliation of open items, UPP and trial balance - 0.00 difference per currency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5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Migration Clearing - 0.00 per branch and currency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6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Legacy control accounts equal their sub-ledgers (ACSL, context LEGACY) - 0.00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7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Client review queue empty; screening run complete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8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Business smoke test passed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9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Rollback point (snapshot) taken and verified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10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Hypercare roster and support channels in place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7: </w:t>
      </w:r>
      <w:r>
        <w:rPr/>
        <w:t>POINT OF NO RETURN at T 18:00 - Continue in BIBS; fallback to legacy no longer offered (DMQ32)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No Critical defect that stops receipts, payment application, remittance or booking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Migration Clearing still 0.00; no posting in legacy since the freeze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Every branch has transacted in BIBS</w:t>
            </w:r>
          </w:p>
        </w:tc>
      </w:tr>
    </w:tbl>
    <w:p>
      <w:pPr>
        <w:pStyle w:val="BDOISpacer"/>
      </w:pP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134" w:bottom="1247" w:left="1134" w:header="567" w:footer="510" w:gutter="0"/>
          <w:cols w:space="720"/>
          <w:titlePg/>
          <w:docGrid w:linePitch="360"/>
        </w:sectPr>
      </w:pPr>
    </w:p>
    <w:p>
      <w:pPr>
        <w:pStyle w:val="Heading1"/>
        <w:pBdr>
          <w:bottom w:val="single" w:sz="4" w:space="4" w:color="99C1E7"/>
        </w:pBdr>
      </w:pPr>
      <w:bookmarkStart w:id="108" w:name="_Toc000108"/>
      <w:r>
        <w:rPr/>
        <w:t>5 Task list</w:t>
      </w:r>
      <w:bookmarkEnd w:id="108"/>
    </w:p>
    <w:p>
      <w:r>
        <w:rPr/>
        <w:t xml:space="preserve">Columns: </w:t>
      </w:r>
      <w:r>
        <w:rPr>
          <w:b/>
        </w:rPr>
        <w:t>When</w:t>
      </w:r>
      <w:r>
        <w:rPr/>
        <w:t xml:space="preserve"> is the day relative to T and the planned start time; </w:t>
      </w:r>
      <w:r>
        <w:rPr>
          <w:b/>
        </w:rPr>
        <w:t>Owner</w:t>
      </w:r>
      <w:r>
        <w:rPr/>
        <w:t xml:space="preserve"> is the accountable role (codes in section 2.2); </w:t>
      </w:r>
      <w:r>
        <w:rPr>
          <w:b/>
        </w:rPr>
        <w:t>Hours</w:t>
      </w:r>
      <w:r>
        <w:rPr/>
        <w:t xml:space="preserve"> is the planned elapsed time; </w:t>
      </w:r>
      <w:r>
        <w:rPr>
          <w:b/>
        </w:rPr>
        <w:t>After</w:t>
      </w:r>
      <w:r>
        <w:rPr/>
        <w:t xml:space="preserve"> lists the tasks that must be complete first; </w:t>
      </w:r>
      <w:r>
        <w:rPr>
          <w:b/>
        </w:rPr>
        <w:t>Verification</w:t>
      </w:r>
      <w:r>
        <w:rPr/>
        <w:t xml:space="preserve"> is the evidence recorded in the console.</w:t>
      </w:r>
    </w:p>
    <w:p>
      <w:pPr>
        <w:pStyle w:val="Heading2"/>
      </w:pPr>
      <w:bookmarkStart w:id="109" w:name="_Toc000109"/>
      <w:r>
        <w:rPr/>
        <w:t>5.1 Phase A - Readiness</w:t>
      </w:r>
      <w:bookmarkEnd w:id="109"/>
    </w:p>
    <w:p>
      <w:pPr>
        <w:pStyle w:val="Caption"/>
        <w:keepNext/>
        <w:spacing w:after="60"/>
      </w:pPr>
      <w:r>
        <w:rPr>
          <w:b/>
          <w:i w:val="0"/>
        </w:rPr>
        <w:t xml:space="preserve">Table 8: </w:t>
      </w:r>
      <w:r>
        <w:rPr/>
        <w:t>Phase A - Readiness</w:t>
      </w:r>
    </w:p>
    <w:tbl>
      <w:tblPr>
        <w:tblW w:type="dxa" w:w="135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33"/>
        <w:gridCol w:w="1012"/>
        <w:gridCol w:w="5119"/>
        <w:gridCol w:w="714"/>
        <w:gridCol w:w="654"/>
        <w:gridCol w:w="1428"/>
        <w:gridCol w:w="3810"/>
      </w:tblGrid>
      <w:tr>
        <w:trPr>
          <w:tblHeader w:val="true"/>
          <w:cantSplit w:val="true"/>
        </w:trPr>
        <w:tc>
          <w:tcPr>
            <w:tcW w:type="dxa" w:w="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01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511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71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65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142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381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CT-001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T-30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Confirm the dress rehearsal met its exit criteria (all objects loaded and reconciled L1-L5, window met with 20 percent margin, rollback rehearsed)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DML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-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Dress rehearsal report signed by the Data Migration Lead and the iorta Migration Lead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CT-002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T-30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Confirm the go-live date, the freeze start (last legacy EOD) and the blackout dates (DMQ25); publish the cutover calendar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CT-001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Calendar approved by the Program Manager and circulated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CT-003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T-29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Name the cutover team, the command centre room and bridge line, and the hypercare roster (section Hypercare)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CT-002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Roster with names and phone numbers in the runbook annex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CT-004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T-28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Freeze the production cutover plan in the Migration Console (plan kind PRODUCTION, tasks and owners from this list)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IML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CT-002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MIG-CUTOVER-STATUS shows the plan with every task owned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CT-005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T-28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Production environment ready - BIBS release of the go-live build deployed, MIG_ENVIRONMENT_CLASS = PRODUCTION, MIG_CUTOVER_DATE = T, jobs scheduled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8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-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Deployment record; parameter screen; job list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CT-006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T-27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Grant the migration roles in production (DATA_MIGRATION_LEAD, DATA_STEWARD, DATA_OWNER, MIGRATION_OPERATOR, MIGRATION_RECON_APPROVER, MIGRATION_GONOGO) through User Access requests; check PH-only network access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8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CT-005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User Access approvals; access test from an allowed and a blocked location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CT-007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T-26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Comptrollership sets up in production the legacy control accounts, Migration Clearing and the LG_ accounting rule lines (DMQ18), through maker-checker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COMP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CT-005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Chart and accounting rules approved; test posting in the dress rehearsal environment matched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CT-008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T-25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Approve the final code map versions for production (all sets); record versions in the plan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OWN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-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MIG-MAP-VERSIONS lists one APPROVED version per set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CT-009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T-24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Users of every persona created and trained; BIBS menus checked per persona (UAT readiness items 1 and 14)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40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CT-006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User list; training attendance; persona menu check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CT-010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T-21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Communicate the go-live and freeze to branches, insurers and bank channels (autopay files carry the legacy invoice number after go-live)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CT-002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Communications sent (communication plan items 1-4)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CT-011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Legacy clean-up drives - UPP with no reference, invoices open more than 5 years, duplicate clients flagged in Mock 3, unmapped codes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STW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80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-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Clean-up tracker; counts reduced against Mock 3 profiling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CT-012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T-18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SFTP drop or console upload path tested end to end from BDOI IT with a masked file; checksum verified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CT-005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Test extract accepted and purged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CT-013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T-15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Go / no-go checkpoint GNG-1 (readiness to start the pre-load)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GNG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CT-001, CT-004, CT-006, CT-007, CT-008, CT-012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Decision recorded in the console with the GNG-1 criteria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0" w:name="_Toc000110"/>
      <w:r>
        <w:rPr/>
        <w:t>5.2 Phase B - Pre-load and daily deltas</w:t>
      </w:r>
      <w:bookmarkEnd w:id="110"/>
    </w:p>
    <w:p>
      <w:pPr>
        <w:pStyle w:val="Caption"/>
        <w:keepNext/>
        <w:spacing w:after="60"/>
      </w:pPr>
      <w:r>
        <w:rPr>
          <w:b/>
          <w:i w:val="0"/>
        </w:rPr>
        <w:t xml:space="preserve">Table 9: </w:t>
      </w:r>
      <w:r>
        <w:rPr/>
        <w:t>Phase B - Pre-load and daily deltas</w:t>
      </w:r>
    </w:p>
    <w:tbl>
      <w:tblPr>
        <w:tblW w:type="dxa" w:w="135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33"/>
        <w:gridCol w:w="1012"/>
        <w:gridCol w:w="5119"/>
        <w:gridCol w:w="714"/>
        <w:gridCol w:w="654"/>
        <w:gridCol w:w="1428"/>
        <w:gridCol w:w="3810"/>
      </w:tblGrid>
      <w:tr>
        <w:trPr>
          <w:tblHeader w:val="true"/>
          <w:cantSplit w:val="true"/>
        </w:trPr>
        <w:tc>
          <w:tcPr>
            <w:tcW w:type="dxa" w:w="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01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511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71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65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142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381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CT-014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T-14 08:00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Take a production database snapshot before the pre-load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CT-013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Snapshot ID recorded in the plan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CT-015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T-14 09:00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Extract and send R01-R08 and R11 (current values) with control files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CT-014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Files received; intake checks passed (extract status CHECKED)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CT-016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T-14 15:00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Validate and load reference data R01-R08; authorise CREATE values in each master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8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CT-015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Batches LOADED; MIG-UNMAPPED-CODES empty for R objects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CT-017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T-13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Reconcile and sign off the reference objects (G5, G6)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DML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CT-016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MIG-SIGNOFF-STATUS shows G6 for R01-R08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CT-018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T-13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Load payees R09 if in scope (DMQ30)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CT-017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Batch SIGNED_OFF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CT-019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T-12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Extract and send the full client extract C01, C02, C03 (as of the previous EOD)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8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CT-017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Files CHECKED; counts against the Mock 3 volumes within 5 percent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CT-020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T-12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Validate clients; run matching; clear the review queue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STW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CT-019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Review queue empty; MIG-CLIENT-MATCH reviewed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CT-021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Load clients C01-C03; reconcile L1-L4; business sample checks; sign off (G5, G6)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CT-020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MIG-RECON-SUMMARY all MATCHED or EXPLAINED; G6 signed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CT-022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Daily client delta (new and changed clients of the day) from T-10 to T-4 - extract 23:00, load 00:30 (job MIG_CLIENT_DELTA)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CT-021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Delta batch SIGNED_OFF each morning by 07:00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CT-023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T-9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Complete legacy remittance batches in process, or tag the holds and special remittances that carry forward (DMQ21)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OPS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40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-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List of carried items for F04 agreed by Operations - Remittance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CT-024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T-9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Complete in-flight legacy items where possible - pending endorsements, un-booked accounts, check pick-ups, refunds (DMQ33)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OPS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40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-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In-flight list reduced; the rest listed for carry-forward or re-keying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CT-025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T-7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Code map freeze - no new legacy code without a change request and a map version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OWN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CT-017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Freeze notice sent; change log opened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CT-026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T-7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Legacy reference-data change freeze in EBIX and QPS (insurers, products, AOs, branches)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CT-025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Maintenance screens locked or change log reviewed daily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CT-027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T-7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Dry run of the final extract jobs on the current day's data (timing and control files)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CT-015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Extract timings within the plan; control files correct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CT-028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T-5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Confirm the RMEL cohorts to carry (expiry T to T+140) with Marketing; freeze new legacy RMEL extractions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MKT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-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Cohort list and counts per month agreed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CT-029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T-4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Go / no-go checkpoint GNG-2 (enter the legacy freeze)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GNG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CT-021, CT-022, CT-023, CT-024, CT-027, CT-028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Decision recorded with the GNG-2 criteria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CT-030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T-4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Announce the freeze and the Monday opening to all users, branches and insurers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CT-029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Communication plan item 5 sent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1" w:name="_Toc000111"/>
      <w:r>
        <w:rPr/>
        <w:t>5.3 Phase C - Legacy freeze and final extracts</w:t>
      </w:r>
      <w:bookmarkEnd w:id="111"/>
    </w:p>
    <w:p>
      <w:pPr>
        <w:pStyle w:val="Caption"/>
        <w:keepNext/>
        <w:spacing w:after="60"/>
      </w:pPr>
      <w:r>
        <w:rPr>
          <w:b/>
          <w:i w:val="0"/>
        </w:rPr>
        <w:t xml:space="preserve">Table 10: </w:t>
      </w:r>
      <w:r>
        <w:rPr/>
        <w:t>Phase C - Legacy freeze and final extracts</w:t>
      </w:r>
    </w:p>
    <w:tbl>
      <w:tblPr>
        <w:tblW w:type="dxa" w:w="135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33"/>
        <w:gridCol w:w="1012"/>
        <w:gridCol w:w="5119"/>
        <w:gridCol w:w="714"/>
        <w:gridCol w:w="654"/>
        <w:gridCol w:w="1428"/>
        <w:gridCol w:w="3810"/>
      </w:tblGrid>
      <w:tr>
        <w:trPr>
          <w:tblHeader w:val="true"/>
          <w:cantSplit w:val="true"/>
        </w:trPr>
        <w:tc>
          <w:tcPr>
            <w:tcW w:type="dxa" w:w="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01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511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71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65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142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381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CT-031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T-3 17:00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Last legacy business transactions; cashiers deposit and close; UPP of the day recorded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OPS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3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CT-029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Branch close checklist from every branch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CT-032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T-3 20:00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Last legacy EOD and month-end close (EBIX, QPS, ISYS, CMS)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CT-031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EOD logs complete without error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CT-033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T-3 22:00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Legacy business freeze - EBIX, QPS, CMS set to read-only for business users; batch jobs that post are disabled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CT-032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Test posting refused in each legacy system; job list shows disabled jobs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CT-034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T-3 22:15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Final client delta (last changes of the day) extracted and loaded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CT-033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Last delta batch SIGNED_OFF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CT-035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T-3 22:30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Final extracts after the EOD - P01, P01S, P03, F01, F01S, F01C, F02, F03, F04, F06, R11 (final numbers), G01 trial balance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BIT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5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CT-033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Every file and control file in the intake; SHA-256 recorded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CT-036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T-3 23:30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Comptrollership confirms the legacy trial balance is final and balanced per branch and currency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CT-032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Signed TB total per branch and currency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2" w:name="_Toc000112"/>
      <w:r>
        <w:rPr/>
        <w:t>5.4 Phase D - Production load</w:t>
      </w:r>
      <w:bookmarkEnd w:id="112"/>
    </w:p>
    <w:p>
      <w:pPr>
        <w:pStyle w:val="Caption"/>
        <w:keepNext/>
        <w:spacing w:after="60"/>
      </w:pPr>
      <w:r>
        <w:rPr>
          <w:b/>
          <w:i w:val="0"/>
        </w:rPr>
        <w:t xml:space="preserve">Table 11: </w:t>
      </w:r>
      <w:r>
        <w:rPr/>
        <w:t>Phase D - Production load</w:t>
      </w:r>
    </w:p>
    <w:tbl>
      <w:tblPr>
        <w:tblW w:type="dxa" w:w="135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33"/>
        <w:gridCol w:w="1012"/>
        <w:gridCol w:w="5119"/>
        <w:gridCol w:w="714"/>
        <w:gridCol w:w="654"/>
        <w:gridCol w:w="1428"/>
        <w:gridCol w:w="3810"/>
      </w:tblGrid>
      <w:tr>
        <w:trPr>
          <w:tblHeader w:val="true"/>
          <w:cantSplit w:val="true"/>
        </w:trPr>
        <w:tc>
          <w:tcPr>
            <w:tcW w:type="dxa" w:w="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01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511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71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65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142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381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CT-037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 02:00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Take the production database snapshot - the rollback point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CT-034, CT-035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Snapshot ID and restore test of the snapshot metadata recorded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CT-038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 03:00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Intake checks of all final extracts (checksum, layout, row count, control totals, hash totals)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CT-037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Every extract CHECKED; rejected files re-sent within 1 hour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CT-039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 04:00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Validate P01 and P01S; resolve issues; approve load (G3, G4)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CT-038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Error rate within the master threshold; G4 signed by the Data Migration Lead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CT-040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 06:00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Load policy headers P01; reconcile L1-L4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3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CT-039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MIG-RECON-SUMMARY for P01 MATCHED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CT-041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 06:00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Validate F01, F01S, F01C; resolve issues; approve load (G3, G4)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3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CT-038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0 financial errors or owner-approved exclusions with manual-entry plan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CT-042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 09:00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Load open legacy invoices F01 with opening entries MIG_LEGACY_INVOICE_OPENING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5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CT-040, CT-041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Batch LOADED without rejects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CT-043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 09:00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Validate and load UPP F02 with opening entries MIG_UPP_OPENING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3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CT-038, CT-021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Batch LOADED without rejects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CT-044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 14:00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Load collection state F03, remittance items F04, PDCs and pick-ups F06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3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CT-042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Batches LOADED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CT-045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 15:00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Load the GL opening trial balance G01 (OPENING journals per branch and currency)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CT-036, CT-042, CT-043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Journals posted; TB in BIBS equals the legacy TB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CT-046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 16:00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Load RMEL cohorts P03 and make them available to Renewal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CT-040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Candidates visible in Renewal with source LEGACY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CT-047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 17:00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Update the receipt series R11 to the final next numbers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CT-038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Next AR / OR numbers = legacy last used + 1 per branch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CT-048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 18:00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Reconcile L1-L4 of every financial object; run L5 - Migration Clearing per branch and currency, legacy control accounts vs sub-ledgers (ACSL, context LEGACY)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IML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CT-044, CT-045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MIG-GL-CLEARING shows 0.00 per branch and currency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CT-049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 22:00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Explain or fix every break (rerun batches); reconciliation approver signs G5 per object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COMP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CT-048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MIG-RECON-SUMMARY all MATCHED or EXPLAINED with approval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3" w:name="_Toc000113"/>
      <w:r>
        <w:rPr/>
        <w:t>5.5 Phase E - Reconciliation, verification and go / no-go</w:t>
      </w:r>
      <w:bookmarkEnd w:id="113"/>
    </w:p>
    <w:p>
      <w:pPr>
        <w:pStyle w:val="Caption"/>
        <w:keepNext/>
        <w:spacing w:after="60"/>
      </w:pPr>
      <w:r>
        <w:rPr>
          <w:b/>
          <w:i w:val="0"/>
        </w:rPr>
        <w:t xml:space="preserve">Table 12: </w:t>
      </w:r>
      <w:r>
        <w:rPr/>
        <w:t>Phase E - Reconciliation, verification and go / no-go</w:t>
      </w:r>
    </w:p>
    <w:tbl>
      <w:tblPr>
        <w:tblW w:type="dxa" w:w="135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33"/>
        <w:gridCol w:w="1012"/>
        <w:gridCol w:w="5119"/>
        <w:gridCol w:w="714"/>
        <w:gridCol w:w="654"/>
        <w:gridCol w:w="1428"/>
        <w:gridCol w:w="3810"/>
      </w:tblGrid>
      <w:tr>
        <w:trPr>
          <w:tblHeader w:val="true"/>
          <w:cantSplit w:val="true"/>
        </w:trPr>
        <w:tc>
          <w:tcPr>
            <w:tcW w:type="dxa" w:w="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01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511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71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65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142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381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CT-050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 06:00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Start the full sanction screening run of migrated clients (SCR_PERIODIC_SCREENING, full rescreen)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CT-021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Run completed; hits in the screening queue for Compliance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CT-051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 07:00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Business verification of samples per object on the BIBS screens (Reconciliation Approach, sample plan); data owners sign G6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OWN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CT-049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Sample checklists signed; G6 for every Day-1 object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CT-052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 09:00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Business smoke test on production with test-marked transactions reversed afterwards - OTC payment preview on a legacy invoice, automatch preview, remittance extraction preview, Invoice 360, client and policy search by legacy reference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IQA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CT-049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Smoke test checklist passed; no posting left open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CT-053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 13:00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Check jobs, alerts and integrations for Monday (PAYMENT_AUTOMATCH hourly, payment file handlers, Renewal extraction, e-mail)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CT-052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Job schedule and alert routing checked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CT-054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 15:00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Prepare the go / no-go pack - MIG-GONOGO with measured criteria, open defects, sign-off status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IML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CT-050, CT-051, CT-052, CT-053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Pack circulated to the board by 17:00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CT-055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 18:00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Go / no-go decision GNG-3 (go-live)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GNG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CT-054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Decision recorded in the console with every criterion value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CT-056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 19:00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If NO-GO - execute the rollback procedure (section Rollback) and reopen legacy for Monday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CT-055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Legacy open for business Monday 08:00; BIBS restored to the rollback point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CT-057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 19:00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If GO - send the go-live notice; open BIBS roles for business users from 06:00 Monday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CT-055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Communication plan item 6 sent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4" w:name="_Toc000114"/>
      <w:r>
        <w:rPr/>
        <w:t>5.6 Phase F - Go-live</w:t>
      </w:r>
      <w:bookmarkEnd w:id="114"/>
    </w:p>
    <w:p>
      <w:pPr>
        <w:pStyle w:val="Caption"/>
        <w:keepNext/>
        <w:spacing w:after="60"/>
      </w:pPr>
      <w:r>
        <w:rPr>
          <w:b/>
          <w:i w:val="0"/>
        </w:rPr>
        <w:t xml:space="preserve">Table 13: </w:t>
      </w:r>
      <w:r>
        <w:rPr/>
        <w:t>Phase F - Go-live</w:t>
      </w:r>
    </w:p>
    <w:tbl>
      <w:tblPr>
        <w:tblW w:type="dxa" w:w="135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33"/>
        <w:gridCol w:w="1012"/>
        <w:gridCol w:w="5119"/>
        <w:gridCol w:w="714"/>
        <w:gridCol w:w="654"/>
        <w:gridCol w:w="1428"/>
        <w:gridCol w:w="3810"/>
      </w:tblGrid>
      <w:tr>
        <w:trPr>
          <w:tblHeader w:val="true"/>
          <w:cantSplit w:val="true"/>
        </w:trPr>
        <w:tc>
          <w:tcPr>
            <w:tcW w:type="dxa" w:w="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01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511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71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65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142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381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CT-058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 06:00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Enable business logins; confirm legacy stays read-only; legacy links shown in BIBS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CT-057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Log-in test per persona; legacy posting refused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CT-059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 07:00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Command centre opens; hypercare roster on duty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IPM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CT-058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Attendance on the bridge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CT-060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 08:00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BIBS open for business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0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CT-059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First transactions observed in each branch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CT-061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 09:00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First payment file uploads and the first automatch run including migrated UPP; review results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OPS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CT-060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Run summary; legacy and new postings in the right accounts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CT-062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 12:00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Midday check - defects, queues, Migration Clearing still 0.00, no legacy posting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IML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CT-060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Midday report to the board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CT-063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 18:00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End-of-day review - point of no return (DMQ32); decide continue or fallback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GNG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CT-062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Decision recorded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CT-064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 20:00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First BIBS EOD jobs; check GL posting, sub-ledgers and the Cash Receipts Book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CT-063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Job run log; CRB lists the day's receipts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5" w:name="_Toc000115"/>
      <w:r>
        <w:rPr/>
        <w:t>5.7 Phase G - Hypercare</w:t>
      </w:r>
      <w:bookmarkEnd w:id="115"/>
    </w:p>
    <w:p>
      <w:pPr>
        <w:pStyle w:val="Caption"/>
        <w:keepNext/>
        <w:spacing w:after="60"/>
      </w:pPr>
      <w:r>
        <w:rPr>
          <w:b/>
          <w:i w:val="0"/>
        </w:rPr>
        <w:t xml:space="preserve">Table 14: </w:t>
      </w:r>
      <w:r>
        <w:rPr/>
        <w:t>Phase G - Hypercare</w:t>
      </w:r>
    </w:p>
    <w:tbl>
      <w:tblPr>
        <w:tblW w:type="dxa" w:w="135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33"/>
        <w:gridCol w:w="1012"/>
        <w:gridCol w:w="5119"/>
        <w:gridCol w:w="714"/>
        <w:gridCol w:w="654"/>
        <w:gridCol w:w="1428"/>
        <w:gridCol w:w="3810"/>
      </w:tblGrid>
      <w:tr>
        <w:trPr>
          <w:tblHeader w:val="true"/>
          <w:cantSplit w:val="true"/>
        </w:trPr>
        <w:tc>
          <w:tcPr>
            <w:tcW w:type="dxa" w:w="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01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511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71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65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142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381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CT-065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T+1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Daily hypercare check - Migration Clearing 0.00, legacy control accounts vs sub-ledgers, automatch results, exception queues, failed jobs (daily until exit)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IML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CT-064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Daily hypercare report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CT-066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T+1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Defect triage twice a day (10:00 and 16:00) with Operations, Comptrollership and iorta QA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IQA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CT-064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Defect log updated; severity agreed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CT-067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T+2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First remittance extraction with legacy invoices for the main insurers; compare with the legacy remittance pattern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OPS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CT-064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Schedules show legacy invoice numbers; OPS_REMITTANCE posts to DTIP legacy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CT-068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T+3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First Collections worklist refresh with legacy invoices; collectors confirm carried promises and assignments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OPS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CT-064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Worklist counts agree with F03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CT-069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T+5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Staging purge - payloads and intake files of the signed-off production batches deleted within 5 days (MIG_STAGING_PURGE)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IDO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CT-055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No staging payload older than 5 days after sign-off; purge log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CT-070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T+5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Check the daily Renewal extraction from the migrated headers (policies expiring at business date + 140 days) - first runs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MKT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CT-046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Candidates created with source LEGACY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CT-071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T+7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Week-1 review with the board - defects, volumes, performance, user feedback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GNG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CT-065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Minutes; actions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CT-072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T+10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First DPPR or PR2307 legacy reversal batch (if any) approved and posted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4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CT-064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Run report; legacy sub-ledgers reduced by the batch total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CT-073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T+14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Hypercare mid-point review against the exit criteria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GNG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CT-071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Criteria status recorded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CT-074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T+30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First month-end close with legacy control accounts; ACSL GL-SL reconciliation with context LEGACY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COMP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16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CT-073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ACSL reconciliation without difference; FRBS schedules include legacy balances</w:t>
            </w:r>
          </w:p>
        </w:tc>
      </w:tr>
      <w:tr>
        <w:trPr>
          <w:cantSplit w:val="true"/>
        </w:trPr>
        <w:tc>
          <w:tcPr>
            <w:tcW w:type="dxa" w:w="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CT-075</w:t>
            </w:r>
          </w:p>
        </w:tc>
        <w:tc>
          <w:tcPr>
            <w:tcW w:type="dxa" w:w="10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T+30</w:t>
            </w:r>
          </w:p>
        </w:tc>
        <w:tc>
          <w:tcPr>
            <w:tcW w:type="dxa" w:w="51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Hypercare exit decision</w:t>
            </w:r>
          </w:p>
        </w:tc>
        <w:tc>
          <w:tcPr>
            <w:tcW w:type="dxa" w:w="71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GNG</w:t>
            </w:r>
          </w:p>
        </w:tc>
        <w:tc>
          <w:tcPr>
            <w:tcW w:type="dxa" w:w="65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2</w:t>
            </w:r>
          </w:p>
        </w:tc>
        <w:tc>
          <w:tcPr>
            <w:tcW w:type="dxa" w:w="142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CT-074</w:t>
            </w:r>
          </w:p>
        </w:tc>
        <w:tc>
          <w:tcPr>
            <w:tcW w:type="dxa" w:w="381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Exit criteria met; hand-over to production support (L1 / L2 / L3)</w:t>
            </w:r>
          </w:p>
        </w:tc>
      </w:tr>
    </w:tbl>
    <w:p>
      <w:pPr>
        <w:pStyle w:val="BDOISpacer"/>
      </w:pPr>
    </w:p>
    <w:p>
      <w:pPr>
        <w:sectPr>
          <w:headerReference w:type="default" r:id="rId16"/>
          <w:footerReference w:type="default" r:id="rId17"/>
          <w:headerReference w:type="first" r:id="rId18"/>
          <w:footerReference w:type="first" r:id="rId19"/>
          <w:pgSz w:w="15840" w:h="12240" w:orient="landscape"/>
          <w:pgMar w:top="1417" w:right="1134" w:bottom="1247" w:left="1134" w:header="567" w:footer="510" w:gutter="0"/>
          <w:cols w:space="720"/>
          <w:docGrid w:linePitch="360"/>
        </w:sectPr>
      </w:pPr>
    </w:p>
    <w:p>
      <w:pPr>
        <w:pStyle w:val="Heading1"/>
        <w:pBdr>
          <w:bottom w:val="single" w:sz="4" w:space="4" w:color="99C1E7"/>
        </w:pBdr>
      </w:pPr>
      <w:bookmarkStart w:id="116" w:name="_Toc000116"/>
      <w:r>
        <w:rPr/>
        <w:t>6 Rollback</w:t>
      </w:r>
      <w:bookmarkEnd w:id="116"/>
    </w:p>
    <w:p>
      <w:r>
        <w:rPr/>
        <w:t>The rollback returns BDOI to legacy with no loss of data. It is available until the point of no return, the end-of-day review on T at 18:00 (DMQ32). The rollback point is the production database snapshot taken at T-2 02:00 (task CT-037), before any open item, header or trial balance is loaded; reference data and clients pre-loaded before it stay loaded and are harmless because legacy stays the system of record until go-live.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15: </w:t>
      </w:r>
      <w:r>
        <w:rPr/>
        <w:t>Rollback procedure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1321"/>
        <w:gridCol w:w="6969"/>
        <w:gridCol w:w="961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13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696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96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RB-1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Stop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The go / no-go board records NO-GO (or a failure before T 18:00 that the board judges unrecoverable). The Program Manager announces the rollback on the bridge.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GNG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RB-2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Lock BIBS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Disable business logins to BIBS; stop the scheduled jobs (PAYMENT_AUTOMATCH, payment file handlers, Renewal extraction, e-mail dispatch).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IDO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RB-3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Capture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If business transactions were keyed in BIBS after 08:00 on T, export them (receipts, applications, bookings) with MIG-CUTOVER-STATUS and the Operations reports for re-keying in legacy.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IML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RB-4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Restore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Restore the production database to the rollback-point snapshot (CT-037); restore the object store for attachments of the same time; verify the restore (row counts of key tables, application start).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IDO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RB-5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Reopen legacy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Set EBIX, QPS and CMS back to read-write; re-enable the legacy batch jobs; confirm the last legacy EOD is intact.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BIT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RB-6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Re-key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Operations re-keys in legacy the transactions captured in RB-3, with the BIBS AR numbers voided in the receipt register.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OPS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RB-7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Communicate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Send the rollback notice to users, branches, insurers and bank channels (communication plan item 7).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PM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RB-8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Review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Within 2 business days - root cause, new go-live date, which mocks to repeat; purge the production staging of the failed cutover within 5 days.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PM</w:t>
            </w:r>
          </w:p>
        </w:tc>
      </w:tr>
    </w:tbl>
    <w:p>
      <w:pPr>
        <w:pStyle w:val="BDOISpacer"/>
      </w:pPr>
    </w:p>
    <w:p>
      <w:r>
        <w:rPr/>
        <w:t>After the point of no return, there is no technical rollback. A defect is fixed forward in BIBS through the normal business functions (correction, reversal, adjustment), with the change visible in the Prod Recon legacy change report where it touches a legacy invoice.</w:t>
      </w:r>
    </w:p>
    <w:p>
      <w:pPr>
        <w:pStyle w:val="Heading1"/>
        <w:pBdr>
          <w:bottom w:val="single" w:sz="4" w:space="4" w:color="99C1E7"/>
        </w:pBdr>
      </w:pPr>
      <w:bookmarkStart w:id="117" w:name="_Toc000117"/>
      <w:r>
        <w:rPr/>
        <w:t>7 Communication plan</w:t>
      </w:r>
      <w:bookmarkEnd w:id="117"/>
    </w:p>
    <w:p>
      <w:pPr>
        <w:pStyle w:val="Caption"/>
        <w:keepNext/>
        <w:spacing w:after="60"/>
      </w:pPr>
      <w:r>
        <w:rPr>
          <w:b/>
          <w:i w:val="0"/>
        </w:rPr>
        <w:t xml:space="preserve">Table 16: </w:t>
      </w:r>
      <w:r>
        <w:rPr/>
        <w:t>Communication plan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369"/>
        <w:gridCol w:w="3324"/>
        <w:gridCol w:w="2339"/>
        <w:gridCol w:w="1846"/>
        <w:gridCol w:w="1354"/>
        <w:gridCol w:w="738"/>
      </w:tblGrid>
      <w:tr>
        <w:trPr>
          <w:tblHeader w:val="true"/>
          <w:cantSplit w:val="true"/>
        </w:trPr>
        <w:tc>
          <w:tcPr>
            <w:tcW w:type="dxa" w:w="36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Message</w:t>
            </w:r>
          </w:p>
        </w:tc>
        <w:tc>
          <w:tcPr>
            <w:tcW w:type="dxa" w:w="233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184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Channel</w:t>
            </w:r>
          </w:p>
        </w:tc>
        <w:tc>
          <w:tcPr>
            <w:tcW w:type="dxa" w:w="135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739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Go-live date, freeze and what changes for each department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All BDOI users, branch heads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E-mail from the Program Manager; team briefings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T-21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Payments after go-live - legacy invoice numbers stay valid; new invoices are BI- numbers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Insurers, BDO bank channels (bills payment, CLPC, direct credit), corporate clients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Letter / e-mail from Operations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T-21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OPS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Freeze of reference data and the change request route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Product, Marketing and Operations maintainers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E-mail from the Data Migration Lead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T-8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DML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Training schedule and log-in instructions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All BIBS users per persona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E-mail; training calendar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T-20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Legacy freeze at T-3 22:00; BIBS opens T 08:00; what to do with urgent items during the weekend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All users, branches, insurers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E-mail; branch notice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T-4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Go-live confirmed; support channels and hypercare contacts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All users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E-mail; intranet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T-1 19:00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Rollback notice (only if NO-GO) - legacy stays in use; next steps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All users, branches, insurers, bank channels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E-mail; phone tree for branch heads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T-1 on NO-GO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Daily hypercare status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Go / no-go board, department heads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Daily report and bridge call 17:00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T to hypercare exit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IPM</w:t>
            </w:r>
          </w:p>
        </w:tc>
      </w:tr>
      <w:tr>
        <w:trPr>
          <w:cantSplit w:val="true"/>
        </w:trPr>
        <w:tc>
          <w:tcPr>
            <w:tcW w:type="dxa" w:w="36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33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Hypercare exit and hand-over to production support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All users, IT</w:t>
            </w:r>
          </w:p>
        </w:tc>
        <w:tc>
          <w:tcPr>
            <w:tcW w:type="dxa" w:w="184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E-mail</w:t>
            </w:r>
          </w:p>
        </w:tc>
        <w:tc>
          <w:tcPr>
            <w:tcW w:type="dxa" w:w="135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At exit</w:t>
            </w:r>
          </w:p>
        </w:tc>
        <w:tc>
          <w:tcPr>
            <w:tcW w:type="dxa" w:w="73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PM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18" w:name="_Toc000118"/>
      <w:r>
        <w:rPr/>
        <w:t>8 Hypercare</w:t>
      </w:r>
      <w:bookmarkEnd w:id="118"/>
    </w:p>
    <w:p>
      <w:r>
        <w:rPr/>
        <w:t>Hypercare runs from go-live to the first month-end close with the legacy control accounts (about T+30). The command centre stays open to T+5, then the daily 17:00 call continues until exit.</w:t>
      </w:r>
    </w:p>
    <w:p>
      <w:r>
        <w:rPr>
          <w:b/>
        </w:rPr>
        <w:t>Daily checks</w:t>
      </w:r>
      <w:r>
        <w:rPr/>
        <w:t xml:space="preserve"> (task CT-065): Migration Clearing 0.00 per branch and currency; legacy control accounts against their sub-ledgers (ACSL, context LEGACY); automatch runs and the unapplied items they left; payment file results; exception queues (rejected receipts, remittance exclusions, failed postings); failed jobs and alerts; open defects by severity; user tickets by department.</w:t>
      </w:r>
    </w:p>
    <w:p>
      <w:pPr>
        <w:pStyle w:val="Heading2"/>
      </w:pPr>
      <w:bookmarkStart w:id="119" w:name="_Toc000119"/>
      <w:r>
        <w:rPr/>
        <w:t>8.1 Roster</w:t>
      </w:r>
      <w:bookmarkEnd w:id="119"/>
    </w:p>
    <w:p>
      <w:pPr>
        <w:pStyle w:val="Caption"/>
        <w:keepNext/>
        <w:spacing w:after="60"/>
      </w:pPr>
      <w:r>
        <w:rPr>
          <w:b/>
          <w:i w:val="0"/>
        </w:rPr>
        <w:t xml:space="preserve">Table 17: </w:t>
      </w:r>
      <w:r>
        <w:rPr/>
        <w:t>Hypercare roster (names in the task plan, sheet Hypercare Roster)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1922"/>
        <w:gridCol w:w="3244"/>
        <w:gridCol w:w="2883"/>
        <w:gridCol w:w="1922"/>
      </w:tblGrid>
      <w:tr>
        <w:trPr>
          <w:tblHeader w:val="true"/>
          <w:cantSplit w:val="true"/>
        </w:trPr>
        <w:tc>
          <w:tcPr>
            <w:tcW w:type="dxa" w:w="19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24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Who</w:t>
            </w:r>
          </w:p>
        </w:tc>
        <w:tc>
          <w:tcPr>
            <w:tcW w:type="dxa" w:w="288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9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Escalates to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Command centre lead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Project Manager</w:t>
            </w:r>
          </w:p>
        </w:tc>
        <w:tc>
          <w:tcPr>
            <w:tcW w:type="dxa" w:w="288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07:00-20:00 T to T+5; 08:00-18:00 after</w:t>
            </w: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Program Manager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Migration and reconciliation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Migration Lead; Migration Operator</w:t>
            </w:r>
          </w:p>
        </w:tc>
        <w:tc>
          <w:tcPr>
            <w:tcW w:type="dxa" w:w="288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07:00-22:00 T to T+5; business hours after</w:t>
            </w: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Project Manager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Application support (L2 / L3)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developers - Operations, Accounting, CRM, Renewal</w:t>
            </w:r>
          </w:p>
        </w:tc>
        <w:tc>
          <w:tcPr>
            <w:tcW w:type="dxa" w:w="288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07:00-20:00 T to T+5; on call to 22:00</w:t>
            </w: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Project Manager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Infrastructure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DevOps</w:t>
            </w:r>
          </w:p>
        </w:tc>
        <w:tc>
          <w:tcPr>
            <w:tcW w:type="dxa" w:w="288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24 x 7 on call T-3 to T+5; business hours after</w:t>
            </w: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Project Manager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Business floor support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super-users per department (Cashiering, Remittance, Collections, Accounting, Marketing)</w:t>
            </w:r>
          </w:p>
        </w:tc>
        <w:tc>
          <w:tcPr>
            <w:tcW w:type="dxa" w:w="288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Branch hours T to T+10</w:t>
            </w: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Data Migration Lead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Comptrollership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Reconciliation approver; GL lead</w:t>
            </w:r>
          </w:p>
        </w:tc>
        <w:tc>
          <w:tcPr>
            <w:tcW w:type="dxa" w:w="288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Daily 16:00 check T to first month-end</w:t>
            </w: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Head, Comptrollership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Legacy systems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IT legacy administrator</w:t>
            </w:r>
          </w:p>
        </w:tc>
        <w:tc>
          <w:tcPr>
            <w:tcW w:type="dxa" w:w="288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Business hours; on call T-3 to T+1</w:t>
            </w: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IT head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Service desk (L1)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service desk</w:t>
            </w:r>
          </w:p>
        </w:tc>
        <w:tc>
          <w:tcPr>
            <w:tcW w:type="dxa" w:w="288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Service hours</w:t>
            </w: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IT head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20" w:name="_Toc000120"/>
      <w:r>
        <w:rPr/>
        <w:t>8.2 Exit criteria</w:t>
      </w:r>
      <w:bookmarkEnd w:id="120"/>
    </w:p>
    <w:p>
      <w:pPr>
        <w:pStyle w:val="Caption"/>
        <w:keepNext/>
        <w:spacing w:after="60"/>
      </w:pPr>
      <w:r>
        <w:rPr>
          <w:b/>
          <w:i w:val="0"/>
        </w:rPr>
        <w:t xml:space="preserve">Table 18: </w:t>
      </w:r>
      <w:r>
        <w:rPr/>
        <w:t>Hypercare exit criteria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Exit 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No open Critical or High defect; Medium defects have an agreed fix date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Migration Clearing 0.00 and legacy control accounts equal their sub-ledgers on 10 consecutive business days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First month-end close completed with the ACSL GL-SL reconciliation (context LEGACY) without difference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4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Payment files, automatch, remittance, DPPR / PR2307 batches and endorsements on legacy invoices each processed at least once in production without incident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5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Staging and extract files of production purged within 5 days of sign-off (purge log)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6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Service desk ticket volume back to the level agreed in the support model; production support runbook (deliverable 24) accepted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21" w:name="_Toc000121"/>
      <w:r>
        <w:rPr/>
        <w:t>9 Decommissioning checklists</w:t>
      </w:r>
      <w:bookmarkEnd w:id="121"/>
    </w:p>
    <w:p>
      <w:r>
        <w:rPr/>
        <w:t>A legacy system is decommissioned only when every item of its checklist is met and signed (FR-DM-123; DMQ27). The legacy context in BIBS closes separately, when the legacy positions have run off.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19: </w:t>
      </w:r>
      <w:r>
        <w:rPr/>
        <w:t>Decommissioning checklist - EBIX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Final extracts reconciled and signed off (F01, F02, F03, F04, F06, G01, C01)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Archive objects H01, H02 and G02 of EBIX loaded and reconciled (counts and hash totals per record type against legacy)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Legacy Inquiry verified by Audit / Compliance on samples of each record type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No open legacy invoice or legacy UPP that needs an EBIX document; the legacy context in BIBS may still be open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5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Claims tail covered - no open claim that needs EBIX (DMQ27, DMQ30)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6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Read-only access logs exported to the archive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7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Database backup retained per the retention decision (DMQ27); retention obligations covered (5 years online, 15 years archive, umbrella p.45)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8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Sign-off by the EBIX system owner, Compliance and Comptrollership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20: </w:t>
      </w:r>
      <w:r>
        <w:rPr/>
        <w:t>Decommissioning checklist - QPS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Final extracts reconciled and signed off (C01, P01, P03, R objects)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Last QPS-issued policy expired and its renewal decided (run-off tracker shows no open cohort), or the policy is archived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Archive objects of QPS loaded and reconciled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Legacy Inquiry verified by Audit / Compliance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5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Read-only access logs exported; database backup retained per DMQ27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6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Sign-off by the QPS system owner, Compliance and the Heads of Marketing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21: </w:t>
      </w:r>
      <w:r>
        <w:rPr/>
        <w:t>Decommissioning checklist - ISYS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Claims and ACSL reports and the Marketing Diary no longer needed (replaced by BIBS reports)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GL history (G02) and closed claims (H01 CLAIM) archived and reconciled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Sign-off by the ISYS system owner, Claims and Comptrollership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22: </w:t>
      </w:r>
      <w:r>
        <w:rPr/>
        <w:t>Decommissioning checklist - CMS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Collection state F03 and UPP F02 reconciled and signed off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Disposition history archived (H01) if required by DMQ34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Sign-off by the Head of Operations (Collections) and BDOI IT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23: </w:t>
      </w:r>
      <w:r>
        <w:rPr/>
        <w:t>Decommissioning checklist - Excel masterlists and file shares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Submitted-policy masterlists migrated (P04) or archived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KYC documents and legacy documents (C04, H02) archived with checksums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Folders set to read-only, then removed per the retention decision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Sign-off by the owning department and Compliance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24: </w:t>
      </w:r>
      <w:r>
        <w:rPr/>
        <w:t>Decommissioning checklist - Legacy context in BIBS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80"/>
        <w:gridCol w:w="9492"/>
      </w:tblGrid>
      <w:tr>
        <w:trPr>
          <w:tblHeader w:val="true"/>
          <w:cantSplit w:val="true"/>
        </w:trPr>
        <w:tc>
          <w:tcPr>
            <w:tcW w:type="dxa" w:w="4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49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No open legacy invoice (paid, reversed, written off or reclassified)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No legacy UPP with a balance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Legacy control accounts and Migration Clearing at 0.00</w:t>
            </w:r>
          </w:p>
        </w:tc>
      </w:tr>
      <w:tr>
        <w:trPr>
          <w:cantSplit w:val="true"/>
        </w:trPr>
        <w:tc>
          <w:tcPr>
            <w:tcW w:type="dxa" w:w="4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</w:t>
            </w:r>
          </w:p>
        </w:tc>
        <w:tc>
          <w:tcPr>
            <w:tcW w:type="dxa" w:w="949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Comptrollership decides whether the legacy accounts are closed in the chart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22" w:name="_Toc000122"/>
      <w:r>
        <w:rPr/>
        <w:t>Sign-off</w:t>
      </w:r>
      <w:bookmarkEnd w:id="122"/>
    </w:p>
    <w:p>
      <w:r>
        <w:rPr/>
        <w:t>By signing, BDOI approves this runbook as the plan of the production cutover. The go-live date, the named people and the measured durations are added in version 1.1 after the dress rehearsal.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266"/>
        <w:gridCol w:w="2379"/>
        <w:gridCol w:w="2379"/>
        <w:gridCol w:w="1813"/>
        <w:gridCol w:w="1133"/>
      </w:tblGrid>
      <w:tr>
        <w:trPr>
          <w:tblHeader w:val="true"/>
          <w:cantSplit w:val="true"/>
        </w:trPr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181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1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Program Manager, Business Project Services (chair, go / no-go board)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 Unibank ESG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Data Migration Lead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Operations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Comptrollership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BDOI IT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</w:tbl>
    <w:p>
      <w:pPr>
        <w:pStyle w:val="BDOISpacer"/>
      </w:pPr>
    </w:p>
    <w:sectPr w:rsidR="00FC693F" w:rsidRPr="0006063C" w:rsidSect="00034616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417" w:right="1134" w:bottom="1247" w:left="113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986" w:val="center"/>
        <w:tab w:pos="9972" w:val="right"/>
      </w:tabs>
      <w:pBdr>
        <w:top w:val="single" w:sz="4" w:space="4" w:color="C2C2C1"/>
      </w:pBdr>
    </w:pPr>
    <w:r/>
    <w:r>
      <w:rPr>
        <w:color w:val="656565"/>
        <w:sz w:val="16"/>
      </w:rPr>
      <w:t>Confidential – BDOI</w:t>
    </w:r>
    <w:r>
      <w:rPr>
        <w:color w:val="656565"/>
        <w:sz w:val="16"/>
      </w:rPr>
      <w:tab/>
      <w:t xml:space="preserve">Page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PAGE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 xml:space="preserve"> of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NUMPAGES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ab/>
      <w:t>Version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6786" w:val="center"/>
        <w:tab w:pos="13572" w:val="right"/>
      </w:tabs>
      <w:pBdr>
        <w:top w:val="single" w:sz="4" w:space="4" w:color="C2C2C1"/>
      </w:pBdr>
    </w:pPr>
    <w:r/>
    <w:r>
      <w:rPr>
        <w:color w:val="656565"/>
        <w:sz w:val="16"/>
      </w:rPr>
      <w:t>Confidential – BDOI</w:t>
    </w:r>
    <w:r>
      <w:rPr>
        <w:color w:val="656565"/>
        <w:sz w:val="16"/>
      </w:rPr>
      <w:tab/>
      <w:t xml:space="preserve">Page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PAGE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 xml:space="preserve"> of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NUMPAGES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ab/>
      <w:t>Version 1.0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986" w:val="center"/>
        <w:tab w:pos="9972" w:val="right"/>
      </w:tabs>
      <w:pBdr>
        <w:top w:val="single" w:sz="4" w:space="4" w:color="C2C2C1"/>
      </w:pBdr>
    </w:pPr>
    <w:r/>
    <w:r>
      <w:rPr>
        <w:color w:val="656565"/>
        <w:sz w:val="16"/>
      </w:rPr>
      <w:t>Confidential – BDOI</w:t>
    </w:r>
    <w:r>
      <w:rPr>
        <w:color w:val="656565"/>
        <w:sz w:val="16"/>
      </w:rPr>
      <w:tab/>
      <w:t xml:space="preserve">Page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PAGE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 xml:space="preserve"> of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NUMPAGES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ab/>
      <w:t>Version 1.0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72" w:val="right"/>
      </w:tabs>
      <w:spacing w:after="0"/>
      <w:pBdr>
        <w:bottom w:val="single" w:sz="6" w:space="4" w:color="FDB913"/>
      </w:pBdr>
    </w:pPr>
    <w:r/>
    <w:r>
      <w:rPr>
        <w:b/>
        <w:color w:val="004EA8"/>
        <w:sz w:val="17"/>
      </w:rPr>
      <w:t>Cutover Runbook BRD-13</w:t>
    </w:r>
    <w:r>
      <w:rPr>
        <w:color w:val="656565"/>
        <w:sz w:val="16"/>
      </w:rPr>
      <w:t xml:space="preserve">   Runbook</w:t>
    </w:r>
    <w:r>
      <w:tab/>
    </w:r>
    <w:r>
      <w:drawing>
        <wp:inline xmlns:a="http://schemas.openxmlformats.org/drawingml/2006/main" xmlns:pic="http://schemas.openxmlformats.org/drawingml/2006/picture">
          <wp:extent cx="1095709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do-ins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709" cy="2232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3572" w:val="right"/>
      </w:tabs>
      <w:spacing w:after="0"/>
      <w:pBdr>
        <w:bottom w:val="single" w:sz="6" w:space="4" w:color="FDB913"/>
      </w:pBdr>
    </w:pPr>
    <w:r/>
    <w:r>
      <w:rPr>
        <w:b/>
        <w:color w:val="004EA8"/>
        <w:sz w:val="17"/>
      </w:rPr>
      <w:t>Cutover Runbook BRD-13</w:t>
    </w:r>
    <w:r>
      <w:rPr>
        <w:color w:val="656565"/>
        <w:sz w:val="16"/>
      </w:rPr>
      <w:t xml:space="preserve">   Runbook</w:t>
    </w:r>
    <w:r>
      <w:tab/>
    </w:r>
    <w:r>
      <w:drawing>
        <wp:inline xmlns:a="http://schemas.openxmlformats.org/drawingml/2006/main" xmlns:pic="http://schemas.openxmlformats.org/drawingml/2006/picture">
          <wp:extent cx="1095709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do-ins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709" cy="2232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72" w:val="right"/>
      </w:tabs>
      <w:spacing w:after="0"/>
      <w:pBdr>
        <w:bottom w:val="single" w:sz="6" w:space="4" w:color="FDB913"/>
      </w:pBdr>
    </w:pPr>
    <w:r/>
    <w:r>
      <w:rPr>
        <w:b/>
        <w:color w:val="004EA8"/>
        <w:sz w:val="17"/>
      </w:rPr>
      <w:t>Cutover Runbook BRD-13</w:t>
    </w:r>
    <w:r>
      <w:rPr>
        <w:color w:val="656565"/>
        <w:sz w:val="16"/>
      </w:rPr>
      <w:t xml:space="preserve">   Runbook</w:t>
    </w:r>
    <w:r>
      <w:tab/>
    </w:r>
    <w:r>
      <w:drawing>
        <wp:inline xmlns:a="http://schemas.openxmlformats.org/drawingml/2006/main" xmlns:pic="http://schemas.openxmlformats.org/drawingml/2006/picture">
          <wp:extent cx="1095709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do-ins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709" cy="2232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b w:val="0"/>
      <w:i w:val="0"/>
      <w:color w:val="4B4B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outlineLvl w:val="0"/>
    </w:pPr>
    <w:rPr>
      <w:rFonts w:ascii="Arial" w:hAnsi="Arial" w:cs="Arial" w:eastAsia="Arial"/>
      <w:b/>
      <w:bCs/>
      <w:i w:val="0"/>
      <w:color w:val="004E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="Arial" w:hAnsi="Arial" w:cs="Arial" w:eastAsia="Arial"/>
      <w:b/>
      <w:bCs/>
      <w:i w:val="0"/>
      <w:color w:val="004E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40" w:lineRule="auto"/>
      <w:outlineLvl w:val="2"/>
    </w:pPr>
    <w:rPr>
      <w:rFonts w:ascii="Arial" w:hAnsi="Arial" w:cs="Arial" w:eastAsia="Arial"/>
      <w:b/>
      <w:bCs/>
      <w:i w:val="0"/>
      <w:color w:val="004E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40" w:lineRule="auto"/>
      <w:outlineLvl w:val="9"/>
    </w:pPr>
    <w:rPr>
      <w:rFonts w:ascii="Arial" w:hAnsi="Arial" w:cs="Arial" w:eastAsia="Arial"/>
      <w:b/>
      <w:bCs/>
      <w:i w:val="0"/>
      <w:iCs/>
      <w:color w:val="2E2E2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</w:pPr>
    <w:rPr>
      <w:rFonts w:ascii="Arial" w:hAnsi="Arial" w:cs="Arial" w:eastAsia="Arial"/>
      <w:b w:val="0"/>
      <w:bCs/>
      <w:i/>
      <w:color w:val="65656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DOITable">
    <w:name w:val="BDOI Table"/>
    <w:basedOn w:val="Normal"/>
    <w:pPr>
      <w:spacing w:before="0" w:after="0" w:line="252" w:lineRule="auto"/>
    </w:pPr>
    <w:rPr>
      <w:rFonts w:ascii="Arial" w:hAnsi="Arial" w:cs="Arial" w:eastAsia="Arial"/>
      <w:b w:val="0"/>
      <w:i w:val="0"/>
      <w:color w:val="4B4B4B"/>
      <w:sz w:val="18"/>
    </w:rPr>
  </w:style>
  <w:style w:type="paragraph" w:customStyle="1" w:styleId="BDOITableHeader">
    <w:name w:val="BDOI Table Header"/>
    <w:basedOn w:val="Normal"/>
    <w:pPr>
      <w:spacing w:before="0" w:after="0" w:line="252" w:lineRule="auto"/>
    </w:pPr>
    <w:rPr>
      <w:rFonts w:ascii="Arial" w:hAnsi="Arial" w:cs="Arial" w:eastAsia="Arial"/>
      <w:b/>
      <w:i w:val="0"/>
      <w:color w:val="FFFFFF"/>
      <w:sz w:val="18"/>
    </w:rPr>
  </w:style>
  <w:style w:type="paragraph" w:customStyle="1" w:styleId="BDOISmall">
    <w:name w:val="BDOI Small"/>
    <w:basedOn w:val="Normal"/>
    <w:rPr>
      <w:rFonts w:ascii="Arial" w:hAnsi="Arial" w:cs="Arial" w:eastAsia="Arial"/>
      <w:b w:val="0"/>
      <w:i w:val="0"/>
      <w:color w:val="656565"/>
      <w:sz w:val="16"/>
    </w:rPr>
  </w:style>
  <w:style w:type="paragraph" w:customStyle="1" w:styleId="BDOIFrontHeading">
    <w:name w:val="BDOI Front Heading"/>
    <w:basedOn w:val="Normal"/>
    <w:pPr>
      <w:keepNext/>
      <w:spacing w:before="0" w:after="200"/>
    </w:pPr>
    <w:rPr>
      <w:rFonts w:ascii="Arial" w:hAnsi="Arial" w:cs="Arial" w:eastAsia="Arial"/>
      <w:b/>
      <w:i w:val="0"/>
      <w:color w:val="004EA8"/>
      <w:sz w:val="32"/>
    </w:rPr>
  </w:style>
  <w:style w:type="paragraph" w:customStyle="1" w:styleId="BDOILabel">
    <w:name w:val="BDOI Label"/>
    <w:basedOn w:val="Normal"/>
    <w:pPr>
      <w:keepNext/>
      <w:spacing w:before="160" w:after="60"/>
    </w:pPr>
    <w:rPr>
      <w:rFonts w:ascii="Arial" w:hAnsi="Arial" w:cs="Arial" w:eastAsia="Arial"/>
      <w:b/>
      <w:i w:val="0"/>
      <w:color w:val="004EA8"/>
      <w:sz w:val="20"/>
    </w:rPr>
  </w:style>
  <w:style w:type="paragraph" w:customStyle="1" w:styleId="BDOISpacer">
    <w:name w:val="BDOI Spacer"/>
    <w:basedOn w:val="Normal"/>
    <w:pPr>
      <w:spacing w:before="0" w:after="100" w:line="240" w:lineRule="auto"/>
    </w:pPr>
    <w:rPr>
      <w:rFonts w:ascii="Arial" w:hAnsi="Arial" w:cs="Arial" w:eastAsia="Arial"/>
      <w:b w:val="0"/>
      <w:i w:val="0"/>
      <w:color w:val="4B4B4B"/>
      <w:sz w:val="6"/>
    </w:rPr>
  </w:style>
  <w:style w:type="paragraph" w:customStyle="1" w:styleId="toc1">
    <w:name w:val="toc 1"/>
    <w:basedOn w:val="Normal"/>
    <w:pPr>
      <w:tabs>
        <w:tab w:pos="9972" w:val="right" w:leader="dot"/>
      </w:tabs>
      <w:spacing w:before="120" w:after="40" w:line="240" w:lineRule="auto"/>
      <w:ind w:left="0"/>
    </w:pPr>
    <w:rPr>
      <w:rFonts w:ascii="Arial" w:hAnsi="Arial" w:cs="Arial" w:eastAsia="Arial"/>
      <w:b/>
      <w:i w:val="0"/>
      <w:color w:val="2E2E2E"/>
      <w:sz w:val="21"/>
    </w:rPr>
  </w:style>
  <w:style w:type="paragraph" w:customStyle="1" w:styleId="toc2">
    <w:name w:val="toc 2"/>
    <w:basedOn w:val="Normal"/>
    <w:pPr>
      <w:tabs>
        <w:tab w:pos="9972" w:val="right" w:leader="dot"/>
      </w:tabs>
      <w:spacing w:before="0" w:after="40" w:line="240" w:lineRule="auto"/>
      <w:ind w:left="340"/>
    </w:pPr>
    <w:rPr>
      <w:rFonts w:ascii="Arial" w:hAnsi="Arial" w:cs="Arial" w:eastAsia="Arial"/>
      <w:b w:val="0"/>
      <w:i w:val="0"/>
      <w:color w:val="4B4B4B"/>
      <w:sz w:val="20"/>
    </w:rPr>
  </w:style>
  <w:style w:type="paragraph" w:customStyle="1" w:styleId="toc3">
    <w:name w:val="toc 3"/>
    <w:basedOn w:val="Normal"/>
    <w:pPr>
      <w:tabs>
        <w:tab w:pos="9972" w:val="right" w:leader="dot"/>
      </w:tabs>
      <w:spacing w:before="0" w:after="40" w:line="240" w:lineRule="auto"/>
      <w:ind w:left="680"/>
    </w:pPr>
    <w:rPr>
      <w:rFonts w:ascii="Arial" w:hAnsi="Arial" w:cs="Arial" w:eastAsia="Arial"/>
      <w:b w:val="0"/>
      <w:i w:val="0"/>
      <w:color w:val="4B4B4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header" Target="header6.xml"/><Relationship Id="rId23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Cutover Runbook</dc:title>
  <dc:subject>BIBS – BDOI Broker System</dc:subject>
  <dc:creator>iorta TechNXT</dc:creator>
  <cp:keywords>Migration, BRD-13, BIBS, BDOI</cp:keywords>
  <dc:description>Version 1.0. Confidential.</dc:description>
  <cp:lastModifiedBy>iorta TechNXT</cp:lastModifiedBy>
  <cp:revision>1</cp:revision>
  <dcterms:created xsi:type="dcterms:W3CDTF">2013-12-23T23:15:00Z</dcterms:created>
  <dcterms:modified xsi:type="dcterms:W3CDTF">2013-12-23T23:15:00Z</dcterms:modified>
  <cp:category/>
</cp:coreProperties>
</file>