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STRATEGY AND APPROACH</w:t>
      </w:r>
    </w:p>
    <w:p>
      <w:pPr>
        <w:spacing w:after="80" w:line="240" w:lineRule="auto"/>
      </w:pPr>
      <w:r>
        <w:rPr>
          <w:b/>
          <w:color w:val="004EA8"/>
          <w:sz w:val="56"/>
        </w:rPr>
        <w:t>Data Migration Strategy and Approach</w:t>
      </w:r>
    </w:p>
    <w:p>
      <w:pPr>
        <w:spacing w:after="40"/>
      </w:pPr>
      <w:r>
        <w:rPr>
          <w:color w:val="2E2E2E"/>
          <w:sz w:val="28"/>
        </w:rPr>
        <w:t>BRD-13 Data Migration - what is migrated, how it gets into BIBS, and how cutover is run and proven</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25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 the build design and FRS BRD-13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Data Requirements Workbook, the extract templates, the Cutover Runbook and the Reconciliation Approach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owner of the cutover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Open items, GL opening, legacy sub-ledgers, reconciliation</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 Heads of Retail and Corporate Marketing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Compliance; Unit Head, Analytics and Risk Management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protection, archive, access logging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(legacy EBIX, QPS, ISYS, CMS)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Extracts, transfer, legacy read-only and decommissioning</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Build, rehearsals, cutover,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 and basis</w:t>
        </w:r>
        <w:r>
          <w:t xml:space="preserve">	</w:t>
        </w:r>
        <w:r>
          <w:t xml:space="preserve">6</w:t>
        </w:r>
      </w:hyperlink>
    </w:p>
    <w:p>
      <w:pPr>
        <w:pStyle w:val="toc2"/>
      </w:pPr>
      <w:hyperlink w:anchor="_Toc000104" w:history="1">
        <w:r>
          <w:t xml:space="preserve">1.3 The Data Migration document set</w:t>
        </w:r>
        <w:r>
          <w:t xml:space="preserve">	</w:t>
        </w:r>
        <w:r>
          <w:t xml:space="preserve">6</w:t>
        </w:r>
      </w:hyperlink>
    </w:p>
    <w:p>
      <w:pPr>
        <w:pStyle w:val="toc2"/>
      </w:pPr>
      <w:hyperlink w:anchor="_Toc000105" w:history="1">
        <w:r>
          <w:t xml:space="preserve">1.4 References</w:t>
        </w:r>
        <w:r>
          <w:t xml:space="preserve">	</w:t>
        </w:r>
        <w:r>
          <w:t xml:space="preserve">7</w:t>
        </w:r>
      </w:hyperlink>
    </w:p>
    <w:p>
      <w:pPr>
        <w:pStyle w:val="toc1"/>
      </w:pPr>
      <w:hyperlink w:anchor="_Toc000106" w:history="1">
        <w:r>
          <w:t xml:space="preserve">2 Objectives and principles</w:t>
        </w:r>
        <w:r>
          <w:t xml:space="preserve">	</w:t>
        </w:r>
        <w:r>
          <w:t xml:space="preserve">8</w:t>
        </w:r>
      </w:hyperlink>
    </w:p>
    <w:p>
      <w:pPr>
        <w:pStyle w:val="toc2"/>
      </w:pPr>
      <w:hyperlink w:anchor="_Toc000107" w:history="1">
        <w:r>
          <w:t xml:space="preserve">2.1 Objectives</w:t>
        </w:r>
        <w:r>
          <w:t xml:space="preserve">	</w:t>
        </w:r>
        <w:r>
          <w:t xml:space="preserve">8</w:t>
        </w:r>
      </w:hyperlink>
    </w:p>
    <w:p>
      <w:pPr>
        <w:pStyle w:val="toc2"/>
      </w:pPr>
      <w:hyperlink w:anchor="_Toc000108" w:history="1">
        <w:r>
          <w:t xml:space="preserve">2.2 Principles</w:t>
        </w:r>
        <w:r>
          <w:t xml:space="preserve">	</w:t>
        </w:r>
        <w:r>
          <w:t xml:space="preserve">8</w:t>
        </w:r>
      </w:hyperlink>
    </w:p>
    <w:p>
      <w:pPr>
        <w:pStyle w:val="toc2"/>
      </w:pPr>
      <w:hyperlink w:anchor="_Toc000109" w:history="1">
        <w:r>
          <w:t xml:space="preserve">2.3 What this migration does not do</w:t>
        </w:r>
        <w:r>
          <w:t xml:space="preserve">	</w:t>
        </w:r>
        <w:r>
          <w:t xml:space="preserve">9</w:t>
        </w:r>
      </w:hyperlink>
    </w:p>
    <w:p>
      <w:pPr>
        <w:pStyle w:val="toc1"/>
      </w:pPr>
      <w:hyperlink w:anchor="_Toc000110" w:history="1">
        <w:r>
          <w:t xml:space="preserve">3 Scope and decisions per data object</w:t>
        </w:r>
        <w:r>
          <w:t xml:space="preserve">	</w:t>
        </w:r>
        <w:r>
          <w:t xml:space="preserve">10</w:t>
        </w:r>
      </w:hyperlink>
    </w:p>
    <w:p>
      <w:pPr>
        <w:pStyle w:val="toc2"/>
      </w:pPr>
      <w:hyperlink w:anchor="_Toc000111" w:history="1">
        <w:r>
          <w:t xml:space="preserve">3.1 The decision gate</w:t>
        </w:r>
        <w:r>
          <w:t xml:space="preserve">	</w:t>
        </w:r>
        <w:r>
          <w:t xml:space="preserve">10</w:t>
        </w:r>
      </w:hyperlink>
    </w:p>
    <w:p>
      <w:pPr>
        <w:pStyle w:val="toc2"/>
      </w:pPr>
      <w:hyperlink w:anchor="_Toc000112" w:history="1">
        <w:r>
          <w:t xml:space="preserve">3.2 Data object register</w:t>
        </w:r>
        <w:r>
          <w:t xml:space="preserve">	</w:t>
        </w:r>
        <w:r>
          <w:t xml:space="preserve">10</w:t>
        </w:r>
      </w:hyperlink>
    </w:p>
    <w:p>
      <w:pPr>
        <w:pStyle w:val="toc2"/>
      </w:pPr>
      <w:hyperlink w:anchor="_Toc000113" w:history="1">
        <w:r>
          <w:t xml:space="preserve">3.3 Depth, delta and due dates</w:t>
        </w:r>
        <w:r>
          <w:t xml:space="preserve">	</w:t>
        </w:r>
        <w:r>
          <w:t xml:space="preserve">12</w:t>
        </w:r>
      </w:hyperlink>
    </w:p>
    <w:p>
      <w:pPr>
        <w:pStyle w:val="toc2"/>
      </w:pPr>
      <w:hyperlink w:anchor="_Toc000114" w:history="1">
        <w:r>
          <w:t xml:space="preserve">3.4 Business owners and data stewards</w:t>
        </w:r>
        <w:r>
          <w:t xml:space="preserve">	</w:t>
        </w:r>
        <w:r>
          <w:t xml:space="preserve">13</w:t>
        </w:r>
      </w:hyperlink>
    </w:p>
    <w:p>
      <w:pPr>
        <w:pStyle w:val="toc2"/>
      </w:pPr>
      <w:hyperlink w:anchor="_Toc000115" w:history="1">
        <w:r>
          <w:t xml:space="preserve">3.5 Client migration "2020 to present" and daily client batches</w:t>
        </w:r>
        <w:r>
          <w:t xml:space="preserve">	</w:t>
        </w:r>
        <w:r>
          <w:t xml:space="preserve">14</w:t>
        </w:r>
      </w:hyperlink>
    </w:p>
    <w:p>
      <w:pPr>
        <w:pStyle w:val="toc1"/>
      </w:pPr>
      <w:hyperlink w:anchor="_Toc000116" w:history="1">
        <w:r>
          <w:t xml:space="preserve">4 Source systems</w:t>
        </w:r>
        <w:r>
          <w:t xml:space="preserve">	</w:t>
        </w:r>
        <w:r>
          <w:t xml:space="preserve">15</w:t>
        </w:r>
      </w:hyperlink>
    </w:p>
    <w:p>
      <w:pPr>
        <w:pStyle w:val="toc2"/>
      </w:pPr>
      <w:hyperlink w:anchor="_Toc000117" w:history="1">
        <w:r>
          <w:t xml:space="preserve">4.1 Legacy systems in scope</w:t>
        </w:r>
        <w:r>
          <w:t xml:space="preserve">	</w:t>
        </w:r>
        <w:r>
          <w:t xml:space="preserve">15</w:t>
        </w:r>
      </w:hyperlink>
    </w:p>
    <w:p>
      <w:pPr>
        <w:pStyle w:val="toc2"/>
      </w:pPr>
      <w:hyperlink w:anchor="_Toc000118" w:history="1">
        <w:r>
          <w:t xml:space="preserve">4.2 Source per object</w:t>
        </w:r>
        <w:r>
          <w:t xml:space="preserve">	</w:t>
        </w:r>
        <w:r>
          <w:t xml:space="preserve">15</w:t>
        </w:r>
      </w:hyperlink>
    </w:p>
    <w:p>
      <w:pPr>
        <w:pStyle w:val="toc1"/>
      </w:pPr>
      <w:hyperlink w:anchor="_Toc000119" w:history="1">
        <w:r>
          <w:t xml:space="preserve">5 Target in BIBS</w:t>
        </w:r>
        <w:r>
          <w:t xml:space="preserve">	</w:t>
        </w:r>
        <w:r>
          <w:t xml:space="preserve">17</w:t>
        </w:r>
      </w:hyperlink>
    </w:p>
    <w:p>
      <w:pPr>
        <w:pStyle w:val="toc2"/>
      </w:pPr>
      <w:hyperlink w:anchor="_Toc000120" w:history="1">
        <w:r>
          <w:t xml:space="preserve">5.1 Target per object and load order</w:t>
        </w:r>
        <w:r>
          <w:t xml:space="preserve">	</w:t>
        </w:r>
        <w:r>
          <w:t xml:space="preserve">17</w:t>
        </w:r>
      </w:hyperlink>
    </w:p>
    <w:p>
      <w:pPr>
        <w:pStyle w:val="toc2"/>
      </w:pPr>
      <w:hyperlink w:anchor="_Toc000121" w:history="1">
        <w:r>
          <w:t xml:space="preserve">5.2 How migrated records are marked</w:t>
        </w:r>
        <w:r>
          <w:t xml:space="preserve">	</w:t>
        </w:r>
        <w:r>
          <w:t xml:space="preserve">18</w:t>
        </w:r>
      </w:hyperlink>
    </w:p>
    <w:p>
      <w:pPr>
        <w:pStyle w:val="toc1"/>
      </w:pPr>
      <w:hyperlink w:anchor="_Toc000122" w:history="1">
        <w:r>
          <w:t xml:space="preserve">6 Migration approach</w:t>
        </w:r>
        <w:r>
          <w:t xml:space="preserve">	</w:t>
        </w:r>
        <w:r>
          <w:t xml:space="preserve">19</w:t>
        </w:r>
      </w:hyperlink>
    </w:p>
    <w:p>
      <w:pPr>
        <w:pStyle w:val="toc2"/>
      </w:pPr>
      <w:hyperlink w:anchor="_Toc000123" w:history="1">
        <w:r>
          <w:t xml:space="preserve">6.1 End-to-end process</w:t>
        </w:r>
        <w:r>
          <w:t xml:space="preserve">	</w:t>
        </w:r>
        <w:r>
          <w:t xml:space="preserve">19</w:t>
        </w:r>
      </w:hyperlink>
    </w:p>
    <w:p>
      <w:pPr>
        <w:pStyle w:val="toc2"/>
      </w:pPr>
      <w:hyperlink w:anchor="_Toc000124" w:history="1">
        <w:r>
          <w:t xml:space="preserve">6.2 Extract templates</w:t>
        </w:r>
        <w:r>
          <w:t xml:space="preserve">	</w:t>
        </w:r>
        <w:r>
          <w:t xml:space="preserve">20</w:t>
        </w:r>
      </w:hyperlink>
    </w:p>
    <w:p>
      <w:pPr>
        <w:pStyle w:val="toc2"/>
      </w:pPr>
      <w:hyperlink w:anchor="_Toc000125" w:history="1">
        <w:r>
          <w:t xml:space="preserve">6.3 Secure transfer and staging</w:t>
        </w:r>
        <w:r>
          <w:t xml:space="preserve">	</w:t>
        </w:r>
        <w:r>
          <w:t xml:space="preserve">23</w:t>
        </w:r>
      </w:hyperlink>
    </w:p>
    <w:p>
      <w:pPr>
        <w:pStyle w:val="toc2"/>
      </w:pPr>
      <w:hyperlink w:anchor="_Toc000126" w:history="1">
        <w:r>
          <w:t xml:space="preserve">6.4 Profiling</w:t>
        </w:r>
        <w:r>
          <w:t xml:space="preserve">	</w:t>
        </w:r>
        <w:r>
          <w:t xml:space="preserve">23</w:t>
        </w:r>
      </w:hyperlink>
    </w:p>
    <w:p>
      <w:pPr>
        <w:pStyle w:val="toc2"/>
      </w:pPr>
      <w:hyperlink w:anchor="_Toc000127" w:history="1">
        <w:r>
          <w:t xml:space="preserve">6.5 Cleansing: who fixes what</w:t>
        </w:r>
        <w:r>
          <w:t xml:space="preserve">	</w:t>
        </w:r>
        <w:r>
          <w:t xml:space="preserve">23</w:t>
        </w:r>
      </w:hyperlink>
    </w:p>
    <w:p>
      <w:pPr>
        <w:pStyle w:val="toc2"/>
      </w:pPr>
      <w:hyperlink w:anchor="_Toc000128" w:history="1">
        <w:r>
          <w:t xml:space="preserve">6.6 Mapping and code maps</w:t>
        </w:r>
        <w:r>
          <w:t xml:space="preserve">	</w:t>
        </w:r>
        <w:r>
          <w:t xml:space="preserve">24</w:t>
        </w:r>
      </w:hyperlink>
    </w:p>
    <w:p>
      <w:pPr>
        <w:pStyle w:val="toc2"/>
      </w:pPr>
      <w:hyperlink w:anchor="_Toc000129" w:history="1">
        <w:r>
          <w:t xml:space="preserve">6.7 Validation</w:t>
        </w:r>
        <w:r>
          <w:t xml:space="preserve">	</w:t>
        </w:r>
        <w:r>
          <w:t xml:space="preserve">25</w:t>
        </w:r>
      </w:hyperlink>
    </w:p>
    <w:p>
      <w:pPr>
        <w:pStyle w:val="toc2"/>
      </w:pPr>
      <w:hyperlink w:anchor="_Toc000130" w:history="1">
        <w:r>
          <w:t xml:space="preserve">6.8 Client matching and survivorship</w:t>
        </w:r>
        <w:r>
          <w:t xml:space="preserve">	</w:t>
        </w:r>
        <w:r>
          <w:t xml:space="preserve">25</w:t>
        </w:r>
      </w:hyperlink>
    </w:p>
    <w:p>
      <w:pPr>
        <w:pStyle w:val="toc2"/>
      </w:pPr>
      <w:hyperlink w:anchor="_Toc000131" w:history="1">
        <w:r>
          <w:t xml:space="preserve">6.9 Load through the BIBS services</w:t>
        </w:r>
        <w:r>
          <w:t xml:space="preserve">	</w:t>
        </w:r>
        <w:r>
          <w:t xml:space="preserve">26</w:t>
        </w:r>
      </w:hyperlink>
    </w:p>
    <w:p>
      <w:pPr>
        <w:pStyle w:val="toc2"/>
      </w:pPr>
      <w:hyperlink w:anchor="_Toc000132" w:history="1">
        <w:r>
          <w:t xml:space="preserve">6.10 Reconciliation and sign-off</w:t>
        </w:r>
        <w:r>
          <w:t xml:space="preserve">	</w:t>
        </w:r>
        <w:r>
          <w:t xml:space="preserve">26</w:t>
        </w:r>
      </w:hyperlink>
    </w:p>
    <w:p>
      <w:pPr>
        <w:pStyle w:val="toc1"/>
      </w:pPr>
      <w:hyperlink w:anchor="_Toc000133" w:history="1">
        <w:r>
          <w:t xml:space="preserve">7 Legacy invoices after go-live</w:t>
        </w:r>
        <w:r>
          <w:t xml:space="preserve">	</w:t>
        </w:r>
        <w:r>
          <w:t xml:space="preserve">27</w:t>
        </w:r>
      </w:hyperlink>
    </w:p>
    <w:p>
      <w:pPr>
        <w:pStyle w:val="toc2"/>
      </w:pPr>
      <w:hyperlink w:anchor="_Toc000134" w:history="1">
        <w:r>
          <w:t xml:space="preserve">7.1 What a legacy invoice is</w:t>
        </w:r>
        <w:r>
          <w:t xml:space="preserve">	</w:t>
        </w:r>
        <w:r>
          <w:t xml:space="preserve">27</w:t>
        </w:r>
      </w:hyperlink>
    </w:p>
    <w:p>
      <w:pPr>
        <w:pStyle w:val="toc2"/>
      </w:pPr>
      <w:hyperlink w:anchor="_Toc000135" w:history="1">
        <w:r>
          <w:t xml:space="preserve">7.2 Legacy sub-ledgers</w:t>
        </w:r>
        <w:r>
          <w:t xml:space="preserve">	</w:t>
        </w:r>
        <w:r>
          <w:t xml:space="preserve">28</w:t>
        </w:r>
      </w:hyperlink>
    </w:p>
    <w:p>
      <w:pPr>
        <w:pStyle w:val="toc2"/>
      </w:pPr>
      <w:hyperlink w:anchor="_Toc000136" w:history="1">
        <w:r>
          <w:t xml:space="preserve">7.3 Worked example: one legacy invoice from load to remittance</w:t>
        </w:r>
        <w:r>
          <w:t xml:space="preserve">	</w:t>
        </w:r>
        <w:r>
          <w:t xml:space="preserve">29</w:t>
        </w:r>
      </w:hyperlink>
    </w:p>
    <w:p>
      <w:pPr>
        <w:pStyle w:val="toc2"/>
      </w:pPr>
      <w:hyperlink w:anchor="_Toc000137" w:history="1">
        <w:r>
          <w:t xml:space="preserve">7.4 Unapplied premium payments (UPP)</w:t>
        </w:r>
        <w:r>
          <w:t xml:space="preserve">	</w:t>
        </w:r>
        <w:r>
          <w:t xml:space="preserve">30</w:t>
        </w:r>
      </w:hyperlink>
    </w:p>
    <w:p>
      <w:pPr>
        <w:pStyle w:val="toc2"/>
      </w:pPr>
      <w:hyperlink w:anchor="_Toc000138" w:history="1">
        <w:r>
          <w:t xml:space="preserve">7.5 Payments, reversals, remittance, endorsements and Prod Recon</w:t>
        </w:r>
        <w:r>
          <w:t xml:space="preserve">	</w:t>
        </w:r>
        <w:r>
          <w:t xml:space="preserve">30</w:t>
        </w:r>
      </w:hyperlink>
    </w:p>
    <w:p>
      <w:pPr>
        <w:pStyle w:val="toc2"/>
      </w:pPr>
      <w:hyperlink w:anchor="_Toc000139" w:history="1">
        <w:r>
          <w:t xml:space="preserve">7.6 When the legacy context closes</w:t>
        </w:r>
        <w:r>
          <w:t xml:space="preserve">	</w:t>
        </w:r>
        <w:r>
          <w:t xml:space="preserve">31</w:t>
        </w:r>
      </w:hyperlink>
    </w:p>
    <w:p>
      <w:pPr>
        <w:pStyle w:val="toc1"/>
      </w:pPr>
      <w:hyperlink w:anchor="_Toc000140" w:history="1">
        <w:r>
          <w:t xml:space="preserve">8 In-force policies and the renewal-driven transition</w:t>
        </w:r>
        <w:r>
          <w:t xml:space="preserve">	</w:t>
        </w:r>
        <w:r>
          <w:t xml:space="preserve">32</w:t>
        </w:r>
      </w:hyperlink>
    </w:p>
    <w:p>
      <w:pPr>
        <w:pStyle w:val="toc2"/>
      </w:pPr>
      <w:hyperlink w:anchor="_Toc000141" w:history="1">
        <w:r>
          <w:t xml:space="preserve">8.1 In-force policy headers</w:t>
        </w:r>
        <w:r>
          <w:t xml:space="preserve">	</w:t>
        </w:r>
        <w:r>
          <w:t xml:space="preserve">32</w:t>
        </w:r>
      </w:hyperlink>
    </w:p>
    <w:p>
      <w:pPr>
        <w:pStyle w:val="toc2"/>
      </w:pPr>
      <w:hyperlink w:anchor="_Toc000142" w:history="1">
        <w:r>
          <w:t xml:space="preserve">8.2 Renewal by RMEL cohort</w:t>
        </w:r>
        <w:r>
          <w:t xml:space="preserve">	</w:t>
        </w:r>
        <w:r>
          <w:t xml:space="preserve">32</w:t>
        </w:r>
      </w:hyperlink>
    </w:p>
    <w:p>
      <w:pPr>
        <w:pStyle w:val="toc1"/>
      </w:pPr>
      <w:hyperlink w:anchor="_Toc000143" w:history="1">
        <w:r>
          <w:t xml:space="preserve">9 History, archive and read-only access</w:t>
        </w:r>
        <w:r>
          <w:t xml:space="preserve">	</w:t>
        </w:r>
        <w:r>
          <w:t xml:space="preserve">33</w:t>
        </w:r>
      </w:hyperlink>
    </w:p>
    <w:p>
      <w:pPr>
        <w:pStyle w:val="toc1"/>
      </w:pPr>
      <w:hyperlink w:anchor="_Toc000144" w:history="1">
        <w:r>
          <w:t xml:space="preserve">10 Migration cycles</w:t>
        </w:r>
        <w:r>
          <w:t xml:space="preserve">	</w:t>
        </w:r>
        <w:r>
          <w:t xml:space="preserve">34</w:t>
        </w:r>
      </w:hyperlink>
    </w:p>
    <w:p>
      <w:pPr>
        <w:pStyle w:val="toc2"/>
      </w:pPr>
      <w:hyperlink w:anchor="_Toc000145" w:history="1">
        <w:r>
          <w:t xml:space="preserve">10.1 Mocks, dress rehearsal and production</w:t>
        </w:r>
        <w:r>
          <w:t xml:space="preserve">	</w:t>
        </w:r>
        <w:r>
          <w:t xml:space="preserve">34</w:t>
        </w:r>
      </w:hyperlink>
    </w:p>
    <w:p>
      <w:pPr>
        <w:pStyle w:val="toc2"/>
      </w:pPr>
      <w:hyperlink w:anchor="_Toc000146" w:history="1">
        <w:r>
          <w:t xml:space="preserve">10.2 Test data and masking</w:t>
        </w:r>
        <w:r>
          <w:t xml:space="preserve">	</w:t>
        </w:r>
        <w:r>
          <w:t xml:space="preserve">35</w:t>
        </w:r>
      </w:hyperlink>
    </w:p>
    <w:p>
      <w:pPr>
        <w:pStyle w:val="toc1"/>
      </w:pPr>
      <w:hyperlink w:anchor="_Toc000147" w:history="1">
        <w:r>
          <w:t xml:space="preserve">11 Cutover strategy</w:t>
        </w:r>
        <w:r>
          <w:t xml:space="preserve">	</w:t>
        </w:r>
        <w:r>
          <w:t xml:space="preserve">36</w:t>
        </w:r>
      </w:hyperlink>
    </w:p>
    <w:p>
      <w:pPr>
        <w:pStyle w:val="toc2"/>
      </w:pPr>
      <w:hyperlink w:anchor="_Toc000148" w:history="1">
        <w:r>
          <w:t xml:space="preserve">11.1 Approach</w:t>
        </w:r>
        <w:r>
          <w:t xml:space="preserve">	</w:t>
        </w:r>
        <w:r>
          <w:t xml:space="preserve">36</w:t>
        </w:r>
      </w:hyperlink>
    </w:p>
    <w:p>
      <w:pPr>
        <w:pStyle w:val="toc2"/>
      </w:pPr>
      <w:hyperlink w:anchor="_Toc000149" w:history="1">
        <w:r>
          <w:t xml:space="preserve">11.2 Freeze windows</w:t>
        </w:r>
        <w:r>
          <w:t xml:space="preserve">	</w:t>
        </w:r>
        <w:r>
          <w:t xml:space="preserve">36</w:t>
        </w:r>
      </w:hyperlink>
    </w:p>
    <w:p>
      <w:pPr>
        <w:pStyle w:val="toc2"/>
      </w:pPr>
      <w:hyperlink w:anchor="_Toc000150" w:history="1">
        <w:r>
          <w:t xml:space="preserve">11.3 Parallel run</w:t>
        </w:r>
        <w:r>
          <w:t xml:space="preserve">	</w:t>
        </w:r>
        <w:r>
          <w:t xml:space="preserve">36</w:t>
        </w:r>
      </w:hyperlink>
    </w:p>
    <w:p>
      <w:pPr>
        <w:pStyle w:val="toc2"/>
      </w:pPr>
      <w:hyperlink w:anchor="_Toc000151" w:history="1">
        <w:r>
          <w:t xml:space="preserve">11.4 Go / no-go</w:t>
        </w:r>
        <w:r>
          <w:t xml:space="preserve">	</w:t>
        </w:r>
        <w:r>
          <w:t xml:space="preserve">36</w:t>
        </w:r>
      </w:hyperlink>
    </w:p>
    <w:p>
      <w:pPr>
        <w:pStyle w:val="toc2"/>
      </w:pPr>
      <w:hyperlink w:anchor="_Toc000152" w:history="1">
        <w:r>
          <w:t xml:space="preserve">11.5 Rollback</w:t>
        </w:r>
        <w:r>
          <w:t xml:space="preserve">	</w:t>
        </w:r>
        <w:r>
          <w:t xml:space="preserve">37</w:t>
        </w:r>
      </w:hyperlink>
    </w:p>
    <w:p>
      <w:pPr>
        <w:pStyle w:val="toc2"/>
      </w:pPr>
      <w:hyperlink w:anchor="_Toc000153" w:history="1">
        <w:r>
          <w:t xml:space="preserve">11.6 Hypercare</w:t>
        </w:r>
        <w:r>
          <w:t xml:space="preserve">	</w:t>
        </w:r>
        <w:r>
          <w:t xml:space="preserve">37</w:t>
        </w:r>
      </w:hyperlink>
    </w:p>
    <w:p>
      <w:pPr>
        <w:pStyle w:val="toc2"/>
      </w:pPr>
      <w:hyperlink w:anchor="_Toc000154" w:history="1">
        <w:r>
          <w:t xml:space="preserve">11.7 In-flight items at the freeze</w:t>
        </w:r>
        <w:r>
          <w:t xml:space="preserve">	</w:t>
        </w:r>
        <w:r>
          <w:t xml:space="preserve">37</w:t>
        </w:r>
      </w:hyperlink>
    </w:p>
    <w:p>
      <w:pPr>
        <w:pStyle w:val="toc2"/>
      </w:pPr>
      <w:hyperlink w:anchor="_Toc000155" w:history="1">
        <w:r>
          <w:t xml:space="preserve">11.8 Decommissioning</w:t>
        </w:r>
        <w:r>
          <w:t xml:space="preserve">	</w:t>
        </w:r>
        <w:r>
          <w:t xml:space="preserve">37</w:t>
        </w:r>
      </w:hyperlink>
    </w:p>
    <w:p>
      <w:pPr>
        <w:pStyle w:val="toc1"/>
      </w:pPr>
      <w:hyperlink w:anchor="_Toc000156" w:history="1">
        <w:r>
          <w:t xml:space="preserve">12 Data security</w:t>
        </w:r>
        <w:r>
          <w:t xml:space="preserve">	</w:t>
        </w:r>
        <w:r>
          <w:t xml:space="preserve">38</w:t>
        </w:r>
      </w:hyperlink>
    </w:p>
    <w:p>
      <w:pPr>
        <w:pStyle w:val="toc1"/>
      </w:pPr>
      <w:hyperlink w:anchor="_Toc000157" w:history="1">
        <w:r>
          <w:t xml:space="preserve">13 Roles and responsibilities</w:t>
        </w:r>
        <w:r>
          <w:t xml:space="preserve">	</w:t>
        </w:r>
        <w:r>
          <w:t xml:space="preserve">39</w:t>
        </w:r>
      </w:hyperlink>
    </w:p>
    <w:p>
      <w:pPr>
        <w:pStyle w:val="toc2"/>
      </w:pPr>
      <w:hyperlink w:anchor="_Toc000158" w:history="1">
        <w:r>
          <w:t xml:space="preserve">13.1 Migration organisation</w:t>
        </w:r>
        <w:r>
          <w:t xml:space="preserve">	</w:t>
        </w:r>
        <w:r>
          <w:t xml:space="preserve">39</w:t>
        </w:r>
      </w:hyperlink>
    </w:p>
    <w:p>
      <w:pPr>
        <w:pStyle w:val="toc2"/>
      </w:pPr>
      <w:hyperlink w:anchor="_Toc000159" w:history="1">
        <w:r>
          <w:t xml:space="preserve">13.2 RACI</w:t>
        </w:r>
        <w:r>
          <w:t xml:space="preserve">	</w:t>
        </w:r>
        <w:r>
          <w:t xml:space="preserve">39</w:t>
        </w:r>
      </w:hyperlink>
    </w:p>
    <w:p>
      <w:pPr>
        <w:pStyle w:val="toc1"/>
      </w:pPr>
      <w:hyperlink w:anchor="_Toc000160" w:history="1">
        <w:r>
          <w:t xml:space="preserve">14 Risks and mitigations</w:t>
        </w:r>
        <w:r>
          <w:t xml:space="preserve">	</w:t>
        </w:r>
        <w:r>
          <w:t xml:space="preserve">41</w:t>
        </w:r>
      </w:hyperlink>
    </w:p>
    <w:p>
      <w:pPr>
        <w:pStyle w:val="toc1"/>
      </w:pPr>
      <w:hyperlink w:anchor="_Toc000161" w:history="1">
        <w:r>
          <w:t xml:space="preserve">15 Dependencies and open decisions</w:t>
        </w:r>
        <w:r>
          <w:t xml:space="preserve">	</w:t>
        </w:r>
        <w:r>
          <w:t xml:space="preserve">42</w:t>
        </w:r>
      </w:hyperlink>
    </w:p>
    <w:p>
      <w:pPr>
        <w:pStyle w:val="toc2"/>
      </w:pPr>
      <w:hyperlink w:anchor="_Toc000162" w:history="1">
        <w:r>
          <w:t xml:space="preserve">15.1 Dependencies</w:t>
        </w:r>
        <w:r>
          <w:t xml:space="preserve">	</w:t>
        </w:r>
        <w:r>
          <w:t xml:space="preserve">42</w:t>
        </w:r>
      </w:hyperlink>
    </w:p>
    <w:p>
      <w:pPr>
        <w:pStyle w:val="toc2"/>
      </w:pPr>
      <w:hyperlink w:anchor="_Toc000163" w:history="1">
        <w:r>
          <w:t xml:space="preserve">15.2 Open decisions and the date each is needed by</w:t>
        </w:r>
        <w:r>
          <w:t xml:space="preserve">	</w:t>
        </w:r>
        <w:r>
          <w:t xml:space="preserve">42</w:t>
        </w:r>
      </w:hyperlink>
    </w:p>
    <w:p>
      <w:pPr>
        <w:pStyle w:val="toc1"/>
      </w:pPr>
      <w:hyperlink w:anchor="_Toc000164" w:history="1">
        <w:r>
          <w:t xml:space="preserve">16 Timeline</w:t>
        </w:r>
        <w:r>
          <w:t xml:space="preserve">	</w:t>
        </w:r>
        <w:r>
          <w:t xml:space="preserve">45</w:t>
        </w:r>
      </w:hyperlink>
    </w:p>
    <w:p>
      <w:pPr>
        <w:pStyle w:val="toc2"/>
      </w:pPr>
      <w:hyperlink w:anchor="_Toc000165" w:history="1">
        <w:r>
          <w:t xml:space="preserve">16.1 Alignment with the build and the UAT readiness programme</w:t>
        </w:r>
        <w:r>
          <w:t xml:space="preserve">	</w:t>
        </w:r>
        <w:r>
          <w:t xml:space="preserve">45</w:t>
        </w:r>
      </w:hyperlink>
    </w:p>
    <w:p>
      <w:pPr>
        <w:pStyle w:val="toc1"/>
      </w:pPr>
      <w:hyperlink w:anchor="_Toc000166" w:history="1">
        <w:r>
          <w:t xml:space="preserve">Glossary</w:t>
        </w:r>
        <w:r>
          <w:t xml:space="preserve">	</w:t>
        </w:r>
        <w:r>
          <w:t xml:space="preserve">46</w:t>
        </w:r>
      </w:hyperlink>
    </w:p>
    <w:p>
      <w:pPr>
        <w:pStyle w:val="toc1"/>
      </w:pPr>
      <w:hyperlink w:anchor="_Toc000167" w:history="1">
        <w:r>
          <w:t xml:space="preserve">Sign-off</w:t>
        </w:r>
        <w:r>
          <w:t xml:space="preserve">	</w:t>
        </w:r>
        <w:r>
          <w:t xml:space="preserve">47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document sets out how BDO Insurance and Reinsurance Brokers, Inc. (BDOI) moves from its legacy systems to BIBS (BDOI Broker System, on iNXT BrokerVerse). It answers four questions for the BDOI departments and BDOI IT:</w:t>
      </w:r>
    </w:p>
    <w:p>
      <w:pPr>
        <w:tabs>
          <w:tab w:pos="312" w:val="left"/>
        </w:tabs>
        <w:spacing w:after="40"/>
        <w:ind w:left="312" w:hanging="283"/>
      </w:pPr>
      <w:r>
        <w:rPr>
          <w:color w:val="004EA8"/>
        </w:rPr>
        <w:t>1.</w:t>
        <w:tab/>
      </w:r>
      <w:r>
        <w:rPr>
          <w:b/>
        </w:rPr>
        <w:t>What data moves</w:t>
      </w:r>
      <w:r>
        <w:rPr/>
        <w:t>, object by object, and what stays behind (Migrate, Carry forward, Archive, Excluded).</w:t>
      </w:r>
    </w:p>
    <w:p>
      <w:pPr>
        <w:tabs>
          <w:tab w:pos="312" w:val="left"/>
        </w:tabs>
        <w:spacing w:after="40"/>
        <w:ind w:left="312" w:hanging="283"/>
      </w:pPr>
      <w:r>
        <w:rPr>
          <w:color w:val="004EA8"/>
        </w:rPr>
        <w:t>2.</w:t>
        <w:tab/>
      </w:r>
      <w:r>
        <w:rPr>
          <w:b/>
        </w:rPr>
        <w:t>What BDOI provides</w:t>
      </w:r>
      <w:r>
        <w:rPr/>
        <w:t>, in which form and by when (the Data Requirements Workbook and the extract templates).</w:t>
      </w:r>
    </w:p>
    <w:p>
      <w:pPr>
        <w:tabs>
          <w:tab w:pos="312" w:val="left"/>
        </w:tabs>
        <w:spacing w:after="40"/>
        <w:ind w:left="312" w:hanging="283"/>
      </w:pPr>
      <w:r>
        <w:rPr>
          <w:color w:val="004EA8"/>
        </w:rPr>
        <w:t>3.</w:t>
        <w:tab/>
      </w:r>
      <w:r>
        <w:rPr>
          <w:b/>
        </w:rPr>
        <w:t>How the data gets into BIBS</w:t>
      </w:r>
      <w:r>
        <w:rPr/>
        <w:t>: transfer, staging, cleansing, code mapping, validation, load and reconciliation, and who does each step.</w:t>
      </w:r>
    </w:p>
    <w:p>
      <w:pPr>
        <w:tabs>
          <w:tab w:pos="312" w:val="left"/>
        </w:tabs>
        <w:spacing w:after="120"/>
        <w:ind w:left="312" w:hanging="283"/>
      </w:pPr>
      <w:r>
        <w:rPr>
          <w:color w:val="004EA8"/>
        </w:rPr>
        <w:t>4.</w:t>
        <w:tab/>
      </w:r>
      <w:r>
        <w:rPr>
          <w:b/>
        </w:rPr>
        <w:t>How the cutover is run and proven</w:t>
      </w:r>
      <w:r>
        <w:rPr/>
        <w:t>: rehearsals, freeze, go / no-go, rollback, hypercare and decommissioning of the legacy systems.</w:t>
      </w:r>
    </w:p>
    <w:p>
      <w:r>
        <w:rPr/>
        <w:t>It also explains, for business readers, how legacy invoices and unapplied payments that are still open at cutover are processed in BIBS after go-live.</w:t>
      </w:r>
    </w:p>
    <w:p>
      <w:pPr>
        <w:pStyle w:val="Heading2"/>
      </w:pPr>
      <w:bookmarkStart w:id="103" w:name="_Toc000103"/>
      <w:r>
        <w:rPr/>
        <w:t>1.2 Scope and basis</w:t>
      </w:r>
      <w:bookmarkEnd w:id="103"/>
    </w:p>
    <w:p>
      <w:r>
        <w:rPr/>
        <w:t xml:space="preserve">The basis is the Data Migration BRD (R1), a </w:t>
      </w:r>
      <w:r>
        <w:rPr>
          <w:b/>
        </w:rPr>
        <w:t>draft v0.01 of 14-Apr-2026 that is not signed</w:t>
      </w:r>
      <w:r>
        <w:rPr/>
        <w:t xml:space="preserve"> (p.2, p.15-16; register DCR-189). The BRD asks for a </w:t>
      </w:r>
      <w:r>
        <w:rPr>
          <w:b/>
        </w:rPr>
        <w:t>selective, continuity-focused migration</w:t>
      </w:r>
      <w:r>
        <w:rPr/>
        <w:t xml:space="preserve"> (p.3): migrate clean master and reference data for Day 1, carry forward only the open operational financial positions, keep history in read-only legacy or an archive, and let renewals recreate clean records in BIBS (p.5). This document follows that approach and fills the gaps the BRD leaves with proposals, each tied to an open decision (DMQ##) that BDOI confirms.</w:t>
      </w:r>
    </w:p>
    <w:p>
      <w:r>
        <w:rPr/>
        <w:t xml:space="preserve">Data Migration is </w:t>
      </w:r>
      <w:r>
        <w:rPr>
          <w:b/>
        </w:rPr>
        <w:t>designed and not yet built</w:t>
      </w:r>
      <w:r>
        <w:rPr/>
        <w:t xml:space="preserve"> in BIBS. The mechanisms named here (Migration Console, loaders, reconciliation, legacy invoice processing) are those of the build design (R3) and the FRS (R4).</w:t>
      </w:r>
    </w:p>
    <w:p>
      <w:pPr>
        <w:pStyle w:val="Heading2"/>
      </w:pPr>
      <w:bookmarkStart w:id="104" w:name="_Toc000104"/>
      <w:r>
        <w:rPr/>
        <w:t>1.3 The Data Migration document set</w:t>
      </w:r>
      <w:bookmarkEnd w:id="104"/>
    </w:p>
    <w:p>
      <w:pPr>
        <w:pStyle w:val="Caption"/>
        <w:keepNext/>
        <w:spacing w:after="60"/>
      </w:pPr>
      <w:r>
        <w:rPr>
          <w:b/>
          <w:i w:val="0"/>
        </w:rPr>
        <w:t xml:space="preserve">Table 1: </w:t>
      </w:r>
      <w:r>
        <w:rPr/>
        <w:t>Documents of this set (version 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1922"/>
        <w:gridCol w:w="4926"/>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8"/>
              </w:rPr>
              <w:t>Format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124"/>
            <w:tcMar>
              <w:top w:w="50" w:type="dxa"/>
              <w:bottom w:w="50" w:type="dxa"/>
              <w:left w:w="90" w:type="dxa"/>
              <w:right w:w="90" w:type="dxa"/>
            </w:tcMar>
          </w:tcPr>
          <w:p>
            <w:pPr>
              <w:pStyle w:val="BDOITable"/>
            </w:pPr>
            <w:r>
              <w:rPr>
                <w:sz w:val="18"/>
              </w:rPr>
              <w:t>Data Migration Strategy and Approach (this document)</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Decisions, approach, responsibilities, timeline; for approval</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BDOI Data Requirements Workbook</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One sheet per extract layout (fields, formats, rules, BIBS target), object register, code map templates, control totals, data-quality rules, open decisions; for BDOI IT and data stewards</w:t>
            </w:r>
          </w:p>
        </w:tc>
      </w:tr>
      <w:tr>
        <w:trPr>
          <w:cantSplit w:val="true"/>
        </w:trPr>
        <w:tc>
          <w:tcPr>
            <w:tcW w:type="dxa" w:w="3124"/>
            <w:tcMar>
              <w:top w:w="50" w:type="dxa"/>
              <w:bottom w:w="50" w:type="dxa"/>
              <w:left w:w="90" w:type="dxa"/>
              <w:right w:w="90" w:type="dxa"/>
            </w:tcMar>
          </w:tcPr>
          <w:p>
            <w:pPr>
              <w:pStyle w:val="BDOITable"/>
            </w:pPr>
            <w:r>
              <w:rPr>
                <w:sz w:val="18"/>
              </w:rPr>
              <w:t>Extract templates (</w:t>
            </w:r>
            <w:r>
              <w:rPr>
                <w:rFonts w:ascii="Courier New" w:hAnsi="Courier New" w:cs="Courier New" w:eastAsia="Courier New"/>
                <w:color w:val="2E2E2E"/>
                <w:sz w:val="16"/>
              </w:rPr>
              <w:t>templates/</w:t>
            </w:r>
            <w:r>
              <w:rPr>
                <w:sz w:val="18"/>
              </w:rPr>
              <w:t>)</w:t>
            </w:r>
          </w:p>
        </w:tc>
        <w:tc>
          <w:tcPr>
            <w:tcW w:type="dxa" w:w="1922"/>
            <w:tcMar>
              <w:top w:w="50" w:type="dxa"/>
              <w:bottom w:w="50" w:type="dxa"/>
              <w:left w:w="90" w:type="dxa"/>
              <w:right w:w="90" w:type="dxa"/>
            </w:tcMar>
          </w:tcPr>
          <w:p>
            <w:pPr>
              <w:pStyle w:val="BDOITable"/>
            </w:pPr>
            <w:r>
              <w:rPr>
                <w:sz w:val="18"/>
              </w:rPr>
              <w:t>CSV + README</w:t>
            </w:r>
          </w:p>
        </w:tc>
        <w:tc>
          <w:tcPr>
            <w:tcW w:type="dxa" w:w="4926"/>
            <w:tcMar>
              <w:top w:w="50" w:type="dxa"/>
              <w:bottom w:w="50" w:type="dxa"/>
              <w:left w:w="90" w:type="dxa"/>
              <w:right w:w="90" w:type="dxa"/>
            </w:tcMar>
          </w:tcPr>
          <w:p>
            <w:pPr>
              <w:pStyle w:val="BDOITable"/>
            </w:pPr>
            <w:r>
              <w:rPr>
                <w:sz w:val="18"/>
              </w:rPr>
              <w:t>One header-only CSV per layout and the control-file template (deliverable 20)</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Reconciliation Approach and Sign-off</w:t>
            </w:r>
          </w:p>
        </w:tc>
        <w:tc>
          <w:tcPr>
            <w:tcW w:type="dxa" w:w="1922"/>
            <w:tcMar>
              <w:top w:w="50" w:type="dxa"/>
              <w:bottom w:w="50" w:type="dxa"/>
              <w:left w:w="90" w:type="dxa"/>
              <w:right w:w="90" w:type="dxa"/>
            </w:tcMar>
            <w:shd w:val="clear" w:color="auto" w:fill="E5F5FF"/>
          </w:tcPr>
          <w:p>
            <w:pPr>
              <w:pStyle w:val="BDOITable"/>
            </w:pPr>
            <w:r>
              <w:rPr>
                <w:sz w:val="18"/>
              </w:rPr>
              <w:t>Word</w:t>
            </w:r>
          </w:p>
        </w:tc>
        <w:tc>
          <w:tcPr>
            <w:tcW w:type="dxa" w:w="4926"/>
            <w:tcMar>
              <w:top w:w="50" w:type="dxa"/>
              <w:bottom w:w="50" w:type="dxa"/>
              <w:left w:w="90" w:type="dxa"/>
              <w:right w:w="90" w:type="dxa"/>
            </w:tcMar>
            <w:shd w:val="clear" w:color="auto" w:fill="E5F5FF"/>
          </w:tcPr>
          <w:p>
            <w:pPr>
              <w:pStyle w:val="BDOITable"/>
            </w:pPr>
            <w:r>
              <w:rPr>
                <w:sz w:val="18"/>
              </w:rPr>
              <w:t>Reconciliation per object, sampling, evidence and the sign-off forms</w:t>
            </w:r>
          </w:p>
        </w:tc>
      </w:tr>
      <w:tr>
        <w:trPr>
          <w:cantSplit w:val="true"/>
        </w:trPr>
        <w:tc>
          <w:tcPr>
            <w:tcW w:type="dxa" w:w="3124"/>
            <w:tcMar>
              <w:top w:w="50" w:type="dxa"/>
              <w:bottom w:w="50" w:type="dxa"/>
              <w:left w:w="90" w:type="dxa"/>
              <w:right w:w="90" w:type="dxa"/>
            </w:tcMar>
          </w:tcPr>
          <w:p>
            <w:pPr>
              <w:pStyle w:val="BDOITable"/>
            </w:pPr>
            <w:r>
              <w:rPr>
                <w:sz w:val="18"/>
              </w:rPr>
              <w:t>Cutover Runbook</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Cutover organisation, T-30 to hypercare exit, checkpoints, rollback, communication, decommissioning</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Cutover Task Plan</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The runbook tasks with owner, duration, predecessors and verification, for execution</w:t>
            </w:r>
          </w:p>
        </w:tc>
      </w:tr>
      <w:tr>
        <w:trPr>
          <w:cantSplit w:val="true"/>
        </w:trPr>
        <w:tc>
          <w:tcPr>
            <w:tcW w:type="dxa" w:w="3124"/>
            <w:tcMar>
              <w:top w:w="50" w:type="dxa"/>
              <w:bottom w:w="50" w:type="dxa"/>
              <w:left w:w="90" w:type="dxa"/>
              <w:right w:w="90" w:type="dxa"/>
            </w:tcMar>
          </w:tcPr>
          <w:p>
            <w:pPr>
              <w:pStyle w:val="BDOITable"/>
            </w:pPr>
            <w:r>
              <w:rPr>
                <w:sz w:val="18"/>
              </w:rPr>
              <w:t>Migration Test Plan BRD-13</w:t>
            </w:r>
          </w:p>
        </w:tc>
        <w:tc>
          <w:tcPr>
            <w:tcW w:type="dxa" w:w="1922"/>
            <w:tcMar>
              <w:top w:w="50" w:type="dxa"/>
              <w:bottom w:w="50" w:type="dxa"/>
              <w:left w:w="90" w:type="dxa"/>
              <w:right w:w="90" w:type="dxa"/>
            </w:tcMar>
          </w:tcPr>
          <w:p>
            <w:pPr>
              <w:pStyle w:val="BDOITable"/>
            </w:pPr>
            <w:r>
              <w:rPr>
                <w:sz w:val="18"/>
              </w:rPr>
              <w:t>Excel + Word</w:t>
            </w:r>
          </w:p>
        </w:tc>
        <w:tc>
          <w:tcPr>
            <w:tcW w:type="dxa" w:w="4926"/>
            <w:tcMar>
              <w:top w:w="50" w:type="dxa"/>
              <w:bottom w:w="50" w:type="dxa"/>
              <w:left w:w="90" w:type="dxa"/>
              <w:right w:w="90" w:type="dxa"/>
            </w:tcMar>
          </w:tcPr>
          <w:p>
            <w:pPr>
              <w:pStyle w:val="BDOITable"/>
            </w:pPr>
            <w:r>
              <w:rPr>
                <w:sz w:val="18"/>
              </w:rPr>
              <w:t>Test conditions and cases of every Data Migration FR (deliverable 3)</w:t>
            </w:r>
          </w:p>
        </w:tc>
      </w:tr>
    </w:tbl>
    <w:p>
      <w:pPr>
        <w:pStyle w:val="BDOISpacer"/>
      </w:pPr>
    </w:p>
    <w:p>
      <w:pPr>
        <w:pStyle w:val="Heading2"/>
      </w:pPr>
      <w:bookmarkStart w:id="105" w:name="_Toc000105"/>
      <w:r>
        <w:rPr/>
        <w:t>1.4 References</w:t>
      </w:r>
      <w:bookmarkEnd w:id="105"/>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4603"/>
        <w:gridCol w:w="1753"/>
        <w:gridCol w:w="2959"/>
      </w:tblGrid>
      <w:tr>
        <w:trPr>
          <w:tblHeader w:val="true"/>
          <w:cantSplit w:val="true"/>
        </w:trPr>
        <w:tc>
          <w:tcPr>
            <w:tcW w:type="dxa" w:w="657"/>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4602"/>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1753"/>
            <w:shd w:val="clear" w:color="auto" w:fill="004EA8"/>
            <w:tcMar>
              <w:top w:w="50" w:type="dxa"/>
              <w:bottom w:w="50" w:type="dxa"/>
              <w:left w:w="90" w:type="dxa"/>
              <w:right w:w="90" w:type="dxa"/>
            </w:tcMar>
            <w:vAlign w:val="center"/>
          </w:tcPr>
          <w:p>
            <w:pPr>
              <w:pStyle w:val="BDOITableHeader"/>
            </w:pPr>
            <w:r>
              <w:rPr>
                <w:b/>
                <w:color w:val="FFFFFF"/>
                <w:sz w:val="17"/>
              </w:rPr>
              <w:t>Version</w:t>
            </w:r>
          </w:p>
        </w:tc>
        <w:tc>
          <w:tcPr>
            <w:tcW w:type="dxa" w:w="2959"/>
            <w:shd w:val="clear" w:color="auto" w:fill="004EA8"/>
            <w:tcMar>
              <w:top w:w="50" w:type="dxa"/>
              <w:bottom w:w="50" w:type="dxa"/>
              <w:left w:w="90" w:type="dxa"/>
              <w:right w:w="90" w:type="dxa"/>
            </w:tcMar>
            <w:vAlign w:val="center"/>
          </w:tcPr>
          <w:p>
            <w:pPr>
              <w:pStyle w:val="BDOITableHeader"/>
            </w:pPr>
            <w:r>
              <w:rPr>
                <w:b/>
                <w:color w:val="FFFFFF"/>
                <w:sz w:val="17"/>
              </w:rPr>
              <w:t>Location</w:t>
            </w:r>
          </w:p>
        </w:tc>
      </w:tr>
      <w:tr>
        <w:trPr>
          <w:cantSplit w:val="true"/>
        </w:trPr>
        <w:tc>
          <w:tcPr>
            <w:tcW w:type="dxa" w:w="657"/>
            <w:tcMar>
              <w:top w:w="50" w:type="dxa"/>
              <w:bottom w:w="50" w:type="dxa"/>
              <w:left w:w="90" w:type="dxa"/>
              <w:right w:w="90" w:type="dxa"/>
            </w:tcMar>
          </w:tcPr>
          <w:p>
            <w:pPr>
              <w:pStyle w:val="BDOITable"/>
            </w:pPr>
            <w:r>
              <w:rPr>
                <w:sz w:val="17"/>
              </w:rPr>
              <w:t>R1</w:t>
            </w:r>
          </w:p>
        </w:tc>
        <w:tc>
          <w:tcPr>
            <w:tcW w:type="dxa" w:w="4602"/>
            <w:tcMar>
              <w:top w:w="50" w:type="dxa"/>
              <w:bottom w:w="50" w:type="dxa"/>
              <w:left w:w="90" w:type="dxa"/>
              <w:right w:w="90" w:type="dxa"/>
            </w:tcMar>
          </w:tcPr>
          <w:p>
            <w:pPr>
              <w:pStyle w:val="BDOITable"/>
            </w:pPr>
            <w:r>
              <w:rPr>
                <w:sz w:val="17"/>
              </w:rPr>
              <w:t>BDO Insure Core Modernization - Data Migration BRD</w:t>
            </w:r>
          </w:p>
        </w:tc>
        <w:tc>
          <w:tcPr>
            <w:tcW w:type="dxa" w:w="1753"/>
            <w:tcMar>
              <w:top w:w="50" w:type="dxa"/>
              <w:bottom w:w="50" w:type="dxa"/>
              <w:left w:w="90" w:type="dxa"/>
              <w:right w:w="90" w:type="dxa"/>
            </w:tcMar>
          </w:tcPr>
          <w:p>
            <w:pPr>
              <w:pStyle w:val="BDOITable"/>
            </w:pPr>
            <w:r>
              <w:rPr>
                <w:sz w:val="17"/>
              </w:rPr>
              <w:t>draft v0.01, 14-Apr-2026</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docs/source-documents/BRD - Data Migration - draft V0.01.pdf</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R2</w:t>
            </w:r>
          </w:p>
        </w:tc>
        <w:tc>
          <w:tcPr>
            <w:tcW w:type="dxa" w:w="4602"/>
            <w:tcMar>
              <w:top w:w="50" w:type="dxa"/>
              <w:bottom w:w="50" w:type="dxa"/>
              <w:left w:w="90" w:type="dxa"/>
              <w:right w:w="90" w:type="dxa"/>
            </w:tcMar>
            <w:shd w:val="clear" w:color="auto" w:fill="E5F5FF"/>
          </w:tcPr>
          <w:p>
            <w:pPr>
              <w:pStyle w:val="BDOITable"/>
            </w:pPr>
            <w:r>
              <w:rPr>
                <w:sz w:val="17"/>
              </w:rPr>
              <w:t>Data Migration (BRD-13) requirements baseline and fit/gap</w:t>
            </w:r>
          </w:p>
        </w:tc>
        <w:tc>
          <w:tcPr>
            <w:tcW w:type="dxa" w:w="1753"/>
            <w:tcMar>
              <w:top w:w="50" w:type="dxa"/>
              <w:bottom w:w="50" w:type="dxa"/>
              <w:left w:w="90" w:type="dxa"/>
              <w:right w:w="90" w:type="dxa"/>
            </w:tcMar>
            <w:shd w:val="clear" w:color="auto" w:fill="E5F5FF"/>
          </w:tcPr>
          <w:p>
            <w:pPr>
              <w:pStyle w:val="BDOITable"/>
            </w:pPr>
            <w:r>
              <w:rPr>
                <w:sz w:val="17"/>
              </w:rPr>
              <w:t>current</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docs/requirements/BDOI_DM_BRD_SPEC.md</w:t>
            </w:r>
          </w:p>
        </w:tc>
      </w:tr>
      <w:tr>
        <w:trPr>
          <w:cantSplit w:val="true"/>
        </w:trPr>
        <w:tc>
          <w:tcPr>
            <w:tcW w:type="dxa" w:w="657"/>
            <w:tcMar>
              <w:top w:w="50" w:type="dxa"/>
              <w:bottom w:w="50" w:type="dxa"/>
              <w:left w:w="90" w:type="dxa"/>
              <w:right w:w="90" w:type="dxa"/>
            </w:tcMar>
          </w:tcPr>
          <w:p>
            <w:pPr>
              <w:pStyle w:val="BDOITable"/>
            </w:pPr>
            <w:r>
              <w:rPr>
                <w:sz w:val="17"/>
              </w:rPr>
              <w:t>R3</w:t>
            </w:r>
          </w:p>
        </w:tc>
        <w:tc>
          <w:tcPr>
            <w:tcW w:type="dxa" w:w="4602"/>
            <w:tcMar>
              <w:top w:w="50" w:type="dxa"/>
              <w:bottom w:w="50" w:type="dxa"/>
              <w:left w:w="90" w:type="dxa"/>
              <w:right w:w="90" w:type="dxa"/>
            </w:tcMar>
          </w:tcPr>
          <w:p>
            <w:pPr>
              <w:pStyle w:val="BDOITable"/>
            </w:pPr>
            <w:r>
              <w:rPr>
                <w:sz w:val="17"/>
              </w:rPr>
              <w:t>Data Migration build design</w:t>
            </w:r>
          </w:p>
        </w:tc>
        <w:tc>
          <w:tcPr>
            <w:tcW w:type="dxa" w:w="1753"/>
            <w:tcMar>
              <w:top w:w="50" w:type="dxa"/>
              <w:bottom w:w="50" w:type="dxa"/>
              <w:left w:w="90" w:type="dxa"/>
              <w:right w:w="90" w:type="dxa"/>
            </w:tcMar>
          </w:tcPr>
          <w:p>
            <w:pPr>
              <w:pStyle w:val="BDOITable"/>
            </w:pPr>
            <w:r>
              <w:rPr>
                <w:sz w:val="17"/>
              </w:rPr>
              <w:t>current</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docs/architecture/DATA_MIGRATION_DESIGN.md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R4</w:t>
            </w:r>
          </w:p>
        </w:tc>
        <w:tc>
          <w:tcPr>
            <w:tcW w:type="dxa" w:w="4602"/>
            <w:tcMar>
              <w:top w:w="50" w:type="dxa"/>
              <w:bottom w:w="50" w:type="dxa"/>
              <w:left w:w="90" w:type="dxa"/>
              <w:right w:w="90" w:type="dxa"/>
            </w:tcMar>
            <w:shd w:val="clear" w:color="auto" w:fill="E5F5FF"/>
          </w:tcPr>
          <w:p>
            <w:pPr>
              <w:pStyle w:val="BDOITable"/>
            </w:pPr>
            <w:r>
              <w:rPr>
                <w:sz w:val="17"/>
              </w:rPr>
              <w:t>Functional Requirements Specification BRD-13 Data Migration</w:t>
            </w:r>
          </w:p>
        </w:tc>
        <w:tc>
          <w:tcPr>
            <w:tcW w:type="dxa" w:w="1753"/>
            <w:tcMar>
              <w:top w:w="50" w:type="dxa"/>
              <w:bottom w:w="50" w:type="dxa"/>
              <w:left w:w="90" w:type="dxa"/>
              <w:right w:w="90" w:type="dxa"/>
            </w:tcMar>
            <w:shd w:val="clear" w:color="auto" w:fill="E5F5FF"/>
          </w:tcPr>
          <w:p>
            <w:pPr>
              <w:pStyle w:val="BDOITable"/>
            </w:pPr>
            <w:r>
              <w:rPr>
                <w:sz w:val="17"/>
              </w:rPr>
              <w:t>1.0</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BIBS_FRS_BRD-13_Data_Migration_v1.0.docx</w:t>
            </w:r>
          </w:p>
        </w:tc>
      </w:tr>
      <w:tr>
        <w:trPr>
          <w:cantSplit w:val="true"/>
        </w:trPr>
        <w:tc>
          <w:tcPr>
            <w:tcW w:type="dxa" w:w="657"/>
            <w:tcMar>
              <w:top w:w="50" w:type="dxa"/>
              <w:bottom w:w="50" w:type="dxa"/>
              <w:left w:w="90" w:type="dxa"/>
              <w:right w:w="90" w:type="dxa"/>
            </w:tcMar>
          </w:tcPr>
          <w:p>
            <w:pPr>
              <w:pStyle w:val="BDOITable"/>
            </w:pPr>
            <w:r>
              <w:rPr>
                <w:sz w:val="17"/>
              </w:rPr>
              <w:t>R5</w:t>
            </w:r>
          </w:p>
        </w:tc>
        <w:tc>
          <w:tcPr>
            <w:tcW w:type="dxa" w:w="4602"/>
            <w:tcMar>
              <w:top w:w="50" w:type="dxa"/>
              <w:bottom w:w="50" w:type="dxa"/>
              <w:left w:w="90" w:type="dxa"/>
              <w:right w:w="90" w:type="dxa"/>
            </w:tcMar>
          </w:tcPr>
          <w:p>
            <w:pPr>
              <w:pStyle w:val="BDOITable"/>
            </w:pPr>
            <w:r>
              <w:rPr>
                <w:sz w:val="17"/>
              </w:rPr>
              <w:t>BRD BDOI Core Replacement (umbrella BRD) and its analysis</w:t>
            </w:r>
          </w:p>
        </w:tc>
        <w:tc>
          <w:tcPr>
            <w:tcW w:type="dxa" w:w="1753"/>
            <w:tcMar>
              <w:top w:w="50" w:type="dxa"/>
              <w:bottom w:w="50" w:type="dxa"/>
              <w:left w:w="90" w:type="dxa"/>
              <w:right w:w="90" w:type="dxa"/>
            </w:tcMar>
          </w:tcPr>
          <w:p>
            <w:pPr>
              <w:pStyle w:val="BDOITable"/>
            </w:pPr>
            <w:r>
              <w:rPr>
                <w:sz w:val="17"/>
              </w:rPr>
              <w:t>v01</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docs/source-documents/00 - BRD BDOI Core Replacement v01.pdf</w:t>
            </w:r>
            <w:r>
              <w:rPr>
                <w:sz w:val="17"/>
              </w:rPr>
              <w:t xml:space="preserve">; </w:t>
            </w:r>
            <w:r>
              <w:rPr>
                <w:rFonts w:ascii="Courier New" w:hAnsi="Courier New" w:cs="Courier New" w:eastAsia="Courier New"/>
                <w:color w:val="2E2E2E"/>
                <w:sz w:val="15"/>
              </w:rPr>
              <w:t>BDOI_CORE_BRD_SPEC.md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R6</w:t>
            </w:r>
          </w:p>
        </w:tc>
        <w:tc>
          <w:tcPr>
            <w:tcW w:type="dxa" w:w="4602"/>
            <w:tcMar>
              <w:top w:w="50" w:type="dxa"/>
              <w:bottom w:w="50" w:type="dxa"/>
              <w:left w:w="90" w:type="dxa"/>
              <w:right w:w="90" w:type="dxa"/>
            </w:tcMar>
            <w:shd w:val="clear" w:color="auto" w:fill="E5F5FF"/>
          </w:tcPr>
          <w:p>
            <w:pPr>
              <w:pStyle w:val="BDOITable"/>
            </w:pPr>
            <w:r>
              <w:rPr>
                <w:sz w:val="17"/>
              </w:rPr>
              <w:t>BRD discrepancy and clarification register</w:t>
            </w:r>
          </w:p>
        </w:tc>
        <w:tc>
          <w:tcPr>
            <w:tcW w:type="dxa" w:w="1753"/>
            <w:tcMar>
              <w:top w:w="50" w:type="dxa"/>
              <w:bottom w:w="50" w:type="dxa"/>
              <w:left w:w="90" w:type="dxa"/>
              <w:right w:w="90" w:type="dxa"/>
            </w:tcMar>
            <w:shd w:val="clear" w:color="auto" w:fill="E5F5FF"/>
          </w:tcPr>
          <w:p>
            <w:pPr>
              <w:pStyle w:val="BDOITable"/>
            </w:pPr>
            <w:r>
              <w:rPr>
                <w:sz w:val="17"/>
              </w:rPr>
              <w:t>1.1</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BIBS_Register_BRD-00_Discrepancies_and_Clarifications_v1.1.xlsx</w:t>
            </w:r>
          </w:p>
        </w:tc>
      </w:tr>
      <w:tr>
        <w:trPr>
          <w:cantSplit w:val="true"/>
        </w:trPr>
        <w:tc>
          <w:tcPr>
            <w:tcW w:type="dxa" w:w="657"/>
            <w:tcMar>
              <w:top w:w="50" w:type="dxa"/>
              <w:bottom w:w="50" w:type="dxa"/>
              <w:left w:w="90" w:type="dxa"/>
              <w:right w:w="90" w:type="dxa"/>
            </w:tcMar>
          </w:tcPr>
          <w:p>
            <w:pPr>
              <w:pStyle w:val="BDOITable"/>
            </w:pPr>
            <w:r>
              <w:rPr>
                <w:sz w:val="17"/>
              </w:rPr>
              <w:t>R7</w:t>
            </w:r>
          </w:p>
        </w:tc>
        <w:tc>
          <w:tcPr>
            <w:tcW w:type="dxa" w:w="4602"/>
            <w:tcMar>
              <w:top w:w="50" w:type="dxa"/>
              <w:bottom w:w="50" w:type="dxa"/>
              <w:left w:w="90" w:type="dxa"/>
              <w:right w:w="90" w:type="dxa"/>
            </w:tcMar>
          </w:tcPr>
          <w:p>
            <w:pPr>
              <w:pStyle w:val="BDOITable"/>
            </w:pPr>
            <w:r>
              <w:rPr>
                <w:sz w:val="17"/>
              </w:rPr>
              <w:t>Deliverables plan, UAT readiness programme and hosting appendix</w:t>
            </w:r>
          </w:p>
        </w:tc>
        <w:tc>
          <w:tcPr>
            <w:tcW w:type="dxa" w:w="1753"/>
            <w:tcMar>
              <w:top w:w="50" w:type="dxa"/>
              <w:bottom w:w="50" w:type="dxa"/>
              <w:left w:w="90" w:type="dxa"/>
              <w:right w:w="90" w:type="dxa"/>
            </w:tcMar>
          </w:tcPr>
          <w:p>
            <w:pPr>
              <w:pStyle w:val="BDOITable"/>
            </w:pPr>
            <w:r>
              <w:rPr>
                <w:sz w:val="17"/>
              </w:rPr>
              <w:t>current</w:t>
            </w:r>
          </w:p>
        </w:tc>
        <w:tc>
          <w:tcPr>
            <w:tcW w:type="dxa" w:w="2959"/>
            <w:tcMar>
              <w:top w:w="50" w:type="dxa"/>
              <w:bottom w:w="50" w:type="dxa"/>
              <w:left w:w="90" w:type="dxa"/>
              <w:right w:w="90" w:type="dxa"/>
            </w:tcMar>
          </w:tcPr>
          <w:p>
            <w:pPr>
              <w:pStyle w:val="BDOITable"/>
            </w:pPr>
            <w:r>
              <w:rPr>
                <w:rFonts w:ascii="Courier New" w:hAnsi="Courier New" w:cs="Courier New" w:eastAsia="Courier New"/>
                <w:color w:val="2E2E2E"/>
                <w:sz w:val="15"/>
              </w:rPr>
              <w:t>docs/deliverables/README.md</w:t>
            </w:r>
          </w:p>
        </w:tc>
      </w:tr>
      <w:tr>
        <w:trPr>
          <w:cantSplit w:val="true"/>
        </w:trPr>
        <w:tc>
          <w:tcPr>
            <w:tcW w:type="dxa" w:w="657"/>
            <w:tcMar>
              <w:top w:w="50" w:type="dxa"/>
              <w:bottom w:w="50" w:type="dxa"/>
              <w:left w:w="90" w:type="dxa"/>
              <w:right w:w="90" w:type="dxa"/>
            </w:tcMar>
            <w:shd w:val="clear" w:color="auto" w:fill="E5F5FF"/>
          </w:tcPr>
          <w:p>
            <w:pPr>
              <w:pStyle w:val="BDOITable"/>
            </w:pPr>
            <w:r>
              <w:rPr>
                <w:sz w:val="17"/>
              </w:rPr>
              <w:t>R8</w:t>
            </w:r>
          </w:p>
        </w:tc>
        <w:tc>
          <w:tcPr>
            <w:tcW w:type="dxa" w:w="4602"/>
            <w:tcMar>
              <w:top w:w="50" w:type="dxa"/>
              <w:bottom w:w="50" w:type="dxa"/>
              <w:left w:w="90" w:type="dxa"/>
              <w:right w:w="90" w:type="dxa"/>
            </w:tcMar>
            <w:shd w:val="clear" w:color="auto" w:fill="E5F5FF"/>
          </w:tcPr>
          <w:p>
            <w:pPr>
              <w:pStyle w:val="BDOITable"/>
            </w:pPr>
            <w:r>
              <w:rPr>
                <w:sz w:val="17"/>
              </w:rPr>
              <w:t>Operations, Collections, Accounting / ACSL and Renewal designs</w:t>
            </w:r>
          </w:p>
        </w:tc>
        <w:tc>
          <w:tcPr>
            <w:tcW w:type="dxa" w:w="1753"/>
            <w:tcMar>
              <w:top w:w="50" w:type="dxa"/>
              <w:bottom w:w="50" w:type="dxa"/>
              <w:left w:w="90" w:type="dxa"/>
              <w:right w:w="90" w:type="dxa"/>
            </w:tcMar>
            <w:shd w:val="clear" w:color="auto" w:fill="E5F5FF"/>
          </w:tcPr>
          <w:p>
            <w:pPr>
              <w:pStyle w:val="BDOITable"/>
            </w:pPr>
            <w:r>
              <w:rPr>
                <w:sz w:val="17"/>
              </w:rPr>
              <w:t>current</w:t>
            </w:r>
          </w:p>
        </w:tc>
        <w:tc>
          <w:tcPr>
            <w:tcW w:type="dxa" w:w="2959"/>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5"/>
              </w:rPr>
              <w:t>docs/architecture/</w:t>
            </w:r>
          </w:p>
        </w:tc>
      </w:tr>
    </w:tbl>
    <w:p>
      <w:pPr>
        <w:pStyle w:val="BDOISpacer"/>
      </w:pPr>
    </w:p>
    <w:p>
      <w:pPr>
        <w:pStyle w:val="Heading1"/>
        <w:pageBreakBefore/>
        <w:pBdr>
          <w:bottom w:val="single" w:sz="4" w:space="4" w:color="99C1E7"/>
        </w:pBdr>
      </w:pPr>
      <w:bookmarkStart w:id="106" w:name="_Toc000106"/>
      <w:r>
        <w:rPr/>
        <w:t>2 Objectives and principles</w:t>
      </w:r>
      <w:bookmarkEnd w:id="106"/>
    </w:p>
    <w:p>
      <w:pPr>
        <w:pStyle w:val="Heading2"/>
      </w:pPr>
      <w:bookmarkStart w:id="107" w:name="_Toc000107"/>
      <w:r>
        <w:rPr/>
        <w:t>2.1 Objectives</w:t>
      </w:r>
      <w:bookmarkEnd w:id="107"/>
    </w:p>
    <w:p>
      <w:r>
        <w:rPr/>
        <w:t>The BRD states the objective as "a stable Core go-live by ensuring Day-1 operational continuity for marketing, operations, and accounting while establishing a clean and trusted data foundation" (p.3). In measurable terms, at go-live:</w:t>
      </w:r>
    </w:p>
    <w:p>
      <w:pPr>
        <w:pStyle w:val="Caption"/>
        <w:keepNext/>
        <w:spacing w:after="60"/>
      </w:pPr>
      <w:r>
        <w:rPr>
          <w:b/>
          <w:i w:val="0"/>
        </w:rPr>
        <w:t xml:space="preserve">Table 3: </w:t>
      </w:r>
      <w:r>
        <w:rPr/>
        <w:t>Migration objectives and how they are measured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4566"/>
        <w:gridCol w:w="4926"/>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Objective</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Measure at go-live</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4565"/>
            <w:tcMar>
              <w:top w:w="50" w:type="dxa"/>
              <w:bottom w:w="50" w:type="dxa"/>
              <w:left w:w="90" w:type="dxa"/>
              <w:right w:w="90" w:type="dxa"/>
            </w:tcMar>
          </w:tcPr>
          <w:p>
            <w:pPr>
              <w:pStyle w:val="BDOITable"/>
            </w:pPr>
            <w:r>
              <w:rPr>
                <w:sz w:val="18"/>
              </w:rPr>
              <w:t>Marketing finds every in-scope client and uses it without re-encoding (BRID 2.1)</w:t>
            </w:r>
          </w:p>
        </w:tc>
        <w:tc>
          <w:tcPr>
            <w:tcW w:type="dxa" w:w="4926"/>
            <w:tcMar>
              <w:top w:w="50" w:type="dxa"/>
              <w:bottom w:w="50" w:type="dxa"/>
              <w:left w:w="90" w:type="dxa"/>
              <w:right w:w="90" w:type="dxa"/>
            </w:tcMar>
          </w:tcPr>
          <w:p>
            <w:pPr>
              <w:pStyle w:val="BDOITable"/>
            </w:pPr>
            <w:r>
              <w:rPr>
                <w:sz w:val="18"/>
              </w:rPr>
              <w:t>Every in-scope legacy client number resolves to one BIBS client; client review queue empty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4565"/>
            <w:tcMar>
              <w:top w:w="50" w:type="dxa"/>
              <w:bottom w:w="50" w:type="dxa"/>
              <w:left w:w="90" w:type="dxa"/>
              <w:right w:w="90" w:type="dxa"/>
            </w:tcMar>
            <w:shd w:val="clear" w:color="auto" w:fill="E5F5FF"/>
          </w:tcPr>
          <w:p>
            <w:pPr>
              <w:pStyle w:val="BDOITable"/>
            </w:pPr>
            <w:r>
              <w:rPr>
                <w:sz w:val="18"/>
              </w:rPr>
              <w:t>Every code used by a migrated record exists in BIBS (BRID 3.1)</w:t>
            </w:r>
          </w:p>
        </w:tc>
        <w:tc>
          <w:tcPr>
            <w:tcW w:type="dxa" w:w="4926"/>
            <w:tcMar>
              <w:top w:w="50" w:type="dxa"/>
              <w:bottom w:w="50" w:type="dxa"/>
              <w:left w:w="90" w:type="dxa"/>
              <w:right w:w="90" w:type="dxa"/>
            </w:tcMar>
            <w:shd w:val="clear" w:color="auto" w:fill="E5F5FF"/>
          </w:tcPr>
          <w:p>
            <w:pPr>
              <w:pStyle w:val="BDOITable"/>
            </w:pPr>
            <w:r>
              <w:rPr>
                <w:sz w:val="18"/>
              </w:rPr>
              <w:t>Unmapped-code report empty for all Day-1 objects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4565"/>
            <w:tcMar>
              <w:top w:w="50" w:type="dxa"/>
              <w:bottom w:w="50" w:type="dxa"/>
              <w:left w:w="90" w:type="dxa"/>
              <w:right w:w="90" w:type="dxa"/>
            </w:tcMar>
          </w:tcPr>
          <w:p>
            <w:pPr>
              <w:pStyle w:val="BDOITable"/>
            </w:pPr>
            <w:r>
              <w:rPr>
                <w:sz w:val="18"/>
              </w:rPr>
              <w:t>Every open receivable, payable and unapplied payment continues in BIBS (BRID 5.1-8.1)</w:t>
            </w:r>
          </w:p>
        </w:tc>
        <w:tc>
          <w:tcPr>
            <w:tcW w:type="dxa" w:w="4926"/>
            <w:tcMar>
              <w:top w:w="50" w:type="dxa"/>
              <w:bottom w:w="50" w:type="dxa"/>
              <w:left w:w="90" w:type="dxa"/>
              <w:right w:w="90" w:type="dxa"/>
            </w:tcMar>
          </w:tcPr>
          <w:p>
            <w:pPr>
              <w:pStyle w:val="BDOITable"/>
            </w:pPr>
            <w:r>
              <w:rPr>
                <w:sz w:val="18"/>
              </w:rPr>
              <w:t>Open balances in BIBS equal the legacy extract per currency; Migration Clearing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4565"/>
            <w:tcMar>
              <w:top w:w="50" w:type="dxa"/>
              <w:bottom w:w="50" w:type="dxa"/>
              <w:left w:w="90" w:type="dxa"/>
              <w:right w:w="90" w:type="dxa"/>
            </w:tcMar>
            <w:shd w:val="clear" w:color="auto" w:fill="E5F5FF"/>
          </w:tcPr>
          <w:p>
            <w:pPr>
              <w:pStyle w:val="BDOITable"/>
            </w:pPr>
            <w:r>
              <w:rPr>
                <w:sz w:val="18"/>
              </w:rPr>
              <w:t>Legacy invoices are processed with the normal BIBS screens (BRID 5.2-10.1)</w:t>
            </w:r>
          </w:p>
        </w:tc>
        <w:tc>
          <w:tcPr>
            <w:tcW w:type="dxa" w:w="4926"/>
            <w:tcMar>
              <w:top w:w="50" w:type="dxa"/>
              <w:bottom w:w="50" w:type="dxa"/>
              <w:left w:w="90" w:type="dxa"/>
              <w:right w:w="90" w:type="dxa"/>
            </w:tcMar>
            <w:shd w:val="clear" w:color="auto" w:fill="E5F5FF"/>
          </w:tcPr>
          <w:p>
            <w:pPr>
              <w:pStyle w:val="BDOITable"/>
            </w:pPr>
            <w:r>
              <w:rPr>
                <w:sz w:val="18"/>
              </w:rPr>
              <w:t>Smoke test on production passed (payment, automatch, remittance, Invoice 360)</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4565"/>
            <w:tcMar>
              <w:top w:w="50" w:type="dxa"/>
              <w:bottom w:w="50" w:type="dxa"/>
              <w:left w:w="90" w:type="dxa"/>
              <w:right w:w="90" w:type="dxa"/>
            </w:tcMar>
          </w:tcPr>
          <w:p>
            <w:pPr>
              <w:pStyle w:val="BDOITable"/>
            </w:pPr>
            <w:r>
              <w:rPr>
                <w:sz w:val="18"/>
              </w:rPr>
              <w:t>Every migrated object is reconcilable from source to target (BRID 1.1b)</w:t>
            </w:r>
          </w:p>
        </w:tc>
        <w:tc>
          <w:tcPr>
            <w:tcW w:type="dxa" w:w="4926"/>
            <w:tcMar>
              <w:top w:w="50" w:type="dxa"/>
              <w:bottom w:w="50" w:type="dxa"/>
              <w:left w:w="90" w:type="dxa"/>
              <w:right w:w="90" w:type="dxa"/>
            </w:tcMar>
          </w:tcPr>
          <w:p>
            <w:pPr>
              <w:pStyle w:val="BDOITable"/>
            </w:pPr>
            <w:r>
              <w:rPr>
                <w:sz w:val="18"/>
              </w:rPr>
              <w:t>Reconciliation L1-L5 signed per object (gate G5)</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4565"/>
            <w:tcMar>
              <w:top w:w="50" w:type="dxa"/>
              <w:bottom w:w="50" w:type="dxa"/>
              <w:left w:w="90" w:type="dxa"/>
              <w:right w:w="90" w:type="dxa"/>
            </w:tcMar>
            <w:shd w:val="clear" w:color="auto" w:fill="E5F5FF"/>
          </w:tcPr>
          <w:p>
            <w:pPr>
              <w:pStyle w:val="BDOITable"/>
            </w:pPr>
            <w:r>
              <w:rPr>
                <w:sz w:val="18"/>
              </w:rPr>
              <w:t>History remains retrievable with logged access (BRID 11.1)</w:t>
            </w:r>
          </w:p>
        </w:tc>
        <w:tc>
          <w:tcPr>
            <w:tcW w:type="dxa" w:w="4926"/>
            <w:tcMar>
              <w:top w:w="50" w:type="dxa"/>
              <w:bottom w:w="50" w:type="dxa"/>
              <w:left w:w="90" w:type="dxa"/>
              <w:right w:w="90" w:type="dxa"/>
            </w:tcMar>
            <w:shd w:val="clear" w:color="auto" w:fill="E5F5FF"/>
          </w:tcPr>
          <w:p>
            <w:pPr>
              <w:pStyle w:val="BDOITable"/>
            </w:pPr>
            <w:r>
              <w:rPr>
                <w:sz w:val="18"/>
              </w:rPr>
              <w:t>Legacy read-only link or archive inquiry available per legacy system</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4565"/>
            <w:tcMar>
              <w:top w:w="50" w:type="dxa"/>
              <w:bottom w:w="50" w:type="dxa"/>
              <w:left w:w="90" w:type="dxa"/>
              <w:right w:w="90" w:type="dxa"/>
            </w:tcMar>
          </w:tcPr>
          <w:p>
            <w:pPr>
              <w:pStyle w:val="BDOITable"/>
            </w:pPr>
            <w:r>
              <w:rPr>
                <w:sz w:val="18"/>
              </w:rPr>
              <w:t>Renewals move to BIBS by expiry month (BRID 12.1)</w:t>
            </w:r>
          </w:p>
        </w:tc>
        <w:tc>
          <w:tcPr>
            <w:tcW w:type="dxa" w:w="4926"/>
            <w:tcMar>
              <w:top w:w="50" w:type="dxa"/>
              <w:bottom w:w="50" w:type="dxa"/>
              <w:left w:w="90" w:type="dxa"/>
              <w:right w:w="90" w:type="dxa"/>
            </w:tcMar>
          </w:tcPr>
          <w:p>
            <w:pPr>
              <w:pStyle w:val="BDOITable"/>
            </w:pPr>
            <w:r>
              <w:rPr>
                <w:sz w:val="18"/>
              </w:rPr>
              <w:t>Carried RMEL cohorts visible in BIBS Renewal; later cohorts extracted by BIBS</w:t>
            </w:r>
          </w:p>
        </w:tc>
      </w:tr>
    </w:tbl>
    <w:p>
      <w:pPr>
        <w:pStyle w:val="BDOISpacer"/>
      </w:pPr>
    </w:p>
    <w:p>
      <w:pPr>
        <w:pStyle w:val="Heading2"/>
      </w:pPr>
      <w:bookmarkStart w:id="108" w:name="_Toc000108"/>
      <w:r>
        <w:rPr/>
        <w:t>2.2 Principles</w:t>
      </w:r>
      <w:bookmarkEnd w:id="108"/>
    </w:p>
    <w:p>
      <w:pPr>
        <w:tabs>
          <w:tab w:pos="312" w:val="left"/>
        </w:tabs>
        <w:spacing w:after="40"/>
        <w:ind w:left="312" w:hanging="283"/>
      </w:pPr>
      <w:r>
        <w:rPr>
          <w:color w:val="004EA8"/>
        </w:rPr>
        <w:t>1.</w:t>
        <w:tab/>
      </w:r>
      <w:r>
        <w:rPr>
          <w:b/>
        </w:rPr>
        <w:t>Selective, not a conversion.</w:t>
      </w:r>
      <w:r>
        <w:rPr/>
        <w:t xml:space="preserve"> Every data object gets one class through a decision gate (BRID 1.1a). History is never loaded into business tables; it stays in read-only legacy or goes to the archive.</w:t>
      </w:r>
    </w:p>
    <w:p>
      <w:pPr>
        <w:tabs>
          <w:tab w:pos="312" w:val="left"/>
        </w:tabs>
        <w:spacing w:after="40"/>
        <w:ind w:left="312" w:hanging="283"/>
      </w:pPr>
      <w:r>
        <w:rPr>
          <w:color w:val="004EA8"/>
        </w:rPr>
        <w:t>2.</w:t>
        <w:tab/>
      </w:r>
      <w:r>
        <w:rPr>
          <w:b/>
        </w:rPr>
        <w:t>Continuity first.</w:t>
      </w:r>
      <w:r>
        <w:rPr/>
        <w:t xml:space="preserve"> Anything BDOI must act on after go-live (a receivable, a payable, an unapplied payment, a renewal in progress, a promise to pay) is carried forward, so no business process depends on legacy after the freeze.</w:t>
      </w:r>
    </w:p>
    <w:p>
      <w:pPr>
        <w:tabs>
          <w:tab w:pos="312" w:val="left"/>
        </w:tabs>
        <w:spacing w:after="40"/>
        <w:ind w:left="312" w:hanging="283"/>
      </w:pPr>
      <w:r>
        <w:rPr>
          <w:color w:val="004EA8"/>
        </w:rPr>
        <w:t>3.</w:t>
        <w:tab/>
      </w:r>
      <w:r>
        <w:rPr>
          <w:b/>
        </w:rPr>
        <w:t>Clean start.</w:t>
      </w:r>
      <w:r>
        <w:rPr/>
        <w:t xml:space="preserve"> Master data is cleansed and deduplicated before it is loaded. Data that fails the rules is fixed at source or excluded by its owner; it is not loaded "as is".</w:t>
      </w:r>
    </w:p>
    <w:p>
      <w:pPr>
        <w:tabs>
          <w:tab w:pos="312" w:val="left"/>
        </w:tabs>
        <w:spacing w:after="40"/>
        <w:ind w:left="312" w:hanging="283"/>
      </w:pPr>
      <w:r>
        <w:rPr>
          <w:color w:val="004EA8"/>
        </w:rPr>
        <w:t>4.</w:t>
        <w:tab/>
      </w:r>
      <w:r>
        <w:rPr>
          <w:b/>
        </w:rPr>
        <w:t>One processing system per item.</w:t>
      </w:r>
      <w:r>
        <w:rPr/>
        <w:t xml:space="preserve"> From the freeze, a legacy open item is processed only in BIBS. Legacy becomes read-only (BRD p.5). There is no two-way synchronisation.</w:t>
      </w:r>
    </w:p>
    <w:p>
      <w:pPr>
        <w:tabs>
          <w:tab w:pos="312" w:val="left"/>
        </w:tabs>
        <w:spacing w:after="40"/>
        <w:ind w:left="312" w:hanging="283"/>
      </w:pPr>
      <w:r>
        <w:rPr>
          <w:color w:val="004EA8"/>
        </w:rPr>
        <w:t>5.</w:t>
        <w:tab/>
      </w:r>
      <w:r>
        <w:rPr>
          <w:b/>
        </w:rPr>
        <w:t>Load through the BIBS services.</w:t>
      </w:r>
      <w:r>
        <w:rPr/>
        <w:t xml:space="preserve"> Records are created by the same services the screens use, so every BIBS rule, audit entry and accounting entry applies. Nothing is written directly into a business table.</w:t>
      </w:r>
    </w:p>
    <w:p>
      <w:pPr>
        <w:tabs>
          <w:tab w:pos="312" w:val="left"/>
        </w:tabs>
        <w:spacing w:after="40"/>
        <w:ind w:left="312" w:hanging="283"/>
      </w:pPr>
      <w:r>
        <w:rPr>
          <w:color w:val="004EA8"/>
        </w:rPr>
        <w:t>6.</w:t>
        <w:tab/>
      </w:r>
      <w:r>
        <w:rPr>
          <w:b/>
        </w:rPr>
        <w:t>Reconcile everything, and keep the evidence.</w:t>
      </w:r>
      <w:r>
        <w:rPr/>
        <w:t xml:space="preserve"> Every extract carries control totals; every object is reconciled by counts, amounts, hash totals, fields and GL; a break is fixed or explained and approved before sign-off.</w:t>
      </w:r>
    </w:p>
    <w:p>
      <w:pPr>
        <w:tabs>
          <w:tab w:pos="312" w:val="left"/>
        </w:tabs>
        <w:spacing w:after="40"/>
        <w:ind w:left="312" w:hanging="283"/>
      </w:pPr>
      <w:r>
        <w:rPr>
          <w:color w:val="004EA8"/>
        </w:rPr>
        <w:t>7.</w:t>
        <w:tab/>
      </w:r>
      <w:r>
        <w:rPr>
          <w:b/>
        </w:rPr>
        <w:t>Rehearse before production.</w:t>
      </w:r>
      <w:r>
        <w:rPr/>
        <w:t xml:space="preserve"> Three mocks and a dress rehearsal run the full cutover with masked data and measured timings. Production follows the rehearsed plan.</w:t>
      </w:r>
    </w:p>
    <w:p>
      <w:pPr>
        <w:tabs>
          <w:tab w:pos="312" w:val="left"/>
        </w:tabs>
        <w:spacing w:after="120"/>
        <w:ind w:left="312" w:hanging="283"/>
      </w:pPr>
      <w:r>
        <w:rPr>
          <w:color w:val="004EA8"/>
        </w:rPr>
        <w:t>8.</w:t>
        <w:tab/>
      </w:r>
      <w:r>
        <w:rPr>
          <w:b/>
        </w:rPr>
        <w:t>Protect personal data.</w:t>
      </w:r>
      <w:r>
        <w:rPr/>
        <w:t xml:space="preserve"> Masked data outside production, staging purged within 5 days of sign-off, access only for migration roles and only from the Philippines (hosting appendix, R7).</w:t>
      </w:r>
    </w:p>
    <w:p>
      <w:pPr>
        <w:pStyle w:val="Heading2"/>
      </w:pPr>
      <w:bookmarkStart w:id="109" w:name="_Toc000109"/>
      <w:r>
        <w:rPr/>
        <w:t>2.3 What this migration does not do</w:t>
      </w:r>
      <w:bookmarkEnd w:id="109"/>
    </w:p>
    <w:p>
      <w:pPr>
        <w:tabs>
          <w:tab w:pos="312" w:val="left"/>
        </w:tabs>
        <w:spacing w:after="40"/>
        <w:ind w:left="312" w:hanging="283"/>
      </w:pPr>
      <w:r>
        <w:rPr>
          <w:color w:val="004EA8"/>
        </w:rPr>
        <w:t>•</w:t>
        <w:tab/>
      </w:r>
      <w:r>
        <w:rPr/>
        <w:t>It does not convert closed transactions, GL history or expired policies into BIBS business tables (BRD p.3).</w:t>
      </w:r>
    </w:p>
    <w:p>
      <w:pPr>
        <w:tabs>
          <w:tab w:pos="312" w:val="left"/>
        </w:tabs>
        <w:spacing w:after="40"/>
        <w:ind w:left="312" w:hanging="283"/>
      </w:pPr>
      <w:r>
        <w:rPr>
          <w:color w:val="004EA8"/>
        </w:rPr>
        <w:t>•</w:t>
        <w:tab/>
      </w:r>
      <w:r>
        <w:rPr/>
        <w:t>It does not re-book legacy invoices. A legacy invoice keeps its legacy number and is processed as a legacy invoice until it is settled.</w:t>
      </w:r>
    </w:p>
    <w:p>
      <w:pPr>
        <w:tabs>
          <w:tab w:pos="312" w:val="left"/>
        </w:tabs>
        <w:spacing w:after="40"/>
        <w:ind w:left="312" w:hanging="283"/>
      </w:pPr>
      <w:r>
        <w:rPr>
          <w:color w:val="004EA8"/>
        </w:rPr>
        <w:t>•</w:t>
        <w:tab/>
      </w:r>
      <w:r>
        <w:rPr/>
        <w:t>It does not create users from legacy. Users are created through User Access requests (BRD-11); legacy user IDs are only mapped so that AO, handler and collector fields resolve.</w:t>
      </w:r>
    </w:p>
    <w:p>
      <w:pPr>
        <w:tabs>
          <w:tab w:pos="312" w:val="left"/>
        </w:tabs>
        <w:spacing w:after="40"/>
        <w:ind w:left="312" w:hanging="283"/>
      </w:pPr>
      <w:r>
        <w:rPr>
          <w:color w:val="004EA8"/>
        </w:rPr>
        <w:t>•</w:t>
        <w:tab/>
      </w:r>
      <w:r>
        <w:rPr/>
        <w:t>It does not run legacy and BIBS in parallel for the same items (section 11.3).</w:t>
      </w:r>
    </w:p>
    <w:p>
      <w:pPr>
        <w:tabs>
          <w:tab w:pos="312" w:val="left"/>
        </w:tabs>
        <w:spacing w:after="120"/>
        <w:ind w:left="312" w:hanging="283"/>
      </w:pPr>
      <w:r>
        <w:rPr>
          <w:color w:val="004EA8"/>
        </w:rPr>
        <w:t>•</w:t>
        <w:tab/>
      </w:r>
      <w:r>
        <w:rPr/>
        <w:t>It does not write back to QPS or EBIX after the freeze (register DCR-202).</w:t>
      </w:r>
    </w:p>
    <w:p>
      <w:pPr>
        <w:pStyle w:val="Heading1"/>
        <w:pageBreakBefore/>
        <w:pBdr>
          <w:bottom w:val="single" w:sz="4" w:space="4" w:color="99C1E7"/>
        </w:pBdr>
      </w:pPr>
      <w:bookmarkStart w:id="110" w:name="_Toc000110"/>
      <w:r>
        <w:rPr/>
        <w:t>3 Scope and decisions per data object</w:t>
      </w:r>
      <w:bookmarkEnd w:id="110"/>
    </w:p>
    <w:p>
      <w:pPr>
        <w:pStyle w:val="Heading2"/>
      </w:pPr>
      <w:bookmarkStart w:id="111" w:name="_Toc000111"/>
      <w:r>
        <w:rPr/>
        <w:t>3.1 The decision gate</w:t>
      </w:r>
      <w:bookmarkEnd w:id="111"/>
    </w:p>
    <w:p>
      <w:r>
        <w:rPr/>
        <w:t>BRID 1.1a asks that each data object is classed Migrate, Carry forward (open items), Archive or Excluded once the business owners have assessed four criteria: Day-1 need, compliance need, read-only / archival option and data trust (p.7). The BRD does not give the rule that turns the criteria into a class (DMQ02, DCR-192). The proposal:</w:t>
      </w:r>
    </w:p>
    <w:p>
      <w:pPr>
        <w:pStyle w:val="Caption"/>
        <w:keepNext/>
        <w:spacing w:after="60"/>
      </w:pPr>
      <w:r>
        <w:rPr>
          <w:b/>
          <w:i w:val="0"/>
        </w:rPr>
        <w:t xml:space="preserve">Table 4: </w:t>
      </w:r>
      <w:r>
        <w:rPr/>
        <w:t>Proposed decision rule (DMQ02)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Examples</w:t>
            </w:r>
          </w:p>
        </w:tc>
      </w:tr>
      <w:tr>
        <w:trPr>
          <w:cantSplit w:val="true"/>
        </w:trPr>
        <w:tc>
          <w:tcPr>
            <w:tcW w:type="dxa" w:w="1562"/>
            <w:tcMar>
              <w:top w:w="50" w:type="dxa"/>
              <w:bottom w:w="50" w:type="dxa"/>
              <w:left w:w="90" w:type="dxa"/>
              <w:right w:w="90" w:type="dxa"/>
            </w:tcMar>
          </w:tcPr>
          <w:p>
            <w:pPr>
              <w:pStyle w:val="BDOITable"/>
            </w:pPr>
            <w:r>
              <w:rPr>
                <w:sz w:val="18"/>
              </w:rPr>
              <w:t>Migrate</w:t>
            </w:r>
          </w:p>
        </w:tc>
        <w:tc>
          <w:tcPr>
            <w:tcW w:type="dxa" w:w="3845"/>
            <w:tcMar>
              <w:top w:w="50" w:type="dxa"/>
              <w:bottom w:w="50" w:type="dxa"/>
              <w:left w:w="90" w:type="dxa"/>
              <w:right w:w="90" w:type="dxa"/>
            </w:tcMar>
          </w:tcPr>
          <w:p>
            <w:pPr>
              <w:pStyle w:val="BDOITable"/>
            </w:pPr>
            <w:r>
              <w:rPr>
                <w:sz w:val="18"/>
              </w:rPr>
              <w:t>Day-1 need = Yes and the data is master or reference data; data trust High or Medium after cleansing</w:t>
            </w:r>
          </w:p>
        </w:tc>
        <w:tc>
          <w:tcPr>
            <w:tcW w:type="dxa" w:w="4565"/>
            <w:tcMar>
              <w:top w:w="50" w:type="dxa"/>
              <w:bottom w:w="50" w:type="dxa"/>
              <w:left w:w="90" w:type="dxa"/>
              <w:right w:w="90" w:type="dxa"/>
            </w:tcMar>
          </w:tcPr>
          <w:p>
            <w:pPr>
              <w:pStyle w:val="BDOITable"/>
            </w:pPr>
            <w:r>
              <w:rPr>
                <w:sz w:val="18"/>
              </w:rPr>
              <w:t>Clients, LOVs, insurers, products, GL opening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Carry forward</w:t>
            </w:r>
          </w:p>
        </w:tc>
        <w:tc>
          <w:tcPr>
            <w:tcW w:type="dxa" w:w="3845"/>
            <w:tcMar>
              <w:top w:w="50" w:type="dxa"/>
              <w:bottom w:w="50" w:type="dxa"/>
              <w:left w:w="90" w:type="dxa"/>
              <w:right w:w="90" w:type="dxa"/>
            </w:tcMar>
            <w:shd w:val="clear" w:color="auto" w:fill="E5F5FF"/>
          </w:tcPr>
          <w:p>
            <w:pPr>
              <w:pStyle w:val="BDOITable"/>
            </w:pPr>
            <w:r>
              <w:rPr>
                <w:sz w:val="18"/>
              </w:rPr>
              <w:t>Day-1 need = Yes and the record is an open operational or financial position that BDOI must still act on</w:t>
            </w:r>
          </w:p>
        </w:tc>
        <w:tc>
          <w:tcPr>
            <w:tcW w:type="dxa" w:w="4565"/>
            <w:tcMar>
              <w:top w:w="50" w:type="dxa"/>
              <w:bottom w:w="50" w:type="dxa"/>
              <w:left w:w="90" w:type="dxa"/>
              <w:right w:w="90" w:type="dxa"/>
            </w:tcMar>
            <w:shd w:val="clear" w:color="auto" w:fill="E5F5FF"/>
          </w:tcPr>
          <w:p>
            <w:pPr>
              <w:pStyle w:val="BDOITable"/>
            </w:pPr>
            <w:r>
              <w:rPr>
                <w:sz w:val="18"/>
              </w:rPr>
              <w:t>Open legacy invoices, UPP, open promises to pay, RMEL renewals in progress</w:t>
            </w:r>
          </w:p>
        </w:tc>
      </w:tr>
      <w:tr>
        <w:trPr>
          <w:cantSplit w:val="true"/>
        </w:trPr>
        <w:tc>
          <w:tcPr>
            <w:tcW w:type="dxa" w:w="1562"/>
            <w:tcMar>
              <w:top w:w="50" w:type="dxa"/>
              <w:bottom w:w="50" w:type="dxa"/>
              <w:left w:w="90" w:type="dxa"/>
              <w:right w:w="90" w:type="dxa"/>
            </w:tcMar>
          </w:tcPr>
          <w:p>
            <w:pPr>
              <w:pStyle w:val="BDOITable"/>
            </w:pPr>
            <w:r>
              <w:rPr>
                <w:sz w:val="18"/>
              </w:rPr>
              <w:t>Conditional</w:t>
            </w:r>
          </w:p>
        </w:tc>
        <w:tc>
          <w:tcPr>
            <w:tcW w:type="dxa" w:w="3845"/>
            <w:tcMar>
              <w:top w:w="50" w:type="dxa"/>
              <w:bottom w:w="50" w:type="dxa"/>
              <w:left w:w="90" w:type="dxa"/>
              <w:right w:w="90" w:type="dxa"/>
            </w:tcMar>
          </w:tcPr>
          <w:p>
            <w:pPr>
              <w:pStyle w:val="BDOITable"/>
            </w:pPr>
            <w:r>
              <w:rPr>
                <w:sz w:val="18"/>
              </w:rPr>
              <w:t>Day-1 need depends on a business condition that BDOI states (BRID 4.1 "when operationally required")</w:t>
            </w:r>
          </w:p>
        </w:tc>
        <w:tc>
          <w:tcPr>
            <w:tcW w:type="dxa" w:w="4565"/>
            <w:tcMar>
              <w:top w:w="50" w:type="dxa"/>
              <w:bottom w:w="50" w:type="dxa"/>
              <w:left w:w="90" w:type="dxa"/>
              <w:right w:w="90" w:type="dxa"/>
            </w:tcMar>
          </w:tcPr>
          <w:p>
            <w:pPr>
              <w:pStyle w:val="BDOITable"/>
            </w:pPr>
            <w:r>
              <w:rPr>
                <w:sz w:val="18"/>
              </w:rPr>
              <w:t>In-force policy headers; objects not named in the BRD (claims, EB, submitted policies, payees)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Archive</w:t>
            </w:r>
          </w:p>
        </w:tc>
        <w:tc>
          <w:tcPr>
            <w:tcW w:type="dxa" w:w="3845"/>
            <w:tcMar>
              <w:top w:w="50" w:type="dxa"/>
              <w:bottom w:w="50" w:type="dxa"/>
              <w:left w:w="90" w:type="dxa"/>
              <w:right w:w="90" w:type="dxa"/>
            </w:tcMar>
            <w:shd w:val="clear" w:color="auto" w:fill="E5F5FF"/>
          </w:tcPr>
          <w:p>
            <w:pPr>
              <w:pStyle w:val="BDOITable"/>
            </w:pPr>
            <w:r>
              <w:rPr>
                <w:sz w:val="18"/>
              </w:rPr>
              <w:t>Day-1 need = No and compliance need = Yes, or the read-only / archival option is required</w:t>
            </w:r>
          </w:p>
        </w:tc>
        <w:tc>
          <w:tcPr>
            <w:tcW w:type="dxa" w:w="4565"/>
            <w:tcMar>
              <w:top w:w="50" w:type="dxa"/>
              <w:bottom w:w="50" w:type="dxa"/>
              <w:left w:w="90" w:type="dxa"/>
              <w:right w:w="90" w:type="dxa"/>
            </w:tcMar>
            <w:shd w:val="clear" w:color="auto" w:fill="E5F5FF"/>
          </w:tcPr>
          <w:p>
            <w:pPr>
              <w:pStyle w:val="BDOITable"/>
            </w:pPr>
            <w:r>
              <w:rPr>
                <w:sz w:val="18"/>
              </w:rPr>
              <w:t>Closed invoices, receipts, remittances, expired policies, GL history, documents</w:t>
            </w:r>
          </w:p>
        </w:tc>
      </w:tr>
      <w:tr>
        <w:trPr>
          <w:cantSplit w:val="true"/>
        </w:trPr>
        <w:tc>
          <w:tcPr>
            <w:tcW w:type="dxa" w:w="1562"/>
            <w:tcMar>
              <w:top w:w="50" w:type="dxa"/>
              <w:bottom w:w="50" w:type="dxa"/>
              <w:left w:w="90" w:type="dxa"/>
              <w:right w:w="90" w:type="dxa"/>
            </w:tcMar>
          </w:tcPr>
          <w:p>
            <w:pPr>
              <w:pStyle w:val="BDOITable"/>
            </w:pPr>
            <w:r>
              <w:rPr>
                <w:sz w:val="18"/>
              </w:rPr>
              <w:t>Excluded</w:t>
            </w:r>
          </w:p>
        </w:tc>
        <w:tc>
          <w:tcPr>
            <w:tcW w:type="dxa" w:w="3845"/>
            <w:tcMar>
              <w:top w:w="50" w:type="dxa"/>
              <w:bottom w:w="50" w:type="dxa"/>
              <w:left w:w="90" w:type="dxa"/>
              <w:right w:w="90" w:type="dxa"/>
            </w:tcMar>
          </w:tcPr>
          <w:p>
            <w:pPr>
              <w:pStyle w:val="BDOITable"/>
            </w:pPr>
            <w:r>
              <w:rPr>
                <w:sz w:val="18"/>
              </w:rPr>
              <w:t>Day-1 need = No and compliance need = No, or the data is rebuilt in BIBS</w:t>
            </w:r>
          </w:p>
        </w:tc>
        <w:tc>
          <w:tcPr>
            <w:tcW w:type="dxa" w:w="4565"/>
            <w:tcMar>
              <w:top w:w="50" w:type="dxa"/>
              <w:bottom w:w="50" w:type="dxa"/>
              <w:left w:w="90" w:type="dxa"/>
              <w:right w:w="90" w:type="dxa"/>
            </w:tcMar>
          </w:tcPr>
          <w:p>
            <w:pPr>
              <w:pStyle w:val="BDOITable"/>
            </w:pPr>
            <w:r>
              <w:rPr>
                <w:sz w:val="18"/>
              </w:rPr>
              <w:t>Users and roles, screening results</w:t>
            </w:r>
          </w:p>
        </w:tc>
      </w:tr>
    </w:tbl>
    <w:p>
      <w:pPr>
        <w:pStyle w:val="BDOISpacer"/>
      </w:pPr>
    </w:p>
    <w:p>
      <w:r>
        <w:rPr/>
        <w:t>The Data Migration Lead records the four criteria and the proposed class per object in the Migration Console; the business owner of the object approves it (gate G1, FR-DM-002). A later change of class needs a new approval, and an object whose data is loaded cannot be moved to Archive or Excluded until the load is rolled back.</w:t>
      </w:r>
    </w:p>
    <w:p>
      <w:pPr>
        <w:pStyle w:val="Heading2"/>
      </w:pPr>
      <w:bookmarkStart w:id="112" w:name="_Toc000112"/>
      <w:r>
        <w:rPr/>
        <w:t>3.2 Data object register</w:t>
      </w:r>
      <w:bookmarkEnd w:id="112"/>
    </w:p>
    <w:p>
      <w:r>
        <w:rPr/>
        <w:t>The register below is the proposal for gate G1 (R3 section 2; DMQ01, DCR-195). The workbook sheet "Object Register" holds the same rows with the columns BDOI fills in (volumes, named owners and stewards, status).</w:t>
      </w:r>
    </w:p>
    <w:p>
      <w:pPr>
        <w:pStyle w:val="Caption"/>
        <w:keepNext/>
        <w:spacing w:after="60"/>
      </w:pPr>
      <w:r>
        <w:rPr>
          <w:b/>
          <w:i w:val="0"/>
        </w:rPr>
        <w:t xml:space="preserve">Table 5: </w:t>
      </w:r>
      <w:r>
        <w:rPr/>
        <w:t>Data objects and proposed decisions (BDOI confirms at gate G1)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1321"/>
        <w:gridCol w:w="4866"/>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4866"/>
            <w:shd w:val="clear" w:color="auto" w:fill="004EA8"/>
            <w:tcMar>
              <w:top w:w="50" w:type="dxa"/>
              <w:bottom w:w="50" w:type="dxa"/>
              <w:left w:w="90" w:type="dxa"/>
              <w:right w:w="90" w:type="dxa"/>
            </w:tcMar>
            <w:vAlign w:val="center"/>
          </w:tcPr>
          <w:p>
            <w:pPr>
              <w:pStyle w:val="BDOITableHeader"/>
            </w:pPr>
            <w:r>
              <w:rPr>
                <w:b/>
                <w:color w:val="FFFFFF"/>
                <w:sz w:val="16"/>
              </w:rPr>
              <w:t>Rationale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Every coded field of clients, policies and open items needs its BIBS value on Day 1 (BRID 3.1). Legacy values are mapped to BIBS values; missing values are created through the LOV master with maker-checker.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Branch codes are mapped only; BIBS branches are configured by Comptrollership before the load.</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officers)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Clients, policies and open items carry the AO and unit; MIS reporting and Collections assignment need them on Day 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Every open invoice, header and remittance position is owed to or by an insurer.</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The risk code decides the premium components, taxes and commission of every open invoice and header.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Packages (active package versions)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Renewals of packaged policies need the active package version (BRD-3).</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Endorsements and renewals of legacy policies compute commission from the rate table.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GL opening trial balance (G01) is loaded through this map; legacy control accounts are mapped to Migration Clearing.</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The payee migration handler exists (DISB_PAYEE_MIGRATION); in scope if BDOI confirms (AQ11, DMQ30).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3004"/>
            <w:tcMar>
              <w:top w:w="50" w:type="dxa"/>
              <w:bottom w:w="50" w:type="dxa"/>
              <w:left w:w="90" w:type="dxa"/>
              <w:right w:w="90" w:type="dxa"/>
            </w:tcMar>
            <w:shd w:val="clear" w:color="auto" w:fill="E5F5FF"/>
          </w:tcPr>
          <w:p>
            <w:pPr>
              <w:pStyle w:val="BDOITable"/>
            </w:pPr>
            <w:r>
              <w:rPr>
                <w:sz w:val="16"/>
              </w:rPr>
              <w:t>Users and roles</w:t>
            </w:r>
          </w:p>
        </w:tc>
        <w:tc>
          <w:tcPr>
            <w:tcW w:type="dxa" w:w="1322"/>
            <w:tcMar>
              <w:top w:w="50" w:type="dxa"/>
              <w:bottom w:w="50" w:type="dxa"/>
              <w:left w:w="90" w:type="dxa"/>
              <w:right w:w="90" w:type="dxa"/>
            </w:tcMar>
            <w:shd w:val="clear" w:color="auto" w:fill="E5F5FF"/>
          </w:tcPr>
          <w:p>
            <w:pPr>
              <w:pStyle w:val="BDOITable"/>
            </w:pPr>
            <w:r>
              <w:rPr>
                <w:sz w:val="16"/>
              </w:rPr>
              <w:t>Excluded</w:t>
            </w:r>
          </w:p>
        </w:tc>
        <w:tc>
          <w:tcPr>
            <w:tcW w:type="dxa" w:w="4866"/>
            <w:tcMar>
              <w:top w:w="50" w:type="dxa"/>
              <w:bottom w:w="50" w:type="dxa"/>
              <w:left w:w="90" w:type="dxa"/>
              <w:right w:w="90" w:type="dxa"/>
            </w:tcMar>
            <w:shd w:val="clear" w:color="auto" w:fill="E5F5FF"/>
          </w:tcPr>
          <w:p>
            <w:pPr>
              <w:pStyle w:val="BDOITable"/>
            </w:pPr>
            <w:r>
              <w:rPr>
                <w:sz w:val="16"/>
              </w:rPr>
              <w:t>Users are created through User Access requests and approvals (BRD-11); legacy user IDs are only mapped (map set USER) so AO, handler and collector fields resolve.</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 (AR and OR, ATP and next number)</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Receipts issued in BIBS after go-live must continue the BIR-authorised series without gap or overlap.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 (individual and corporate)</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Marketing, Operations and Renewal must find and use clients on Day 1 without re-encoding (BRID 2.1); clients are deduplicated before load. Umbrella BRD p.43 asks for clients "2020 to present" and daily client batches (DCR-173).</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3004"/>
            <w:tcMar>
              <w:top w:w="50" w:type="dxa"/>
              <w:bottom w:w="50" w:type="dxa"/>
              <w:left w:w="90" w:type="dxa"/>
              <w:right w:w="90" w:type="dxa"/>
            </w:tcMar>
          </w:tcPr>
          <w:p>
            <w:pPr>
              <w:pStyle w:val="BDOITable"/>
            </w:pPr>
            <w:r>
              <w:rPr>
                <w:sz w:val="16"/>
              </w:rPr>
              <w:t>Client payout accounts (for refunds)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Refunds of legacy UPP (BRID 5.4) need the client's payout account.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3004"/>
            <w:tcMar>
              <w:top w:w="50" w:type="dxa"/>
              <w:bottom w:w="50" w:type="dxa"/>
              <w:left w:w="90" w:type="dxa"/>
              <w:right w:w="90" w:type="dxa"/>
            </w:tcMar>
            <w:shd w:val="clear" w:color="auto" w:fill="E5F5FF"/>
          </w:tcPr>
          <w:p>
            <w:pPr>
              <w:pStyle w:val="BDOITable"/>
            </w:pPr>
            <w:r>
              <w:rPr>
                <w:sz w:val="16"/>
              </w:rPr>
              <w:t>KYC documents and IDs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Documents stay retrievable for audit; BIBS keeps the KYC status and review date on the client (DMQ07 may change this to MIGRATE).</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3004"/>
            <w:tcMar>
              <w:top w:w="50" w:type="dxa"/>
              <w:bottom w:w="50" w:type="dxa"/>
              <w:left w:w="90" w:type="dxa"/>
              <w:right w:w="90" w:type="dxa"/>
            </w:tcMar>
          </w:tcPr>
          <w:p>
            <w:pPr>
              <w:pStyle w:val="BDOITable"/>
            </w:pPr>
            <w:r>
              <w:rPr>
                <w:sz w:val="16"/>
              </w:rPr>
              <w:t>Screening results and risk ratings</w:t>
            </w:r>
          </w:p>
        </w:tc>
        <w:tc>
          <w:tcPr>
            <w:tcW w:type="dxa" w:w="1322"/>
            <w:tcMar>
              <w:top w:w="50" w:type="dxa"/>
              <w:bottom w:w="50" w:type="dxa"/>
              <w:left w:w="90" w:type="dxa"/>
              <w:right w:w="90" w:type="dxa"/>
            </w:tcMar>
          </w:tcPr>
          <w:p>
            <w:pPr>
              <w:pStyle w:val="BDOITable"/>
            </w:pPr>
            <w:r>
              <w:rPr>
                <w:sz w:val="16"/>
              </w:rPr>
              <w:t>Excluded</w:t>
            </w:r>
          </w:p>
        </w:tc>
        <w:tc>
          <w:tcPr>
            <w:tcW w:type="dxa" w:w="4866"/>
            <w:tcMar>
              <w:top w:w="50" w:type="dxa"/>
              <w:bottom w:w="50" w:type="dxa"/>
              <w:left w:w="90" w:type="dxa"/>
              <w:right w:w="90" w:type="dxa"/>
            </w:tcMar>
          </w:tcPr>
          <w:p>
            <w:pPr>
              <w:pStyle w:val="BDOITable"/>
            </w:pPr>
            <w:r>
              <w:rPr>
                <w:sz w:val="16"/>
              </w:rPr>
              <w:t>One full screening run after the client load gives current results (BRD-10); legacy results are archived with the client history.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Needed to locate active coverage, to endorse legacy invoices (BRID 9) and to renew in BIBS (BRID 12.1); the scope condition is decided by BDOI (DMQ09).</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History is not converted (BRD p.3); kept for inquiry.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RMEL cohorts already extracted in legacy (renewal candidates in disposition)</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4866"/>
            <w:tcMar>
              <w:top w:w="50" w:type="dxa"/>
              <w:bottom w:w="50" w:type="dxa"/>
              <w:left w:w="90" w:type="dxa"/>
              <w:right w:w="90" w:type="dxa"/>
            </w:tcMar>
            <w:shd w:val="clear" w:color="auto" w:fill="E5F5FF"/>
          </w:tcPr>
          <w:p>
            <w:pPr>
              <w:pStyle w:val="BDOITable"/>
            </w:pPr>
            <w:r>
              <w:rPr>
                <w:sz w:val="16"/>
              </w:rPr>
              <w:t>Policies expiring in the 140 days after go-live were already extracted by legacy RMEL; they continue in BIBS Renewal with their disposition (BRID 12.1; DMQ26).</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004"/>
            <w:tcMar>
              <w:top w:w="50" w:type="dxa"/>
              <w:bottom w:w="50" w:type="dxa"/>
              <w:left w:w="90" w:type="dxa"/>
              <w:right w:w="90" w:type="dxa"/>
            </w:tcMar>
          </w:tcPr>
          <w:p>
            <w:pPr>
              <w:pStyle w:val="BDOITable"/>
            </w:pPr>
            <w:r>
              <w:rPr>
                <w:sz w:val="16"/>
              </w:rPr>
              <w:t>Submitted-policy masterlists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Submitted Policies migration handler (SBM_MIGRATION) if BDOI confirms (SP SQ16, DMQ30); layout issued with that module.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004"/>
            <w:tcMar>
              <w:top w:w="50" w:type="dxa"/>
              <w:bottom w:w="50" w:type="dxa"/>
              <w:left w:w="90" w:type="dxa"/>
              <w:right w:w="90" w:type="dxa"/>
            </w:tcMar>
            <w:shd w:val="clear" w:color="auto" w:fill="E5F5FF"/>
          </w:tcPr>
          <w:p>
            <w:pPr>
              <w:pStyle w:val="BDOITable"/>
            </w:pPr>
            <w:r>
              <w:rPr>
                <w:sz w:val="16"/>
              </w:rPr>
              <w:t>Employee Benefits programmes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Loaded through EB_PROGRAMME_LOAD if BDOI confirms (DMQ30); layout issued with the EB module.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Receivables and payables open at cutover must be collected, remitted, reversed and endorsed in BIBS (BRID 5.1-10.1).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4866"/>
            <w:tcMar>
              <w:top w:w="50" w:type="dxa"/>
              <w:bottom w:w="50" w:type="dxa"/>
              <w:left w:w="90" w:type="dxa"/>
              <w:right w:w="90" w:type="dxa"/>
            </w:tcMar>
            <w:shd w:val="clear" w:color="auto" w:fill="E5F5FF"/>
          </w:tcPr>
          <w:p>
            <w:pPr>
              <w:pStyle w:val="BDOITable"/>
            </w:pPr>
            <w:r>
              <w:rPr>
                <w:sz w:val="16"/>
              </w:rPr>
              <w:t>Unapplied cash must not be lost after cutover (BRID 5.1); it is applied, refunded or reclassified in BIBS.</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Collectors continue their follow-up without re-keying (CQ07); only the open state is carried, history is archived (DMQ34).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 (DMQ21).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004"/>
            <w:tcMar>
              <w:top w:w="50" w:type="dxa"/>
              <w:bottom w:w="50" w:type="dxa"/>
              <w:left w:w="90" w:type="dxa"/>
              <w:right w:w="90" w:type="dxa"/>
            </w:tcMar>
          </w:tcPr>
          <w:p>
            <w:pPr>
              <w:pStyle w:val="BDOITable"/>
            </w:pPr>
            <w:r>
              <w:rPr>
                <w:sz w:val="16"/>
              </w:rPr>
              <w:t>DP billing in process and DP commission receivable</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Carried inside F01 (dp_flag and the COMMISSION components of direct-payment invoices); no separate file.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 (DMQ33).</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004"/>
            <w:tcMar>
              <w:top w:w="50" w:type="dxa"/>
              <w:bottom w:w="50" w:type="dxa"/>
              <w:left w:w="90" w:type="dxa"/>
              <w:right w:w="90" w:type="dxa"/>
            </w:tcMar>
          </w:tcPr>
          <w:p>
            <w:pPr>
              <w:pStyle w:val="BDOITable"/>
            </w:pPr>
            <w:r>
              <w:rPr>
                <w:sz w:val="16"/>
              </w:rPr>
              <w:t>Open claims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Claims migration (BCL_CLAIM_MIGRATION, V1025 held) if BDOI decides (CLQ14, DMQ30); closed claims are archived.</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opening trial balance per account, branch and currency</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BIBS GL starts from the legacy closing balances; the legacy control-account lines go to Migration Clearing, which the F01 and F02 opening entries clear to 0.00.</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Kept for audit; BIBS starts from the opening trial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Closed transactions (paid and remitted invoices, receipts, remittances, endorsements, claims, renewal advices, letters)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History stays in read-only legacy or the BIBS archive with logged access (BRID 11.1).</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Legacy documents (policies, SOAs, ORs, certificates, letters)</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Documents are kept with their archive record and a checksum.</w:t>
            </w:r>
          </w:p>
        </w:tc>
      </w:tr>
    </w:tbl>
    <w:p>
      <w:pPr>
        <w:pStyle w:val="BDOISpacer"/>
      </w:pPr>
    </w:p>
    <w:p>
      <w:pPr>
        <w:pStyle w:val="Heading2"/>
      </w:pPr>
      <w:bookmarkStart w:id="113" w:name="_Toc000113"/>
      <w:r>
        <w:rPr/>
        <w:t>3.3 Depth, delta and due dates</w:t>
      </w:r>
      <w:bookmarkEnd w:id="113"/>
    </w:p>
    <w:p>
      <w:pPr>
        <w:pStyle w:val="Caption"/>
        <w:keepNext/>
        <w:spacing w:after="60"/>
      </w:pPr>
      <w:r>
        <w:rPr>
          <w:b/>
          <w:i w:val="0"/>
        </w:rPr>
        <w:t xml:space="preserve">Table 6: </w:t>
      </w:r>
      <w:r>
        <w:rPr/>
        <w:t>Depth, delta frequency, format and due dates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2763"/>
        <w:gridCol w:w="1441"/>
        <w:gridCol w:w="186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History depth</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Delta after the first full extract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Current values and values used by any migrated record</w:t>
            </w:r>
          </w:p>
        </w:tc>
        <w:tc>
          <w:tcPr>
            <w:tcW w:type="dxa" w:w="2763"/>
            <w:tcMar>
              <w:top w:w="50" w:type="dxa"/>
              <w:bottom w:w="50" w:type="dxa"/>
              <w:left w:w="90" w:type="dxa"/>
              <w:right w:w="90" w:type="dxa"/>
            </w:tcMar>
          </w:tcPr>
          <w:p>
            <w:pPr>
              <w:pStyle w:val="BDOITable"/>
            </w:pPr>
            <w:r>
              <w:rPr>
                <w:sz w:val="16"/>
              </w:rPr>
              <w:t>None after the map freeze (T-7 days); changes by change request and a new map version</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Current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Current, plus inactive AOs referenced by open items</w:t>
            </w:r>
          </w:p>
        </w:tc>
        <w:tc>
          <w:tcPr>
            <w:tcW w:type="dxa" w:w="2763"/>
            <w:tcMar>
              <w:top w:w="50" w:type="dxa"/>
              <w:bottom w:w="50" w:type="dxa"/>
              <w:left w:w="90" w:type="dxa"/>
              <w:right w:w="90" w:type="dxa"/>
            </w:tcMar>
          </w:tcPr>
          <w:p>
            <w:pPr>
              <w:pStyle w:val="BDOITable"/>
            </w:pPr>
            <w:r>
              <w:rPr>
                <w:sz w:val="16"/>
              </w:rPr>
              <w:t>Weekly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Active insurers, and inactive insurers with open items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Current, plus codes used by in-force policies and open items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Active versions only</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Rates effective at cutover and later</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Current chart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Active payees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Series in use at the freeze</w:t>
            </w:r>
          </w:p>
        </w:tc>
        <w:tc>
          <w:tcPr>
            <w:tcW w:type="dxa" w:w="2763"/>
            <w:tcMar>
              <w:top w:w="50" w:type="dxa"/>
              <w:bottom w:w="50" w:type="dxa"/>
              <w:left w:w="90" w:type="dxa"/>
              <w:right w:w="90" w:type="dxa"/>
            </w:tcMar>
            <w:shd w:val="clear" w:color="auto" w:fill="E5F5FF"/>
          </w:tcPr>
          <w:p>
            <w:pPr>
              <w:pStyle w:val="BDOITable"/>
            </w:pPr>
            <w:r>
              <w:rPr>
                <w:sz w:val="16"/>
              </w:rPr>
              <w:t>Final values at the freeze (T-3)</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M4 (T-14 weeks); final at T-3</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Clients from 2020 to present (umbrella p.43); filter per DMQ05</w:t>
            </w:r>
          </w:p>
        </w:tc>
        <w:tc>
          <w:tcPr>
            <w:tcW w:type="dxa" w:w="2763"/>
            <w:tcMar>
              <w:top w:w="50" w:type="dxa"/>
              <w:bottom w:w="50" w:type="dxa"/>
              <w:left w:w="90" w:type="dxa"/>
              <w:right w:w="90" w:type="dxa"/>
            </w:tcMar>
          </w:tcPr>
          <w:p>
            <w:pPr>
              <w:pStyle w:val="BDOITable"/>
            </w:pPr>
            <w:r>
              <w:rPr>
                <w:sz w:val="16"/>
              </w:rPr>
              <w:t>Daily new and changed clients from T-14 days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 deltas daily from T-14 days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Active accounts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 index plus files</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Policies in force at T (DMQ09)</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Cohorts with expiry from T to T+140 days</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All active records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XLSX</w:t>
            </w:r>
          </w:p>
        </w:tc>
        <w:tc>
          <w:tcPr>
            <w:tcW w:type="dxa" w:w="1862"/>
            <w:tcMar>
              <w:top w:w="50" w:type="dxa"/>
              <w:bottom w:w="50" w:type="dxa"/>
              <w:left w:w="90" w:type="dxa"/>
              <w:right w:w="90" w:type="dxa"/>
            </w:tcMar>
          </w:tcPr>
          <w:p>
            <w:pPr>
              <w:pStyle w:val="BDOITable"/>
            </w:pPr>
            <w:r>
              <w:rPr>
                <w:sz w:val="16"/>
              </w:rPr>
              <w:t>M4 (T-14 weeks)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Active programmes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w:t>
            </w:r>
          </w:p>
        </w:tc>
        <w:tc>
          <w:tcPr>
            <w:tcW w:type="dxa" w:w="1862"/>
            <w:tcMar>
              <w:top w:w="50" w:type="dxa"/>
              <w:bottom w:w="50" w:type="dxa"/>
              <w:left w:w="90" w:type="dxa"/>
              <w:right w:w="90" w:type="dxa"/>
            </w:tcMar>
            <w:shd w:val="clear" w:color="auto" w:fill="E5F5FF"/>
          </w:tcPr>
          <w:p>
            <w:pPr>
              <w:pStyle w:val="BDOITable"/>
            </w:pPr>
            <w:r>
              <w:rPr>
                <w:sz w:val="16"/>
              </w:rPr>
              <w:t>M4 (T-14 weeks) if in scope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Every invoice with any open component at T (DMQ10)</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 with control file</w:t>
            </w:r>
          </w:p>
        </w:tc>
        <w:tc>
          <w:tcPr>
            <w:tcW w:type="dxa" w:w="1862"/>
            <w:tcMar>
              <w:top w:w="50" w:type="dxa"/>
              <w:bottom w:w="50" w:type="dxa"/>
              <w:left w:w="90" w:type="dxa"/>
              <w:right w:w="90" w:type="dxa"/>
            </w:tcMar>
          </w:tcPr>
          <w:p>
            <w:pPr>
              <w:pStyle w:val="BDOITable"/>
            </w:pPr>
            <w:r>
              <w:rPr>
                <w:sz w:val="16"/>
              </w:rPr>
              <w:t>M4 (T-14 weeks);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Every UPP item with a balance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 with control file</w:t>
            </w:r>
          </w:p>
        </w:tc>
        <w:tc>
          <w:tcPr>
            <w:tcW w:type="dxa" w:w="18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items only</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w:t>
            </w:r>
          </w:p>
        </w:tc>
        <w:tc>
          <w:tcPr>
            <w:tcW w:type="dxa" w:w="1442"/>
            <w:tcMar>
              <w:top w:w="50" w:type="dxa"/>
              <w:bottom w:w="50" w:type="dxa"/>
              <w:left w:w="90" w:type="dxa"/>
              <w:right w:w="90" w:type="dxa"/>
            </w:tcMar>
          </w:tcPr>
          <w:p>
            <w:pPr>
              <w:pStyle w:val="BDOITable"/>
            </w:pPr>
            <w:r>
              <w:rPr>
                <w:sz w:val="16"/>
              </w:rPr>
              <w:t>In F01</w:t>
            </w:r>
          </w:p>
        </w:tc>
        <w:tc>
          <w:tcPr>
            <w:tcW w:type="dxa" w:w="1862"/>
            <w:tcMar>
              <w:top w:w="50" w:type="dxa"/>
              <w:bottom w:w="50" w:type="dxa"/>
              <w:left w:w="90" w:type="dxa"/>
              <w:right w:w="90" w:type="dxa"/>
            </w:tcMar>
          </w:tcPr>
          <w:p>
            <w:pPr>
              <w:pStyle w:val="BDOITable"/>
            </w:pPr>
            <w:r>
              <w:rPr>
                <w:sz w:val="16"/>
              </w:rPr>
              <w:t>With F01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M4 (T-14 weeks)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Balances at the last legacy EOD before T (after month-end close)</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XLSX or CSV with control file</w:t>
            </w:r>
          </w:p>
        </w:tc>
        <w:tc>
          <w:tcPr>
            <w:tcW w:type="dxa" w:w="18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124"/>
            <w:tcMar>
              <w:top w:w="50" w:type="dxa"/>
              <w:bottom w:w="50" w:type="dxa"/>
              <w:left w:w="90" w:type="dxa"/>
              <w:right w:w="90" w:type="dxa"/>
            </w:tcMar>
            <w:shd w:val="clear" w:color="auto" w:fill="E5F5FF"/>
          </w:tcPr>
          <w:p>
            <w:pPr>
              <w:pStyle w:val="BDOITable"/>
            </w:pPr>
            <w:r>
              <w:rPr>
                <w:sz w:val="16"/>
              </w:rPr>
              <w:t>Per retention (5 years online, 15 years archive, umbrella p.45)</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Before decommissioning</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 index plus files</w:t>
            </w:r>
          </w:p>
        </w:tc>
        <w:tc>
          <w:tcPr>
            <w:tcW w:type="dxa" w:w="1862"/>
            <w:tcMar>
              <w:top w:w="50" w:type="dxa"/>
              <w:bottom w:w="50" w:type="dxa"/>
              <w:left w:w="90" w:type="dxa"/>
              <w:right w:w="90" w:type="dxa"/>
            </w:tcMar>
          </w:tcPr>
          <w:p>
            <w:pPr>
              <w:pStyle w:val="BDOITable"/>
            </w:pPr>
            <w:r>
              <w:rPr>
                <w:sz w:val="16"/>
              </w:rPr>
              <w:t>Before decommissioning</w:t>
            </w:r>
          </w:p>
        </w:tc>
      </w:tr>
    </w:tbl>
    <w:p>
      <w:pPr>
        <w:pStyle w:val="BDOISpacer"/>
      </w:pPr>
    </w:p>
    <w:p>
      <w:r>
        <w:rPr/>
        <w:t>The milestones in the Due column are:</w:t>
      </w:r>
    </w:p>
    <w:p>
      <w:pPr>
        <w:pStyle w:val="Caption"/>
        <w:keepNext/>
        <w:spacing w:after="60"/>
      </w:pPr>
      <w:r>
        <w:rPr>
          <w:b/>
          <w:i w:val="0"/>
        </w:rPr>
        <w:t xml:space="preserve">Table 7: </w:t>
      </w:r>
      <w:r>
        <w:rPr/>
        <w:t>Milestones of BDOI inputs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488"/>
        <w:gridCol w:w="240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8"/>
              </w:rPr>
              <w:t>Milestone</w:t>
            </w:r>
          </w:p>
        </w:tc>
        <w:tc>
          <w:tcPr>
            <w:tcW w:type="dxa" w:w="6488"/>
            <w:shd w:val="clear" w:color="auto" w:fill="004EA8"/>
            <w:tcMar>
              <w:top w:w="50" w:type="dxa"/>
              <w:bottom w:w="50" w:type="dxa"/>
              <w:left w:w="90" w:type="dxa"/>
              <w:right w:w="90" w:type="dxa"/>
            </w:tcMar>
            <w:vAlign w:val="center"/>
          </w:tcPr>
          <w:p>
            <w:pPr>
              <w:pStyle w:val="BDOITableHeader"/>
            </w:pPr>
            <w:r>
              <w:rPr>
                <w:b/>
                <w:color w:val="FFFFFF"/>
                <w:sz w:val="18"/>
              </w:rPr>
              <w:t>What is due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081"/>
            <w:tcMar>
              <w:top w:w="50" w:type="dxa"/>
              <w:bottom w:w="50" w:type="dxa"/>
              <w:left w:w="90" w:type="dxa"/>
              <w:right w:w="90" w:type="dxa"/>
            </w:tcMar>
          </w:tcPr>
          <w:p>
            <w:pPr>
              <w:pStyle w:val="BDOITable"/>
            </w:pPr>
            <w:r>
              <w:rPr>
                <w:b/>
                <w:sz w:val="18"/>
              </w:rPr>
              <w:t>M0</w:t>
            </w:r>
          </w:p>
        </w:tc>
        <w:tc>
          <w:tcPr>
            <w:tcW w:type="dxa" w:w="6488"/>
            <w:tcMar>
              <w:top w:w="50" w:type="dxa"/>
              <w:bottom w:w="50" w:type="dxa"/>
              <w:left w:w="90" w:type="dxa"/>
              <w:right w:w="90" w:type="dxa"/>
            </w:tcMar>
          </w:tcPr>
          <w:p>
            <w:pPr>
              <w:pStyle w:val="BDOITable"/>
            </w:pPr>
            <w:r>
              <w:rPr>
                <w:sz w:val="18"/>
              </w:rPr>
              <w:t>Pack issued to BDOI</w:t>
            </w:r>
          </w:p>
        </w:tc>
        <w:tc>
          <w:tcPr>
            <w:tcW w:type="dxa" w:w="2403"/>
            <w:tcMar>
              <w:top w:w="50" w:type="dxa"/>
              <w:bottom w:w="50" w:type="dxa"/>
              <w:left w:w="90" w:type="dxa"/>
              <w:right w:w="90" w:type="dxa"/>
            </w:tcMar>
          </w:tcPr>
          <w:p>
            <w:pPr>
              <w:pStyle w:val="BDOITable"/>
            </w:pPr>
            <w:r>
              <w:rPr>
                <w:sz w:val="18"/>
              </w:rPr>
              <w:t>26 Sep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M1</w:t>
            </w:r>
          </w:p>
        </w:tc>
        <w:tc>
          <w:tcPr>
            <w:tcW w:type="dxa" w:w="6488"/>
            <w:tcMar>
              <w:top w:w="50" w:type="dxa"/>
              <w:bottom w:w="50" w:type="dxa"/>
              <w:left w:w="90" w:type="dxa"/>
              <w:right w:w="90" w:type="dxa"/>
            </w:tcMar>
            <w:shd w:val="clear" w:color="auto" w:fill="E5F5FF"/>
          </w:tcPr>
          <w:p>
            <w:pPr>
              <w:pStyle w:val="BDOITable"/>
            </w:pPr>
            <w:r>
              <w:rPr>
                <w:sz w:val="18"/>
              </w:rPr>
              <w:t>Build-shaping decisions (answers that change what is built)</w:t>
            </w:r>
          </w:p>
        </w:tc>
        <w:tc>
          <w:tcPr>
            <w:tcW w:type="dxa" w:w="2403"/>
            <w:tcMar>
              <w:top w:w="50" w:type="dxa"/>
              <w:bottom w:w="50" w:type="dxa"/>
              <w:left w:w="90" w:type="dxa"/>
              <w:right w:w="90" w:type="dxa"/>
            </w:tcMar>
            <w:shd w:val="clear" w:color="auto" w:fill="E5F5FF"/>
          </w:tcPr>
          <w:p>
            <w:pPr>
              <w:pStyle w:val="BDOITable"/>
            </w:pPr>
            <w:r>
              <w:rPr>
                <w:sz w:val="18"/>
              </w:rPr>
              <w:t>16 Oct 2026</w:t>
            </w:r>
          </w:p>
        </w:tc>
      </w:tr>
      <w:tr>
        <w:trPr>
          <w:cantSplit w:val="true"/>
        </w:trPr>
        <w:tc>
          <w:tcPr>
            <w:tcW w:type="dxa" w:w="1081"/>
            <w:tcMar>
              <w:top w:w="50" w:type="dxa"/>
              <w:bottom w:w="50" w:type="dxa"/>
              <w:left w:w="90" w:type="dxa"/>
              <w:right w:w="90" w:type="dxa"/>
            </w:tcMar>
          </w:tcPr>
          <w:p>
            <w:pPr>
              <w:pStyle w:val="BDOITable"/>
            </w:pPr>
            <w:r>
              <w:rPr>
                <w:b/>
                <w:sz w:val="18"/>
              </w:rPr>
              <w:t>M2</w:t>
            </w:r>
          </w:p>
        </w:tc>
        <w:tc>
          <w:tcPr>
            <w:tcW w:type="dxa" w:w="6488"/>
            <w:tcMar>
              <w:top w:w="50" w:type="dxa"/>
              <w:bottom w:w="50" w:type="dxa"/>
              <w:left w:w="90" w:type="dxa"/>
              <w:right w:w="90" w:type="dxa"/>
            </w:tcMar>
          </w:tcPr>
          <w:p>
            <w:pPr>
              <w:pStyle w:val="BDOITable"/>
            </w:pPr>
            <w:r>
              <w:rPr>
                <w:sz w:val="18"/>
              </w:rPr>
              <w:t>Owners, stewards, keys and remaining business rules</w:t>
            </w:r>
          </w:p>
        </w:tc>
        <w:tc>
          <w:tcPr>
            <w:tcW w:type="dxa" w:w="2403"/>
            <w:tcMar>
              <w:top w:w="50" w:type="dxa"/>
              <w:bottom w:w="50" w:type="dxa"/>
              <w:left w:w="90" w:type="dxa"/>
              <w:right w:w="90" w:type="dxa"/>
            </w:tcMar>
          </w:tcPr>
          <w:p>
            <w:pPr>
              <w:pStyle w:val="BDOITable"/>
            </w:pPr>
            <w:r>
              <w:rPr>
                <w:sz w:val="18"/>
              </w:rPr>
              <w:t>6 Nov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M3</w:t>
            </w:r>
          </w:p>
        </w:tc>
        <w:tc>
          <w:tcPr>
            <w:tcW w:type="dxa" w:w="6488"/>
            <w:tcMar>
              <w:top w:w="50" w:type="dxa"/>
              <w:bottom w:w="50" w:type="dxa"/>
              <w:left w:w="90" w:type="dxa"/>
              <w:right w:w="90" w:type="dxa"/>
            </w:tcMar>
            <w:shd w:val="clear" w:color="auto" w:fill="E5F5FF"/>
          </w:tcPr>
          <w:p>
            <w:pPr>
              <w:pStyle w:val="BDOITable"/>
            </w:pPr>
            <w:r>
              <w:rPr>
                <w:sz w:val="18"/>
              </w:rPr>
              <w:t>Object decisions signed (gate G1); layouts frozen (G2 part 1)</w:t>
            </w:r>
          </w:p>
        </w:tc>
        <w:tc>
          <w:tcPr>
            <w:tcW w:type="dxa" w:w="2403"/>
            <w:tcMar>
              <w:top w:w="50" w:type="dxa"/>
              <w:bottom w:w="50" w:type="dxa"/>
              <w:left w:w="90" w:type="dxa"/>
              <w:right w:w="90" w:type="dxa"/>
            </w:tcMar>
            <w:shd w:val="clear" w:color="auto" w:fill="E5F5FF"/>
          </w:tcPr>
          <w:p>
            <w:pPr>
              <w:pStyle w:val="BDOITable"/>
            </w:pPr>
            <w:r>
              <w:rPr>
                <w:sz w:val="18"/>
              </w:rPr>
              <w:t>T-16 weeks</w:t>
            </w:r>
          </w:p>
        </w:tc>
      </w:tr>
      <w:tr>
        <w:trPr>
          <w:cantSplit w:val="true"/>
        </w:trPr>
        <w:tc>
          <w:tcPr>
            <w:tcW w:type="dxa" w:w="1081"/>
            <w:tcMar>
              <w:top w:w="50" w:type="dxa"/>
              <w:bottom w:w="50" w:type="dxa"/>
              <w:left w:w="90" w:type="dxa"/>
              <w:right w:w="90" w:type="dxa"/>
            </w:tcMar>
          </w:tcPr>
          <w:p>
            <w:pPr>
              <w:pStyle w:val="BDOITable"/>
            </w:pPr>
            <w:r>
              <w:rPr>
                <w:b/>
                <w:sz w:val="18"/>
              </w:rPr>
              <w:t>M4</w:t>
            </w:r>
          </w:p>
        </w:tc>
        <w:tc>
          <w:tcPr>
            <w:tcW w:type="dxa" w:w="6488"/>
            <w:tcMar>
              <w:top w:w="50" w:type="dxa"/>
              <w:bottom w:w="50" w:type="dxa"/>
              <w:left w:w="90" w:type="dxa"/>
              <w:right w:w="90" w:type="dxa"/>
            </w:tcMar>
          </w:tcPr>
          <w:p>
            <w:pPr>
              <w:pStyle w:val="BDOITable"/>
            </w:pPr>
            <w:r>
              <w:rPr>
                <w:sz w:val="18"/>
              </w:rPr>
              <w:t>First full extracts in the templates, with control files and volumes</w:t>
            </w:r>
          </w:p>
        </w:tc>
        <w:tc>
          <w:tcPr>
            <w:tcW w:type="dxa" w:w="2403"/>
            <w:tcMar>
              <w:top w:w="50" w:type="dxa"/>
              <w:bottom w:w="50" w:type="dxa"/>
              <w:left w:w="90" w:type="dxa"/>
              <w:right w:w="90" w:type="dxa"/>
            </w:tcMar>
          </w:tcPr>
          <w:p>
            <w:pPr>
              <w:pStyle w:val="BDOITable"/>
            </w:pPr>
            <w:r>
              <w:rPr>
                <w:sz w:val="18"/>
              </w:rPr>
              <w:t>T-14 weeks</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M5</w:t>
            </w:r>
          </w:p>
        </w:tc>
        <w:tc>
          <w:tcPr>
            <w:tcW w:type="dxa" w:w="6488"/>
            <w:tcMar>
              <w:top w:w="50" w:type="dxa"/>
              <w:bottom w:w="50" w:type="dxa"/>
              <w:left w:w="90" w:type="dxa"/>
              <w:right w:w="90" w:type="dxa"/>
            </w:tcMar>
            <w:shd w:val="clear" w:color="auto" w:fill="E5F5FF"/>
          </w:tcPr>
          <w:p>
            <w:pPr>
              <w:pStyle w:val="BDOITable"/>
            </w:pPr>
            <w:r>
              <w:rPr>
                <w:sz w:val="18"/>
              </w:rPr>
              <w:t>Code maps approved for Mock 2 (G2)</w:t>
            </w:r>
          </w:p>
        </w:tc>
        <w:tc>
          <w:tcPr>
            <w:tcW w:type="dxa" w:w="2403"/>
            <w:tcMar>
              <w:top w:w="50" w:type="dxa"/>
              <w:bottom w:w="50" w:type="dxa"/>
              <w:left w:w="90" w:type="dxa"/>
              <w:right w:w="90" w:type="dxa"/>
            </w:tcMar>
            <w:shd w:val="clear" w:color="auto" w:fill="E5F5FF"/>
          </w:tcPr>
          <w:p>
            <w:pPr>
              <w:pStyle w:val="BDOITable"/>
            </w:pPr>
            <w:r>
              <w:rPr>
                <w:sz w:val="18"/>
              </w:rPr>
              <w:t>T-10 weeks</w:t>
            </w:r>
          </w:p>
        </w:tc>
      </w:tr>
      <w:tr>
        <w:trPr>
          <w:cantSplit w:val="true"/>
        </w:trPr>
        <w:tc>
          <w:tcPr>
            <w:tcW w:type="dxa" w:w="1081"/>
            <w:tcMar>
              <w:top w:w="50" w:type="dxa"/>
              <w:bottom w:w="50" w:type="dxa"/>
              <w:left w:w="90" w:type="dxa"/>
              <w:right w:w="90" w:type="dxa"/>
            </w:tcMar>
          </w:tcPr>
          <w:p>
            <w:pPr>
              <w:pStyle w:val="BDOITable"/>
            </w:pPr>
            <w:r>
              <w:rPr>
                <w:b/>
                <w:sz w:val="18"/>
              </w:rPr>
              <w:t>M6</w:t>
            </w:r>
          </w:p>
        </w:tc>
        <w:tc>
          <w:tcPr>
            <w:tcW w:type="dxa" w:w="6488"/>
            <w:tcMar>
              <w:top w:w="50" w:type="dxa"/>
              <w:bottom w:w="50" w:type="dxa"/>
              <w:left w:w="90" w:type="dxa"/>
              <w:right w:w="90" w:type="dxa"/>
            </w:tcMar>
          </w:tcPr>
          <w:p>
            <w:pPr>
              <w:pStyle w:val="BDOITable"/>
            </w:pPr>
            <w:r>
              <w:rPr>
                <w:sz w:val="18"/>
              </w:rPr>
              <w:t>Cutover calendar, fallback and decommissioning criteria agreed</w:t>
            </w:r>
          </w:p>
        </w:tc>
        <w:tc>
          <w:tcPr>
            <w:tcW w:type="dxa" w:w="2403"/>
            <w:tcMar>
              <w:top w:w="50" w:type="dxa"/>
              <w:bottom w:w="50" w:type="dxa"/>
              <w:left w:w="90" w:type="dxa"/>
              <w:right w:w="90" w:type="dxa"/>
            </w:tcMar>
          </w:tcPr>
          <w:p>
            <w:pPr>
              <w:pStyle w:val="BDOITable"/>
            </w:pPr>
            <w:r>
              <w:rPr>
                <w:sz w:val="18"/>
              </w:rPr>
              <w:t>T-6 weeks</w:t>
            </w:r>
          </w:p>
        </w:tc>
      </w:tr>
    </w:tbl>
    <w:p>
      <w:pPr>
        <w:pStyle w:val="BDOISpacer"/>
      </w:pPr>
    </w:p>
    <w:p>
      <w:pPr>
        <w:pStyle w:val="Heading2"/>
      </w:pPr>
      <w:bookmarkStart w:id="114" w:name="_Toc000114"/>
      <w:r>
        <w:rPr/>
        <w:t>3.4 Business owners and data stewards</w:t>
      </w:r>
      <w:bookmarkEnd w:id="114"/>
    </w:p>
    <w:p>
      <w:r>
        <w:rPr/>
        <w:t>Each object has a business owner who signs its decision (G1), its code maps (G2) and its acceptance (G6), and a data steward who prepares the code maps, resolves the data-quality issues and fixes records at source. The table is the proposal from the BRD approvers (p.15-16); BDOI names the people (DMQ01).</w:t>
      </w:r>
    </w:p>
    <w:p>
      <w:pPr>
        <w:pStyle w:val="Caption"/>
        <w:keepNext/>
        <w:spacing w:after="60"/>
      </w:pPr>
      <w:r>
        <w:rPr>
          <w:b/>
          <w:i w:val="0"/>
        </w:rPr>
        <w:t xml:space="preserve">Table 8: </w:t>
      </w:r>
      <w:r>
        <w:rPr/>
        <w:t>Business owner and data steward per object (proposal; DMQ01)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986"/>
        <w:gridCol w:w="4205"/>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6"/>
              </w:rPr>
              <w:t>Business owner (signs G1, G2, G6)</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steward</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986"/>
            <w:tcMar>
              <w:top w:w="50" w:type="dxa"/>
              <w:bottom w:w="50" w:type="dxa"/>
              <w:left w:w="90" w:type="dxa"/>
              <w:right w:w="90" w:type="dxa"/>
            </w:tcMar>
          </w:tcPr>
          <w:p>
            <w:pPr>
              <w:pStyle w:val="BDOITable"/>
            </w:pPr>
            <w:r>
              <w:rPr>
                <w:sz w:val="16"/>
              </w:rPr>
              <w:t>Product Owner, Marketing Business System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986"/>
            <w:tcMar>
              <w:top w:w="50" w:type="dxa"/>
              <w:bottom w:w="50" w:type="dxa"/>
              <w:left w:w="90" w:type="dxa"/>
              <w:right w:w="90" w:type="dxa"/>
            </w:tcMar>
          </w:tcPr>
          <w:p>
            <w:pPr>
              <w:pStyle w:val="BDOITable"/>
            </w:pPr>
            <w:r>
              <w:rPr>
                <w:sz w:val="16"/>
              </w:rPr>
              <w:t>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986"/>
            <w:tcMar>
              <w:top w:w="50" w:type="dxa"/>
              <w:bottom w:w="50" w:type="dxa"/>
              <w:left w:w="90" w:type="dxa"/>
              <w:right w:w="90" w:type="dxa"/>
            </w:tcMar>
          </w:tcPr>
          <w:p>
            <w:pPr>
              <w:pStyle w:val="BDOITable"/>
            </w:pPr>
            <w:r>
              <w:rPr>
                <w:sz w:val="16"/>
              </w:rPr>
              <w:t>Product Owner,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986"/>
            <w:tcMar>
              <w:top w:w="50" w:type="dxa"/>
              <w:bottom w:w="50" w:type="dxa"/>
              <w:left w:w="90" w:type="dxa"/>
              <w:right w:w="90" w:type="dxa"/>
            </w:tcMar>
            <w:shd w:val="clear" w:color="auto" w:fill="E5F5FF"/>
          </w:tcPr>
          <w:p>
            <w:pPr>
              <w:pStyle w:val="BDOITable"/>
            </w:pPr>
            <w:r>
              <w:rPr>
                <w:sz w:val="16"/>
              </w:rPr>
              <w:t>Product Owner, MBS; TSU</w:t>
            </w:r>
          </w:p>
        </w:tc>
        <w:tc>
          <w:tcPr>
            <w:tcW w:type="dxa" w:w="4205"/>
            <w:tcMar>
              <w:top w:w="50" w:type="dxa"/>
              <w:bottom w:w="50" w:type="dxa"/>
              <w:left w:w="90" w:type="dxa"/>
              <w:right w:w="90" w:type="dxa"/>
            </w:tcMar>
            <w:shd w:val="clear" w:color="auto" w:fill="E5F5FF"/>
          </w:tcPr>
          <w:p>
            <w:pPr>
              <w:pStyle w:val="BDOITable"/>
            </w:pPr>
            <w:r>
              <w:rPr>
                <w:sz w:val="16"/>
              </w:rPr>
              <w:t>MBS data steward (to name)</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986"/>
            <w:tcMar>
              <w:top w:w="50" w:type="dxa"/>
              <w:bottom w:w="50" w:type="dxa"/>
              <w:left w:w="90" w:type="dxa"/>
              <w:right w:w="90" w:type="dxa"/>
            </w:tcMar>
            <w:shd w:val="clear" w:color="auto" w:fill="E5F5FF"/>
          </w:tcPr>
          <w:p>
            <w:pPr>
              <w:pStyle w:val="BDOITable"/>
            </w:pPr>
            <w:r>
              <w:rPr>
                <w:sz w:val="16"/>
              </w:rPr>
              <w:t>Head, Comptrollership; Product Owner FRBS and ACSL</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986"/>
            <w:tcMar>
              <w:top w:w="50" w:type="dxa"/>
              <w:bottom w:w="50" w:type="dxa"/>
              <w:left w:w="90" w:type="dxa"/>
              <w:right w:w="90" w:type="dxa"/>
            </w:tcMar>
          </w:tcPr>
          <w:p>
            <w:pPr>
              <w:pStyle w:val="BDOITable"/>
            </w:pPr>
            <w:r>
              <w:rPr>
                <w:sz w:val="16"/>
              </w:rPr>
              <w:t>Product Owner, Comptrollership - Disbursement</w:t>
            </w:r>
          </w:p>
        </w:tc>
        <w:tc>
          <w:tcPr>
            <w:tcW w:type="dxa" w:w="4205"/>
            <w:tcMar>
              <w:top w:w="50" w:type="dxa"/>
              <w:bottom w:w="50" w:type="dxa"/>
              <w:left w:w="90" w:type="dxa"/>
              <w:right w:w="90" w:type="dxa"/>
            </w:tcMar>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4986"/>
            <w:tcMar>
              <w:top w:w="50" w:type="dxa"/>
              <w:bottom w:w="50" w:type="dxa"/>
              <w:left w:w="90" w:type="dxa"/>
              <w:right w:w="90" w:type="dxa"/>
            </w:tcMar>
          </w:tcPr>
          <w:p>
            <w:pPr>
              <w:pStyle w:val="BDOITable"/>
            </w:pPr>
            <w:r>
              <w:rPr>
                <w:sz w:val="16"/>
              </w:rPr>
              <w:t>Product Owner, MBS; 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4986"/>
            <w:tcMar>
              <w:top w:w="50" w:type="dxa"/>
              <w:bottom w:w="50" w:type="dxa"/>
              <w:left w:w="90" w:type="dxa"/>
              <w:right w:w="90" w:type="dxa"/>
            </w:tcMar>
            <w:shd w:val="clear" w:color="auto" w:fill="E5F5FF"/>
          </w:tcPr>
          <w:p>
            <w:pPr>
              <w:pStyle w:val="BDOITable"/>
            </w:pPr>
            <w:r>
              <w:rPr>
                <w:sz w:val="16"/>
              </w:rPr>
              <w:t>Product Owner, Comptrollership - Disbursement</w:t>
            </w:r>
          </w:p>
        </w:tc>
        <w:tc>
          <w:tcPr>
            <w:tcW w:type="dxa" w:w="4205"/>
            <w:tcMar>
              <w:top w:w="50" w:type="dxa"/>
              <w:bottom w:w="50" w:type="dxa"/>
              <w:left w:w="90" w:type="dxa"/>
              <w:right w:w="90" w:type="dxa"/>
            </w:tcMar>
            <w:shd w:val="clear" w:color="auto" w:fill="E5F5FF"/>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4986"/>
            <w:tcMar>
              <w:top w:w="50" w:type="dxa"/>
              <w:bottom w:w="50" w:type="dxa"/>
              <w:left w:w="90" w:type="dxa"/>
              <w:right w:w="90" w:type="dxa"/>
            </w:tcMar>
          </w:tcPr>
          <w:p>
            <w:pPr>
              <w:pStyle w:val="BDOITable"/>
            </w:pPr>
            <w:r>
              <w:rPr>
                <w:sz w:val="16"/>
              </w:rPr>
              <w:t>Compliance</w:t>
            </w:r>
          </w:p>
        </w:tc>
        <w:tc>
          <w:tcPr>
            <w:tcW w:type="dxa" w:w="4205"/>
            <w:tcMar>
              <w:top w:w="50" w:type="dxa"/>
              <w:bottom w:w="50" w:type="dxa"/>
              <w:left w:w="90" w:type="dxa"/>
              <w:right w:w="90" w:type="dxa"/>
            </w:tcMar>
          </w:tcPr>
          <w:p>
            <w:pPr>
              <w:pStyle w:val="BDOITable"/>
            </w:pPr>
            <w:r>
              <w:rPr>
                <w:sz w:val="16"/>
              </w:rPr>
              <w:t>Compliance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986"/>
            <w:tcMar>
              <w:top w:w="50" w:type="dxa"/>
              <w:bottom w:w="50" w:type="dxa"/>
              <w:left w:w="90" w:type="dxa"/>
              <w:right w:w="90" w:type="dxa"/>
            </w:tcMar>
            <w:shd w:val="clear" w:color="auto" w:fill="E5F5FF"/>
          </w:tcPr>
          <w:p>
            <w:pPr>
              <w:pStyle w:val="BDOITable"/>
            </w:pPr>
            <w:r>
              <w:rPr>
                <w:sz w:val="16"/>
              </w:rPr>
              <w:t>Heads, Retail and Corporate Marketing (Renewal)</w:t>
            </w:r>
          </w:p>
        </w:tc>
        <w:tc>
          <w:tcPr>
            <w:tcW w:type="dxa" w:w="4205"/>
            <w:tcMar>
              <w:top w:w="50" w:type="dxa"/>
              <w:bottom w:w="50" w:type="dxa"/>
              <w:left w:w="90" w:type="dxa"/>
              <w:right w:w="90" w:type="dxa"/>
            </w:tcMar>
            <w:shd w:val="clear" w:color="auto" w:fill="E5F5FF"/>
          </w:tcPr>
          <w:p>
            <w:pPr>
              <w:pStyle w:val="BDOITable"/>
            </w:pPr>
            <w:r>
              <w:rPr>
                <w:sz w:val="16"/>
              </w:rPr>
              <w:t>Renewal data steward (to name)</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986"/>
            <w:tcMar>
              <w:top w:w="50" w:type="dxa"/>
              <w:bottom w:w="50" w:type="dxa"/>
              <w:left w:w="90" w:type="dxa"/>
              <w:right w:w="90" w:type="dxa"/>
            </w:tcMar>
          </w:tcPr>
          <w:p>
            <w:pPr>
              <w:pStyle w:val="BDOITable"/>
            </w:pPr>
            <w:r>
              <w:rPr>
                <w:sz w:val="16"/>
              </w:rPr>
              <w:t>CBG and Non-CBG Marketing (Submitted Policies)</w:t>
            </w:r>
          </w:p>
        </w:tc>
        <w:tc>
          <w:tcPr>
            <w:tcW w:type="dxa" w:w="4205"/>
            <w:tcMar>
              <w:top w:w="50" w:type="dxa"/>
              <w:bottom w:w="50" w:type="dxa"/>
              <w:left w:w="90" w:type="dxa"/>
              <w:right w:w="90" w:type="dxa"/>
            </w:tcMar>
          </w:tcPr>
          <w:p>
            <w:pPr>
              <w:pStyle w:val="BDOITable"/>
            </w:pPr>
            <w:r>
              <w:rPr>
                <w:sz w:val="16"/>
              </w:rPr>
              <w:t>Submitted Policies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986"/>
            <w:tcMar>
              <w:top w:w="50" w:type="dxa"/>
              <w:bottom w:w="50" w:type="dxa"/>
              <w:left w:w="90" w:type="dxa"/>
              <w:right w:w="90" w:type="dxa"/>
            </w:tcMar>
            <w:shd w:val="clear" w:color="auto" w:fill="E5F5FF"/>
          </w:tcPr>
          <w:p>
            <w:pPr>
              <w:pStyle w:val="BDOITable"/>
            </w:pPr>
            <w:r>
              <w:rPr>
                <w:sz w:val="16"/>
              </w:rPr>
              <w:t>Head, Employee Benefits</w:t>
            </w:r>
          </w:p>
        </w:tc>
        <w:tc>
          <w:tcPr>
            <w:tcW w:type="dxa" w:w="4205"/>
            <w:tcMar>
              <w:top w:w="50" w:type="dxa"/>
              <w:bottom w:w="50" w:type="dxa"/>
              <w:left w:w="90" w:type="dxa"/>
              <w:right w:w="90" w:type="dxa"/>
            </w:tcMar>
            <w:shd w:val="clear" w:color="auto" w:fill="E5F5FF"/>
          </w:tcPr>
          <w:p>
            <w:pPr>
              <w:pStyle w:val="BDOITable"/>
            </w:pPr>
            <w:r>
              <w:rPr>
                <w:sz w:val="16"/>
              </w:rPr>
              <w:t>EB data steward (to name)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986"/>
            <w:tcMar>
              <w:top w:w="50" w:type="dxa"/>
              <w:bottom w:w="50" w:type="dxa"/>
              <w:left w:w="90" w:type="dxa"/>
              <w:right w:w="90" w:type="dxa"/>
            </w:tcMar>
          </w:tcPr>
          <w:p>
            <w:pPr>
              <w:pStyle w:val="BDOITable"/>
            </w:pPr>
            <w:r>
              <w:rPr>
                <w:sz w:val="16"/>
              </w:rPr>
              <w:t>Operations - Financial Transactions; Head, Comptrollership</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986"/>
            <w:tcMar>
              <w:top w:w="50" w:type="dxa"/>
              <w:bottom w:w="50" w:type="dxa"/>
              <w:left w:w="90" w:type="dxa"/>
              <w:right w:w="90" w:type="dxa"/>
            </w:tcMar>
          </w:tcPr>
          <w:p>
            <w:pPr>
              <w:pStyle w:val="BDOITable"/>
            </w:pPr>
            <w:r>
              <w:rPr>
                <w:sz w:val="16"/>
              </w:rPr>
              <w:t>Head, Operations (Collections)</w:t>
            </w:r>
          </w:p>
        </w:tc>
        <w:tc>
          <w:tcPr>
            <w:tcW w:type="dxa" w:w="4205"/>
            <w:tcMar>
              <w:top w:w="50" w:type="dxa"/>
              <w:bottom w:w="50" w:type="dxa"/>
              <w:left w:w="90" w:type="dxa"/>
              <w:right w:w="90" w:type="dxa"/>
            </w:tcMar>
          </w:tcPr>
          <w:p>
            <w:pPr>
              <w:pStyle w:val="BDOITable"/>
            </w:pPr>
            <w:r>
              <w:rPr>
                <w:sz w:val="16"/>
              </w:rPr>
              <w:t>Collections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986"/>
            <w:tcMar>
              <w:top w:w="50" w:type="dxa"/>
              <w:bottom w:w="50" w:type="dxa"/>
              <w:left w:w="90" w:type="dxa"/>
              <w:right w:w="90" w:type="dxa"/>
            </w:tcMar>
            <w:shd w:val="clear" w:color="auto" w:fill="E5F5FF"/>
          </w:tcPr>
          <w:p>
            <w:pPr>
              <w:pStyle w:val="BDOITable"/>
            </w:pPr>
            <w:r>
              <w:rPr>
                <w:sz w:val="16"/>
              </w:rPr>
              <w:t>Operations - Remittance</w:t>
            </w:r>
          </w:p>
        </w:tc>
        <w:tc>
          <w:tcPr>
            <w:tcW w:type="dxa" w:w="4205"/>
            <w:tcMar>
              <w:top w:w="50" w:type="dxa"/>
              <w:bottom w:w="50" w:type="dxa"/>
              <w:left w:w="90" w:type="dxa"/>
              <w:right w:w="90" w:type="dxa"/>
            </w:tcMar>
            <w:shd w:val="clear" w:color="auto" w:fill="E5F5FF"/>
          </w:tcPr>
          <w:p>
            <w:pPr>
              <w:pStyle w:val="BDOITable"/>
            </w:pPr>
            <w:r>
              <w:rPr>
                <w:sz w:val="16"/>
              </w:rPr>
              <w:t>Remittance data steward (to name)</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986"/>
            <w:tcMar>
              <w:top w:w="50" w:type="dxa"/>
              <w:bottom w:w="50" w:type="dxa"/>
              <w:left w:w="90" w:type="dxa"/>
              <w:right w:w="90" w:type="dxa"/>
            </w:tcMar>
          </w:tcPr>
          <w:p>
            <w:pPr>
              <w:pStyle w:val="BDOITable"/>
            </w:pPr>
            <w:r>
              <w:rPr>
                <w:sz w:val="16"/>
              </w:rPr>
              <w:t>Operations - Financial Transactions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986"/>
            <w:tcMar>
              <w:top w:w="50" w:type="dxa"/>
              <w:bottom w:w="50" w:type="dxa"/>
              <w:left w:w="90" w:type="dxa"/>
              <w:right w:w="90" w:type="dxa"/>
            </w:tcMar>
            <w:shd w:val="clear" w:color="auto" w:fill="E5F5FF"/>
          </w:tcPr>
          <w:p>
            <w:pPr>
              <w:pStyle w:val="BDOITable"/>
            </w:pPr>
            <w:r>
              <w:rPr>
                <w:sz w:val="16"/>
              </w:rPr>
              <w:t>Operations - Cashiering</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986"/>
            <w:tcMar>
              <w:top w:w="50" w:type="dxa"/>
              <w:bottom w:w="50" w:type="dxa"/>
              <w:left w:w="90" w:type="dxa"/>
              <w:right w:w="90" w:type="dxa"/>
            </w:tcMar>
          </w:tcPr>
          <w:p>
            <w:pPr>
              <w:pStyle w:val="BDOITable"/>
            </w:pPr>
            <w:r>
              <w:rPr>
                <w:sz w:val="16"/>
              </w:rPr>
              <w:t>Unit Head, Claims, RI and TU</w:t>
            </w:r>
          </w:p>
        </w:tc>
        <w:tc>
          <w:tcPr>
            <w:tcW w:type="dxa" w:w="4205"/>
            <w:tcMar>
              <w:top w:w="50" w:type="dxa"/>
              <w:bottom w:w="50" w:type="dxa"/>
              <w:left w:w="90" w:type="dxa"/>
              <w:right w:w="90" w:type="dxa"/>
            </w:tcMar>
          </w:tcPr>
          <w:p>
            <w:pPr>
              <w:pStyle w:val="BDOITable"/>
            </w:pPr>
            <w:r>
              <w:rPr>
                <w:sz w:val="16"/>
              </w:rPr>
              <w:t>Claims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986"/>
            <w:tcMar>
              <w:top w:w="50" w:type="dxa"/>
              <w:bottom w:w="50" w:type="dxa"/>
              <w:left w:w="90" w:type="dxa"/>
              <w:right w:w="90" w:type="dxa"/>
            </w:tcMar>
          </w:tcPr>
          <w:p>
            <w:pPr>
              <w:pStyle w:val="BDOITable"/>
            </w:pPr>
            <w:r>
              <w:rPr>
                <w:sz w:val="16"/>
              </w:rPr>
              <w:t>Head, Comptrollership</w:t>
            </w:r>
          </w:p>
        </w:tc>
        <w:tc>
          <w:tcPr>
            <w:tcW w:type="dxa" w:w="4205"/>
            <w:tcMar>
              <w:top w:w="50" w:type="dxa"/>
              <w:bottom w:w="50" w:type="dxa"/>
              <w:left w:w="90" w:type="dxa"/>
              <w:right w:w="90" w:type="dxa"/>
            </w:tcMar>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4986"/>
            <w:tcMar>
              <w:top w:w="50" w:type="dxa"/>
              <w:bottom w:w="50" w:type="dxa"/>
              <w:left w:w="90" w:type="dxa"/>
              <w:right w:w="90" w:type="dxa"/>
            </w:tcMar>
            <w:shd w:val="clear" w:color="auto" w:fill="E5F5FF"/>
          </w:tcPr>
          <w:p>
            <w:pPr>
              <w:pStyle w:val="BDOITable"/>
            </w:pPr>
            <w:r>
              <w:rPr>
                <w:sz w:val="16"/>
              </w:rPr>
              <w:t>Audit / Compliance; legacy system owners</w:t>
            </w:r>
          </w:p>
        </w:tc>
        <w:tc>
          <w:tcPr>
            <w:tcW w:type="dxa" w:w="4205"/>
            <w:tcMar>
              <w:top w:w="50" w:type="dxa"/>
              <w:bottom w:w="50" w:type="dxa"/>
              <w:left w:w="90" w:type="dxa"/>
              <w:right w:w="90" w:type="dxa"/>
            </w:tcMar>
            <w:shd w:val="clear" w:color="auto" w:fill="E5F5FF"/>
          </w:tcPr>
          <w:p>
            <w:pPr>
              <w:pStyle w:val="BDOITable"/>
            </w:pPr>
            <w:r>
              <w:rPr>
                <w:sz w:val="16"/>
              </w:rPr>
              <w:t>Compliance data steward (to name)</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4986"/>
            <w:tcMar>
              <w:top w:w="50" w:type="dxa"/>
              <w:bottom w:w="50" w:type="dxa"/>
              <w:left w:w="90" w:type="dxa"/>
              <w:right w:w="90" w:type="dxa"/>
            </w:tcMar>
          </w:tcPr>
          <w:p>
            <w:pPr>
              <w:pStyle w:val="BDOITable"/>
            </w:pPr>
            <w:r>
              <w:rPr>
                <w:sz w:val="16"/>
              </w:rPr>
              <w:t>Audit / Compliance</w:t>
            </w:r>
          </w:p>
        </w:tc>
        <w:tc>
          <w:tcPr>
            <w:tcW w:type="dxa" w:w="4205"/>
            <w:tcMar>
              <w:top w:w="50" w:type="dxa"/>
              <w:bottom w:w="50" w:type="dxa"/>
              <w:left w:w="90" w:type="dxa"/>
              <w:right w:w="90" w:type="dxa"/>
            </w:tcMar>
          </w:tcPr>
          <w:p>
            <w:pPr>
              <w:pStyle w:val="BDOITable"/>
            </w:pPr>
            <w:r>
              <w:rPr>
                <w:sz w:val="16"/>
              </w:rPr>
              <w:t>Compliance data steward (to name)</w:t>
            </w:r>
          </w:p>
        </w:tc>
      </w:tr>
    </w:tbl>
    <w:p>
      <w:pPr>
        <w:pStyle w:val="BDOISpacer"/>
      </w:pPr>
    </w:p>
    <w:p>
      <w:pPr>
        <w:pStyle w:val="Heading2"/>
      </w:pPr>
      <w:bookmarkStart w:id="115" w:name="_Toc000115"/>
      <w:r>
        <w:rPr/>
        <w:t>3.5 Client migration "2020 to present" and daily client batches</w:t>
      </w:r>
      <w:bookmarkEnd w:id="115"/>
    </w:p>
    <w:p>
      <w:r>
        <w:rPr/>
        <w:t>The umbrella BRD sizes a "one-time migration from Broker and source", "2020 to present", plus a daily "midday batch (new transactions)", an "EOD batch (new clients)" and a "client modification report" (R5 p.43; register DCR-173). The Data Migration BRD asks for a deduplicated client master (BRID 2.1). This document reconciles the two as follows, for BDOI to confirm:</w:t>
      </w:r>
    </w:p>
    <w:p>
      <w:pPr>
        <w:tabs>
          <w:tab w:pos="312" w:val="left"/>
        </w:tabs>
        <w:spacing w:after="40"/>
        <w:ind w:left="312" w:hanging="283"/>
      </w:pPr>
      <w:r>
        <w:rPr>
          <w:color w:val="004EA8"/>
        </w:rPr>
        <w:t>•</w:t>
        <w:tab/>
      </w:r>
      <w:r>
        <w:rPr>
          <w:b/>
        </w:rPr>
        <w:t>One-time load.</w:t>
      </w:r>
      <w:r>
        <w:rPr/>
        <w:t xml:space="preserve"> Clients created from 1-Jan-2020 to the freeze, plus older clients that have an in-force policy, an open item or activity since 2020 (DMQ05), are extracted in layouts C01 and C02, matched and deduplicated, and loaded two weeks before go-live.</w:t>
      </w:r>
    </w:p>
    <w:p>
      <w:pPr>
        <w:tabs>
          <w:tab w:pos="312" w:val="left"/>
        </w:tabs>
        <w:spacing w:after="40"/>
        <w:ind w:left="312" w:hanging="283"/>
      </w:pPr>
      <w:r>
        <w:rPr>
          <w:color w:val="004EA8"/>
        </w:rPr>
        <w:t>•</w:t>
        <w:tab/>
      </w:r>
      <w:r>
        <w:rPr>
          <w:b/>
        </w:rPr>
        <w:t>Daily batches until the freeze.</w:t>
      </w:r>
      <w:r>
        <w:rPr/>
        <w:t xml:space="preserve"> From the pre-load until the freeze, the legacy EOD produces a daily delta of new clients and of changed clients (the modification report) in the same layouts; BIBS loads it overnight (job </w:t>
      </w:r>
      <w:r>
        <w:rPr>
          <w:rFonts w:ascii="Courier New" w:hAnsi="Courier New" w:cs="Courier New" w:eastAsia="Courier New"/>
          <w:color w:val="2E2E2E"/>
          <w:sz w:val="19"/>
        </w:rPr>
        <w:t>MIG_CLIENT_DELTA</w:t>
      </w:r>
      <w:r>
        <w:rPr/>
        <w:t>). New transactions of the day ("midday batch") are not migrated as transactions: open items are loaded once, after the freeze.</w:t>
      </w:r>
    </w:p>
    <w:p>
      <w:pPr>
        <w:tabs>
          <w:tab w:pos="312" w:val="left"/>
        </w:tabs>
        <w:spacing w:after="120"/>
        <w:ind w:left="312" w:hanging="283"/>
      </w:pPr>
      <w:r>
        <w:rPr>
          <w:color w:val="004EA8"/>
        </w:rPr>
        <w:t>•</w:t>
        <w:tab/>
      </w:r>
      <w:r>
        <w:rPr>
          <w:b/>
        </w:rPr>
        <w:t>No feed after go-live.</w:t>
      </w:r>
      <w:r>
        <w:rPr/>
        <w:t xml:space="preserve"> After the freeze, legacy is read-only and BIBS is the system of record of the client master (BRD p.5), so the daily batches stop. If BDOI needs a client feed from another source after go-live (for example bank referrals), it is a separate interface and not part of this migration.</w:t>
      </w:r>
    </w:p>
    <w:p>
      <w:pPr>
        <w:pStyle w:val="Heading1"/>
        <w:pageBreakBefore/>
        <w:pBdr>
          <w:bottom w:val="single" w:sz="4" w:space="4" w:color="99C1E7"/>
        </w:pBdr>
      </w:pPr>
      <w:bookmarkStart w:id="116" w:name="_Toc000116"/>
      <w:r>
        <w:rPr/>
        <w:t>4 Source systems</w:t>
      </w:r>
      <w:bookmarkEnd w:id="116"/>
    </w:p>
    <w:p>
      <w:pPr>
        <w:pStyle w:val="Heading2"/>
      </w:pPr>
      <w:bookmarkStart w:id="117" w:name="_Toc000117"/>
      <w:r>
        <w:rPr/>
        <w:t>4.1 Legacy systems in scope</w:t>
      </w:r>
      <w:bookmarkEnd w:id="117"/>
    </w:p>
    <w:p>
      <w:r>
        <w:rPr/>
        <w:t>The BRD names QPS and EBIX "e.g." (p.3). The other BRDs also name ISYS, the CMS and Excel masterlists. BDOI IT confirms the list and the system of record per object (DMQ03, DCR-195).</w:t>
      </w:r>
    </w:p>
    <w:p>
      <w:pPr>
        <w:pStyle w:val="Caption"/>
        <w:keepNext/>
        <w:spacing w:after="60"/>
      </w:pPr>
      <w:r>
        <w:rPr>
          <w:b/>
          <w:i w:val="0"/>
        </w:rPr>
        <w:t xml:space="preserve">Table 9: </w:t>
      </w:r>
      <w:r>
        <w:rPr/>
        <w:t>Legacy systems and their role in the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085"/>
        <w:gridCol w:w="444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System</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Holds (as known from the BRDs)</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Role after the freeze</w:t>
            </w:r>
          </w:p>
        </w:tc>
      </w:tr>
      <w:tr>
        <w:trPr>
          <w:cantSplit w:val="true"/>
        </w:trPr>
        <w:tc>
          <w:tcPr>
            <w:tcW w:type="dxa" w:w="1442"/>
            <w:tcMar>
              <w:top w:w="50" w:type="dxa"/>
              <w:bottom w:w="50" w:type="dxa"/>
              <w:left w:w="90" w:type="dxa"/>
              <w:right w:w="90" w:type="dxa"/>
            </w:tcMar>
          </w:tcPr>
          <w:p>
            <w:pPr>
              <w:pStyle w:val="BDOITable"/>
            </w:pPr>
            <w:r>
              <w:rPr>
                <w:sz w:val="18"/>
              </w:rPr>
              <w:t>EBIX</w:t>
            </w:r>
          </w:p>
        </w:tc>
        <w:tc>
          <w:tcPr>
            <w:tcW w:type="dxa" w:w="4085"/>
            <w:tcMar>
              <w:top w:w="50" w:type="dxa"/>
              <w:bottom w:w="50" w:type="dxa"/>
              <w:left w:w="90" w:type="dxa"/>
              <w:right w:w="90" w:type="dxa"/>
            </w:tcMar>
          </w:tcPr>
          <w:p>
            <w:pPr>
              <w:pStyle w:val="BDOITable"/>
            </w:pPr>
            <w:r>
              <w:rPr>
                <w:sz w:val="18"/>
              </w:rPr>
              <w:t>Booking, invoices, receipts (AR / OR), remittance, UPP, GL, payees, branches</w:t>
            </w:r>
          </w:p>
        </w:tc>
        <w:tc>
          <w:tcPr>
            <w:tcW w:type="dxa" w:w="4445"/>
            <w:tcMar>
              <w:top w:w="50" w:type="dxa"/>
              <w:bottom w:w="50" w:type="dxa"/>
              <w:left w:w="90" w:type="dxa"/>
              <w:right w:w="90" w:type="dxa"/>
            </w:tcMar>
          </w:tcPr>
          <w:p>
            <w:pPr>
              <w:pStyle w:val="BDOITable"/>
            </w:pPr>
            <w:r>
              <w:rPr>
                <w:sz w:val="18"/>
              </w:rPr>
              <w:t>Read-only for inquiry until the archive is loaded and the decommissioning checklist is signed</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QPS</w:t>
            </w:r>
          </w:p>
        </w:tc>
        <w:tc>
          <w:tcPr>
            <w:tcW w:type="dxa" w:w="4085"/>
            <w:tcMar>
              <w:top w:w="50" w:type="dxa"/>
              <w:bottom w:w="50" w:type="dxa"/>
              <w:left w:w="90" w:type="dxa"/>
              <w:right w:w="90" w:type="dxa"/>
            </w:tcMar>
            <w:shd w:val="clear" w:color="auto" w:fill="E5F5FF"/>
          </w:tcPr>
          <w:p>
            <w:pPr>
              <w:pStyle w:val="BDOITable"/>
            </w:pPr>
            <w:r>
              <w:rPr>
                <w:sz w:val="18"/>
              </w:rPr>
              <w:t>Quotations, clients (assured), covers and policies, packages, rates, sales organisation, renewals</w:t>
            </w:r>
          </w:p>
        </w:tc>
        <w:tc>
          <w:tcPr>
            <w:tcW w:type="dxa" w:w="4445"/>
            <w:tcMar>
              <w:top w:w="50" w:type="dxa"/>
              <w:bottom w:w="50" w:type="dxa"/>
              <w:left w:w="90" w:type="dxa"/>
              <w:right w:w="90" w:type="dxa"/>
            </w:tcMar>
            <w:shd w:val="clear" w:color="auto" w:fill="E5F5FF"/>
          </w:tcPr>
          <w:p>
            <w:pPr>
              <w:pStyle w:val="BDOITable"/>
            </w:pPr>
            <w:r>
              <w:rPr>
                <w:sz w:val="18"/>
              </w:rPr>
              <w:t>Read-only; decommissioned after the last QPS-issued policy has renewed or lapsed</w:t>
            </w:r>
          </w:p>
        </w:tc>
      </w:tr>
      <w:tr>
        <w:trPr>
          <w:cantSplit w:val="true"/>
        </w:trPr>
        <w:tc>
          <w:tcPr>
            <w:tcW w:type="dxa" w:w="1442"/>
            <w:tcMar>
              <w:top w:w="50" w:type="dxa"/>
              <w:bottom w:w="50" w:type="dxa"/>
              <w:left w:w="90" w:type="dxa"/>
              <w:right w:w="90" w:type="dxa"/>
            </w:tcMar>
          </w:tcPr>
          <w:p>
            <w:pPr>
              <w:pStyle w:val="BDOITable"/>
            </w:pPr>
            <w:r>
              <w:rPr>
                <w:sz w:val="18"/>
              </w:rPr>
              <w:t>ISYS</w:t>
            </w:r>
          </w:p>
        </w:tc>
        <w:tc>
          <w:tcPr>
            <w:tcW w:type="dxa" w:w="4085"/>
            <w:tcMar>
              <w:top w:w="50" w:type="dxa"/>
              <w:bottom w:w="50" w:type="dxa"/>
              <w:left w:w="90" w:type="dxa"/>
              <w:right w:w="90" w:type="dxa"/>
            </w:tcMar>
          </w:tcPr>
          <w:p>
            <w:pPr>
              <w:pStyle w:val="BDOITable"/>
            </w:pPr>
            <w:r>
              <w:rPr>
                <w:sz w:val="18"/>
              </w:rPr>
              <w:t>Claims and ACSL reports, Marketing Diary, GL reports</w:t>
            </w:r>
          </w:p>
        </w:tc>
        <w:tc>
          <w:tcPr>
            <w:tcW w:type="dxa" w:w="4445"/>
            <w:tcMar>
              <w:top w:w="50" w:type="dxa"/>
              <w:bottom w:w="50" w:type="dxa"/>
              <w:left w:w="90" w:type="dxa"/>
              <w:right w:w="90" w:type="dxa"/>
            </w:tcMar>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CMS (Collection Management System)</w:t>
            </w:r>
          </w:p>
        </w:tc>
        <w:tc>
          <w:tcPr>
            <w:tcW w:type="dxa" w:w="4085"/>
            <w:tcMar>
              <w:top w:w="50" w:type="dxa"/>
              <w:bottom w:w="50" w:type="dxa"/>
              <w:left w:w="90" w:type="dxa"/>
              <w:right w:w="90" w:type="dxa"/>
            </w:tcMar>
            <w:shd w:val="clear" w:color="auto" w:fill="E5F5FF"/>
          </w:tcPr>
          <w:p>
            <w:pPr>
              <w:pStyle w:val="BDOITable"/>
            </w:pPr>
            <w:r>
              <w:rPr>
                <w:sz w:val="18"/>
              </w:rPr>
              <w:t>Collection dispositions, promises, installment plans, assignments; client data from the bank</w:t>
            </w:r>
          </w:p>
        </w:tc>
        <w:tc>
          <w:tcPr>
            <w:tcW w:type="dxa" w:w="4445"/>
            <w:tcMar>
              <w:top w:w="50" w:type="dxa"/>
              <w:bottom w:w="50" w:type="dxa"/>
              <w:left w:w="90" w:type="dxa"/>
              <w:right w:w="90" w:type="dxa"/>
            </w:tcMar>
            <w:shd w:val="clear" w:color="auto" w:fill="E5F5FF"/>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tcPr>
          <w:p>
            <w:pPr>
              <w:pStyle w:val="BDOITable"/>
            </w:pPr>
            <w:r>
              <w:rPr>
                <w:sz w:val="18"/>
              </w:rPr>
              <w:t>Excel masterlists and file shares</w:t>
            </w:r>
          </w:p>
        </w:tc>
        <w:tc>
          <w:tcPr>
            <w:tcW w:type="dxa" w:w="4085"/>
            <w:tcMar>
              <w:top w:w="50" w:type="dxa"/>
              <w:bottom w:w="50" w:type="dxa"/>
              <w:left w:w="90" w:type="dxa"/>
              <w:right w:w="90" w:type="dxa"/>
            </w:tcMar>
          </w:tcPr>
          <w:p>
            <w:pPr>
              <w:pStyle w:val="BDOITable"/>
            </w:pPr>
            <w:r>
              <w:rPr>
                <w:sz w:val="18"/>
              </w:rPr>
              <w:t>Submitted-policy masterlists, KYC documents, legacy documents</w:t>
            </w:r>
          </w:p>
        </w:tc>
        <w:tc>
          <w:tcPr>
            <w:tcW w:type="dxa" w:w="4445"/>
            <w:tcMar>
              <w:top w:w="50" w:type="dxa"/>
              <w:bottom w:w="50" w:type="dxa"/>
              <w:left w:w="90" w:type="dxa"/>
              <w:right w:w="90" w:type="dxa"/>
            </w:tcMar>
          </w:tcPr>
          <w:p>
            <w:pPr>
              <w:pStyle w:val="BDOITable"/>
            </w:pPr>
            <w:r>
              <w:rPr>
                <w:sz w:val="18"/>
              </w:rPr>
              <w:t>Migrated (P04) or archived with checksums, then removed per retention</w:t>
            </w:r>
          </w:p>
        </w:tc>
      </w:tr>
    </w:tbl>
    <w:p>
      <w:pPr>
        <w:pStyle w:val="BDOISpacer"/>
      </w:pPr>
    </w:p>
    <w:p>
      <w:pPr>
        <w:pStyle w:val="Heading2"/>
      </w:pPr>
      <w:bookmarkStart w:id="118" w:name="_Toc000118"/>
      <w:r>
        <w:rPr/>
        <w:t>4.2 Source per object</w:t>
      </w:r>
      <w:bookmarkEnd w:id="118"/>
    </w:p>
    <w:p>
      <w:pPr>
        <w:pStyle w:val="Caption"/>
        <w:keepNext/>
        <w:spacing w:after="60"/>
      </w:pPr>
      <w:r>
        <w:rPr>
          <w:b/>
          <w:i w:val="0"/>
        </w:rPr>
        <w:t xml:space="preserve">Table 10: </w:t>
      </w:r>
      <w:r>
        <w:rPr/>
        <w:t>Source systems per data object (Y = holds the object; system of record per DMQ03)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205"/>
        <w:gridCol w:w="781"/>
        <w:gridCol w:w="781"/>
        <w:gridCol w:w="781"/>
        <w:gridCol w:w="781"/>
        <w:gridCol w:w="781"/>
        <w:gridCol w:w="108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EBIX</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QPS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ISYS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CMS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Excel</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File shares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205"/>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205"/>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205"/>
            <w:tcMar>
              <w:top w:w="50" w:type="dxa"/>
              <w:bottom w:w="50" w:type="dxa"/>
              <w:left w:w="90" w:type="dxa"/>
              <w:right w:w="90" w:type="dxa"/>
            </w:tcMar>
          </w:tcPr>
          <w:p>
            <w:pPr>
              <w:pStyle w:val="BDOITable"/>
            </w:pPr>
            <w:r>
              <w:rPr>
                <w:sz w:val="16"/>
              </w:rPr>
              <w:t>Sales organisation (regions, departments, teams, unit heads,...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205"/>
            <w:tcMar>
              <w:top w:w="50" w:type="dxa"/>
              <w:bottom w:w="50" w:type="dxa"/>
              <w:left w:w="90" w:type="dxa"/>
              <w:right w:w="90" w:type="dxa"/>
            </w:tcMar>
            <w:shd w:val="clear" w:color="auto" w:fill="E5F5FF"/>
          </w:tcPr>
          <w:p>
            <w:pPr>
              <w:pStyle w:val="BDOITable"/>
            </w:pPr>
            <w:r>
              <w:rPr>
                <w:sz w:val="16"/>
              </w:rPr>
              <w:t>Insurers and insurer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205"/>
            <w:tcMar>
              <w:top w:w="50" w:type="dxa"/>
              <w:bottom w:w="50" w:type="dxa"/>
              <w:left w:w="90" w:type="dxa"/>
              <w:right w:w="90" w:type="dxa"/>
            </w:tcMar>
          </w:tcPr>
          <w:p>
            <w:pPr>
              <w:pStyle w:val="BDOITable"/>
            </w:pPr>
            <w:r>
              <w:rPr>
                <w:sz w:val="16"/>
              </w:rPr>
              <w:t>Product lines, cover types, products and risk codes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205"/>
            <w:tcMar>
              <w:top w:w="50" w:type="dxa"/>
              <w:bottom w:w="50" w:type="dxa"/>
              <w:left w:w="90" w:type="dxa"/>
              <w:right w:w="90" w:type="dxa"/>
            </w:tcMar>
            <w:shd w:val="clear" w:color="auto" w:fill="E5F5FF"/>
          </w:tcPr>
          <w:p>
            <w:pPr>
              <w:pStyle w:val="BDOITable"/>
            </w:pPr>
            <w:r>
              <w:rPr>
                <w:sz w:val="16"/>
              </w:rPr>
              <w:t>Packages (active package versions)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205"/>
            <w:tcMar>
              <w:top w:w="50" w:type="dxa"/>
              <w:bottom w:w="50" w:type="dxa"/>
              <w:left w:w="90" w:type="dxa"/>
              <w:right w:w="90" w:type="dxa"/>
            </w:tcMar>
          </w:tcPr>
          <w:p>
            <w:pPr>
              <w:pStyle w:val="BDOITable"/>
            </w:pPr>
            <w:r>
              <w:rPr>
                <w:sz w:val="16"/>
              </w:rPr>
              <w:t>Commission rates by insurer and product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205"/>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205"/>
            <w:tcMar>
              <w:top w:w="50" w:type="dxa"/>
              <w:bottom w:w="50" w:type="dxa"/>
              <w:left w:w="90" w:type="dxa"/>
              <w:right w:w="90" w:type="dxa"/>
            </w:tcMar>
          </w:tcPr>
          <w:p>
            <w:pPr>
              <w:pStyle w:val="BDOITable"/>
            </w:pPr>
            <w:r>
              <w:rPr>
                <w:sz w:val="16"/>
              </w:rPr>
              <w:t>Payees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4205"/>
            <w:tcMar>
              <w:top w:w="50" w:type="dxa"/>
              <w:bottom w:w="50" w:type="dxa"/>
              <w:left w:w="90" w:type="dxa"/>
              <w:right w:w="90" w:type="dxa"/>
            </w:tcMar>
            <w:shd w:val="clear" w:color="auto" w:fill="E5F5FF"/>
          </w:tcPr>
          <w:p>
            <w:pPr>
              <w:pStyle w:val="BDOITable"/>
            </w:pPr>
            <w:r>
              <w:rPr>
                <w:sz w:val="16"/>
              </w:rPr>
              <w:t>Users and roles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4205"/>
            <w:tcMar>
              <w:top w:w="50" w:type="dxa"/>
              <w:bottom w:w="50" w:type="dxa"/>
              <w:left w:w="90" w:type="dxa"/>
              <w:right w:w="90" w:type="dxa"/>
            </w:tcMar>
          </w:tcPr>
          <w:p>
            <w:pPr>
              <w:pStyle w:val="BDOITable"/>
            </w:pPr>
            <w:r>
              <w:rPr>
                <w:sz w:val="16"/>
              </w:rPr>
              <w:t>Receipt series in use (AR and OR, ATP and next number)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4205"/>
            <w:tcMar>
              <w:top w:w="50" w:type="dxa"/>
              <w:bottom w:w="50" w:type="dxa"/>
              <w:left w:w="90" w:type="dxa"/>
              <w:right w:w="90" w:type="dxa"/>
            </w:tcMar>
            <w:shd w:val="clear" w:color="auto" w:fill="E5F5FF"/>
          </w:tcPr>
          <w:p>
            <w:pPr>
              <w:pStyle w:val="BDOITable"/>
            </w:pPr>
            <w:r>
              <w:rPr>
                <w:sz w:val="16"/>
              </w:rPr>
              <w:t>Client master (individual and corporate)</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4205"/>
            <w:tcMar>
              <w:top w:w="50" w:type="dxa"/>
              <w:bottom w:w="50" w:type="dxa"/>
              <w:left w:w="90" w:type="dxa"/>
              <w:right w:w="90" w:type="dxa"/>
            </w:tcMar>
          </w:tcPr>
          <w:p>
            <w:pPr>
              <w:pStyle w:val="BDOITable"/>
            </w:pPr>
            <w:r>
              <w:rPr>
                <w:sz w:val="16"/>
              </w:rPr>
              <w:t>Client payout accounts (for refunds)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4205"/>
            <w:tcMar>
              <w:top w:w="50" w:type="dxa"/>
              <w:bottom w:w="50" w:type="dxa"/>
              <w:left w:w="90" w:type="dxa"/>
              <w:right w:w="90" w:type="dxa"/>
            </w:tcMar>
            <w:shd w:val="clear" w:color="auto" w:fill="E5F5FF"/>
          </w:tcPr>
          <w:p>
            <w:pPr>
              <w:pStyle w:val="BDOITable"/>
            </w:pPr>
            <w:r>
              <w:rPr>
                <w:sz w:val="16"/>
              </w:rPr>
              <w:t>KYC documents and IDs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4205"/>
            <w:tcMar>
              <w:top w:w="50" w:type="dxa"/>
              <w:bottom w:w="50" w:type="dxa"/>
              <w:left w:w="90" w:type="dxa"/>
              <w:right w:w="90" w:type="dxa"/>
            </w:tcMar>
          </w:tcPr>
          <w:p>
            <w:pPr>
              <w:pStyle w:val="BDOITable"/>
            </w:pPr>
            <w:r>
              <w:rPr>
                <w:sz w:val="16"/>
              </w:rPr>
              <w:t>Screening results and risk ratings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205"/>
            <w:tcMar>
              <w:top w:w="50" w:type="dxa"/>
              <w:bottom w:w="50" w:type="dxa"/>
              <w:left w:w="90" w:type="dxa"/>
              <w:right w:w="90" w:type="dxa"/>
            </w:tcMar>
            <w:shd w:val="clear" w:color="auto" w:fill="E5F5FF"/>
          </w:tcPr>
          <w:p>
            <w:pPr>
              <w:pStyle w:val="BDOITable"/>
            </w:pPr>
            <w:r>
              <w:rPr>
                <w:sz w:val="16"/>
              </w:rPr>
              <w:t>In-force policy headers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205"/>
            <w:tcMar>
              <w:top w:w="50" w:type="dxa"/>
              <w:bottom w:w="50" w:type="dxa"/>
              <w:left w:w="90" w:type="dxa"/>
              <w:right w:w="90" w:type="dxa"/>
            </w:tcMar>
          </w:tcPr>
          <w:p>
            <w:pPr>
              <w:pStyle w:val="BDOITable"/>
            </w:pPr>
            <w:r>
              <w:rPr>
                <w:sz w:val="16"/>
              </w:rPr>
              <w:t>Expired policies and policy history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205"/>
            <w:tcMar>
              <w:top w:w="50" w:type="dxa"/>
              <w:bottom w:w="50" w:type="dxa"/>
              <w:left w:w="90" w:type="dxa"/>
              <w:right w:w="90" w:type="dxa"/>
            </w:tcMar>
            <w:shd w:val="clear" w:color="auto" w:fill="E5F5FF"/>
          </w:tcPr>
          <w:p>
            <w:pPr>
              <w:pStyle w:val="BDOITable"/>
            </w:pPr>
            <w:r>
              <w:rPr>
                <w:sz w:val="16"/>
              </w:rPr>
              <w:t>RMEL cohorts already extracted in legacy (renewal candidates...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205"/>
            <w:tcMar>
              <w:top w:w="50" w:type="dxa"/>
              <w:bottom w:w="50" w:type="dxa"/>
              <w:left w:w="90" w:type="dxa"/>
              <w:right w:w="90" w:type="dxa"/>
            </w:tcMar>
          </w:tcPr>
          <w:p>
            <w:pPr>
              <w:pStyle w:val="BDOITable"/>
            </w:pPr>
            <w:r>
              <w:rPr>
                <w:sz w:val="16"/>
              </w:rPr>
              <w:t>Submitted-policy masterlists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205"/>
            <w:tcMar>
              <w:top w:w="50" w:type="dxa"/>
              <w:bottom w:w="50" w:type="dxa"/>
              <w:left w:w="90" w:type="dxa"/>
              <w:right w:w="90" w:type="dxa"/>
            </w:tcMar>
            <w:shd w:val="clear" w:color="auto" w:fill="E5F5FF"/>
          </w:tcPr>
          <w:p>
            <w:pPr>
              <w:pStyle w:val="BDOITable"/>
            </w:pPr>
            <w:r>
              <w:rPr>
                <w:sz w:val="16"/>
              </w:rPr>
              <w:t>Employee Benefits programmes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205"/>
            <w:tcMar>
              <w:top w:w="50" w:type="dxa"/>
              <w:bottom w:w="50" w:type="dxa"/>
              <w:left w:w="90" w:type="dxa"/>
              <w:right w:w="90" w:type="dxa"/>
            </w:tcMar>
          </w:tcPr>
          <w:p>
            <w:pPr>
              <w:pStyle w:val="BDOITable"/>
            </w:pPr>
            <w:r>
              <w:rPr>
                <w:sz w:val="16"/>
              </w:rPr>
              <w:t>Open legacy invoices (premium receivable, paid not remitted,...</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205"/>
            <w:tcMar>
              <w:top w:w="50" w:type="dxa"/>
              <w:bottom w:w="50" w:type="dxa"/>
              <w:left w:w="90" w:type="dxa"/>
              <w:right w:w="90" w:type="dxa"/>
            </w:tcMar>
            <w:shd w:val="clear" w:color="auto" w:fill="E5F5FF"/>
          </w:tcPr>
          <w:p>
            <w:pPr>
              <w:pStyle w:val="BDOITable"/>
            </w:pPr>
            <w:r>
              <w:rPr>
                <w:sz w:val="16"/>
              </w:rPr>
              <w:t>Unapplied premium payments (UPP) with disposition in progres...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205"/>
            <w:tcMar>
              <w:top w:w="50" w:type="dxa"/>
              <w:bottom w:w="50" w:type="dxa"/>
              <w:left w:w="90" w:type="dxa"/>
              <w:right w:w="90" w:type="dxa"/>
            </w:tcMar>
          </w:tcPr>
          <w:p>
            <w:pPr>
              <w:pStyle w:val="BDOITable"/>
            </w:pPr>
            <w:r>
              <w:rPr>
                <w:sz w:val="16"/>
              </w:rPr>
              <w:t>Open collection state (dispositions, promises to pay, instal...</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205"/>
            <w:tcMar>
              <w:top w:w="50" w:type="dxa"/>
              <w:bottom w:w="50" w:type="dxa"/>
              <w:left w:w="90" w:type="dxa"/>
              <w:right w:w="90" w:type="dxa"/>
            </w:tcMar>
            <w:shd w:val="clear" w:color="auto" w:fill="E5F5FF"/>
          </w:tcPr>
          <w:p>
            <w:pPr>
              <w:pStyle w:val="BDOITable"/>
            </w:pPr>
            <w:r>
              <w:rPr>
                <w:sz w:val="16"/>
              </w:rPr>
              <w:t>Remittance in flight (batches not yet paid, holds, special r...</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205"/>
            <w:tcMar>
              <w:top w:w="50" w:type="dxa"/>
              <w:bottom w:w="50" w:type="dxa"/>
              <w:left w:w="90" w:type="dxa"/>
              <w:right w:w="90" w:type="dxa"/>
            </w:tcMar>
          </w:tcPr>
          <w:p>
            <w:pPr>
              <w:pStyle w:val="BDOITable"/>
            </w:pPr>
            <w:r>
              <w:rPr>
                <w:sz w:val="16"/>
              </w:rPr>
              <w:t>DP billing in process and DP commission receivable</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205"/>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205"/>
            <w:tcMar>
              <w:top w:w="50" w:type="dxa"/>
              <w:bottom w:w="50" w:type="dxa"/>
              <w:left w:w="90" w:type="dxa"/>
              <w:right w:w="90" w:type="dxa"/>
            </w:tcMar>
          </w:tcPr>
          <w:p>
            <w:pPr>
              <w:pStyle w:val="BDOITable"/>
            </w:pPr>
            <w:r>
              <w:rPr>
                <w:sz w:val="16"/>
              </w:rPr>
              <w:t>Open claims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205"/>
            <w:tcMar>
              <w:top w:w="50" w:type="dxa"/>
              <w:bottom w:w="50" w:type="dxa"/>
              <w:left w:w="90" w:type="dxa"/>
              <w:right w:w="90" w:type="dxa"/>
            </w:tcMar>
            <w:shd w:val="clear" w:color="auto" w:fill="E5F5FF"/>
          </w:tcPr>
          <w:p>
            <w:pPr>
              <w:pStyle w:val="BDOITable"/>
            </w:pPr>
            <w:r>
              <w:rPr>
                <w:sz w:val="16"/>
              </w:rPr>
              <w:t>GL opening trial balance per account, branch and currency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205"/>
            <w:tcMar>
              <w:top w:w="50" w:type="dxa"/>
              <w:bottom w:w="50" w:type="dxa"/>
              <w:left w:w="90" w:type="dxa"/>
              <w:right w:w="90" w:type="dxa"/>
            </w:tcMar>
          </w:tcPr>
          <w:p>
            <w:pPr>
              <w:pStyle w:val="BDOITable"/>
            </w:pPr>
            <w:r>
              <w:rPr>
                <w:sz w:val="16"/>
              </w:rPr>
              <w:t>GL history (journals and balances before cutover)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4205"/>
            <w:tcMar>
              <w:top w:w="50" w:type="dxa"/>
              <w:bottom w:w="50" w:type="dxa"/>
              <w:left w:w="90" w:type="dxa"/>
              <w:right w:w="90" w:type="dxa"/>
            </w:tcMar>
            <w:shd w:val="clear" w:color="auto" w:fill="E5F5FF"/>
          </w:tcPr>
          <w:p>
            <w:pPr>
              <w:pStyle w:val="BDOITable"/>
            </w:pPr>
            <w:r>
              <w:rPr>
                <w:sz w:val="16"/>
              </w:rPr>
              <w:t>Closed transactions (paid and remitted invoices, receipts, r...</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4205"/>
            <w:tcMar>
              <w:top w:w="50" w:type="dxa"/>
              <w:bottom w:w="50" w:type="dxa"/>
              <w:left w:w="90" w:type="dxa"/>
              <w:right w:w="90" w:type="dxa"/>
            </w:tcMar>
          </w:tcPr>
          <w:p>
            <w:pPr>
              <w:pStyle w:val="BDOITable"/>
            </w:pPr>
            <w:r>
              <w:rPr>
                <w:sz w:val="16"/>
              </w:rPr>
              <w:t>Legacy documents (policies, SOAs, ORs, certificates, letters...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Y</w:t>
            </w:r>
          </w:p>
        </w:tc>
      </w:tr>
    </w:tbl>
    <w:p>
      <w:pPr>
        <w:pStyle w:val="BDOISpacer"/>
      </w:pPr>
    </w:p>
    <w:p>
      <w:r>
        <w:rPr/>
        <w:t>Where two systems hold the same object (clients in QPS, EBIX and the CMS; products in QPS and EBIX), each system sends its own extract. BIBS matches the records across systems and keeps one BIBS record with a cross-reference to every legacy key. The survivorship rule decides which value wins per field (section 6.8).</w:t>
      </w:r>
    </w:p>
    <w:p>
      <w:pPr>
        <w:pStyle w:val="Heading1"/>
        <w:pageBreakBefore/>
        <w:pBdr>
          <w:bottom w:val="single" w:sz="4" w:space="4" w:color="99C1E7"/>
        </w:pBdr>
      </w:pPr>
      <w:bookmarkStart w:id="119" w:name="_Toc000119"/>
      <w:r>
        <w:rPr/>
        <w:t>5 Target in BIBS</w:t>
      </w:r>
      <w:bookmarkEnd w:id="119"/>
    </w:p>
    <w:p>
      <w:pPr>
        <w:pStyle w:val="Heading2"/>
      </w:pPr>
      <w:bookmarkStart w:id="120" w:name="_Toc000120"/>
      <w:r>
        <w:rPr/>
        <w:t>5.1 Target per object and load order</w:t>
      </w:r>
      <w:bookmarkEnd w:id="120"/>
    </w:p>
    <w:p>
      <w:r>
        <w:rPr/>
        <w:t>Every object lands in a BIBS module through that module's service. The load order follows the dependencies: reference data first, then clients, then policy headers, then open items, then the GL, so every record finds the records it refers to.</w:t>
      </w:r>
    </w:p>
    <w:p>
      <w:pPr>
        <w:pStyle w:val="Caption"/>
        <w:keepNext/>
        <w:spacing w:after="60"/>
      </w:pPr>
      <w:r>
        <w:rPr>
          <w:b/>
          <w:i w:val="0"/>
        </w:rPr>
        <w:t xml:space="preserve">Table 11: </w:t>
      </w:r>
      <w:r>
        <w:rPr/>
        <w:t>Target in BIBS and load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6007"/>
        <w:gridCol w:w="2162"/>
        <w:gridCol w:w="102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6"/>
              </w:rPr>
              <w:t>BIBS target (service or table)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Load order</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6007"/>
            <w:tcMar>
              <w:top w:w="50" w:type="dxa"/>
              <w:bottom w:w="50" w:type="dxa"/>
              <w:left w:w="90" w:type="dxa"/>
              <w:right w:w="90" w:type="dxa"/>
            </w:tcMar>
          </w:tcPr>
          <w:p>
            <w:pPr>
              <w:pStyle w:val="BDOITable"/>
            </w:pPr>
            <w:r>
              <w:rPr>
                <w:sz w:val="16"/>
              </w:rPr>
              <w:t>lov_value through LovService; MIS field catalogue (Core Replacement CR-W1)</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6007"/>
            <w:tcMar>
              <w:top w:w="50" w:type="dxa"/>
              <w:bottom w:w="50" w:type="dxa"/>
              <w:left w:w="90" w:type="dxa"/>
              <w:right w:w="90" w:type="dxa"/>
            </w:tcMar>
            <w:shd w:val="clear" w:color="auto" w:fill="E5F5FF"/>
          </w:tcPr>
          <w:p>
            <w:pPr>
              <w:pStyle w:val="BDOITable"/>
            </w:pPr>
            <w:r>
              <w:rPr>
                <w:sz w:val="16"/>
              </w:rPr>
              <w:t>org_branch (check only, code map BRANCH)</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6007"/>
            <w:tcMar>
              <w:top w:w="50" w:type="dxa"/>
              <w:bottom w:w="50" w:type="dxa"/>
              <w:left w:w="90" w:type="dxa"/>
              <w:right w:w="90" w:type="dxa"/>
            </w:tcMar>
          </w:tcPr>
          <w:p>
            <w:pPr>
              <w:pStyle w:val="BDOITable"/>
            </w:pPr>
            <w:r>
              <w:rPr>
                <w:sz w:val="16"/>
              </w:rPr>
              <w:t>cat_sales_unit, cat_sales_officer (catalog services)</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6007"/>
            <w:tcMar>
              <w:top w:w="50" w:type="dxa"/>
              <w:bottom w:w="50" w:type="dxa"/>
              <w:left w:w="90" w:type="dxa"/>
              <w:right w:w="90" w:type="dxa"/>
            </w:tcMar>
            <w:shd w:val="clear" w:color="auto" w:fill="E5F5FF"/>
          </w:tcPr>
          <w:p>
            <w:pPr>
              <w:pStyle w:val="BDOITable"/>
            </w:pPr>
            <w:r>
              <w:rPr>
                <w:sz w:val="16"/>
              </w:rPr>
              <w:t>cat_insurer, cat_insurer_branch (InsurerService), party</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6007"/>
            <w:tcMar>
              <w:top w:w="50" w:type="dxa"/>
              <w:bottom w:w="50" w:type="dxa"/>
              <w:left w:w="90" w:type="dxa"/>
              <w:right w:w="90" w:type="dxa"/>
            </w:tcMar>
          </w:tcPr>
          <w:p>
            <w:pPr>
              <w:pStyle w:val="BDOITable"/>
            </w:pPr>
            <w:r>
              <w:rPr>
                <w:sz w:val="16"/>
              </w:rPr>
              <w:t>cat_product_line, cat_cover_type, cat_product (ProductCatalogService)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6007"/>
            <w:tcMar>
              <w:top w:w="50" w:type="dxa"/>
              <w:bottom w:w="50" w:type="dxa"/>
              <w:left w:w="90" w:type="dxa"/>
              <w:right w:w="90" w:type="dxa"/>
            </w:tcMar>
            <w:shd w:val="clear" w:color="auto" w:fill="E5F5FF"/>
          </w:tcPr>
          <w:p>
            <w:pPr>
              <w:pStyle w:val="BDOITable"/>
            </w:pPr>
            <w:r>
              <w:rPr>
                <w:sz w:val="16"/>
              </w:rPr>
              <w:t>cat_product_version, cat_package_insurer, cat_package_insurer_term</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6007"/>
            <w:tcMar>
              <w:top w:w="50" w:type="dxa"/>
              <w:bottom w:w="50" w:type="dxa"/>
              <w:left w:w="90" w:type="dxa"/>
              <w:right w:w="90" w:type="dxa"/>
            </w:tcMar>
          </w:tcPr>
          <w:p>
            <w:pPr>
              <w:pStyle w:val="BDOITable"/>
            </w:pPr>
            <w:r>
              <w:rPr>
                <w:sz w:val="16"/>
              </w:rPr>
              <w:t>cat_commission_rate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6007"/>
            <w:tcMar>
              <w:top w:w="50" w:type="dxa"/>
              <w:bottom w:w="50" w:type="dxa"/>
              <w:left w:w="90" w:type="dxa"/>
              <w:right w:w="90" w:type="dxa"/>
            </w:tcMar>
            <w:shd w:val="clear" w:color="auto" w:fill="E5F5FF"/>
          </w:tcPr>
          <w:p>
            <w:pPr>
              <w:pStyle w:val="BDOITable"/>
            </w:pPr>
            <w:r>
              <w:rPr>
                <w:sz w:val="16"/>
              </w:rPr>
              <w:t>Code map GL_ACCOUNT to coa_account (chart configured by Comptrollership)</w:t>
            </w:r>
          </w:p>
        </w:tc>
        <w:tc>
          <w:tcPr>
            <w:tcW w:type="dxa" w:w="2163"/>
            <w:tcMar>
              <w:top w:w="50" w:type="dxa"/>
              <w:bottom w:w="50" w:type="dxa"/>
              <w:left w:w="90" w:type="dxa"/>
              <w:right w:w="90" w:type="dxa"/>
            </w:tcMar>
            <w:shd w:val="clear" w:color="auto" w:fill="E5F5FF"/>
          </w:tcPr>
          <w:p>
            <w:pPr>
              <w:pStyle w:val="BDOITable"/>
            </w:pPr>
            <w:r>
              <w:rPr>
                <w:sz w:val="16"/>
              </w:rPr>
              <w:t>BRID 5.1-8.1; AQ01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6007"/>
            <w:tcMar>
              <w:top w:w="50" w:type="dxa"/>
              <w:bottom w:w="50" w:type="dxa"/>
              <w:left w:w="90" w:type="dxa"/>
              <w:right w:w="90" w:type="dxa"/>
            </w:tcMar>
          </w:tcPr>
          <w:p>
            <w:pPr>
              <w:pStyle w:val="BDOITable"/>
            </w:pPr>
            <w:r>
              <w:rPr>
                <w:sz w:val="16"/>
              </w:rPr>
              <w:t>party and payee through the DISB_PAYEE_MIGRATION service</w:t>
            </w:r>
          </w:p>
        </w:tc>
        <w:tc>
          <w:tcPr>
            <w:tcW w:type="dxa" w:w="2163"/>
            <w:tcMar>
              <w:top w:w="50" w:type="dxa"/>
              <w:bottom w:w="50" w:type="dxa"/>
              <w:left w:w="90" w:type="dxa"/>
              <w:right w:w="90" w:type="dxa"/>
            </w:tcMar>
          </w:tcPr>
          <w:p>
            <w:pPr>
              <w:pStyle w:val="BDOITable"/>
            </w:pPr>
            <w:r>
              <w:rPr>
                <w:sz w:val="16"/>
              </w:rPr>
              <w:t>AQ11</w:t>
            </w:r>
          </w:p>
        </w:tc>
        <w:tc>
          <w:tcPr>
            <w:tcW w:type="dxa" w:w="1021"/>
            <w:tcMar>
              <w:top w:w="50" w:type="dxa"/>
              <w:bottom w:w="50" w:type="dxa"/>
              <w:left w:w="90" w:type="dxa"/>
              <w:right w:w="90" w:type="dxa"/>
            </w:tcMar>
          </w:tcPr>
          <w:p>
            <w:pPr>
              <w:pStyle w:val="BDOITable"/>
            </w:pPr>
            <w:r>
              <w:rPr>
                <w:sz w:val="16"/>
              </w:rPr>
              <w:t>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6007"/>
            <w:tcMar>
              <w:top w:w="50" w:type="dxa"/>
              <w:bottom w:w="50" w:type="dxa"/>
              <w:left w:w="90" w:type="dxa"/>
              <w:right w:w="90" w:type="dxa"/>
            </w:tcMar>
            <w:shd w:val="clear" w:color="auto" w:fill="E5F5FF"/>
          </w:tcPr>
          <w:p>
            <w:pPr>
              <w:pStyle w:val="BDOITable"/>
            </w:pPr>
            <w:r>
              <w:rPr>
                <w:sz w:val="16"/>
              </w:rPr>
              <w:t>csh_receipt_series</w:t>
            </w:r>
          </w:p>
        </w:tc>
        <w:tc>
          <w:tcPr>
            <w:tcW w:type="dxa" w:w="2163"/>
            <w:tcMar>
              <w:top w:w="50" w:type="dxa"/>
              <w:bottom w:w="50" w:type="dxa"/>
              <w:left w:w="90" w:type="dxa"/>
              <w:right w:w="90" w:type="dxa"/>
            </w:tcMar>
            <w:shd w:val="clear" w:color="auto" w:fill="E5F5FF"/>
          </w:tcPr>
          <w:p>
            <w:pPr>
              <w:pStyle w:val="BDOITable"/>
            </w:pPr>
            <w:r>
              <w:rPr>
                <w:sz w:val="16"/>
              </w:rPr>
              <w:t>BRID 6.1</w:t>
            </w:r>
          </w:p>
        </w:tc>
        <w:tc>
          <w:tcPr>
            <w:tcW w:type="dxa" w:w="1021"/>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6007"/>
            <w:tcMar>
              <w:top w:w="50" w:type="dxa"/>
              <w:bottom w:w="50" w:type="dxa"/>
              <w:left w:w="90" w:type="dxa"/>
              <w:right w:w="90" w:type="dxa"/>
            </w:tcMar>
          </w:tcPr>
          <w:p>
            <w:pPr>
              <w:pStyle w:val="BDOITable"/>
            </w:pPr>
            <w:r>
              <w:rPr>
                <w:sz w:val="16"/>
              </w:rPr>
              <w:t>crm_client through ClientOnboardingService.registerMigrated (new)</w:t>
            </w:r>
          </w:p>
        </w:tc>
        <w:tc>
          <w:tcPr>
            <w:tcW w:type="dxa" w:w="2163"/>
            <w:tcMar>
              <w:top w:w="50" w:type="dxa"/>
              <w:bottom w:w="50" w:type="dxa"/>
              <w:left w:w="90" w:type="dxa"/>
              <w:right w:w="90" w:type="dxa"/>
            </w:tcMar>
          </w:tcPr>
          <w:p>
            <w:pPr>
              <w:pStyle w:val="BDOITable"/>
            </w:pPr>
            <w:r>
              <w:rPr>
                <w:sz w:val="16"/>
              </w:rPr>
              <w:t>BRID 2.1</w:t>
            </w:r>
          </w:p>
        </w:tc>
        <w:tc>
          <w:tcPr>
            <w:tcW w:type="dxa" w:w="1021"/>
            <w:tcMar>
              <w:top w:w="50" w:type="dxa"/>
              <w:bottom w:w="50" w:type="dxa"/>
              <w:left w:w="90" w:type="dxa"/>
              <w:right w:w="90" w:type="dxa"/>
            </w:tcMar>
          </w:tcPr>
          <w:p>
            <w:pPr>
              <w:pStyle w:val="BDOITable"/>
            </w:pPr>
            <w:r>
              <w:rPr>
                <w:sz w:val="16"/>
              </w:rPr>
              <w:t>5</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6007"/>
            <w:tcMar>
              <w:top w:w="50" w:type="dxa"/>
              <w:bottom w:w="50" w:type="dxa"/>
              <w:left w:w="90" w:type="dxa"/>
              <w:right w:w="90" w:type="dxa"/>
            </w:tcMar>
            <w:shd w:val="clear" w:color="auto" w:fill="E5F5FF"/>
          </w:tcPr>
          <w:p>
            <w:pPr>
              <w:pStyle w:val="BDOITable"/>
            </w:pPr>
            <w:r>
              <w:rPr>
                <w:sz w:val="16"/>
              </w:rPr>
              <w:t>crm_client_payout_account (ClientPayoutAccounts)</w:t>
            </w:r>
          </w:p>
        </w:tc>
        <w:tc>
          <w:tcPr>
            <w:tcW w:type="dxa" w:w="2163"/>
            <w:tcMar>
              <w:top w:w="50" w:type="dxa"/>
              <w:bottom w:w="50" w:type="dxa"/>
              <w:left w:w="90" w:type="dxa"/>
              <w:right w:w="90" w:type="dxa"/>
            </w:tcMar>
            <w:shd w:val="clear" w:color="auto" w:fill="E5F5FF"/>
          </w:tcPr>
          <w:p>
            <w:pPr>
              <w:pStyle w:val="BDOITable"/>
            </w:pPr>
            <w:r>
              <w:rPr>
                <w:sz w:val="16"/>
              </w:rPr>
              <w:t>BRID 5.4</w:t>
            </w:r>
          </w:p>
        </w:tc>
        <w:tc>
          <w:tcPr>
            <w:tcW w:type="dxa" w:w="1021"/>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6007"/>
            <w:tcMar>
              <w:top w:w="50" w:type="dxa"/>
              <w:bottom w:w="50" w:type="dxa"/>
              <w:left w:w="90" w:type="dxa"/>
              <w:right w:w="90" w:type="dxa"/>
            </w:tcMar>
          </w:tcPr>
          <w:p>
            <w:pPr>
              <w:pStyle w:val="BDOITable"/>
            </w:pPr>
            <w:r>
              <w:rPr>
                <w:sz w:val="16"/>
              </w:rPr>
              <w:t>BIBS archive (mig_archive_record, attachment LEGACY_DOCUMENT)</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6007"/>
            <w:tcMar>
              <w:top w:w="50" w:type="dxa"/>
              <w:bottom w:w="50" w:type="dxa"/>
              <w:left w:w="90" w:type="dxa"/>
              <w:right w:w="90" w:type="dxa"/>
            </w:tcMar>
            <w:shd w:val="clear" w:color="auto" w:fill="E5F5FF"/>
          </w:tcPr>
          <w:p>
            <w:pPr>
              <w:pStyle w:val="BDOITable"/>
            </w:pPr>
            <w:r>
              <w:rPr>
                <w:sz w:val="16"/>
              </w:rPr>
              <w:t>acc_account through AccountService.importLegacy (new)</w:t>
            </w:r>
          </w:p>
        </w:tc>
        <w:tc>
          <w:tcPr>
            <w:tcW w:type="dxa" w:w="2163"/>
            <w:tcMar>
              <w:top w:w="50" w:type="dxa"/>
              <w:bottom w:w="50" w:type="dxa"/>
              <w:left w:w="90" w:type="dxa"/>
              <w:right w:w="90" w:type="dxa"/>
            </w:tcMar>
            <w:shd w:val="clear" w:color="auto" w:fill="E5F5FF"/>
          </w:tcPr>
          <w:p>
            <w:pPr>
              <w:pStyle w:val="BDOITable"/>
            </w:pPr>
            <w:r>
              <w:rPr>
                <w:sz w:val="16"/>
              </w:rPr>
              <w:t>BRID 4.1</w:t>
            </w:r>
          </w:p>
        </w:tc>
        <w:tc>
          <w:tcPr>
            <w:tcW w:type="dxa" w:w="1021"/>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6007"/>
            <w:tcMar>
              <w:top w:w="50" w:type="dxa"/>
              <w:bottom w:w="50" w:type="dxa"/>
              <w:left w:w="90" w:type="dxa"/>
              <w:right w:w="90" w:type="dxa"/>
            </w:tcMar>
          </w:tcPr>
          <w:p>
            <w:pPr>
              <w:pStyle w:val="BDOITable"/>
            </w:pPr>
            <w:r>
              <w:rPr>
                <w:sz w:val="16"/>
              </w:rPr>
              <w:t>BIBS archive record type POLICY</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6007"/>
            <w:tcMar>
              <w:top w:w="50" w:type="dxa"/>
              <w:bottom w:w="50" w:type="dxa"/>
              <w:left w:w="90" w:type="dxa"/>
              <w:right w:w="90" w:type="dxa"/>
            </w:tcMar>
            <w:shd w:val="clear" w:color="auto" w:fill="E5F5FF"/>
          </w:tcPr>
          <w:p>
            <w:pPr>
              <w:pStyle w:val="BDOITable"/>
            </w:pPr>
            <w:r>
              <w:rPr>
                <w:sz w:val="16"/>
              </w:rPr>
              <w:t>mig_legacy_candidate served to Renewal (LegacyPolicySource)</w:t>
            </w:r>
          </w:p>
        </w:tc>
        <w:tc>
          <w:tcPr>
            <w:tcW w:type="dxa" w:w="2163"/>
            <w:tcMar>
              <w:top w:w="50" w:type="dxa"/>
              <w:bottom w:w="50" w:type="dxa"/>
              <w:left w:w="90" w:type="dxa"/>
              <w:right w:w="90" w:type="dxa"/>
            </w:tcMar>
            <w:shd w:val="clear" w:color="auto" w:fill="E5F5FF"/>
          </w:tcPr>
          <w:p>
            <w:pPr>
              <w:pStyle w:val="BDOITable"/>
            </w:pPr>
            <w:r>
              <w:rPr>
                <w:sz w:val="16"/>
              </w:rPr>
              <w:t>BRID 12.1</w:t>
            </w:r>
          </w:p>
        </w:tc>
        <w:tc>
          <w:tcPr>
            <w:tcW w:type="dxa" w:w="1021"/>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6007"/>
            <w:tcMar>
              <w:top w:w="50" w:type="dxa"/>
              <w:bottom w:w="50" w:type="dxa"/>
              <w:left w:w="90" w:type="dxa"/>
              <w:right w:w="90" w:type="dxa"/>
            </w:tcMar>
          </w:tcPr>
          <w:p>
            <w:pPr>
              <w:pStyle w:val="BDOITable"/>
            </w:pPr>
            <w:r>
              <w:rPr>
                <w:sz w:val="16"/>
              </w:rPr>
              <w:t>sbm_policy through SBM_MIGRATION</w:t>
            </w:r>
          </w:p>
        </w:tc>
        <w:tc>
          <w:tcPr>
            <w:tcW w:type="dxa" w:w="2163"/>
            <w:tcMar>
              <w:top w:w="50" w:type="dxa"/>
              <w:bottom w:w="50" w:type="dxa"/>
              <w:left w:w="90" w:type="dxa"/>
              <w:right w:w="90" w:type="dxa"/>
            </w:tcMar>
          </w:tcPr>
          <w:p>
            <w:pPr>
              <w:pStyle w:val="BDOITable"/>
            </w:pPr>
            <w:r>
              <w:rPr>
                <w:sz w:val="16"/>
              </w:rPr>
              <w:t>BRIDSP-33</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6007"/>
            <w:tcMar>
              <w:top w:w="50" w:type="dxa"/>
              <w:bottom w:w="50" w:type="dxa"/>
              <w:left w:w="90" w:type="dxa"/>
              <w:right w:w="90" w:type="dxa"/>
            </w:tcMar>
            <w:shd w:val="clear" w:color="auto" w:fill="E5F5FF"/>
          </w:tcPr>
          <w:p>
            <w:pPr>
              <w:pStyle w:val="BDOITable"/>
            </w:pPr>
            <w:r>
              <w:rPr>
                <w:sz w:val="16"/>
              </w:rPr>
              <w:t>EB programme tables through EB_PROGRAMME_LOAD</w:t>
            </w:r>
          </w:p>
        </w:tc>
        <w:tc>
          <w:tcPr>
            <w:tcW w:type="dxa" w:w="2163"/>
            <w:tcMar>
              <w:top w:w="50" w:type="dxa"/>
              <w:bottom w:w="50" w:type="dxa"/>
              <w:left w:w="90" w:type="dxa"/>
              <w:right w:w="90" w:type="dxa"/>
            </w:tcMar>
            <w:shd w:val="clear" w:color="auto" w:fill="E5F5FF"/>
          </w:tcPr>
          <w:p>
            <w:pPr>
              <w:pStyle w:val="BDOITable"/>
            </w:pPr>
            <w:r>
              <w:rPr>
                <w:sz w:val="16"/>
              </w:rPr>
              <w:t>BRD-8</w:t>
            </w:r>
          </w:p>
        </w:tc>
        <w:tc>
          <w:tcPr>
            <w:tcW w:type="dxa" w:w="1021"/>
            <w:tcMar>
              <w:top w:w="50" w:type="dxa"/>
              <w:bottom w:w="50" w:type="dxa"/>
              <w:left w:w="90" w:type="dxa"/>
              <w:right w:w="90" w:type="dxa"/>
            </w:tcMar>
            <w:shd w:val="clear" w:color="auto" w:fill="E5F5FF"/>
          </w:tcPr>
          <w:p>
            <w:pPr>
              <w:pStyle w:val="BDOITable"/>
            </w:pPr>
            <w:r>
              <w:rPr>
                <w:sz w:val="16"/>
              </w:rPr>
              <w:t>14</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6007"/>
            <w:tcMar>
              <w:top w:w="50" w:type="dxa"/>
              <w:bottom w:w="50" w:type="dxa"/>
              <w:left w:w="90" w:type="dxa"/>
              <w:right w:w="90" w:type="dxa"/>
            </w:tcMar>
          </w:tcPr>
          <w:p>
            <w:pPr>
              <w:pStyle w:val="BDOITable"/>
            </w:pPr>
            <w:r>
              <w:rPr>
                <w:sz w:val="16"/>
              </w:rPr>
              <w:t>ops_invoice, ops_invoice_share, ops_invoice_component through LegacyInvoiceIntake (new); opening entry MIG_LEGACY_INVOICE_OPENING</w:t>
            </w:r>
          </w:p>
        </w:tc>
        <w:tc>
          <w:tcPr>
            <w:tcW w:type="dxa" w:w="2163"/>
            <w:tcMar>
              <w:top w:w="50" w:type="dxa"/>
              <w:bottom w:w="50" w:type="dxa"/>
              <w:left w:w="90" w:type="dxa"/>
              <w:right w:w="90" w:type="dxa"/>
            </w:tcMar>
          </w:tcPr>
          <w:p>
            <w:pPr>
              <w:pStyle w:val="BDOITable"/>
            </w:pPr>
            <w:r>
              <w:rPr>
                <w:sz w:val="16"/>
              </w:rPr>
              <w:t>BRID 5.2, 6.1-6.4, 7.1, 7.2, 8.1, 9.1-9.3, 10.1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6007"/>
            <w:tcMar>
              <w:top w:w="50" w:type="dxa"/>
              <w:bottom w:w="50" w:type="dxa"/>
              <w:left w:w="90" w:type="dxa"/>
              <w:right w:w="90" w:type="dxa"/>
            </w:tcMar>
            <w:shd w:val="clear" w:color="auto" w:fill="E5F5FF"/>
          </w:tcPr>
          <w:p>
            <w:pPr>
              <w:pStyle w:val="BDOITable"/>
            </w:pPr>
            <w:r>
              <w:rPr>
                <w:sz w:val="16"/>
              </w:rPr>
              <w:t>csh_unapplied through UnappliedService.createMigrated (new); opening entry MIG_UPP_OPENING</w:t>
            </w:r>
          </w:p>
        </w:tc>
        <w:tc>
          <w:tcPr>
            <w:tcW w:type="dxa" w:w="2163"/>
            <w:tcMar>
              <w:top w:w="50" w:type="dxa"/>
              <w:bottom w:w="50" w:type="dxa"/>
              <w:left w:w="90" w:type="dxa"/>
              <w:right w:w="90" w:type="dxa"/>
            </w:tcMar>
            <w:shd w:val="clear" w:color="auto" w:fill="E5F5FF"/>
          </w:tcPr>
          <w:p>
            <w:pPr>
              <w:pStyle w:val="BDOITable"/>
            </w:pPr>
            <w:r>
              <w:rPr>
                <w:sz w:val="16"/>
              </w:rPr>
              <w:t>BRID 5.1-5.5, 6.3, 6.4</w:t>
            </w:r>
          </w:p>
        </w:tc>
        <w:tc>
          <w:tcPr>
            <w:tcW w:type="dxa" w:w="1021"/>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6007"/>
            <w:tcMar>
              <w:top w:w="50" w:type="dxa"/>
              <w:bottom w:w="50" w:type="dxa"/>
              <w:left w:w="90" w:type="dxa"/>
              <w:right w:w="90" w:type="dxa"/>
            </w:tcMar>
          </w:tcPr>
          <w:p>
            <w:pPr>
              <w:pStyle w:val="BDOITable"/>
            </w:pPr>
            <w:r>
              <w:rPr>
                <w:sz w:val="16"/>
              </w:rPr>
              <w:t>Collections legacy state (CLX_LEGACY_ITEMS, LegacyItemStateService, new)</w:t>
            </w:r>
          </w:p>
        </w:tc>
        <w:tc>
          <w:tcPr>
            <w:tcW w:type="dxa" w:w="2163"/>
            <w:tcMar>
              <w:top w:w="50" w:type="dxa"/>
              <w:bottom w:w="50" w:type="dxa"/>
              <w:left w:w="90" w:type="dxa"/>
              <w:right w:w="90" w:type="dxa"/>
            </w:tcMar>
          </w:tcPr>
          <w:p>
            <w:pPr>
              <w:pStyle w:val="BDOITable"/>
            </w:pPr>
            <w:r>
              <w:rPr>
                <w:sz w:val="16"/>
              </w:rPr>
              <w:t>CQ07</w:t>
            </w:r>
          </w:p>
        </w:tc>
        <w:tc>
          <w:tcPr>
            <w:tcW w:type="dxa" w:w="1021"/>
            <w:tcMar>
              <w:top w:w="50" w:type="dxa"/>
              <w:bottom w:w="50" w:type="dxa"/>
              <w:left w:w="90" w:type="dxa"/>
              <w:right w:w="90" w:type="dxa"/>
            </w:tcMar>
          </w:tcPr>
          <w:p>
            <w:pPr>
              <w:pStyle w:val="BDOITable"/>
            </w:pPr>
            <w:r>
              <w:rPr>
                <w:sz w:val="16"/>
              </w:rPr>
              <w:t>10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6007"/>
            <w:tcMar>
              <w:top w:w="50" w:type="dxa"/>
              <w:bottom w:w="50" w:type="dxa"/>
              <w:left w:w="90" w:type="dxa"/>
              <w:right w:w="90" w:type="dxa"/>
            </w:tcMar>
            <w:shd w:val="clear" w:color="auto" w:fill="E5F5FF"/>
          </w:tcPr>
          <w:p>
            <w:pPr>
              <w:pStyle w:val="BDOITable"/>
            </w:pPr>
            <w:r>
              <w:rPr>
                <w:sz w:val="16"/>
              </w:rPr>
              <w:t>rem_hold_request, rem_special_request (remittance services)</w:t>
            </w:r>
          </w:p>
        </w:tc>
        <w:tc>
          <w:tcPr>
            <w:tcW w:type="dxa" w:w="2163"/>
            <w:tcMar>
              <w:top w:w="50" w:type="dxa"/>
              <w:bottom w:w="50" w:type="dxa"/>
              <w:left w:w="90" w:type="dxa"/>
              <w:right w:w="90" w:type="dxa"/>
            </w:tcMar>
            <w:shd w:val="clear" w:color="auto" w:fill="E5F5FF"/>
          </w:tcPr>
          <w:p>
            <w:pPr>
              <w:pStyle w:val="BDOITable"/>
            </w:pPr>
            <w:r>
              <w:rPr>
                <w:sz w:val="16"/>
              </w:rPr>
              <w:t>BRID 8.1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6007"/>
            <w:tcMar>
              <w:top w:w="50" w:type="dxa"/>
              <w:bottom w:w="50" w:type="dxa"/>
              <w:left w:w="90" w:type="dxa"/>
              <w:right w:w="90" w:type="dxa"/>
            </w:tcMar>
          </w:tcPr>
          <w:p>
            <w:pPr>
              <w:pStyle w:val="BDOITable"/>
            </w:pPr>
            <w:r>
              <w:rPr>
                <w:sz w:val="16"/>
              </w:rPr>
              <w:t>Part of F01; commission DP list service</w:t>
            </w:r>
          </w:p>
        </w:tc>
        <w:tc>
          <w:tcPr>
            <w:tcW w:type="dxa" w:w="2163"/>
            <w:tcMar>
              <w:top w:w="50" w:type="dxa"/>
              <w:bottom w:w="50" w:type="dxa"/>
              <w:left w:w="90" w:type="dxa"/>
              <w:right w:w="90" w:type="dxa"/>
            </w:tcMar>
          </w:tcPr>
          <w:p>
            <w:pPr>
              <w:pStyle w:val="BDOITable"/>
            </w:pPr>
            <w:r>
              <w:rPr>
                <w:sz w:val="16"/>
              </w:rPr>
              <w:t>BRID 7.1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6007"/>
            <w:tcMar>
              <w:top w:w="50" w:type="dxa"/>
              <w:bottom w:w="50" w:type="dxa"/>
              <w:left w:w="90" w:type="dxa"/>
              <w:right w:w="90" w:type="dxa"/>
            </w:tcMar>
            <w:shd w:val="clear" w:color="auto" w:fill="E5F5FF"/>
          </w:tcPr>
          <w:p>
            <w:pPr>
              <w:pStyle w:val="BDOITable"/>
            </w:pPr>
            <w:r>
              <w:rPr>
                <w:sz w:val="16"/>
              </w:rPr>
              <w:t>csh_pdc_item and the cashiering pick-up service</w:t>
            </w:r>
          </w:p>
        </w:tc>
        <w:tc>
          <w:tcPr>
            <w:tcW w:type="dxa" w:w="2163"/>
            <w:tcMar>
              <w:top w:w="50" w:type="dxa"/>
              <w:bottom w:w="50" w:type="dxa"/>
              <w:left w:w="90" w:type="dxa"/>
              <w:right w:w="90" w:type="dxa"/>
            </w:tcMar>
            <w:shd w:val="clear" w:color="auto" w:fill="E5F5FF"/>
          </w:tcPr>
          <w:p>
            <w:pPr>
              <w:pStyle w:val="BDOITable"/>
            </w:pPr>
            <w:r>
              <w:rPr>
                <w:sz w:val="16"/>
              </w:rPr>
              <w:t>BRID 5.1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6007"/>
            <w:tcMar>
              <w:top w:w="50" w:type="dxa"/>
              <w:bottom w:w="50" w:type="dxa"/>
              <w:left w:w="90" w:type="dxa"/>
              <w:right w:w="90" w:type="dxa"/>
            </w:tcMar>
          </w:tcPr>
          <w:p>
            <w:pPr>
              <w:pStyle w:val="BDOITable"/>
            </w:pPr>
            <w:r>
              <w:rPr>
                <w:sz w:val="16"/>
              </w:rPr>
              <w:t>bcl_claim through BCL_CLAIM_MIGRATION</w:t>
            </w:r>
          </w:p>
        </w:tc>
        <w:tc>
          <w:tcPr>
            <w:tcW w:type="dxa" w:w="2163"/>
            <w:tcMar>
              <w:top w:w="50" w:type="dxa"/>
              <w:bottom w:w="50" w:type="dxa"/>
              <w:left w:w="90" w:type="dxa"/>
              <w:right w:w="90" w:type="dxa"/>
            </w:tcMar>
          </w:tcPr>
          <w:p>
            <w:pPr>
              <w:pStyle w:val="BDOITable"/>
            </w:pPr>
            <w:r>
              <w:rPr>
                <w:sz w:val="16"/>
              </w:rPr>
              <w:t>CLQ14</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6007"/>
            <w:tcMar>
              <w:top w:w="50" w:type="dxa"/>
              <w:bottom w:w="50" w:type="dxa"/>
              <w:left w:w="90" w:type="dxa"/>
              <w:right w:w="90" w:type="dxa"/>
            </w:tcMar>
            <w:shd w:val="clear" w:color="auto" w:fill="E5F5FF"/>
          </w:tcPr>
          <w:p>
            <w:pPr>
              <w:pStyle w:val="BDOITable"/>
            </w:pPr>
            <w:r>
              <w:rPr>
                <w:sz w:val="16"/>
              </w:rPr>
              <w:t>jnl_batch, jnl_line (SystemJournalService, journal type OPENING)</w:t>
            </w:r>
          </w:p>
        </w:tc>
        <w:tc>
          <w:tcPr>
            <w:tcW w:type="dxa" w:w="2163"/>
            <w:tcMar>
              <w:top w:w="50" w:type="dxa"/>
              <w:bottom w:w="50" w:type="dxa"/>
              <w:left w:w="90" w:type="dxa"/>
              <w:right w:w="90" w:type="dxa"/>
            </w:tcMar>
            <w:shd w:val="clear" w:color="auto" w:fill="E5F5FF"/>
          </w:tcPr>
          <w:p>
            <w:pPr>
              <w:pStyle w:val="BDOITable"/>
            </w:pPr>
            <w:r>
              <w:rPr>
                <w:sz w:val="16"/>
              </w:rPr>
              <w:t>BRID 1.1b, 5.1-8.1</w:t>
            </w:r>
          </w:p>
        </w:tc>
        <w:tc>
          <w:tcPr>
            <w:tcW w:type="dxa" w:w="1021"/>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6007"/>
            <w:tcMar>
              <w:top w:w="50" w:type="dxa"/>
              <w:bottom w:w="50" w:type="dxa"/>
              <w:left w:w="90" w:type="dxa"/>
              <w:right w:w="90" w:type="dxa"/>
            </w:tcMar>
          </w:tcPr>
          <w:p>
            <w:pPr>
              <w:pStyle w:val="BDOITable"/>
            </w:pPr>
            <w:r>
              <w:rPr>
                <w:sz w:val="16"/>
              </w:rPr>
              <w:t>BIBS archive record type GL_JOURNAL</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6007"/>
            <w:tcMar>
              <w:top w:w="50" w:type="dxa"/>
              <w:bottom w:w="50" w:type="dxa"/>
              <w:left w:w="90" w:type="dxa"/>
              <w:right w:w="90" w:type="dxa"/>
            </w:tcMar>
            <w:shd w:val="clear" w:color="auto" w:fill="E5F5FF"/>
          </w:tcPr>
          <w:p>
            <w:pPr>
              <w:pStyle w:val="BDOITable"/>
            </w:pPr>
            <w:r>
              <w:rPr>
                <w:sz w:val="16"/>
              </w:rPr>
              <w:t>mig_archive_record (Legacy Inquiry)</w:t>
            </w:r>
          </w:p>
        </w:tc>
        <w:tc>
          <w:tcPr>
            <w:tcW w:type="dxa" w:w="2163"/>
            <w:tcMar>
              <w:top w:w="50" w:type="dxa"/>
              <w:bottom w:w="50" w:type="dxa"/>
              <w:left w:w="90" w:type="dxa"/>
              <w:right w:w="90" w:type="dxa"/>
            </w:tcMar>
            <w:shd w:val="clear" w:color="auto" w:fill="E5F5FF"/>
          </w:tcPr>
          <w:p>
            <w:pPr>
              <w:pStyle w:val="BDOITable"/>
            </w:pPr>
            <w:r>
              <w:rPr>
                <w:sz w:val="16"/>
              </w:rPr>
              <w:t>BRID 11.1</w:t>
            </w:r>
          </w:p>
        </w:tc>
        <w:tc>
          <w:tcPr>
            <w:tcW w:type="dxa" w:w="1021"/>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6007"/>
            <w:tcMar>
              <w:top w:w="50" w:type="dxa"/>
              <w:bottom w:w="50" w:type="dxa"/>
              <w:left w:w="90" w:type="dxa"/>
              <w:right w:w="90" w:type="dxa"/>
            </w:tcMar>
          </w:tcPr>
          <w:p>
            <w:pPr>
              <w:pStyle w:val="BDOITable"/>
            </w:pPr>
            <w:r>
              <w:rPr>
                <w:sz w:val="16"/>
              </w:rPr>
              <w:t>attachment (type LEGACY_DOCUMENT) linked to mig_archive_record</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bl>
    <w:p>
      <w:pPr>
        <w:pStyle w:val="BDOISpacer"/>
      </w:pPr>
    </w:p>
    <w:p>
      <w:pPr>
        <w:pStyle w:val="Heading2"/>
      </w:pPr>
      <w:bookmarkStart w:id="121" w:name="_Toc000121"/>
      <w:r>
        <w:rPr/>
        <w:t>5.2 How migrated records are marked</w:t>
      </w:r>
      <w:bookmarkEnd w:id="121"/>
    </w:p>
    <w:p>
      <w:pPr>
        <w:tabs>
          <w:tab w:pos="312" w:val="left"/>
        </w:tabs>
        <w:spacing w:after="40"/>
        <w:ind w:left="312" w:hanging="283"/>
      </w:pPr>
      <w:r>
        <w:rPr>
          <w:color w:val="004EA8"/>
        </w:rPr>
        <w:t>•</w:t>
        <w:tab/>
      </w:r>
      <w:r>
        <w:rPr>
          <w:b/>
        </w:rPr>
        <w:t>Origin.</w:t>
      </w:r>
      <w:r>
        <w:rPr/>
        <w:t xml:space="preserve"> Migrated clients, accounts and UPP carry origin MIGRATED; legacy invoices carry origin LEGACY and ledger context LEGACY. Screens show a LEGACY badge, the source system and the legacy number.</w:t>
      </w:r>
    </w:p>
    <w:p>
      <w:pPr>
        <w:tabs>
          <w:tab w:pos="312" w:val="left"/>
        </w:tabs>
        <w:spacing w:after="40"/>
        <w:ind w:left="312" w:hanging="283"/>
      </w:pPr>
      <w:r>
        <w:rPr>
          <w:color w:val="004EA8"/>
        </w:rPr>
        <w:t>•</w:t>
        <w:tab/>
      </w:r>
      <w:r>
        <w:rPr>
          <w:b/>
        </w:rPr>
        <w:t>Key cross-reference.</w:t>
      </w:r>
      <w:r>
        <w:rPr/>
        <w:t xml:space="preserve"> Every loaded record has a cross-reference from its legacy key (source system, object, legacy key) to the BIBS record. Users search clients and policies by their legacy numbers (FR-DM-033); reruns skip what is already loaded.</w:t>
      </w:r>
    </w:p>
    <w:p>
      <w:pPr>
        <w:tabs>
          <w:tab w:pos="312" w:val="left"/>
        </w:tabs>
        <w:spacing w:after="40"/>
        <w:ind w:left="312" w:hanging="283"/>
      </w:pPr>
      <w:r>
        <w:rPr>
          <w:color w:val="004EA8"/>
        </w:rPr>
        <w:t>•</w:t>
        <w:tab/>
      </w:r>
      <w:r>
        <w:rPr>
          <w:b/>
        </w:rPr>
        <w:t>No side effects.</w:t>
      </w:r>
      <w:r>
        <w:rPr/>
        <w:t xml:space="preserve"> Loads send no notification to clients or insurers, do not start onboarding workflows, and do not trigger sanction screening per client (one full screening run follows the client load, DMQ06, DCR-208).</w:t>
      </w:r>
    </w:p>
    <w:p>
      <w:pPr>
        <w:tabs>
          <w:tab w:pos="312" w:val="left"/>
        </w:tabs>
        <w:spacing w:after="120"/>
        <w:ind w:left="312" w:hanging="283"/>
      </w:pPr>
      <w:r>
        <w:rPr>
          <w:color w:val="004EA8"/>
        </w:rPr>
        <w:t>•</w:t>
        <w:tab/>
      </w:r>
      <w:r>
        <w:rPr>
          <w:b/>
        </w:rPr>
        <w:t>Frozen original values.</w:t>
      </w:r>
      <w:r>
        <w:rPr/>
        <w:t xml:space="preserve"> The values of each legacy invoice at load are frozen. The Prod Recon legacy change report compares every later change with them (BRID 10.1).</w:t>
      </w:r>
    </w:p>
    <w:p>
      <w:pPr>
        <w:pStyle w:val="Heading1"/>
        <w:pageBreakBefore/>
        <w:pBdr>
          <w:bottom w:val="single" w:sz="4" w:space="4" w:color="99C1E7"/>
        </w:pBdr>
      </w:pPr>
      <w:bookmarkStart w:id="122" w:name="_Toc000122"/>
      <w:r>
        <w:rPr/>
        <w:t>6 Migration approach</w:t>
      </w:r>
      <w:bookmarkEnd w:id="122"/>
    </w:p>
    <w:p>
      <w:pPr>
        <w:pStyle w:val="Heading2"/>
      </w:pPr>
      <w:bookmarkStart w:id="123" w:name="_Toc000123"/>
      <w:r>
        <w:rPr/>
        <w:t>6.1 End-to-end process</w:t>
      </w:r>
      <w:bookmarkEnd w:id="123"/>
    </w:p>
    <w:p>
      <w:r>
        <w:rPr/>
        <w:t>Figure 1 shows the steps every object goes through, and who does each step.</w:t>
      </w:r>
    </w:p>
    <w:p>
      <w:pPr>
        <w:keepNext/>
        <w:spacing w:before="80" w:after="0"/>
        <w:jc w:val="center"/>
      </w:pPr>
      <w:r>
        <w:drawing>
          <wp:inline xmlns:a="http://schemas.openxmlformats.org/drawingml/2006/main" xmlns:pic="http://schemas.openxmlformats.org/drawingml/2006/picture">
            <wp:extent cx="5381149" cy="6779520"/>
            <wp:docPr id="3" name="Picture 3"/>
            <wp:cNvGraphicFramePr>
              <a:graphicFrameLocks noChangeAspect="1"/>
            </wp:cNvGraphicFramePr>
            <a:graphic>
              <a:graphicData uri="http://schemas.openxmlformats.org/drawingml/2006/picture">
                <pic:pic>
                  <pic:nvPicPr>
                    <pic:cNvPr id="0" name="dm_pipeline.png"/>
                    <pic:cNvPicPr/>
                  </pic:nvPicPr>
                  <pic:blipFill>
                    <a:blip r:embed="rId15"/>
                    <a:stretch>
                      <a:fillRect/>
                    </a:stretch>
                  </pic:blipFill>
                  <pic:spPr>
                    <a:xfrm>
                      <a:off x="0" y="0"/>
                      <a:ext cx="5381149" cy="6779520"/>
                    </a:xfrm>
                    <a:prstGeom prst="rect"/>
                  </pic:spPr>
                </pic:pic>
              </a:graphicData>
            </a:graphic>
          </wp:inline>
        </w:drawing>
      </w:r>
    </w:p>
    <w:p>
      <w:pPr>
        <w:pStyle w:val="Caption"/>
        <w:jc w:val="center"/>
      </w:pPr>
      <w:r>
        <w:rPr>
          <w:b/>
          <w:i w:val="0"/>
        </w:rPr>
        <w:t xml:space="preserve">Figure 1: </w:t>
      </w:r>
      <w:r>
        <w:rPr/>
        <w:t>Migration pipeline per data object: BDOI steps (left) and BIBS Migration Console steps (right)</w:t>
      </w:r>
    </w:p>
    <w:p>
      <w:pPr>
        <w:pStyle w:val="Caption"/>
        <w:keepNext/>
        <w:spacing w:after="60"/>
      </w:pPr>
      <w:r>
        <w:rPr>
          <w:b/>
          <w:i w:val="0"/>
        </w:rPr>
        <w:t xml:space="preserve">Table 12: </w:t>
      </w:r>
      <w:r>
        <w:rPr/>
        <w:t>Steps, responsibilities and evidence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0"/>
        <w:gridCol w:w="2162"/>
        <w:gridCol w:w="3364"/>
        <w:gridCol w:w="2162"/>
        <w:gridCol w:w="1862"/>
      </w:tblGrid>
      <w:tr>
        <w:trPr>
          <w:tblHeader w:val="true"/>
          <w:cantSplit w:val="true"/>
        </w:trPr>
        <w:tc>
          <w:tcPr>
            <w:tcW w:type="dxa" w:w="4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21"/>
            <w:tcMar>
              <w:top w:w="50" w:type="dxa"/>
              <w:bottom w:w="50" w:type="dxa"/>
              <w:left w:w="90" w:type="dxa"/>
              <w:right w:w="90" w:type="dxa"/>
            </w:tcMar>
          </w:tcPr>
          <w:p>
            <w:pPr>
              <w:pStyle w:val="BDOITable"/>
            </w:pPr>
            <w:r>
              <w:rPr>
                <w:sz w:val="17"/>
              </w:rPr>
              <w:t>1</w:t>
            </w:r>
          </w:p>
        </w:tc>
        <w:tc>
          <w:tcPr>
            <w:tcW w:type="dxa" w:w="2163"/>
            <w:tcMar>
              <w:top w:w="50" w:type="dxa"/>
              <w:bottom w:w="50" w:type="dxa"/>
              <w:left w:w="90" w:type="dxa"/>
              <w:right w:w="90" w:type="dxa"/>
            </w:tcMar>
          </w:tcPr>
          <w:p>
            <w:pPr>
              <w:pStyle w:val="BDOITable"/>
            </w:pPr>
            <w:r>
              <w:rPr>
                <w:sz w:val="17"/>
              </w:rPr>
              <w:t>Extract</w:t>
            </w:r>
          </w:p>
        </w:tc>
        <w:tc>
          <w:tcPr>
            <w:tcW w:type="dxa" w:w="3364"/>
            <w:tcMar>
              <w:top w:w="50" w:type="dxa"/>
              <w:bottom w:w="50" w:type="dxa"/>
              <w:left w:w="90" w:type="dxa"/>
              <w:right w:w="90" w:type="dxa"/>
            </w:tcMar>
          </w:tcPr>
          <w:p>
            <w:pPr>
              <w:pStyle w:val="BDOITable"/>
            </w:pPr>
            <w:r>
              <w:rPr>
                <w:sz w:val="17"/>
              </w:rPr>
              <w:t>BDOI IT extracts each object in the agreed layout with its control file</w:t>
            </w:r>
          </w:p>
        </w:tc>
        <w:tc>
          <w:tcPr>
            <w:tcW w:type="dxa" w:w="2163"/>
            <w:tcMar>
              <w:top w:w="50" w:type="dxa"/>
              <w:bottom w:w="50" w:type="dxa"/>
              <w:left w:w="90" w:type="dxa"/>
              <w:right w:w="90" w:type="dxa"/>
            </w:tcMar>
          </w:tcPr>
          <w:p>
            <w:pPr>
              <w:pStyle w:val="BDOITable"/>
            </w:pPr>
            <w:r>
              <w:rPr>
                <w:sz w:val="17"/>
              </w:rPr>
              <w:t>BDOI IT</w:t>
            </w:r>
          </w:p>
        </w:tc>
        <w:tc>
          <w:tcPr>
            <w:tcW w:type="dxa" w:w="1862"/>
            <w:tcMar>
              <w:top w:w="50" w:type="dxa"/>
              <w:bottom w:w="50" w:type="dxa"/>
              <w:left w:w="90" w:type="dxa"/>
              <w:right w:w="90" w:type="dxa"/>
            </w:tcMar>
          </w:tcPr>
          <w:p>
            <w:pPr>
              <w:pStyle w:val="BDOITable"/>
            </w:pPr>
            <w:r>
              <w:rPr>
                <w:sz w:val="17"/>
              </w:rPr>
              <w:t>Data file and control file</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2</w:t>
            </w:r>
          </w:p>
        </w:tc>
        <w:tc>
          <w:tcPr>
            <w:tcW w:type="dxa" w:w="2163"/>
            <w:tcMar>
              <w:top w:w="50" w:type="dxa"/>
              <w:bottom w:w="50" w:type="dxa"/>
              <w:left w:w="90" w:type="dxa"/>
              <w:right w:w="90" w:type="dxa"/>
            </w:tcMar>
            <w:shd w:val="clear" w:color="auto" w:fill="E5F5FF"/>
          </w:tcPr>
          <w:p>
            <w:pPr>
              <w:pStyle w:val="BDOITable"/>
            </w:pPr>
            <w:r>
              <w:rPr>
                <w:sz w:val="17"/>
              </w:rPr>
              <w:t>Secure transfer</w:t>
            </w:r>
          </w:p>
        </w:tc>
        <w:tc>
          <w:tcPr>
            <w:tcW w:type="dxa" w:w="3364"/>
            <w:tcMar>
              <w:top w:w="50" w:type="dxa"/>
              <w:bottom w:w="50" w:type="dxa"/>
              <w:left w:w="90" w:type="dxa"/>
              <w:right w:w="90" w:type="dxa"/>
            </w:tcMar>
            <w:shd w:val="clear" w:color="auto" w:fill="E5F5FF"/>
          </w:tcPr>
          <w:p>
            <w:pPr>
              <w:pStyle w:val="BDOITable"/>
            </w:pPr>
            <w:r>
              <w:rPr>
                <w:sz w:val="17"/>
              </w:rPr>
              <w:t>Files are uploaded in the Migration Console or dropped on the agreed SFTP folder; never e-mailed</w:t>
            </w:r>
          </w:p>
        </w:tc>
        <w:tc>
          <w:tcPr>
            <w:tcW w:type="dxa" w:w="2163"/>
            <w:tcMar>
              <w:top w:w="50" w:type="dxa"/>
              <w:bottom w:w="50" w:type="dxa"/>
              <w:left w:w="90" w:type="dxa"/>
              <w:right w:w="90" w:type="dxa"/>
            </w:tcMar>
            <w:shd w:val="clear" w:color="auto" w:fill="E5F5FF"/>
          </w:tcPr>
          <w:p>
            <w:pPr>
              <w:pStyle w:val="BDOITable"/>
            </w:pPr>
            <w:r>
              <w:rPr>
                <w:sz w:val="17"/>
              </w:rPr>
              <w:t>BDOI IT</w:t>
            </w:r>
          </w:p>
        </w:tc>
        <w:tc>
          <w:tcPr>
            <w:tcW w:type="dxa" w:w="1862"/>
            <w:tcMar>
              <w:top w:w="50" w:type="dxa"/>
              <w:bottom w:w="50" w:type="dxa"/>
              <w:left w:w="90" w:type="dxa"/>
              <w:right w:w="90" w:type="dxa"/>
            </w:tcMar>
            <w:shd w:val="clear" w:color="auto" w:fill="E5F5FF"/>
          </w:tcPr>
          <w:p>
            <w:pPr>
              <w:pStyle w:val="BDOITable"/>
            </w:pPr>
            <w:r>
              <w:rPr>
                <w:sz w:val="17"/>
              </w:rPr>
              <w:t>Upload log with SHA-256</w:t>
            </w:r>
          </w:p>
        </w:tc>
      </w:tr>
      <w:tr>
        <w:trPr>
          <w:cantSplit w:val="true"/>
        </w:trPr>
        <w:tc>
          <w:tcPr>
            <w:tcW w:type="dxa" w:w="421"/>
            <w:tcMar>
              <w:top w:w="50" w:type="dxa"/>
              <w:bottom w:w="50" w:type="dxa"/>
              <w:left w:w="90" w:type="dxa"/>
              <w:right w:w="90" w:type="dxa"/>
            </w:tcMar>
          </w:tcPr>
          <w:p>
            <w:pPr>
              <w:pStyle w:val="BDOITable"/>
            </w:pPr>
            <w:r>
              <w:rPr>
                <w:sz w:val="17"/>
              </w:rPr>
              <w:t>3</w:t>
            </w:r>
          </w:p>
        </w:tc>
        <w:tc>
          <w:tcPr>
            <w:tcW w:type="dxa" w:w="2163"/>
            <w:tcMar>
              <w:top w:w="50" w:type="dxa"/>
              <w:bottom w:w="50" w:type="dxa"/>
              <w:left w:w="90" w:type="dxa"/>
              <w:right w:w="90" w:type="dxa"/>
            </w:tcMar>
          </w:tcPr>
          <w:p>
            <w:pPr>
              <w:pStyle w:val="BDOITable"/>
            </w:pPr>
            <w:r>
              <w:rPr>
                <w:sz w:val="17"/>
              </w:rPr>
              <w:t>Intake checks</w:t>
            </w:r>
          </w:p>
        </w:tc>
        <w:tc>
          <w:tcPr>
            <w:tcW w:type="dxa" w:w="3364"/>
            <w:tcMar>
              <w:top w:w="50" w:type="dxa"/>
              <w:bottom w:w="50" w:type="dxa"/>
              <w:left w:w="90" w:type="dxa"/>
              <w:right w:w="90" w:type="dxa"/>
            </w:tcMar>
          </w:tcPr>
          <w:p>
            <w:pPr>
              <w:pStyle w:val="BDOITable"/>
            </w:pPr>
            <w:r>
              <w:rPr>
                <w:sz w:val="17"/>
              </w:rPr>
              <w:t>BIBS checks checksum, header, row count, amount totals and hash total against the control file; a failing file is rejected as a whole</w:t>
            </w:r>
          </w:p>
        </w:tc>
        <w:tc>
          <w:tcPr>
            <w:tcW w:type="dxa" w:w="2163"/>
            <w:tcMar>
              <w:top w:w="50" w:type="dxa"/>
              <w:bottom w:w="50" w:type="dxa"/>
              <w:left w:w="90" w:type="dxa"/>
              <w:right w:w="90" w:type="dxa"/>
            </w:tcMar>
          </w:tcPr>
          <w:p>
            <w:pPr>
              <w:pStyle w:val="BDOITable"/>
            </w:pPr>
            <w:r>
              <w:rPr>
                <w:sz w:val="17"/>
              </w:rPr>
              <w:t>iorta Migration Operator</w:t>
            </w:r>
          </w:p>
        </w:tc>
        <w:tc>
          <w:tcPr>
            <w:tcW w:type="dxa" w:w="1862"/>
            <w:tcMar>
              <w:top w:w="50" w:type="dxa"/>
              <w:bottom w:w="50" w:type="dxa"/>
              <w:left w:w="90" w:type="dxa"/>
              <w:right w:w="90" w:type="dxa"/>
            </w:tcMar>
          </w:tcPr>
          <w:p>
            <w:pPr>
              <w:pStyle w:val="BDOITable"/>
            </w:pPr>
            <w:r>
              <w:rPr>
                <w:sz w:val="17"/>
              </w:rPr>
              <w:t>Extract status CHECKED or REJECTED</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4</w:t>
            </w:r>
          </w:p>
        </w:tc>
        <w:tc>
          <w:tcPr>
            <w:tcW w:type="dxa" w:w="2163"/>
            <w:tcMar>
              <w:top w:w="50" w:type="dxa"/>
              <w:bottom w:w="50" w:type="dxa"/>
              <w:left w:w="90" w:type="dxa"/>
              <w:right w:w="90" w:type="dxa"/>
            </w:tcMar>
            <w:shd w:val="clear" w:color="auto" w:fill="E5F5FF"/>
          </w:tcPr>
          <w:p>
            <w:pPr>
              <w:pStyle w:val="BDOITable"/>
            </w:pPr>
            <w:r>
              <w:rPr>
                <w:sz w:val="17"/>
              </w:rPr>
              <w:t>Staging and profiling</w:t>
            </w:r>
          </w:p>
        </w:tc>
        <w:tc>
          <w:tcPr>
            <w:tcW w:type="dxa" w:w="3364"/>
            <w:tcMar>
              <w:top w:w="50" w:type="dxa"/>
              <w:bottom w:w="50" w:type="dxa"/>
              <w:left w:w="90" w:type="dxa"/>
              <w:right w:w="90" w:type="dxa"/>
            </w:tcMar>
            <w:shd w:val="clear" w:color="auto" w:fill="E5F5FF"/>
          </w:tcPr>
          <w:p>
            <w:pPr>
              <w:pStyle w:val="BDOITable"/>
            </w:pPr>
            <w:r>
              <w:rPr>
                <w:sz w:val="17"/>
              </w:rPr>
              <w:t>Rows are staged (masked outside production) and profiled; the profiling report goes to the data stewards</w:t>
            </w:r>
          </w:p>
        </w:tc>
        <w:tc>
          <w:tcPr>
            <w:tcW w:type="dxa" w:w="2163"/>
            <w:tcMar>
              <w:top w:w="50" w:type="dxa"/>
              <w:bottom w:w="50" w:type="dxa"/>
              <w:left w:w="90" w:type="dxa"/>
              <w:right w:w="90" w:type="dxa"/>
            </w:tcMar>
            <w:shd w:val="clear" w:color="auto" w:fill="E5F5FF"/>
          </w:tcPr>
          <w:p>
            <w:pPr>
              <w:pStyle w:val="BDOITable"/>
            </w:pPr>
            <w:r>
              <w:rPr>
                <w:sz w:val="17"/>
              </w:rPr>
              <w:t>iorta Migration Lead</w:t>
            </w:r>
          </w:p>
        </w:tc>
        <w:tc>
          <w:tcPr>
            <w:tcW w:type="dxa" w:w="1862"/>
            <w:tcMar>
              <w:top w:w="50" w:type="dxa"/>
              <w:bottom w:w="50" w:type="dxa"/>
              <w:left w:w="90" w:type="dxa"/>
              <w:right w:w="90" w:type="dxa"/>
            </w:tcMar>
            <w:shd w:val="clear" w:color="auto" w:fill="E5F5FF"/>
          </w:tcPr>
          <w:p>
            <w:pPr>
              <w:pStyle w:val="BDOITable"/>
            </w:pPr>
            <w:r>
              <w:rPr>
                <w:sz w:val="17"/>
              </w:rPr>
              <w:t>Profiling report per object</w:t>
            </w:r>
          </w:p>
        </w:tc>
      </w:tr>
      <w:tr>
        <w:trPr>
          <w:cantSplit w:val="true"/>
        </w:trPr>
        <w:tc>
          <w:tcPr>
            <w:tcW w:type="dxa" w:w="421"/>
            <w:tcMar>
              <w:top w:w="50" w:type="dxa"/>
              <w:bottom w:w="50" w:type="dxa"/>
              <w:left w:w="90" w:type="dxa"/>
              <w:right w:w="90" w:type="dxa"/>
            </w:tcMar>
          </w:tcPr>
          <w:p>
            <w:pPr>
              <w:pStyle w:val="BDOITable"/>
            </w:pPr>
            <w:r>
              <w:rPr>
                <w:sz w:val="17"/>
              </w:rPr>
              <w:t>5</w:t>
            </w:r>
          </w:p>
        </w:tc>
        <w:tc>
          <w:tcPr>
            <w:tcW w:type="dxa" w:w="2163"/>
            <w:tcMar>
              <w:top w:w="50" w:type="dxa"/>
              <w:bottom w:w="50" w:type="dxa"/>
              <w:left w:w="90" w:type="dxa"/>
              <w:right w:w="90" w:type="dxa"/>
            </w:tcMar>
          </w:tcPr>
          <w:p>
            <w:pPr>
              <w:pStyle w:val="BDOITable"/>
            </w:pPr>
            <w:r>
              <w:rPr>
                <w:sz w:val="17"/>
              </w:rPr>
              <w:t>Cleansing</w:t>
            </w:r>
          </w:p>
        </w:tc>
        <w:tc>
          <w:tcPr>
            <w:tcW w:type="dxa" w:w="3364"/>
            <w:tcMar>
              <w:top w:w="50" w:type="dxa"/>
              <w:bottom w:w="50" w:type="dxa"/>
              <w:left w:w="90" w:type="dxa"/>
              <w:right w:w="90" w:type="dxa"/>
            </w:tcMar>
          </w:tcPr>
          <w:p>
            <w:pPr>
              <w:pStyle w:val="BDOITable"/>
            </w:pPr>
            <w:r>
              <w:rPr>
                <w:sz w:val="17"/>
              </w:rPr>
              <w:t>Issues at source are fixed in legacy by the stewards (5b); formats, defaults and mapped values are handled in staging (5a)</w:t>
            </w:r>
          </w:p>
        </w:tc>
        <w:tc>
          <w:tcPr>
            <w:tcW w:type="dxa" w:w="2163"/>
            <w:tcMar>
              <w:top w:w="50" w:type="dxa"/>
              <w:bottom w:w="50" w:type="dxa"/>
              <w:left w:w="90" w:type="dxa"/>
              <w:right w:w="90" w:type="dxa"/>
            </w:tcMar>
          </w:tcPr>
          <w:p>
            <w:pPr>
              <w:pStyle w:val="BDOITable"/>
            </w:pPr>
            <w:r>
              <w:rPr>
                <w:sz w:val="17"/>
              </w:rPr>
              <w:t>BDOI data stewards; iorta</w:t>
            </w:r>
          </w:p>
        </w:tc>
        <w:tc>
          <w:tcPr>
            <w:tcW w:type="dxa" w:w="1862"/>
            <w:tcMar>
              <w:top w:w="50" w:type="dxa"/>
              <w:bottom w:w="50" w:type="dxa"/>
              <w:left w:w="90" w:type="dxa"/>
              <w:right w:w="90" w:type="dxa"/>
            </w:tcMar>
          </w:tcPr>
          <w:p>
            <w:pPr>
              <w:pStyle w:val="BDOITable"/>
            </w:pPr>
            <w:r>
              <w:rPr>
                <w:sz w:val="17"/>
              </w:rPr>
              <w:t>Issue log (MIG-DQ-ISSUES)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6</w:t>
            </w:r>
          </w:p>
        </w:tc>
        <w:tc>
          <w:tcPr>
            <w:tcW w:type="dxa" w:w="2163"/>
            <w:tcMar>
              <w:top w:w="50" w:type="dxa"/>
              <w:bottom w:w="50" w:type="dxa"/>
              <w:left w:w="90" w:type="dxa"/>
              <w:right w:w="90" w:type="dxa"/>
            </w:tcMar>
            <w:shd w:val="clear" w:color="auto" w:fill="E5F5FF"/>
          </w:tcPr>
          <w:p>
            <w:pPr>
              <w:pStyle w:val="BDOITable"/>
            </w:pPr>
            <w:r>
              <w:rPr>
                <w:sz w:val="17"/>
              </w:rPr>
              <w:t>Mapping</w:t>
            </w:r>
          </w:p>
        </w:tc>
        <w:tc>
          <w:tcPr>
            <w:tcW w:type="dxa" w:w="3364"/>
            <w:tcMar>
              <w:top w:w="50" w:type="dxa"/>
              <w:bottom w:w="50" w:type="dxa"/>
              <w:left w:w="90" w:type="dxa"/>
              <w:right w:w="90" w:type="dxa"/>
            </w:tcMar>
            <w:shd w:val="clear" w:color="auto" w:fill="E5F5FF"/>
          </w:tcPr>
          <w:p>
            <w:pPr>
              <w:pStyle w:val="BDOITable"/>
            </w:pPr>
            <w:r>
              <w:rPr>
                <w:sz w:val="17"/>
              </w:rPr>
              <w:t>Legacy codes are mapped to BIBS codes in versioned code maps; the business owner approves each version (G2)</w:t>
            </w:r>
          </w:p>
        </w:tc>
        <w:tc>
          <w:tcPr>
            <w:tcW w:type="dxa" w:w="2163"/>
            <w:tcMar>
              <w:top w:w="50" w:type="dxa"/>
              <w:bottom w:w="50" w:type="dxa"/>
              <w:left w:w="90" w:type="dxa"/>
              <w:right w:w="90" w:type="dxa"/>
            </w:tcMar>
            <w:shd w:val="clear" w:color="auto" w:fill="E5F5FF"/>
          </w:tcPr>
          <w:p>
            <w:pPr>
              <w:pStyle w:val="BDOITable"/>
            </w:pPr>
            <w:r>
              <w:rPr>
                <w:sz w:val="17"/>
              </w:rPr>
              <w:t>Data steward prepares; owner approves</w:t>
            </w:r>
          </w:p>
        </w:tc>
        <w:tc>
          <w:tcPr>
            <w:tcW w:type="dxa" w:w="1862"/>
            <w:tcMar>
              <w:top w:w="50" w:type="dxa"/>
              <w:bottom w:w="50" w:type="dxa"/>
              <w:left w:w="90" w:type="dxa"/>
              <w:right w:w="90" w:type="dxa"/>
            </w:tcMar>
            <w:shd w:val="clear" w:color="auto" w:fill="E5F5FF"/>
          </w:tcPr>
          <w:p>
            <w:pPr>
              <w:pStyle w:val="BDOITable"/>
            </w:pPr>
            <w:r>
              <w:rPr>
                <w:sz w:val="17"/>
              </w:rPr>
              <w:t>MIG-MAP-VERSIONS, MIG-UNMAPPED-CODES</w:t>
            </w:r>
          </w:p>
        </w:tc>
      </w:tr>
      <w:tr>
        <w:trPr>
          <w:cantSplit w:val="true"/>
        </w:trPr>
        <w:tc>
          <w:tcPr>
            <w:tcW w:type="dxa" w:w="421"/>
            <w:tcMar>
              <w:top w:w="50" w:type="dxa"/>
              <w:bottom w:w="50" w:type="dxa"/>
              <w:left w:w="90" w:type="dxa"/>
              <w:right w:w="90" w:type="dxa"/>
            </w:tcMar>
          </w:tcPr>
          <w:p>
            <w:pPr>
              <w:pStyle w:val="BDOITable"/>
            </w:pPr>
            <w:r>
              <w:rPr>
                <w:sz w:val="17"/>
              </w:rPr>
              <w:t>7</w:t>
            </w:r>
          </w:p>
        </w:tc>
        <w:tc>
          <w:tcPr>
            <w:tcW w:type="dxa" w:w="2163"/>
            <w:tcMar>
              <w:top w:w="50" w:type="dxa"/>
              <w:bottom w:w="50" w:type="dxa"/>
              <w:left w:w="90" w:type="dxa"/>
              <w:right w:w="90" w:type="dxa"/>
            </w:tcMar>
          </w:tcPr>
          <w:p>
            <w:pPr>
              <w:pStyle w:val="BDOITable"/>
            </w:pPr>
            <w:r>
              <w:rPr>
                <w:sz w:val="17"/>
              </w:rPr>
              <w:t>Validation and matching</w:t>
            </w:r>
          </w:p>
        </w:tc>
        <w:tc>
          <w:tcPr>
            <w:tcW w:type="dxa" w:w="3364"/>
            <w:tcMar>
              <w:top w:w="50" w:type="dxa"/>
              <w:bottom w:w="50" w:type="dxa"/>
              <w:left w:w="90" w:type="dxa"/>
              <w:right w:w="90" w:type="dxa"/>
            </w:tcMar>
          </w:tcPr>
          <w:p>
            <w:pPr>
              <w:pStyle w:val="BDOITable"/>
            </w:pPr>
            <w:r>
              <w:rPr>
                <w:sz w:val="17"/>
              </w:rPr>
              <w:t>Data-quality rules run on every row; clients are matched and deduplicated (G3)</w:t>
            </w:r>
          </w:p>
        </w:tc>
        <w:tc>
          <w:tcPr>
            <w:tcW w:type="dxa" w:w="2163"/>
            <w:tcMar>
              <w:top w:w="50" w:type="dxa"/>
              <w:bottom w:w="50" w:type="dxa"/>
              <w:left w:w="90" w:type="dxa"/>
              <w:right w:w="90" w:type="dxa"/>
            </w:tcMar>
          </w:tcPr>
          <w:p>
            <w:pPr>
              <w:pStyle w:val="BDOITable"/>
            </w:pPr>
            <w:r>
              <w:rPr>
                <w:sz w:val="17"/>
              </w:rPr>
              <w:t>BIBS; Data steward</w:t>
            </w:r>
          </w:p>
        </w:tc>
        <w:tc>
          <w:tcPr>
            <w:tcW w:type="dxa" w:w="1862"/>
            <w:tcMar>
              <w:top w:w="50" w:type="dxa"/>
              <w:bottom w:w="50" w:type="dxa"/>
              <w:left w:w="90" w:type="dxa"/>
              <w:right w:w="90" w:type="dxa"/>
            </w:tcMar>
          </w:tcPr>
          <w:p>
            <w:pPr>
              <w:pStyle w:val="BDOITable"/>
            </w:pPr>
            <w:r>
              <w:rPr>
                <w:sz w:val="17"/>
              </w:rPr>
              <w:t>MIG-DQ-ISSUES, MIG-CLIENT-MATCH</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8</w:t>
            </w:r>
          </w:p>
        </w:tc>
        <w:tc>
          <w:tcPr>
            <w:tcW w:type="dxa" w:w="2163"/>
            <w:tcMar>
              <w:top w:w="50" w:type="dxa"/>
              <w:bottom w:w="50" w:type="dxa"/>
              <w:left w:w="90" w:type="dxa"/>
              <w:right w:w="90" w:type="dxa"/>
            </w:tcMar>
            <w:shd w:val="clear" w:color="auto" w:fill="E5F5FF"/>
          </w:tcPr>
          <w:p>
            <w:pPr>
              <w:pStyle w:val="BDOITable"/>
            </w:pPr>
            <w:r>
              <w:rPr>
                <w:sz w:val="17"/>
              </w:rPr>
              <w:t>Load</w:t>
            </w:r>
          </w:p>
        </w:tc>
        <w:tc>
          <w:tcPr>
            <w:tcW w:type="dxa" w:w="3364"/>
            <w:tcMar>
              <w:top w:w="50" w:type="dxa"/>
              <w:bottom w:w="50" w:type="dxa"/>
              <w:left w:w="90" w:type="dxa"/>
              <w:right w:w="90" w:type="dxa"/>
            </w:tcMar>
            <w:shd w:val="clear" w:color="auto" w:fill="E5F5FF"/>
          </w:tcPr>
          <w:p>
            <w:pPr>
              <w:pStyle w:val="BDOITable"/>
            </w:pPr>
            <w:r>
              <w:rPr>
                <w:sz w:val="17"/>
              </w:rPr>
              <w:t>Approved batches load through the BIBS services (G4)</w:t>
            </w:r>
          </w:p>
        </w:tc>
        <w:tc>
          <w:tcPr>
            <w:tcW w:type="dxa" w:w="2163"/>
            <w:tcMar>
              <w:top w:w="50" w:type="dxa"/>
              <w:bottom w:w="50" w:type="dxa"/>
              <w:left w:w="90" w:type="dxa"/>
              <w:right w:w="90" w:type="dxa"/>
            </w:tcMar>
            <w:shd w:val="clear" w:color="auto" w:fill="E5F5FF"/>
          </w:tcPr>
          <w:p>
            <w:pPr>
              <w:pStyle w:val="BDOITable"/>
            </w:pPr>
            <w:r>
              <w:rPr>
                <w:sz w:val="17"/>
              </w:rPr>
              <w:t>Data Migration Lead approves; iorta runs</w:t>
            </w:r>
          </w:p>
        </w:tc>
        <w:tc>
          <w:tcPr>
            <w:tcW w:type="dxa" w:w="1862"/>
            <w:tcMar>
              <w:top w:w="50" w:type="dxa"/>
              <w:bottom w:w="50" w:type="dxa"/>
              <w:left w:w="90" w:type="dxa"/>
              <w:right w:w="90" w:type="dxa"/>
            </w:tcMar>
            <w:shd w:val="clear" w:color="auto" w:fill="E5F5FF"/>
          </w:tcPr>
          <w:p>
            <w:pPr>
              <w:pStyle w:val="BDOITable"/>
            </w:pPr>
            <w:r>
              <w:rPr>
                <w:sz w:val="17"/>
              </w:rPr>
              <w:t>Batch log, MIG-REJECTS</w:t>
            </w:r>
          </w:p>
        </w:tc>
      </w:tr>
      <w:tr>
        <w:trPr>
          <w:cantSplit w:val="true"/>
        </w:trPr>
        <w:tc>
          <w:tcPr>
            <w:tcW w:type="dxa" w:w="421"/>
            <w:tcMar>
              <w:top w:w="50" w:type="dxa"/>
              <w:bottom w:w="50" w:type="dxa"/>
              <w:left w:w="90" w:type="dxa"/>
              <w:right w:w="90" w:type="dxa"/>
            </w:tcMar>
          </w:tcPr>
          <w:p>
            <w:pPr>
              <w:pStyle w:val="BDOITable"/>
            </w:pPr>
            <w:r>
              <w:rPr>
                <w:sz w:val="17"/>
              </w:rPr>
              <w:t>9</w:t>
            </w:r>
          </w:p>
        </w:tc>
        <w:tc>
          <w:tcPr>
            <w:tcW w:type="dxa" w:w="2163"/>
            <w:tcMar>
              <w:top w:w="50" w:type="dxa"/>
              <w:bottom w:w="50" w:type="dxa"/>
              <w:left w:w="90" w:type="dxa"/>
              <w:right w:w="90" w:type="dxa"/>
            </w:tcMar>
          </w:tcPr>
          <w:p>
            <w:pPr>
              <w:pStyle w:val="BDOITable"/>
            </w:pPr>
            <w:r>
              <w:rPr>
                <w:sz w:val="17"/>
              </w:rPr>
              <w:t>Reconciliation</w:t>
            </w:r>
          </w:p>
        </w:tc>
        <w:tc>
          <w:tcPr>
            <w:tcW w:type="dxa" w:w="3364"/>
            <w:tcMar>
              <w:top w:w="50" w:type="dxa"/>
              <w:bottom w:w="50" w:type="dxa"/>
              <w:left w:w="90" w:type="dxa"/>
              <w:right w:w="90" w:type="dxa"/>
            </w:tcMar>
          </w:tcPr>
          <w:p>
            <w:pPr>
              <w:pStyle w:val="BDOITable"/>
            </w:pPr>
            <w:r>
              <w:rPr>
                <w:sz w:val="17"/>
              </w:rPr>
              <w:t>L1 counts, L2 amounts, L3 hash totals, L4 fields, L5 GL; breaks explained (G5)</w:t>
            </w:r>
          </w:p>
        </w:tc>
        <w:tc>
          <w:tcPr>
            <w:tcW w:type="dxa" w:w="2163"/>
            <w:tcMar>
              <w:top w:w="50" w:type="dxa"/>
              <w:bottom w:w="50" w:type="dxa"/>
              <w:left w:w="90" w:type="dxa"/>
              <w:right w:w="90" w:type="dxa"/>
            </w:tcMar>
          </w:tcPr>
          <w:p>
            <w:pPr>
              <w:pStyle w:val="BDOITable"/>
            </w:pPr>
            <w:r>
              <w:rPr>
                <w:sz w:val="17"/>
              </w:rPr>
              <w:t>Reconciliation approver</w:t>
            </w:r>
          </w:p>
        </w:tc>
        <w:tc>
          <w:tcPr>
            <w:tcW w:type="dxa" w:w="1862"/>
            <w:tcMar>
              <w:top w:w="50" w:type="dxa"/>
              <w:bottom w:w="50" w:type="dxa"/>
              <w:left w:w="90" w:type="dxa"/>
              <w:right w:w="90" w:type="dxa"/>
            </w:tcMar>
          </w:tcPr>
          <w:p>
            <w:pPr>
              <w:pStyle w:val="BDOITable"/>
            </w:pPr>
            <w:r>
              <w:rPr>
                <w:sz w:val="17"/>
              </w:rPr>
              <w:t>MIG-RECON-SUMMARY, MIG-GL-CLEARING</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10</w:t>
            </w:r>
          </w:p>
        </w:tc>
        <w:tc>
          <w:tcPr>
            <w:tcW w:type="dxa" w:w="2163"/>
            <w:tcMar>
              <w:top w:w="50" w:type="dxa"/>
              <w:bottom w:w="50" w:type="dxa"/>
              <w:left w:w="90" w:type="dxa"/>
              <w:right w:w="90" w:type="dxa"/>
            </w:tcMar>
            <w:shd w:val="clear" w:color="auto" w:fill="E5F5FF"/>
          </w:tcPr>
          <w:p>
            <w:pPr>
              <w:pStyle w:val="BDOITable"/>
            </w:pPr>
            <w:r>
              <w:rPr>
                <w:sz w:val="17"/>
              </w:rPr>
              <w:t>Acceptance</w:t>
            </w:r>
          </w:p>
        </w:tc>
        <w:tc>
          <w:tcPr>
            <w:tcW w:type="dxa" w:w="3364"/>
            <w:tcMar>
              <w:top w:w="50" w:type="dxa"/>
              <w:bottom w:w="50" w:type="dxa"/>
              <w:left w:w="90" w:type="dxa"/>
              <w:right w:w="90" w:type="dxa"/>
            </w:tcMar>
            <w:shd w:val="clear" w:color="auto" w:fill="E5F5FF"/>
          </w:tcPr>
          <w:p>
            <w:pPr>
              <w:pStyle w:val="BDOITable"/>
            </w:pPr>
            <w:r>
              <w:rPr>
                <w:sz w:val="17"/>
              </w:rPr>
              <w:t>Business owner checks samples on the BIBS screens and accepts the object (G6)</w:t>
            </w:r>
          </w:p>
        </w:tc>
        <w:tc>
          <w:tcPr>
            <w:tcW w:type="dxa" w:w="2163"/>
            <w:tcMar>
              <w:top w:w="50" w:type="dxa"/>
              <w:bottom w:w="50" w:type="dxa"/>
              <w:left w:w="90" w:type="dxa"/>
              <w:right w:w="90" w:type="dxa"/>
            </w:tcMar>
            <w:shd w:val="clear" w:color="auto" w:fill="E5F5FF"/>
          </w:tcPr>
          <w:p>
            <w:pPr>
              <w:pStyle w:val="BDOITable"/>
            </w:pPr>
            <w:r>
              <w:rPr>
                <w:sz w:val="17"/>
              </w:rPr>
              <w:t>Business owner; Data Migration Lead</w:t>
            </w:r>
          </w:p>
        </w:tc>
        <w:tc>
          <w:tcPr>
            <w:tcW w:type="dxa" w:w="1862"/>
            <w:tcMar>
              <w:top w:w="50" w:type="dxa"/>
              <w:bottom w:w="50" w:type="dxa"/>
              <w:left w:w="90" w:type="dxa"/>
              <w:right w:w="90" w:type="dxa"/>
            </w:tcMar>
            <w:shd w:val="clear" w:color="auto" w:fill="E5F5FF"/>
          </w:tcPr>
          <w:p>
            <w:pPr>
              <w:pStyle w:val="BDOITable"/>
            </w:pPr>
            <w:r>
              <w:rPr>
                <w:sz w:val="17"/>
              </w:rPr>
              <w:t>Sign-off form</w:t>
            </w:r>
          </w:p>
        </w:tc>
      </w:tr>
      <w:tr>
        <w:trPr>
          <w:cantSplit w:val="true"/>
        </w:trPr>
        <w:tc>
          <w:tcPr>
            <w:tcW w:type="dxa" w:w="421"/>
            <w:tcMar>
              <w:top w:w="50" w:type="dxa"/>
              <w:bottom w:w="50" w:type="dxa"/>
              <w:left w:w="90" w:type="dxa"/>
              <w:right w:w="90" w:type="dxa"/>
            </w:tcMar>
          </w:tcPr>
          <w:p>
            <w:pPr>
              <w:pStyle w:val="BDOITable"/>
            </w:pPr>
            <w:r>
              <w:rPr>
                <w:sz w:val="17"/>
              </w:rPr>
              <w:t>11</w:t>
            </w:r>
          </w:p>
        </w:tc>
        <w:tc>
          <w:tcPr>
            <w:tcW w:type="dxa" w:w="2163"/>
            <w:tcMar>
              <w:top w:w="50" w:type="dxa"/>
              <w:bottom w:w="50" w:type="dxa"/>
              <w:left w:w="90" w:type="dxa"/>
              <w:right w:w="90" w:type="dxa"/>
            </w:tcMar>
          </w:tcPr>
          <w:p>
            <w:pPr>
              <w:pStyle w:val="BDOITable"/>
            </w:pPr>
            <w:r>
              <w:rPr>
                <w:sz w:val="17"/>
              </w:rPr>
              <w:t>Purge</w:t>
            </w:r>
          </w:p>
        </w:tc>
        <w:tc>
          <w:tcPr>
            <w:tcW w:type="dxa" w:w="3364"/>
            <w:tcMar>
              <w:top w:w="50" w:type="dxa"/>
              <w:bottom w:w="50" w:type="dxa"/>
              <w:left w:w="90" w:type="dxa"/>
              <w:right w:w="90" w:type="dxa"/>
            </w:tcMar>
          </w:tcPr>
          <w:p>
            <w:pPr>
              <w:pStyle w:val="BDOITable"/>
            </w:pPr>
            <w:r>
              <w:rPr>
                <w:sz w:val="17"/>
              </w:rPr>
              <w:t>Staging payloads and files are deleted within 5 days of sign-off; counts, hashes and totals are kept</w:t>
            </w:r>
          </w:p>
        </w:tc>
        <w:tc>
          <w:tcPr>
            <w:tcW w:type="dxa" w:w="2163"/>
            <w:tcMar>
              <w:top w:w="50" w:type="dxa"/>
              <w:bottom w:w="50" w:type="dxa"/>
              <w:left w:w="90" w:type="dxa"/>
              <w:right w:w="90" w:type="dxa"/>
            </w:tcMar>
          </w:tcPr>
          <w:p>
            <w:pPr>
              <w:pStyle w:val="BDOITable"/>
            </w:pPr>
            <w:r>
              <w:rPr>
                <w:sz w:val="17"/>
              </w:rPr>
              <w:t>BIBS job</w:t>
            </w:r>
          </w:p>
        </w:tc>
        <w:tc>
          <w:tcPr>
            <w:tcW w:type="dxa" w:w="1862"/>
            <w:tcMar>
              <w:top w:w="50" w:type="dxa"/>
              <w:bottom w:w="50" w:type="dxa"/>
              <w:left w:w="90" w:type="dxa"/>
              <w:right w:w="90" w:type="dxa"/>
            </w:tcMar>
          </w:tcPr>
          <w:p>
            <w:pPr>
              <w:pStyle w:val="BDOITable"/>
            </w:pPr>
            <w:r>
              <w:rPr>
                <w:sz w:val="17"/>
              </w:rPr>
              <w:t>Purge log</w:t>
            </w:r>
          </w:p>
        </w:tc>
      </w:tr>
    </w:tbl>
    <w:p>
      <w:pPr>
        <w:pStyle w:val="BDOISpacer"/>
      </w:pPr>
    </w:p>
    <w:p>
      <w:pPr>
        <w:pStyle w:val="Heading2"/>
      </w:pPr>
      <w:bookmarkStart w:id="124" w:name="_Toc000124"/>
      <w:r>
        <w:rPr/>
        <w:t>6.2 Extract templates</w:t>
      </w:r>
      <w:bookmarkEnd w:id="124"/>
    </w:p>
    <w:p>
      <w:r>
        <w:rPr/>
        <w:t>BDOI extracts each object in the layout of the Data Requirements Workbook. A layout gives, per field: name, description, type, length, mandatory flag, allowed values or code list, format, example, BIBS target field, validation rule and a source system hint. The CSV templates carry the same field names as their header row.</w:t>
      </w:r>
    </w:p>
    <w:p>
      <w:pPr>
        <w:pStyle w:val="Caption"/>
        <w:keepNext/>
        <w:spacing w:after="60"/>
      </w:pPr>
      <w:r>
        <w:rPr>
          <w:b/>
          <w:i w:val="0"/>
        </w:rPr>
        <w:t xml:space="preserve">Table 13: </w:t>
      </w:r>
      <w:r>
        <w:rPr/>
        <w:t>Extract layouts (workbook sheets and CSV templates)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2763"/>
        <w:gridCol w:w="781"/>
        <w:gridCol w:w="720"/>
        <w:gridCol w:w="961"/>
        <w:gridCol w:w="2042"/>
        <w:gridCol w:w="192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Fields</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Mandatory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Key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Amount totals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2763"/>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R01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list_type, 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2763"/>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R02</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branch_code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2763"/>
            <w:tcMar>
              <w:top w:w="50" w:type="dxa"/>
              <w:bottom w:w="50" w:type="dxa"/>
              <w:left w:w="90" w:type="dxa"/>
              <w:right w:w="90" w:type="dxa"/>
            </w:tcMar>
          </w:tcPr>
          <w:p>
            <w:pPr>
              <w:pStyle w:val="BDOITable"/>
            </w:pPr>
            <w:r>
              <w:rPr>
                <w:sz w:val="16"/>
              </w:rPr>
              <w:t>Sales organisation (units and account officers)</w:t>
            </w:r>
          </w:p>
        </w:tc>
        <w:tc>
          <w:tcPr>
            <w:tcW w:type="dxa" w:w="781"/>
            <w:tcMar>
              <w:top w:w="50" w:type="dxa"/>
              <w:bottom w:w="50" w:type="dxa"/>
              <w:left w:w="90" w:type="dxa"/>
              <w:right w:w="90" w:type="dxa"/>
            </w:tcMar>
          </w:tcPr>
          <w:p>
            <w:pPr>
              <w:pStyle w:val="BDOITable"/>
            </w:pPr>
            <w:r>
              <w:rPr>
                <w:sz w:val="16"/>
              </w:rPr>
              <w:t>R03</w:t>
            </w:r>
          </w:p>
        </w:tc>
        <w:tc>
          <w:tcPr>
            <w:tcW w:type="dxa" w:w="721"/>
            <w:tcMar>
              <w:top w:w="50" w:type="dxa"/>
              <w:bottom w:w="50" w:type="dxa"/>
              <w:left w:w="90" w:type="dxa"/>
              <w:right w:w="90" w:type="dxa"/>
            </w:tcMar>
          </w:tcPr>
          <w:p>
            <w:pPr>
              <w:pStyle w:val="BDOITable"/>
            </w:pPr>
            <w:r>
              <w:rPr>
                <w:sz w:val="16"/>
              </w:rPr>
              <w:t>11</w:t>
            </w:r>
          </w:p>
        </w:tc>
        <w:tc>
          <w:tcPr>
            <w:tcW w:type="dxa" w:w="961"/>
            <w:tcMar>
              <w:top w:w="50" w:type="dxa"/>
              <w:bottom w:w="50" w:type="dxa"/>
              <w:left w:w="90" w:type="dxa"/>
              <w:right w:w="90" w:type="dxa"/>
            </w:tcMar>
          </w:tcPr>
          <w:p>
            <w:pPr>
              <w:pStyle w:val="BDOITable"/>
            </w:pPr>
            <w:r>
              <w:rPr>
                <w:sz w:val="16"/>
              </w:rPr>
              <w:t>3</w:t>
            </w:r>
          </w:p>
        </w:tc>
        <w:tc>
          <w:tcPr>
            <w:tcW w:type="dxa" w:w="2042"/>
            <w:tcMar>
              <w:top w:w="50" w:type="dxa"/>
              <w:bottom w:w="50" w:type="dxa"/>
              <w:left w:w="90" w:type="dxa"/>
              <w:right w:w="90" w:type="dxa"/>
            </w:tcMar>
          </w:tcPr>
          <w:p>
            <w:pPr>
              <w:pStyle w:val="BDOITable"/>
            </w:pPr>
            <w:r>
              <w:rPr>
                <w:sz w:val="16"/>
              </w:rPr>
              <w:t>record_type, unit_code, ao_user_id</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2763"/>
            <w:tcMar>
              <w:top w:w="50" w:type="dxa"/>
              <w:bottom w:w="50" w:type="dxa"/>
              <w:left w:w="90" w:type="dxa"/>
              <w:right w:w="90" w:type="dxa"/>
            </w:tcMar>
            <w:shd w:val="clear" w:color="auto" w:fill="E5F5FF"/>
          </w:tcPr>
          <w:p>
            <w:pPr>
              <w:pStyle w:val="BDOITable"/>
            </w:pPr>
            <w:r>
              <w:rPr>
                <w:sz w:val="16"/>
              </w:rPr>
              <w:t>Insurers</w:t>
            </w:r>
          </w:p>
        </w:tc>
        <w:tc>
          <w:tcPr>
            <w:tcW w:type="dxa" w:w="781"/>
            <w:tcMar>
              <w:top w:w="50" w:type="dxa"/>
              <w:bottom w:w="50" w:type="dxa"/>
              <w:left w:w="90" w:type="dxa"/>
              <w:right w:w="90" w:type="dxa"/>
            </w:tcMar>
            <w:shd w:val="clear" w:color="auto" w:fill="E5F5FF"/>
          </w:tcPr>
          <w:p>
            <w:pPr>
              <w:pStyle w:val="BDOITable"/>
            </w:pPr>
            <w:r>
              <w:rPr>
                <w:sz w:val="16"/>
              </w:rPr>
              <w:t>R04</w:t>
            </w:r>
          </w:p>
        </w:tc>
        <w:tc>
          <w:tcPr>
            <w:tcW w:type="dxa" w:w="721"/>
            <w:tcMar>
              <w:top w:w="50" w:type="dxa"/>
              <w:bottom w:w="50" w:type="dxa"/>
              <w:left w:w="90" w:type="dxa"/>
              <w:right w:w="90" w:type="dxa"/>
            </w:tcMar>
            <w:shd w:val="clear" w:color="auto" w:fill="E5F5FF"/>
          </w:tcPr>
          <w:p>
            <w:pPr>
              <w:pStyle w:val="BDOITable"/>
            </w:pPr>
            <w:r>
              <w:rPr>
                <w:sz w:val="16"/>
              </w:rPr>
              <w:t>10</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insurer_code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2763"/>
            <w:tcMar>
              <w:top w:w="50" w:type="dxa"/>
              <w:bottom w:w="50" w:type="dxa"/>
              <w:left w:w="90" w:type="dxa"/>
              <w:right w:w="90" w:type="dxa"/>
            </w:tcMar>
          </w:tcPr>
          <w:p>
            <w:pPr>
              <w:pStyle w:val="BDOITable"/>
            </w:pPr>
            <w:r>
              <w:rPr>
                <w:sz w:val="16"/>
              </w:rPr>
              <w:t>Insurer branches</w:t>
            </w:r>
          </w:p>
        </w:tc>
        <w:tc>
          <w:tcPr>
            <w:tcW w:type="dxa" w:w="781"/>
            <w:tcMar>
              <w:top w:w="50" w:type="dxa"/>
              <w:bottom w:w="50" w:type="dxa"/>
              <w:left w:w="90" w:type="dxa"/>
              <w:right w:w="90" w:type="dxa"/>
            </w:tcMar>
          </w:tcPr>
          <w:p>
            <w:pPr>
              <w:pStyle w:val="BDOITable"/>
            </w:pPr>
            <w:r>
              <w:rPr>
                <w:sz w:val="16"/>
              </w:rPr>
              <w:t>R04</w:t>
            </w:r>
          </w:p>
        </w:tc>
        <w:tc>
          <w:tcPr>
            <w:tcW w:type="dxa" w:w="721"/>
            <w:tcMar>
              <w:top w:w="50" w:type="dxa"/>
              <w:bottom w:w="50" w:type="dxa"/>
              <w:left w:w="90" w:type="dxa"/>
              <w:right w:w="90" w:type="dxa"/>
            </w:tcMar>
          </w:tcPr>
          <w:p>
            <w:pPr>
              <w:pStyle w:val="BDOITable"/>
            </w:pPr>
            <w:r>
              <w:rPr>
                <w:sz w:val="16"/>
              </w:rPr>
              <w:t>7</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insurer_code, branch_code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2763"/>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781"/>
            <w:tcMar>
              <w:top w:w="50" w:type="dxa"/>
              <w:bottom w:w="50" w:type="dxa"/>
              <w:left w:w="90" w:type="dxa"/>
              <w:right w:w="90" w:type="dxa"/>
            </w:tcMar>
            <w:shd w:val="clear" w:color="auto" w:fill="E5F5FF"/>
          </w:tcPr>
          <w:p>
            <w:pPr>
              <w:pStyle w:val="BDOITable"/>
            </w:pPr>
            <w:r>
              <w:rPr>
                <w:sz w:val="16"/>
              </w:rPr>
              <w:t>R05</w:t>
            </w:r>
          </w:p>
        </w:tc>
        <w:tc>
          <w:tcPr>
            <w:tcW w:type="dxa" w:w="721"/>
            <w:tcMar>
              <w:top w:w="50" w:type="dxa"/>
              <w:bottom w:w="50" w:type="dxa"/>
              <w:left w:w="90" w:type="dxa"/>
              <w:right w:w="90" w:type="dxa"/>
            </w:tcMar>
            <w:shd w:val="clear" w:color="auto" w:fill="E5F5FF"/>
          </w:tcPr>
          <w:p>
            <w:pPr>
              <w:pStyle w:val="BDOITable"/>
            </w:pPr>
            <w:r>
              <w:rPr>
                <w:sz w:val="16"/>
              </w:rPr>
              <w:t>9</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risk_code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2763"/>
            <w:tcMar>
              <w:top w:w="50" w:type="dxa"/>
              <w:bottom w:w="50" w:type="dxa"/>
              <w:left w:w="90" w:type="dxa"/>
              <w:right w:w="90" w:type="dxa"/>
            </w:tcMar>
          </w:tcPr>
          <w:p>
            <w:pPr>
              <w:pStyle w:val="BDOITable"/>
            </w:pPr>
            <w:r>
              <w:rPr>
                <w:sz w:val="16"/>
              </w:rPr>
              <w:t>Packages (active versions)</w:t>
            </w:r>
          </w:p>
        </w:tc>
        <w:tc>
          <w:tcPr>
            <w:tcW w:type="dxa" w:w="781"/>
            <w:tcMar>
              <w:top w:w="50" w:type="dxa"/>
              <w:bottom w:w="50" w:type="dxa"/>
              <w:left w:w="90" w:type="dxa"/>
              <w:right w:w="90" w:type="dxa"/>
            </w:tcMar>
          </w:tcPr>
          <w:p>
            <w:pPr>
              <w:pStyle w:val="BDOITable"/>
            </w:pPr>
            <w:r>
              <w:rPr>
                <w:sz w:val="16"/>
              </w:rPr>
              <w:t>R06</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package_code, package_version, insurer_code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2763"/>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781"/>
            <w:tcMar>
              <w:top w:w="50" w:type="dxa"/>
              <w:bottom w:w="50" w:type="dxa"/>
              <w:left w:w="90" w:type="dxa"/>
              <w:right w:w="90" w:type="dxa"/>
            </w:tcMar>
            <w:shd w:val="clear" w:color="auto" w:fill="E5F5FF"/>
          </w:tcPr>
          <w:p>
            <w:pPr>
              <w:pStyle w:val="BDOITable"/>
            </w:pPr>
            <w:r>
              <w:rPr>
                <w:sz w:val="16"/>
              </w:rPr>
              <w:t>R07</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insurer_code, risk_code, effective_from</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2763"/>
            <w:tcMar>
              <w:top w:w="50" w:type="dxa"/>
              <w:bottom w:w="50" w:type="dxa"/>
              <w:left w:w="90" w:type="dxa"/>
              <w:right w:w="90" w:type="dxa"/>
            </w:tcMar>
          </w:tcPr>
          <w:p>
            <w:pPr>
              <w:pStyle w:val="BDOITable"/>
            </w:pPr>
            <w:r>
              <w:rPr>
                <w:sz w:val="16"/>
              </w:rPr>
              <w:t>Chart of accounts mapping</w:t>
            </w:r>
          </w:p>
        </w:tc>
        <w:tc>
          <w:tcPr>
            <w:tcW w:type="dxa" w:w="781"/>
            <w:tcMar>
              <w:top w:w="50" w:type="dxa"/>
              <w:bottom w:w="50" w:type="dxa"/>
              <w:left w:w="90" w:type="dxa"/>
              <w:right w:w="90" w:type="dxa"/>
            </w:tcMar>
          </w:tcPr>
          <w:p>
            <w:pPr>
              <w:pStyle w:val="BDOITable"/>
            </w:pPr>
            <w:r>
              <w:rPr>
                <w:sz w:val="16"/>
              </w:rPr>
              <w:t>R08</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legacy_account_code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2763"/>
            <w:tcMar>
              <w:top w:w="50" w:type="dxa"/>
              <w:bottom w:w="50" w:type="dxa"/>
              <w:left w:w="90" w:type="dxa"/>
              <w:right w:w="90" w:type="dxa"/>
            </w:tcMar>
            <w:shd w:val="clear" w:color="auto" w:fill="E5F5FF"/>
          </w:tcPr>
          <w:p>
            <w:pPr>
              <w:pStyle w:val="BDOITable"/>
            </w:pPr>
            <w:r>
              <w:rPr>
                <w:sz w:val="16"/>
              </w:rPr>
              <w:t>Payees</w:t>
            </w:r>
          </w:p>
        </w:tc>
        <w:tc>
          <w:tcPr>
            <w:tcW w:type="dxa" w:w="781"/>
            <w:tcMar>
              <w:top w:w="50" w:type="dxa"/>
              <w:bottom w:w="50" w:type="dxa"/>
              <w:left w:w="90" w:type="dxa"/>
              <w:right w:w="90" w:type="dxa"/>
            </w:tcMar>
            <w:shd w:val="clear" w:color="auto" w:fill="E5F5FF"/>
          </w:tcPr>
          <w:p>
            <w:pPr>
              <w:pStyle w:val="BDOITable"/>
            </w:pPr>
            <w:r>
              <w:rPr>
                <w:sz w:val="16"/>
              </w:rPr>
              <w:t>R09</w:t>
            </w:r>
          </w:p>
        </w:tc>
        <w:tc>
          <w:tcPr>
            <w:tcW w:type="dxa" w:w="721"/>
            <w:tcMar>
              <w:top w:w="50" w:type="dxa"/>
              <w:bottom w:w="50" w:type="dxa"/>
              <w:left w:w="90" w:type="dxa"/>
              <w:right w:w="90" w:type="dxa"/>
            </w:tcMar>
            <w:shd w:val="clear" w:color="auto" w:fill="E5F5FF"/>
          </w:tcPr>
          <w:p>
            <w:pPr>
              <w:pStyle w:val="BDOITable"/>
            </w:pPr>
            <w:r>
              <w:rPr>
                <w:sz w:val="16"/>
              </w:rPr>
              <w:t>11</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payee_code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2763"/>
            <w:tcMar>
              <w:top w:w="50" w:type="dxa"/>
              <w:bottom w:w="50" w:type="dxa"/>
              <w:left w:w="90" w:type="dxa"/>
              <w:right w:w="90" w:type="dxa"/>
            </w:tcMar>
          </w:tcPr>
          <w:p>
            <w:pPr>
              <w:pStyle w:val="BDOITable"/>
            </w:pPr>
            <w:r>
              <w:rPr>
                <w:sz w:val="16"/>
              </w:rPr>
              <w:t>Receipt series in use</w:t>
            </w:r>
          </w:p>
        </w:tc>
        <w:tc>
          <w:tcPr>
            <w:tcW w:type="dxa" w:w="781"/>
            <w:tcMar>
              <w:top w:w="50" w:type="dxa"/>
              <w:bottom w:w="50" w:type="dxa"/>
              <w:left w:w="90" w:type="dxa"/>
              <w:right w:w="90" w:type="dxa"/>
            </w:tcMar>
          </w:tcPr>
          <w:p>
            <w:pPr>
              <w:pStyle w:val="BDOITable"/>
            </w:pPr>
            <w:r>
              <w:rPr>
                <w:sz w:val="16"/>
              </w:rPr>
              <w:t>R11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7</w:t>
            </w:r>
          </w:p>
        </w:tc>
        <w:tc>
          <w:tcPr>
            <w:tcW w:type="dxa" w:w="2042"/>
            <w:tcMar>
              <w:top w:w="50" w:type="dxa"/>
              <w:bottom w:w="50" w:type="dxa"/>
              <w:left w:w="90" w:type="dxa"/>
              <w:right w:w="90" w:type="dxa"/>
            </w:tcMar>
          </w:tcPr>
          <w:p>
            <w:pPr>
              <w:pStyle w:val="BDOITable"/>
            </w:pPr>
            <w:r>
              <w:rPr>
                <w:sz w:val="16"/>
              </w:rPr>
              <w:t>branch_code, kind, prefix</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2763"/>
            <w:tcMar>
              <w:top w:w="50" w:type="dxa"/>
              <w:bottom w:w="50" w:type="dxa"/>
              <w:left w:w="90" w:type="dxa"/>
              <w:right w:w="90" w:type="dxa"/>
            </w:tcMar>
            <w:shd w:val="clear" w:color="auto" w:fill="E5F5FF"/>
          </w:tcPr>
          <w:p>
            <w:pPr>
              <w:pStyle w:val="BDOITable"/>
            </w:pPr>
            <w:r>
              <w:rPr>
                <w:sz w:val="16"/>
              </w:rPr>
              <w:t>Client master</w:t>
            </w:r>
          </w:p>
        </w:tc>
        <w:tc>
          <w:tcPr>
            <w:tcW w:type="dxa" w:w="781"/>
            <w:tcMar>
              <w:top w:w="50" w:type="dxa"/>
              <w:bottom w:w="50" w:type="dxa"/>
              <w:left w:w="90" w:type="dxa"/>
              <w:right w:w="90" w:type="dxa"/>
            </w:tcMar>
            <w:shd w:val="clear" w:color="auto" w:fill="E5F5FF"/>
          </w:tcPr>
          <w:p>
            <w:pPr>
              <w:pStyle w:val="BDOITable"/>
            </w:pPr>
            <w:r>
              <w:rPr>
                <w:sz w:val="16"/>
              </w:rPr>
              <w:t>C01</w:t>
            </w:r>
          </w:p>
        </w:tc>
        <w:tc>
          <w:tcPr>
            <w:tcW w:type="dxa" w:w="721"/>
            <w:tcMar>
              <w:top w:w="50" w:type="dxa"/>
              <w:bottom w:w="50" w:type="dxa"/>
              <w:left w:w="90" w:type="dxa"/>
              <w:right w:w="90" w:type="dxa"/>
            </w:tcMar>
            <w:shd w:val="clear" w:color="auto" w:fill="E5F5FF"/>
          </w:tcPr>
          <w:p>
            <w:pPr>
              <w:pStyle w:val="BDOITable"/>
            </w:pPr>
            <w:r>
              <w:rPr>
                <w:sz w:val="16"/>
              </w:rPr>
              <w:t>36</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legacy_client_no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2763"/>
            <w:tcMar>
              <w:top w:w="50" w:type="dxa"/>
              <w:bottom w:w="50" w:type="dxa"/>
              <w:left w:w="90" w:type="dxa"/>
              <w:right w:w="90" w:type="dxa"/>
            </w:tcMar>
          </w:tcPr>
          <w:p>
            <w:pPr>
              <w:pStyle w:val="BDOITable"/>
            </w:pPr>
            <w:r>
              <w:rPr>
                <w:sz w:val="16"/>
              </w:rPr>
              <w:t>Client addresses and contacts</w:t>
            </w:r>
          </w:p>
        </w:tc>
        <w:tc>
          <w:tcPr>
            <w:tcW w:type="dxa" w:w="781"/>
            <w:tcMar>
              <w:top w:w="50" w:type="dxa"/>
              <w:bottom w:w="50" w:type="dxa"/>
              <w:left w:w="90" w:type="dxa"/>
              <w:right w:w="90" w:type="dxa"/>
            </w:tcMar>
          </w:tcPr>
          <w:p>
            <w:pPr>
              <w:pStyle w:val="BDOITable"/>
            </w:pPr>
            <w:r>
              <w:rPr>
                <w:sz w:val="16"/>
              </w:rPr>
              <w:t>C01</w:t>
            </w:r>
          </w:p>
        </w:tc>
        <w:tc>
          <w:tcPr>
            <w:tcW w:type="dxa" w:w="721"/>
            <w:tcMar>
              <w:top w:w="50" w:type="dxa"/>
              <w:bottom w:w="50" w:type="dxa"/>
              <w:left w:w="90" w:type="dxa"/>
              <w:right w:w="90" w:type="dxa"/>
            </w:tcMar>
          </w:tcPr>
          <w:p>
            <w:pPr>
              <w:pStyle w:val="BDOITable"/>
            </w:pPr>
            <w:r>
              <w:rPr>
                <w:sz w:val="16"/>
              </w:rPr>
              <w:t>13</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legacy_client_no, record_type, seq_no</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2763"/>
            <w:tcMar>
              <w:top w:w="50" w:type="dxa"/>
              <w:bottom w:w="50" w:type="dxa"/>
              <w:left w:w="90" w:type="dxa"/>
              <w:right w:w="90" w:type="dxa"/>
            </w:tcMar>
            <w:shd w:val="clear" w:color="auto" w:fill="E5F5FF"/>
          </w:tcPr>
          <w:p>
            <w:pPr>
              <w:pStyle w:val="BDOITable"/>
            </w:pPr>
            <w:r>
              <w:rPr>
                <w:sz w:val="16"/>
              </w:rPr>
              <w:t>Client payout accounts</w:t>
            </w:r>
          </w:p>
        </w:tc>
        <w:tc>
          <w:tcPr>
            <w:tcW w:type="dxa" w:w="781"/>
            <w:tcMar>
              <w:top w:w="50" w:type="dxa"/>
              <w:bottom w:w="50" w:type="dxa"/>
              <w:left w:w="90" w:type="dxa"/>
              <w:right w:w="90" w:type="dxa"/>
            </w:tcMar>
            <w:shd w:val="clear" w:color="auto" w:fill="E5F5FF"/>
          </w:tcPr>
          <w:p>
            <w:pPr>
              <w:pStyle w:val="BDOITable"/>
            </w:pPr>
            <w:r>
              <w:rPr>
                <w:sz w:val="16"/>
              </w:rPr>
              <w:t>C03</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legacy_client_no, account_no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2763"/>
            <w:tcMar>
              <w:top w:w="50" w:type="dxa"/>
              <w:bottom w:w="50" w:type="dxa"/>
              <w:left w:w="90" w:type="dxa"/>
              <w:right w:w="90" w:type="dxa"/>
            </w:tcMar>
          </w:tcPr>
          <w:p>
            <w:pPr>
              <w:pStyle w:val="BDOITable"/>
            </w:pPr>
            <w:r>
              <w:rPr>
                <w:sz w:val="16"/>
              </w:rPr>
              <w:t>In-force policy headers</w:t>
            </w:r>
          </w:p>
        </w:tc>
        <w:tc>
          <w:tcPr>
            <w:tcW w:type="dxa" w:w="781"/>
            <w:tcMar>
              <w:top w:w="50" w:type="dxa"/>
              <w:bottom w:w="50" w:type="dxa"/>
              <w:left w:w="90" w:type="dxa"/>
              <w:right w:w="90" w:type="dxa"/>
            </w:tcMar>
          </w:tcPr>
          <w:p>
            <w:pPr>
              <w:pStyle w:val="BDOITable"/>
            </w:pPr>
            <w:r>
              <w:rPr>
                <w:sz w:val="16"/>
              </w:rPr>
              <w:t>P01</w:t>
            </w:r>
          </w:p>
        </w:tc>
        <w:tc>
          <w:tcPr>
            <w:tcW w:type="dxa" w:w="721"/>
            <w:tcMar>
              <w:top w:w="50" w:type="dxa"/>
              <w:bottom w:w="50" w:type="dxa"/>
              <w:left w:w="90" w:type="dxa"/>
              <w:right w:w="90" w:type="dxa"/>
            </w:tcMar>
          </w:tcPr>
          <w:p>
            <w:pPr>
              <w:pStyle w:val="BDOITable"/>
            </w:pPr>
            <w:r>
              <w:rPr>
                <w:sz w:val="16"/>
              </w:rPr>
              <w:t>29</w:t>
            </w:r>
          </w:p>
        </w:tc>
        <w:tc>
          <w:tcPr>
            <w:tcW w:type="dxa" w:w="961"/>
            <w:tcMar>
              <w:top w:w="50" w:type="dxa"/>
              <w:bottom w:w="50" w:type="dxa"/>
              <w:left w:w="90" w:type="dxa"/>
              <w:right w:w="90" w:type="dxa"/>
            </w:tcMar>
          </w:tcPr>
          <w:p>
            <w:pPr>
              <w:pStyle w:val="BDOITable"/>
            </w:pPr>
            <w:r>
              <w:rPr>
                <w:sz w:val="16"/>
              </w:rPr>
              <w:t>20</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2763"/>
            <w:tcMar>
              <w:top w:w="50" w:type="dxa"/>
              <w:bottom w:w="50" w:type="dxa"/>
              <w:left w:w="90" w:type="dxa"/>
              <w:right w:w="90" w:type="dxa"/>
            </w:tcMar>
            <w:shd w:val="clear" w:color="auto" w:fill="E5F5FF"/>
          </w:tcPr>
          <w:p>
            <w:pPr>
              <w:pStyle w:val="BDOITable"/>
            </w:pPr>
            <w:r>
              <w:rPr>
                <w:sz w:val="16"/>
              </w:rPr>
              <w:t>Policy insurer shares</w:t>
            </w:r>
          </w:p>
        </w:tc>
        <w:tc>
          <w:tcPr>
            <w:tcW w:type="dxa" w:w="781"/>
            <w:tcMar>
              <w:top w:w="50" w:type="dxa"/>
              <w:bottom w:w="50" w:type="dxa"/>
              <w:left w:w="90" w:type="dxa"/>
              <w:right w:w="90" w:type="dxa"/>
            </w:tcMar>
            <w:shd w:val="clear" w:color="auto" w:fill="E5F5FF"/>
          </w:tcPr>
          <w:p>
            <w:pPr>
              <w:pStyle w:val="BDOITable"/>
            </w:pPr>
            <w:r>
              <w:rPr>
                <w:sz w:val="16"/>
              </w:rPr>
              <w:t>P01</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5</w:t>
            </w:r>
          </w:p>
        </w:tc>
        <w:tc>
          <w:tcPr>
            <w:tcW w:type="dxa" w:w="2042"/>
            <w:tcMar>
              <w:top w:w="50" w:type="dxa"/>
              <w:bottom w:w="50" w:type="dxa"/>
              <w:left w:w="90" w:type="dxa"/>
              <w:right w:w="90" w:type="dxa"/>
            </w:tcMar>
            <w:shd w:val="clear" w:color="auto" w:fill="E5F5FF"/>
          </w:tcPr>
          <w:p>
            <w:pPr>
              <w:pStyle w:val="BDOITable"/>
            </w:pPr>
            <w:r>
              <w:rPr>
                <w:sz w:val="16"/>
              </w:rPr>
              <w:t>legacy_policy_ref, share_seq</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2763"/>
            <w:tcMar>
              <w:top w:w="50" w:type="dxa"/>
              <w:bottom w:w="50" w:type="dxa"/>
              <w:left w:w="90" w:type="dxa"/>
              <w:right w:w="90" w:type="dxa"/>
            </w:tcMar>
          </w:tcPr>
          <w:p>
            <w:pPr>
              <w:pStyle w:val="BDOITable"/>
            </w:pPr>
            <w:r>
              <w:rPr>
                <w:sz w:val="16"/>
              </w:rPr>
              <w:t>RMEL cohorts already extracted in legacy</w:t>
            </w:r>
          </w:p>
        </w:tc>
        <w:tc>
          <w:tcPr>
            <w:tcW w:type="dxa" w:w="781"/>
            <w:tcMar>
              <w:top w:w="50" w:type="dxa"/>
              <w:bottom w:w="50" w:type="dxa"/>
              <w:left w:w="90" w:type="dxa"/>
              <w:right w:w="90" w:type="dxa"/>
            </w:tcMar>
          </w:tcPr>
          <w:p>
            <w:pPr>
              <w:pStyle w:val="BDOITable"/>
            </w:pPr>
            <w:r>
              <w:rPr>
                <w:sz w:val="16"/>
              </w:rPr>
              <w:t>P03</w:t>
            </w:r>
          </w:p>
        </w:tc>
        <w:tc>
          <w:tcPr>
            <w:tcW w:type="dxa" w:w="721"/>
            <w:tcMar>
              <w:top w:w="50" w:type="dxa"/>
              <w:bottom w:w="50" w:type="dxa"/>
              <w:left w:w="90" w:type="dxa"/>
              <w:right w:w="90" w:type="dxa"/>
            </w:tcMar>
          </w:tcPr>
          <w:p>
            <w:pPr>
              <w:pStyle w:val="BDOITable"/>
            </w:pPr>
            <w:r>
              <w:rPr>
                <w:sz w:val="16"/>
              </w:rPr>
              <w:t>12</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expiring_premium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2763"/>
            <w:tcMar>
              <w:top w:w="50" w:type="dxa"/>
              <w:bottom w:w="50" w:type="dxa"/>
              <w:left w:w="90" w:type="dxa"/>
              <w:right w:w="90" w:type="dxa"/>
            </w:tcMar>
            <w:shd w:val="clear" w:color="auto" w:fill="E5F5FF"/>
          </w:tcPr>
          <w:p>
            <w:pPr>
              <w:pStyle w:val="BDOITable"/>
            </w:pPr>
            <w:r>
              <w:rPr>
                <w:sz w:val="16"/>
              </w:rPr>
              <w:t>Open legacy invoices - header</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38</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2042"/>
            <w:tcMar>
              <w:top w:w="50" w:type="dxa"/>
              <w:bottom w:w="50" w:type="dxa"/>
              <w:left w:w="90" w:type="dxa"/>
              <w:right w:w="90" w:type="dxa"/>
            </w:tcMar>
            <w:shd w:val="clear" w:color="auto" w:fill="E5F5FF"/>
          </w:tcPr>
          <w:p>
            <w:pPr>
              <w:pStyle w:val="BDOITable"/>
            </w:pPr>
            <w:r>
              <w:rPr>
                <w:sz w:val="16"/>
              </w:rPr>
              <w:t>legacy_invoice_no</w:t>
            </w:r>
          </w:p>
        </w:tc>
        <w:tc>
          <w:tcPr>
            <w:tcW w:type="dxa" w:w="1922"/>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2763"/>
            <w:tcMar>
              <w:top w:w="50" w:type="dxa"/>
              <w:bottom w:w="50" w:type="dxa"/>
              <w:left w:w="90" w:type="dxa"/>
              <w:right w:w="90" w:type="dxa"/>
            </w:tcMar>
          </w:tcPr>
          <w:p>
            <w:pPr>
              <w:pStyle w:val="BDOITable"/>
            </w:pPr>
            <w:r>
              <w:rPr>
                <w:sz w:val="16"/>
              </w:rPr>
              <w:t>Open legacy invoices - insurer shares</w:t>
            </w:r>
          </w:p>
        </w:tc>
        <w:tc>
          <w:tcPr>
            <w:tcW w:type="dxa" w:w="781"/>
            <w:tcMar>
              <w:top w:w="50" w:type="dxa"/>
              <w:bottom w:w="50" w:type="dxa"/>
              <w:left w:w="90" w:type="dxa"/>
              <w:right w:w="90" w:type="dxa"/>
            </w:tcMar>
          </w:tcPr>
          <w:p>
            <w:pPr>
              <w:pStyle w:val="BDOITable"/>
            </w:pPr>
            <w:r>
              <w:rPr>
                <w:sz w:val="16"/>
              </w:rPr>
              <w:t>F01</w:t>
            </w:r>
          </w:p>
        </w:tc>
        <w:tc>
          <w:tcPr>
            <w:tcW w:type="dxa" w:w="721"/>
            <w:tcMar>
              <w:top w:w="50" w:type="dxa"/>
              <w:bottom w:w="50" w:type="dxa"/>
              <w:left w:w="90" w:type="dxa"/>
              <w:right w:w="90" w:type="dxa"/>
            </w:tcMar>
          </w:tcPr>
          <w:p>
            <w:pPr>
              <w:pStyle w:val="BDOITable"/>
            </w:pPr>
            <w:r>
              <w:rPr>
                <w:sz w:val="16"/>
              </w:rPr>
              <w:t>5</w:t>
            </w:r>
          </w:p>
        </w:tc>
        <w:tc>
          <w:tcPr>
            <w:tcW w:type="dxa" w:w="961"/>
            <w:tcMar>
              <w:top w:w="50" w:type="dxa"/>
              <w:bottom w:w="50" w:type="dxa"/>
              <w:left w:w="90" w:type="dxa"/>
              <w:right w:w="90" w:type="dxa"/>
            </w:tcMar>
          </w:tcPr>
          <w:p>
            <w:pPr>
              <w:pStyle w:val="BDOITable"/>
            </w:pPr>
            <w:r>
              <w:rPr>
                <w:sz w:val="16"/>
              </w:rPr>
              <w:t>5</w:t>
            </w:r>
          </w:p>
        </w:tc>
        <w:tc>
          <w:tcPr>
            <w:tcW w:type="dxa" w:w="2042"/>
            <w:tcMar>
              <w:top w:w="50" w:type="dxa"/>
              <w:bottom w:w="50" w:type="dxa"/>
              <w:left w:w="90" w:type="dxa"/>
              <w:right w:w="90" w:type="dxa"/>
            </w:tcMar>
          </w:tcPr>
          <w:p>
            <w:pPr>
              <w:pStyle w:val="BDOITable"/>
            </w:pPr>
            <w:r>
              <w:rPr>
                <w:sz w:val="16"/>
              </w:rPr>
              <w:t>legacy_invoice_no, share_seq</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2763"/>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8</w:t>
            </w:r>
          </w:p>
        </w:tc>
        <w:tc>
          <w:tcPr>
            <w:tcW w:type="dxa" w:w="961"/>
            <w:tcMar>
              <w:top w:w="50" w:type="dxa"/>
              <w:bottom w:w="50" w:type="dxa"/>
              <w:left w:w="90" w:type="dxa"/>
              <w:right w:w="90" w:type="dxa"/>
            </w:tcMar>
            <w:shd w:val="clear" w:color="auto" w:fill="E5F5FF"/>
          </w:tcPr>
          <w:p>
            <w:pPr>
              <w:pStyle w:val="BDOITable"/>
            </w:pPr>
            <w:r>
              <w:rPr>
                <w:sz w:val="16"/>
              </w:rPr>
              <w:t>8</w:t>
            </w:r>
          </w:p>
        </w:tc>
        <w:tc>
          <w:tcPr>
            <w:tcW w:type="dxa" w:w="2042"/>
            <w:tcMar>
              <w:top w:w="50" w:type="dxa"/>
              <w:bottom w:w="50" w:type="dxa"/>
              <w:left w:w="90" w:type="dxa"/>
              <w:right w:w="90" w:type="dxa"/>
            </w:tcMar>
            <w:shd w:val="clear" w:color="auto" w:fill="E5F5FF"/>
          </w:tcPr>
          <w:p>
            <w:pPr>
              <w:pStyle w:val="BDOITable"/>
            </w:pPr>
            <w:r>
              <w:rPr>
                <w:sz w:val="16"/>
              </w:rPr>
              <w:t>legacy_invoice_no, component</w:t>
            </w:r>
          </w:p>
        </w:tc>
        <w:tc>
          <w:tcPr>
            <w:tcW w:type="dxa" w:w="1922"/>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2763"/>
            <w:tcMar>
              <w:top w:w="50" w:type="dxa"/>
              <w:bottom w:w="50" w:type="dxa"/>
              <w:left w:w="90" w:type="dxa"/>
              <w:right w:w="90" w:type="dxa"/>
            </w:tcMar>
          </w:tcPr>
          <w:p>
            <w:pPr>
              <w:pStyle w:val="BDOITable"/>
            </w:pPr>
            <w:r>
              <w:rPr>
                <w:sz w:val="16"/>
              </w:rPr>
              <w:t>Unapplied premium payments (UPP)</w:t>
            </w:r>
          </w:p>
        </w:tc>
        <w:tc>
          <w:tcPr>
            <w:tcW w:type="dxa" w:w="781"/>
            <w:tcMar>
              <w:top w:w="50" w:type="dxa"/>
              <w:bottom w:w="50" w:type="dxa"/>
              <w:left w:w="90" w:type="dxa"/>
              <w:right w:w="90" w:type="dxa"/>
            </w:tcMar>
          </w:tcPr>
          <w:p>
            <w:pPr>
              <w:pStyle w:val="BDOITable"/>
            </w:pPr>
            <w:r>
              <w:rPr>
                <w:sz w:val="16"/>
              </w:rPr>
              <w:t>F02</w:t>
            </w:r>
          </w:p>
        </w:tc>
        <w:tc>
          <w:tcPr>
            <w:tcW w:type="dxa" w:w="721"/>
            <w:tcMar>
              <w:top w:w="50" w:type="dxa"/>
              <w:bottom w:w="50" w:type="dxa"/>
              <w:left w:w="90" w:type="dxa"/>
              <w:right w:w="90" w:type="dxa"/>
            </w:tcMar>
          </w:tcPr>
          <w:p>
            <w:pPr>
              <w:pStyle w:val="BDOITable"/>
            </w:pPr>
            <w:r>
              <w:rPr>
                <w:sz w:val="16"/>
              </w:rPr>
              <w:t>21</w:t>
            </w:r>
          </w:p>
        </w:tc>
        <w:tc>
          <w:tcPr>
            <w:tcW w:type="dxa" w:w="961"/>
            <w:tcMar>
              <w:top w:w="50" w:type="dxa"/>
              <w:bottom w:w="50" w:type="dxa"/>
              <w:left w:w="90" w:type="dxa"/>
              <w:right w:w="90" w:type="dxa"/>
            </w:tcMar>
          </w:tcPr>
          <w:p>
            <w:pPr>
              <w:pStyle w:val="BDOITable"/>
            </w:pPr>
            <w:r>
              <w:rPr>
                <w:sz w:val="16"/>
              </w:rPr>
              <w:t>11</w:t>
            </w:r>
          </w:p>
        </w:tc>
        <w:tc>
          <w:tcPr>
            <w:tcW w:type="dxa" w:w="2042"/>
            <w:tcMar>
              <w:top w:w="50" w:type="dxa"/>
              <w:bottom w:w="50" w:type="dxa"/>
              <w:left w:w="90" w:type="dxa"/>
              <w:right w:w="90" w:type="dxa"/>
            </w:tcMar>
          </w:tcPr>
          <w:p>
            <w:pPr>
              <w:pStyle w:val="BDOITable"/>
            </w:pPr>
            <w:r>
              <w:rPr>
                <w:sz w:val="16"/>
              </w:rPr>
              <w:t>legacy_upp_ref</w:t>
            </w:r>
          </w:p>
        </w:tc>
        <w:tc>
          <w:tcPr>
            <w:tcW w:type="dxa" w:w="1922"/>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2763"/>
            <w:tcMar>
              <w:top w:w="50" w:type="dxa"/>
              <w:bottom w:w="50" w:type="dxa"/>
              <w:left w:w="90" w:type="dxa"/>
              <w:right w:w="90" w:type="dxa"/>
            </w:tcMar>
            <w:shd w:val="clear" w:color="auto" w:fill="E5F5FF"/>
          </w:tcPr>
          <w:p>
            <w:pPr>
              <w:pStyle w:val="BDOITable"/>
            </w:pPr>
            <w:r>
              <w:rPr>
                <w:sz w:val="16"/>
              </w:rPr>
              <w:t>Open collection state</w:t>
            </w:r>
          </w:p>
        </w:tc>
        <w:tc>
          <w:tcPr>
            <w:tcW w:type="dxa" w:w="781"/>
            <w:tcMar>
              <w:top w:w="50" w:type="dxa"/>
              <w:bottom w:w="50" w:type="dxa"/>
              <w:left w:w="90" w:type="dxa"/>
              <w:right w:w="90" w:type="dxa"/>
            </w:tcMar>
            <w:shd w:val="clear" w:color="auto" w:fill="E5F5FF"/>
          </w:tcPr>
          <w:p>
            <w:pPr>
              <w:pStyle w:val="BDOITable"/>
            </w:pPr>
            <w:r>
              <w:rPr>
                <w:sz w:val="16"/>
              </w:rPr>
              <w:t>F03</w:t>
            </w:r>
          </w:p>
        </w:tc>
        <w:tc>
          <w:tcPr>
            <w:tcW w:type="dxa" w:w="721"/>
            <w:tcMar>
              <w:top w:w="50" w:type="dxa"/>
              <w:bottom w:w="50" w:type="dxa"/>
              <w:left w:w="90" w:type="dxa"/>
              <w:right w:w="90" w:type="dxa"/>
            </w:tcMar>
            <w:shd w:val="clear" w:color="auto" w:fill="E5F5FF"/>
          </w:tcPr>
          <w:p>
            <w:pPr>
              <w:pStyle w:val="BDOITable"/>
            </w:pPr>
            <w:r>
              <w:rPr>
                <w:sz w:val="16"/>
              </w:rPr>
              <w:t>12</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legacy_invoice_no, record_type, seq_no</w:t>
            </w:r>
          </w:p>
        </w:tc>
        <w:tc>
          <w:tcPr>
            <w:tcW w:type="dxa" w:w="1922"/>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2763"/>
            <w:tcMar>
              <w:top w:w="50" w:type="dxa"/>
              <w:bottom w:w="50" w:type="dxa"/>
              <w:left w:w="90" w:type="dxa"/>
              <w:right w:w="90" w:type="dxa"/>
            </w:tcMar>
          </w:tcPr>
          <w:p>
            <w:pPr>
              <w:pStyle w:val="BDOITable"/>
            </w:pPr>
            <w:r>
              <w:rPr>
                <w:sz w:val="16"/>
              </w:rPr>
              <w:t>Remittance in flight</w:t>
            </w:r>
          </w:p>
        </w:tc>
        <w:tc>
          <w:tcPr>
            <w:tcW w:type="dxa" w:w="781"/>
            <w:tcMar>
              <w:top w:w="50" w:type="dxa"/>
              <w:bottom w:w="50" w:type="dxa"/>
              <w:left w:w="90" w:type="dxa"/>
              <w:right w:w="90" w:type="dxa"/>
            </w:tcMar>
          </w:tcPr>
          <w:p>
            <w:pPr>
              <w:pStyle w:val="BDOITable"/>
            </w:pPr>
            <w:r>
              <w:rPr>
                <w:sz w:val="16"/>
              </w:rPr>
              <w:t>F04</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legacy_batch_no, legacy_invoice_no</w:t>
            </w:r>
          </w:p>
        </w:tc>
        <w:tc>
          <w:tcPr>
            <w:tcW w:type="dxa" w:w="1922"/>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2763"/>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F06</w:t>
            </w:r>
          </w:p>
        </w:tc>
        <w:tc>
          <w:tcPr>
            <w:tcW w:type="dxa" w:w="721"/>
            <w:tcMar>
              <w:top w:w="50" w:type="dxa"/>
              <w:bottom w:w="50" w:type="dxa"/>
              <w:left w:w="90" w:type="dxa"/>
              <w:right w:w="90" w:type="dxa"/>
            </w:tcMar>
            <w:shd w:val="clear" w:color="auto" w:fill="E5F5FF"/>
          </w:tcPr>
          <w:p>
            <w:pPr>
              <w:pStyle w:val="BDOITable"/>
            </w:pPr>
            <w:r>
              <w:rPr>
                <w:sz w:val="16"/>
              </w:rPr>
              <w:t>14</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record_type, reference</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2763"/>
            <w:tcMar>
              <w:top w:w="50" w:type="dxa"/>
              <w:bottom w:w="50" w:type="dxa"/>
              <w:left w:w="90" w:type="dxa"/>
              <w:right w:w="90" w:type="dxa"/>
            </w:tcMar>
          </w:tcPr>
          <w:p>
            <w:pPr>
              <w:pStyle w:val="BDOITable"/>
            </w:pPr>
            <w:r>
              <w:rPr>
                <w:sz w:val="16"/>
              </w:rPr>
              <w:t>GL opening trial balance</w:t>
            </w:r>
          </w:p>
        </w:tc>
        <w:tc>
          <w:tcPr>
            <w:tcW w:type="dxa" w:w="781"/>
            <w:tcMar>
              <w:top w:w="50" w:type="dxa"/>
              <w:bottom w:w="50" w:type="dxa"/>
              <w:left w:w="90" w:type="dxa"/>
              <w:right w:w="90" w:type="dxa"/>
            </w:tcMar>
          </w:tcPr>
          <w:p>
            <w:pPr>
              <w:pStyle w:val="BDOITable"/>
            </w:pPr>
            <w:r>
              <w:rPr>
                <w:sz w:val="16"/>
              </w:rPr>
              <w:t>G01</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8</w:t>
            </w:r>
          </w:p>
        </w:tc>
        <w:tc>
          <w:tcPr>
            <w:tcW w:type="dxa" w:w="2042"/>
            <w:tcMar>
              <w:top w:w="50" w:type="dxa"/>
              <w:bottom w:w="50" w:type="dxa"/>
              <w:left w:w="90" w:type="dxa"/>
              <w:right w:w="90" w:type="dxa"/>
            </w:tcMar>
          </w:tcPr>
          <w:p>
            <w:pPr>
              <w:pStyle w:val="BDOITable"/>
            </w:pPr>
            <w:r>
              <w:rPr>
                <w:sz w:val="16"/>
              </w:rPr>
              <w:t>branch_code, currency, legacy_account_code, cost_center</w:t>
            </w:r>
          </w:p>
        </w:tc>
        <w:tc>
          <w:tcPr>
            <w:tcW w:type="dxa" w:w="1922"/>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2763"/>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781"/>
            <w:tcMar>
              <w:top w:w="50" w:type="dxa"/>
              <w:bottom w:w="50" w:type="dxa"/>
              <w:left w:w="90" w:type="dxa"/>
              <w:right w:w="90" w:type="dxa"/>
            </w:tcMar>
            <w:shd w:val="clear" w:color="auto" w:fill="E5F5FF"/>
          </w:tcPr>
          <w:p>
            <w:pPr>
              <w:pStyle w:val="BDOITable"/>
            </w:pPr>
            <w:r>
              <w:rPr>
                <w:sz w:val="16"/>
              </w:rPr>
              <w:t>H01</w:t>
            </w:r>
          </w:p>
        </w:tc>
        <w:tc>
          <w:tcPr>
            <w:tcW w:type="dxa" w:w="721"/>
            <w:tcMar>
              <w:top w:w="50" w:type="dxa"/>
              <w:bottom w:w="50" w:type="dxa"/>
              <w:left w:w="90" w:type="dxa"/>
              <w:right w:w="90" w:type="dxa"/>
            </w:tcMar>
            <w:shd w:val="clear" w:color="auto" w:fill="E5F5FF"/>
          </w:tcPr>
          <w:p>
            <w:pPr>
              <w:pStyle w:val="BDOITable"/>
            </w:pPr>
            <w:r>
              <w:rPr>
                <w:sz w:val="16"/>
              </w:rPr>
              <w:t>15</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record_type, legacy_key</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2763"/>
            <w:tcMar>
              <w:top w:w="50" w:type="dxa"/>
              <w:bottom w:w="50" w:type="dxa"/>
              <w:left w:w="90" w:type="dxa"/>
              <w:right w:w="90" w:type="dxa"/>
            </w:tcMar>
          </w:tcPr>
          <w:p>
            <w:pPr>
              <w:pStyle w:val="BDOITable"/>
            </w:pPr>
            <w:r>
              <w:rPr>
                <w:sz w:val="16"/>
              </w:rPr>
              <w:t>Archive documents index</w:t>
            </w:r>
          </w:p>
        </w:tc>
        <w:tc>
          <w:tcPr>
            <w:tcW w:type="dxa" w:w="781"/>
            <w:tcMar>
              <w:top w:w="50" w:type="dxa"/>
              <w:bottom w:w="50" w:type="dxa"/>
              <w:left w:w="90" w:type="dxa"/>
              <w:right w:w="90" w:type="dxa"/>
            </w:tcMar>
          </w:tcPr>
          <w:p>
            <w:pPr>
              <w:pStyle w:val="BDOITable"/>
            </w:pPr>
            <w:r>
              <w:rPr>
                <w:sz w:val="16"/>
              </w:rPr>
              <w:t>H02</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record_type, legacy_key, file_name</w:t>
            </w:r>
          </w:p>
        </w:tc>
        <w:tc>
          <w:tcPr>
            <w:tcW w:type="dxa" w:w="1922"/>
            <w:tcMar>
              <w:top w:w="50" w:type="dxa"/>
              <w:bottom w:w="50" w:type="dxa"/>
              <w:left w:w="90" w:type="dxa"/>
              <w:right w:w="90" w:type="dxa"/>
            </w:tcMar>
          </w:tcPr>
          <w:p>
            <w:pPr>
              <w:pStyle w:val="BDOITable"/>
            </w:pPr>
            <w:r>
              <w:rPr>
                <w:sz w:val="16"/>
              </w:rPr>
              <w:t>-</w:t>
            </w:r>
          </w:p>
        </w:tc>
      </w:tr>
    </w:tbl>
    <w:p>
      <w:pPr>
        <w:pStyle w:val="BDOISpacer"/>
      </w:pPr>
    </w:p>
    <w:p>
      <w:r>
        <w:rPr/>
        <w:t>Rules for every file (workbook sheet "File Contract"):</w:t>
      </w:r>
    </w:p>
    <w:p>
      <w:pPr>
        <w:tabs>
          <w:tab w:pos="312" w:val="left"/>
        </w:tabs>
        <w:spacing w:after="40"/>
        <w:ind w:left="312" w:hanging="283"/>
      </w:pPr>
      <w:r>
        <w:rPr>
          <w:color w:val="004EA8"/>
        </w:rPr>
        <w:t>•</w:t>
        <w:tab/>
      </w:r>
      <w:r>
        <w:rPr/>
        <w:t xml:space="preserve">File name </w:t>
      </w:r>
      <w:r>
        <w:rPr>
          <w:rFonts w:ascii="Courier New" w:hAnsi="Courier New" w:cs="Courier New" w:eastAsia="Courier New"/>
          <w:color w:val="2E2E2E"/>
          <w:sz w:val="19"/>
        </w:rPr>
        <w:t>&lt;LAYOUT&gt;_&lt;SOURCE&gt;_&lt;yyyyMMdd&gt;_&lt;nn&gt;.csv</w:t>
      </w:r>
      <w:r>
        <w:rPr/>
        <w:t>, one file per layout, source system and extract.</w:t>
      </w:r>
    </w:p>
    <w:p>
      <w:pPr>
        <w:tabs>
          <w:tab w:pos="312" w:val="left"/>
        </w:tabs>
        <w:spacing w:after="40"/>
        <w:ind w:left="312" w:hanging="283"/>
      </w:pPr>
      <w:r>
        <w:rPr>
          <w:color w:val="004EA8"/>
        </w:rPr>
        <w:t>•</w:t>
        <w:tab/>
      </w:r>
      <w:r>
        <w:rPr/>
        <w:t>CSV in UTF-8 without BOM, comma separator, RFC 4180 quoting, one header row; or XLSX with the header in row 1 of the first sheet.</w:t>
      </w:r>
    </w:p>
    <w:p>
      <w:pPr>
        <w:tabs>
          <w:tab w:pos="312" w:val="left"/>
        </w:tabs>
        <w:spacing w:after="40"/>
        <w:ind w:left="312" w:hanging="283"/>
      </w:pPr>
      <w:r>
        <w:rPr>
          <w:color w:val="004EA8"/>
        </w:rPr>
        <w:t>•</w:t>
        <w:tab/>
      </w:r>
      <w:r>
        <w:rPr/>
        <w:t xml:space="preserve">Dates </w:t>
      </w:r>
      <w:r>
        <w:rPr>
          <w:rFonts w:ascii="Courier New" w:hAnsi="Courier New" w:cs="Courier New" w:eastAsia="Courier New"/>
          <w:color w:val="2E2E2E"/>
          <w:sz w:val="19"/>
        </w:rPr>
        <w:t>yyyy-MM-dd</w:t>
      </w:r>
      <w:r>
        <w:rPr/>
        <w:t>; amounts with a dot decimal, 2 decimals, no thousands separator; codes exactly as stored in legacy.</w:t>
      </w:r>
    </w:p>
    <w:p>
      <w:pPr>
        <w:tabs>
          <w:tab w:pos="312" w:val="left"/>
        </w:tabs>
        <w:spacing w:after="120"/>
        <w:ind w:left="312" w:hanging="283"/>
      </w:pPr>
      <w:r>
        <w:rPr>
          <w:color w:val="004EA8"/>
        </w:rPr>
        <w:t>•</w:t>
        <w:tab/>
      </w:r>
      <w:r>
        <w:rPr/>
        <w:t xml:space="preserve">A control file </w:t>
      </w:r>
      <w:r>
        <w:rPr>
          <w:rFonts w:ascii="Courier New" w:hAnsi="Courier New" w:cs="Courier New" w:eastAsia="Courier New"/>
          <w:color w:val="2E2E2E"/>
          <w:sz w:val="19"/>
        </w:rPr>
        <w:t>&lt;data file&gt;.ctl.csv</w:t>
      </w:r>
      <w:r>
        <w:rPr/>
        <w:t xml:space="preserve"> with the row count, the hash total of the key, the amount totals per column and currency, and the SHA-256 of the data file.</w:t>
      </w:r>
    </w:p>
    <w:p>
      <w:r>
        <w:rPr/>
        <w:t>What BDOI provides per object:</w:t>
      </w:r>
    </w:p>
    <w:p>
      <w:pPr>
        <w:pStyle w:val="Caption"/>
        <w:keepNext/>
        <w:spacing w:after="60"/>
      </w:pPr>
      <w:r>
        <w:rPr>
          <w:b/>
          <w:i w:val="0"/>
        </w:rPr>
        <w:t xml:space="preserve">Table 14: </w:t>
      </w:r>
      <w:r>
        <w:rPr/>
        <w:t>What BDOI provides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003"/>
        <w:gridCol w:w="1081"/>
        <w:gridCol w:w="1201"/>
        <w:gridCol w:w="2403"/>
        <w:gridCol w:w="15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Templates</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Control totals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2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081"/>
            <w:tcMar>
              <w:top w:w="50" w:type="dxa"/>
              <w:bottom w:w="50" w:type="dxa"/>
              <w:left w:w="90" w:type="dxa"/>
              <w:right w:w="90" w:type="dxa"/>
            </w:tcMar>
          </w:tcPr>
          <w:p>
            <w:pPr>
              <w:pStyle w:val="BDOITable"/>
            </w:pPr>
            <w:r>
              <w:rPr>
                <w:sz w:val="16"/>
              </w:rPr>
              <w:t>R01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count of distinct (list_type, code)</w:t>
            </w:r>
          </w:p>
        </w:tc>
        <w:tc>
          <w:tcPr>
            <w:tcW w:type="dxa" w:w="1562"/>
            <w:tcMar>
              <w:top w:w="50" w:type="dxa"/>
              <w:bottom w:w="50" w:type="dxa"/>
              <w:left w:w="90" w:type="dxa"/>
              <w:right w:w="90" w:type="dxa"/>
            </w:tcMar>
          </w:tcPr>
          <w:p>
            <w:pPr>
              <w:pStyle w:val="BDOITable"/>
            </w:pPr>
            <w:r>
              <w:rPr>
                <w:sz w:val="16"/>
              </w:rPr>
              <w:t>M4 (T-14 weeks)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081"/>
            <w:tcMar>
              <w:top w:w="50" w:type="dxa"/>
              <w:bottom w:w="50" w:type="dxa"/>
              <w:left w:w="90" w:type="dxa"/>
              <w:right w:w="90" w:type="dxa"/>
            </w:tcMar>
            <w:shd w:val="clear" w:color="auto" w:fill="E5F5FF"/>
          </w:tcPr>
          <w:p>
            <w:pPr>
              <w:pStyle w:val="BDOITable"/>
            </w:pPr>
            <w:r>
              <w:rPr>
                <w:sz w:val="16"/>
              </w:rPr>
              <w:t>R02</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2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w:t>
            </w:r>
          </w:p>
        </w:tc>
        <w:tc>
          <w:tcPr>
            <w:tcW w:type="dxa" w:w="1081"/>
            <w:tcMar>
              <w:top w:w="50" w:type="dxa"/>
              <w:bottom w:w="50" w:type="dxa"/>
              <w:left w:w="90" w:type="dxa"/>
              <w:right w:w="90" w:type="dxa"/>
            </w:tcMar>
          </w:tcPr>
          <w:p>
            <w:pPr>
              <w:pStyle w:val="BDOITable"/>
            </w:pPr>
            <w:r>
              <w:rPr>
                <w:sz w:val="16"/>
              </w:rPr>
              <w:t>R03</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per record type</w:t>
            </w:r>
          </w:p>
        </w:tc>
        <w:tc>
          <w:tcPr>
            <w:tcW w:type="dxa" w:w="1562"/>
            <w:tcMar>
              <w:top w:w="50" w:type="dxa"/>
              <w:bottom w:w="50" w:type="dxa"/>
              <w:left w:w="90" w:type="dxa"/>
              <w:right w:w="90" w:type="dxa"/>
            </w:tcMar>
          </w:tcPr>
          <w:p>
            <w:pPr>
              <w:pStyle w:val="BDOITable"/>
            </w:pPr>
            <w:r>
              <w:rPr>
                <w:sz w:val="16"/>
              </w:rPr>
              <w:t>M4 (T-14 weeks)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081"/>
            <w:tcMar>
              <w:top w:w="50" w:type="dxa"/>
              <w:bottom w:w="50" w:type="dxa"/>
              <w:left w:w="90" w:type="dxa"/>
              <w:right w:w="90" w:type="dxa"/>
            </w:tcMar>
            <w:shd w:val="clear" w:color="auto" w:fill="E5F5FF"/>
          </w:tcPr>
          <w:p>
            <w:pPr>
              <w:pStyle w:val="BDOITable"/>
            </w:pPr>
            <w:r>
              <w:rPr>
                <w:sz w:val="16"/>
              </w:rPr>
              <w:t>R04, R04B</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per file</w:t>
            </w:r>
          </w:p>
        </w:tc>
        <w:tc>
          <w:tcPr>
            <w:tcW w:type="dxa" w:w="15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2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081"/>
            <w:tcMar>
              <w:top w:w="50" w:type="dxa"/>
              <w:bottom w:w="50" w:type="dxa"/>
              <w:left w:w="90" w:type="dxa"/>
              <w:right w:w="90" w:type="dxa"/>
            </w:tcMar>
          </w:tcPr>
          <w:p>
            <w:pPr>
              <w:pStyle w:val="BDOITable"/>
            </w:pPr>
            <w:r>
              <w:rPr>
                <w:sz w:val="16"/>
              </w:rPr>
              <w:t>R05</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M4 (T-14 weeks)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Packages (active package versions)</w:t>
            </w:r>
          </w:p>
        </w:tc>
        <w:tc>
          <w:tcPr>
            <w:tcW w:type="dxa" w:w="1081"/>
            <w:tcMar>
              <w:top w:w="50" w:type="dxa"/>
              <w:bottom w:w="50" w:type="dxa"/>
              <w:left w:w="90" w:type="dxa"/>
              <w:right w:w="90" w:type="dxa"/>
            </w:tcMar>
            <w:shd w:val="clear" w:color="auto" w:fill="E5F5FF"/>
          </w:tcPr>
          <w:p>
            <w:pPr>
              <w:pStyle w:val="BDOITable"/>
            </w:pPr>
            <w:r>
              <w:rPr>
                <w:sz w:val="16"/>
              </w:rPr>
              <w:t>R06</w:t>
            </w:r>
          </w:p>
        </w:tc>
        <w:tc>
          <w:tcPr>
            <w:tcW w:type="dxa" w:w="1201"/>
            <w:tcMar>
              <w:top w:w="50" w:type="dxa"/>
              <w:bottom w:w="50" w:type="dxa"/>
              <w:left w:w="90" w:type="dxa"/>
              <w:right w:w="90" w:type="dxa"/>
            </w:tcMar>
            <w:shd w:val="clear" w:color="auto" w:fill="E5F5FF"/>
          </w:tcPr>
          <w:p>
            <w:pPr>
              <w:pStyle w:val="BDOITable"/>
            </w:pPr>
            <w:r>
              <w:rPr>
                <w:sz w:val="16"/>
              </w:rPr>
              <w:t>QPS</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2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081"/>
            <w:tcMar>
              <w:top w:w="50" w:type="dxa"/>
              <w:bottom w:w="50" w:type="dxa"/>
              <w:left w:w="90" w:type="dxa"/>
              <w:right w:w="90" w:type="dxa"/>
            </w:tcMar>
          </w:tcPr>
          <w:p>
            <w:pPr>
              <w:pStyle w:val="BDOITable"/>
            </w:pPr>
            <w:r>
              <w:rPr>
                <w:sz w:val="16"/>
              </w:rPr>
              <w:t>R07</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M4 (T-14 weeks)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081"/>
            <w:tcMar>
              <w:top w:w="50" w:type="dxa"/>
              <w:bottom w:w="50" w:type="dxa"/>
              <w:left w:w="90" w:type="dxa"/>
              <w:right w:w="90" w:type="dxa"/>
            </w:tcMar>
            <w:shd w:val="clear" w:color="auto" w:fill="E5F5FF"/>
          </w:tcPr>
          <w:p>
            <w:pPr>
              <w:pStyle w:val="BDOITable"/>
            </w:pPr>
            <w:r>
              <w:rPr>
                <w:sz w:val="16"/>
              </w:rPr>
              <w:t>R08</w:t>
            </w:r>
          </w:p>
        </w:tc>
        <w:tc>
          <w:tcPr>
            <w:tcW w:type="dxa" w:w="1201"/>
            <w:tcMar>
              <w:top w:w="50" w:type="dxa"/>
              <w:bottom w:w="50" w:type="dxa"/>
              <w:left w:w="90" w:type="dxa"/>
              <w:right w:w="90" w:type="dxa"/>
            </w:tcMar>
            <w:shd w:val="clear" w:color="auto" w:fill="E5F5FF"/>
          </w:tcPr>
          <w:p>
            <w:pPr>
              <w:pStyle w:val="BDOITable"/>
            </w:pPr>
            <w:r>
              <w:rPr>
                <w:sz w:val="16"/>
              </w:rPr>
              <w:t>EBIX, ISYS GL</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2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081"/>
            <w:tcMar>
              <w:top w:w="50" w:type="dxa"/>
              <w:bottom w:w="50" w:type="dxa"/>
              <w:left w:w="90" w:type="dxa"/>
              <w:right w:w="90" w:type="dxa"/>
            </w:tcMar>
          </w:tcPr>
          <w:p>
            <w:pPr>
              <w:pStyle w:val="BDOITable"/>
            </w:pPr>
            <w:r>
              <w:rPr>
                <w:sz w:val="16"/>
              </w:rPr>
              <w:t>R09</w:t>
            </w:r>
          </w:p>
        </w:tc>
        <w:tc>
          <w:tcPr>
            <w:tcW w:type="dxa" w:w="1201"/>
            <w:tcMar>
              <w:top w:w="50" w:type="dxa"/>
              <w:bottom w:w="50" w:type="dxa"/>
              <w:left w:w="90" w:type="dxa"/>
              <w:right w:w="90" w:type="dxa"/>
            </w:tcMar>
          </w:tcPr>
          <w:p>
            <w:pPr>
              <w:pStyle w:val="BDOITable"/>
            </w:pPr>
            <w:r>
              <w:rPr>
                <w:sz w:val="16"/>
              </w:rPr>
              <w:t>EBIX, Disbursement files</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M4 (T-14 weeks)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R11</w:t>
            </w:r>
          </w:p>
        </w:tc>
        <w:tc>
          <w:tcPr>
            <w:tcW w:type="dxa" w:w="3004"/>
            <w:tcMar>
              <w:top w:w="50" w:type="dxa"/>
              <w:bottom w:w="50" w:type="dxa"/>
              <w:left w:w="90" w:type="dxa"/>
              <w:right w:w="90" w:type="dxa"/>
            </w:tcMar>
            <w:shd w:val="clear" w:color="auto" w:fill="E5F5FF"/>
          </w:tcPr>
          <w:p>
            <w:pPr>
              <w:pStyle w:val="BDOITable"/>
            </w:pPr>
            <w:r>
              <w:rPr>
                <w:sz w:val="16"/>
              </w:rPr>
              <w:t>Receipt series in use (AR and OR, ATP and next number)</w:t>
            </w:r>
          </w:p>
        </w:tc>
        <w:tc>
          <w:tcPr>
            <w:tcW w:type="dxa" w:w="1081"/>
            <w:tcMar>
              <w:top w:w="50" w:type="dxa"/>
              <w:bottom w:w="50" w:type="dxa"/>
              <w:left w:w="90" w:type="dxa"/>
              <w:right w:w="90" w:type="dxa"/>
            </w:tcMar>
            <w:shd w:val="clear" w:color="auto" w:fill="E5F5FF"/>
          </w:tcPr>
          <w:p>
            <w:pPr>
              <w:pStyle w:val="BDOITable"/>
            </w:pPr>
            <w:r>
              <w:rPr>
                <w:sz w:val="16"/>
              </w:rPr>
              <w:t>R11</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M4 (T-14 weeks); final at T-3</w:t>
            </w:r>
          </w:p>
        </w:tc>
      </w:tr>
      <w:tr>
        <w:trPr>
          <w:cantSplit w:val="true"/>
        </w:trPr>
        <w:tc>
          <w:tcPr>
            <w:tcW w:type="dxa" w:w="721"/>
            <w:tcMar>
              <w:top w:w="50" w:type="dxa"/>
              <w:bottom w:w="50" w:type="dxa"/>
              <w:left w:w="90" w:type="dxa"/>
              <w:right w:w="90" w:type="dxa"/>
            </w:tcMar>
          </w:tcPr>
          <w:p>
            <w:pPr>
              <w:pStyle w:val="BDOITable"/>
            </w:pPr>
            <w:r>
              <w:rPr>
                <w:b/>
                <w:sz w:val="16"/>
              </w:rPr>
              <w:t>C01</w:t>
            </w:r>
          </w:p>
        </w:tc>
        <w:tc>
          <w:tcPr>
            <w:tcW w:type="dxa" w:w="3004"/>
            <w:tcMar>
              <w:top w:w="50" w:type="dxa"/>
              <w:bottom w:w="50" w:type="dxa"/>
              <w:left w:w="90" w:type="dxa"/>
              <w:right w:w="90" w:type="dxa"/>
            </w:tcMar>
          </w:tcPr>
          <w:p>
            <w:pPr>
              <w:pStyle w:val="BDOITable"/>
            </w:pPr>
            <w:r>
              <w:rPr>
                <w:sz w:val="16"/>
              </w:rPr>
              <w:t>Client master (individual and corporate)</w:t>
            </w:r>
          </w:p>
        </w:tc>
        <w:tc>
          <w:tcPr>
            <w:tcW w:type="dxa" w:w="1081"/>
            <w:tcMar>
              <w:top w:w="50" w:type="dxa"/>
              <w:bottom w:w="50" w:type="dxa"/>
              <w:left w:w="90" w:type="dxa"/>
              <w:right w:w="90" w:type="dxa"/>
            </w:tcMar>
          </w:tcPr>
          <w:p>
            <w:pPr>
              <w:pStyle w:val="BDOITable"/>
            </w:pPr>
            <w:r>
              <w:rPr>
                <w:sz w:val="16"/>
              </w:rPr>
              <w:t>C01, C02</w:t>
            </w:r>
          </w:p>
        </w:tc>
        <w:tc>
          <w:tcPr>
            <w:tcW w:type="dxa" w:w="1201"/>
            <w:tcMar>
              <w:top w:w="50" w:type="dxa"/>
              <w:bottom w:w="50" w:type="dxa"/>
              <w:left w:w="90" w:type="dxa"/>
              <w:right w:w="90" w:type="dxa"/>
            </w:tcMar>
          </w:tcPr>
          <w:p>
            <w:pPr>
              <w:pStyle w:val="BDOITable"/>
            </w:pPr>
            <w:r>
              <w:rPr>
                <w:sz w:val="16"/>
              </w:rPr>
              <w:t>QPS, EBIX, CMS</w:t>
            </w:r>
          </w:p>
        </w:tc>
        <w:tc>
          <w:tcPr>
            <w:tcW w:type="dxa" w:w="2403"/>
            <w:tcMar>
              <w:top w:w="50" w:type="dxa"/>
              <w:bottom w:w="50" w:type="dxa"/>
              <w:left w:w="90" w:type="dxa"/>
              <w:right w:w="90" w:type="dxa"/>
            </w:tcMar>
          </w:tcPr>
          <w:p>
            <w:pPr>
              <w:pStyle w:val="BDOITable"/>
            </w:pPr>
            <w:r>
              <w:rPr>
                <w:sz w:val="16"/>
              </w:rPr>
              <w:t>Row count; count of distinct legacy_client_no</w:t>
            </w:r>
          </w:p>
        </w:tc>
        <w:tc>
          <w:tcPr>
            <w:tcW w:type="dxa" w:w="1562"/>
            <w:tcMar>
              <w:top w:w="50" w:type="dxa"/>
              <w:bottom w:w="50" w:type="dxa"/>
              <w:left w:w="90" w:type="dxa"/>
              <w:right w:w="90" w:type="dxa"/>
            </w:tcMar>
          </w:tcPr>
          <w:p>
            <w:pPr>
              <w:pStyle w:val="BDOITable"/>
            </w:pPr>
            <w:r>
              <w:rPr>
                <w:sz w:val="16"/>
              </w:rPr>
              <w:t>M4 (T-14 weeks); deltas daily from T-14 days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 (for refunds)</w:t>
            </w:r>
          </w:p>
        </w:tc>
        <w:tc>
          <w:tcPr>
            <w:tcW w:type="dxa" w:w="1081"/>
            <w:tcMar>
              <w:top w:w="50" w:type="dxa"/>
              <w:bottom w:w="50" w:type="dxa"/>
              <w:left w:w="90" w:type="dxa"/>
              <w:right w:w="90" w:type="dxa"/>
            </w:tcMar>
            <w:shd w:val="clear" w:color="auto" w:fill="E5F5FF"/>
          </w:tcPr>
          <w:p>
            <w:pPr>
              <w:pStyle w:val="BDOITable"/>
            </w:pPr>
            <w:r>
              <w:rPr>
                <w:sz w:val="16"/>
              </w:rPr>
              <w:t>C03</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M4 (T-14 weeks)</w:t>
            </w:r>
          </w:p>
        </w:tc>
      </w:tr>
      <w:tr>
        <w:trPr>
          <w:cantSplit w:val="true"/>
        </w:trPr>
        <w:tc>
          <w:tcPr>
            <w:tcW w:type="dxa" w:w="721"/>
            <w:tcMar>
              <w:top w:w="50" w:type="dxa"/>
              <w:bottom w:w="50" w:type="dxa"/>
              <w:left w:w="90" w:type="dxa"/>
              <w:right w:w="90" w:type="dxa"/>
            </w:tcMar>
          </w:tcPr>
          <w:p>
            <w:pPr>
              <w:pStyle w:val="BDOITable"/>
            </w:pPr>
            <w:r>
              <w:rPr>
                <w:b/>
                <w:sz w:val="16"/>
              </w:rPr>
              <w:t>C04</w:t>
            </w:r>
          </w:p>
        </w:tc>
        <w:tc>
          <w:tcPr>
            <w:tcW w:type="dxa" w:w="3004"/>
            <w:tcMar>
              <w:top w:w="50" w:type="dxa"/>
              <w:bottom w:w="50" w:type="dxa"/>
              <w:left w:w="90" w:type="dxa"/>
              <w:right w:w="90" w:type="dxa"/>
            </w:tcMar>
          </w:tcPr>
          <w:p>
            <w:pPr>
              <w:pStyle w:val="BDOITable"/>
            </w:pPr>
            <w:r>
              <w:rPr>
                <w:sz w:val="16"/>
              </w:rPr>
              <w:t>KYC documents and IDs</w:t>
            </w:r>
          </w:p>
        </w:tc>
        <w:tc>
          <w:tcPr>
            <w:tcW w:type="dxa" w:w="1081"/>
            <w:tcMar>
              <w:top w:w="50" w:type="dxa"/>
              <w:bottom w:w="50" w:type="dxa"/>
              <w:left w:w="90" w:type="dxa"/>
              <w:right w:w="90" w:type="dxa"/>
            </w:tcMar>
          </w:tcPr>
          <w:p>
            <w:pPr>
              <w:pStyle w:val="BDOITable"/>
            </w:pPr>
            <w:r>
              <w:rPr>
                <w:sz w:val="16"/>
              </w:rPr>
              <w:t>H02</w:t>
            </w:r>
          </w:p>
        </w:tc>
        <w:tc>
          <w:tcPr>
            <w:tcW w:type="dxa" w:w="1201"/>
            <w:tcMar>
              <w:top w:w="50" w:type="dxa"/>
              <w:bottom w:w="50" w:type="dxa"/>
              <w:left w:w="90" w:type="dxa"/>
              <w:right w:w="90" w:type="dxa"/>
            </w:tcMar>
          </w:tcPr>
          <w:p>
            <w:pPr>
              <w:pStyle w:val="BDOITable"/>
            </w:pPr>
            <w:r>
              <w:rPr>
                <w:sz w:val="16"/>
              </w:rPr>
              <w:t>QPS, file shares</w:t>
            </w:r>
          </w:p>
        </w:tc>
        <w:tc>
          <w:tcPr>
            <w:tcW w:type="dxa" w:w="2403"/>
            <w:tcMar>
              <w:top w:w="50" w:type="dxa"/>
              <w:bottom w:w="50" w:type="dxa"/>
              <w:left w:w="90" w:type="dxa"/>
              <w:right w:w="90" w:type="dxa"/>
            </w:tcMar>
          </w:tcPr>
          <w:p>
            <w:pPr>
              <w:pStyle w:val="BDOITable"/>
            </w:pPr>
            <w:r>
              <w:rPr>
                <w:sz w:val="16"/>
              </w:rPr>
              <w:t>Row count; SHA-256 per file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081"/>
            <w:tcMar>
              <w:top w:w="50" w:type="dxa"/>
              <w:bottom w:w="50" w:type="dxa"/>
              <w:left w:w="90" w:type="dxa"/>
              <w:right w:w="90" w:type="dxa"/>
            </w:tcMar>
            <w:shd w:val="clear" w:color="auto" w:fill="E5F5FF"/>
          </w:tcPr>
          <w:p>
            <w:pPr>
              <w:pStyle w:val="BDOITable"/>
            </w:pPr>
            <w:r>
              <w:rPr>
                <w:sz w:val="16"/>
              </w:rPr>
              <w:t>P01, P01S</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sum of sum_insured and gross_premium per currency; count of distinct legacy_policy_ref</w:t>
            </w:r>
          </w:p>
        </w:tc>
        <w:tc>
          <w:tcPr>
            <w:tcW w:type="dxa" w:w="15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2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and hash total per record type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RMEL cohorts already extracted in legacy (renewal candidates in dispos...</w:t>
            </w:r>
          </w:p>
        </w:tc>
        <w:tc>
          <w:tcPr>
            <w:tcW w:type="dxa" w:w="1081"/>
            <w:tcMar>
              <w:top w:w="50" w:type="dxa"/>
              <w:bottom w:w="50" w:type="dxa"/>
              <w:left w:w="90" w:type="dxa"/>
              <w:right w:w="90" w:type="dxa"/>
            </w:tcMar>
            <w:shd w:val="clear" w:color="auto" w:fill="E5F5FF"/>
          </w:tcPr>
          <w:p>
            <w:pPr>
              <w:pStyle w:val="BDOITable"/>
            </w:pPr>
            <w:r>
              <w:rPr>
                <w:sz w:val="16"/>
              </w:rPr>
              <w:t>P03</w:t>
            </w:r>
          </w:p>
        </w:tc>
        <w:tc>
          <w:tcPr>
            <w:tcW w:type="dxa" w:w="1201"/>
            <w:tcMar>
              <w:top w:w="50" w:type="dxa"/>
              <w:bottom w:w="50" w:type="dxa"/>
              <w:left w:w="90" w:type="dxa"/>
              <w:right w:w="90" w:type="dxa"/>
            </w:tcMar>
            <w:shd w:val="clear" w:color="auto" w:fill="E5F5FF"/>
          </w:tcPr>
          <w:p>
            <w:pPr>
              <w:pStyle w:val="BDOITable"/>
            </w:pPr>
            <w:r>
              <w:rPr>
                <w:sz w:val="16"/>
              </w:rPr>
              <w:t>RMEL files, QPS</w:t>
            </w:r>
          </w:p>
        </w:tc>
        <w:tc>
          <w:tcPr>
            <w:tcW w:type="dxa" w:w="2403"/>
            <w:tcMar>
              <w:top w:w="50" w:type="dxa"/>
              <w:bottom w:w="50" w:type="dxa"/>
              <w:left w:w="90" w:type="dxa"/>
              <w:right w:w="90" w:type="dxa"/>
            </w:tcMar>
            <w:shd w:val="clear" w:color="auto" w:fill="E5F5FF"/>
          </w:tcPr>
          <w:p>
            <w:pPr>
              <w:pStyle w:val="BDOITable"/>
            </w:pPr>
            <w:r>
              <w:rPr>
                <w:sz w:val="16"/>
              </w:rPr>
              <w:t>Row count per expiry month</w:t>
            </w:r>
          </w:p>
        </w:tc>
        <w:tc>
          <w:tcPr>
            <w:tcW w:type="dxa" w:w="15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2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w:t>
            </w:r>
          </w:p>
        </w:tc>
        <w:tc>
          <w:tcPr>
            <w:tcW w:type="dxa" w:w="1081"/>
            <w:tcMar>
              <w:top w:w="50" w:type="dxa"/>
              <w:bottom w:w="50" w:type="dxa"/>
              <w:left w:w="90" w:type="dxa"/>
              <w:right w:w="90" w:type="dxa"/>
            </w:tcMar>
          </w:tcPr>
          <w:p>
            <w:pPr>
              <w:pStyle w:val="BDOITable"/>
            </w:pPr>
            <w:r>
              <w:rPr>
                <w:sz w:val="16"/>
              </w:rPr>
              <w:t>F01, F01S, F01C</w:t>
            </w:r>
          </w:p>
        </w:tc>
        <w:tc>
          <w:tcPr>
            <w:tcW w:type="dxa" w:w="1201"/>
            <w:tcMar>
              <w:top w:w="50" w:type="dxa"/>
              <w:bottom w:w="50" w:type="dxa"/>
              <w:left w:w="90" w:type="dxa"/>
              <w:right w:w="90" w:type="dxa"/>
            </w:tcMar>
          </w:tcPr>
          <w:p>
            <w:pPr>
              <w:pStyle w:val="BDOITable"/>
            </w:pPr>
            <w:r>
              <w:rPr>
                <w:sz w:val="16"/>
              </w:rPr>
              <w:t>EBIX, QPS</w:t>
            </w:r>
          </w:p>
        </w:tc>
        <w:tc>
          <w:tcPr>
            <w:tcW w:type="dxa" w:w="2403"/>
            <w:tcMar>
              <w:top w:w="50" w:type="dxa"/>
              <w:bottom w:w="50" w:type="dxa"/>
              <w:left w:w="90" w:type="dxa"/>
              <w:right w:w="90" w:type="dxa"/>
            </w:tcMar>
          </w:tcPr>
          <w:p>
            <w:pPr>
              <w:pStyle w:val="BDOITable"/>
            </w:pPr>
            <w:r>
              <w:rPr>
                <w:sz w:val="16"/>
              </w:rPr>
              <w:t>Row count per file; sums per component, bucket and currency; count of distinct legacy_invoice_no</w:t>
            </w:r>
          </w:p>
        </w:tc>
        <w:tc>
          <w:tcPr>
            <w:tcW w:type="dxa" w:w="1562"/>
            <w:tcMar>
              <w:top w:w="50" w:type="dxa"/>
              <w:bottom w:w="50" w:type="dxa"/>
              <w:left w:w="90" w:type="dxa"/>
              <w:right w:w="90" w:type="dxa"/>
            </w:tcMar>
          </w:tcPr>
          <w:p>
            <w:pPr>
              <w:pStyle w:val="BDOITable"/>
            </w:pPr>
            <w:r>
              <w:rPr>
                <w:sz w:val="16"/>
              </w:rPr>
              <w:t>M4 (T-14 weeks);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081"/>
            <w:tcMar>
              <w:top w:w="50" w:type="dxa"/>
              <w:bottom w:w="50" w:type="dxa"/>
              <w:left w:w="90" w:type="dxa"/>
              <w:right w:w="90" w:type="dxa"/>
            </w:tcMar>
            <w:shd w:val="clear" w:color="auto" w:fill="E5F5FF"/>
          </w:tcPr>
          <w:p>
            <w:pPr>
              <w:pStyle w:val="BDOITable"/>
            </w:pPr>
            <w:r>
              <w:rPr>
                <w:sz w:val="16"/>
              </w:rPr>
              <w:t>F02</w:t>
            </w:r>
          </w:p>
        </w:tc>
        <w:tc>
          <w:tcPr>
            <w:tcW w:type="dxa" w:w="1201"/>
            <w:tcMar>
              <w:top w:w="50" w:type="dxa"/>
              <w:bottom w:w="50" w:type="dxa"/>
              <w:left w:w="90" w:type="dxa"/>
              <w:right w:w="90" w:type="dxa"/>
            </w:tcMar>
            <w:shd w:val="clear" w:color="auto" w:fill="E5F5FF"/>
          </w:tcPr>
          <w:p>
            <w:pPr>
              <w:pStyle w:val="BDOITable"/>
            </w:pPr>
            <w:r>
              <w:rPr>
                <w:sz w:val="16"/>
              </w:rPr>
              <w:t>EBIX, CMS</w:t>
            </w:r>
          </w:p>
        </w:tc>
        <w:tc>
          <w:tcPr>
            <w:tcW w:type="dxa" w:w="2403"/>
            <w:tcMar>
              <w:top w:w="50" w:type="dxa"/>
              <w:bottom w:w="50" w:type="dxa"/>
              <w:left w:w="90" w:type="dxa"/>
              <w:right w:w="90" w:type="dxa"/>
            </w:tcMar>
            <w:shd w:val="clear" w:color="auto" w:fill="E5F5FF"/>
          </w:tcPr>
          <w:p>
            <w:pPr>
              <w:pStyle w:val="BDOITable"/>
            </w:pPr>
            <w:r>
              <w:rPr>
                <w:sz w:val="16"/>
              </w:rPr>
              <w:t>Row count; sums of amount and balance per currency; count of distinct legacy_upp_ref</w:t>
            </w:r>
          </w:p>
        </w:tc>
        <w:tc>
          <w:tcPr>
            <w:tcW w:type="dxa" w:w="15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2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w:t>
            </w:r>
          </w:p>
        </w:tc>
        <w:tc>
          <w:tcPr>
            <w:tcW w:type="dxa" w:w="1081"/>
            <w:tcMar>
              <w:top w:w="50" w:type="dxa"/>
              <w:bottom w:w="50" w:type="dxa"/>
              <w:left w:w="90" w:type="dxa"/>
              <w:right w:w="90" w:type="dxa"/>
            </w:tcMar>
          </w:tcPr>
          <w:p>
            <w:pPr>
              <w:pStyle w:val="BDOITable"/>
            </w:pPr>
            <w:r>
              <w:rPr>
                <w:sz w:val="16"/>
              </w:rPr>
              <w:t>F03</w:t>
            </w:r>
          </w:p>
        </w:tc>
        <w:tc>
          <w:tcPr>
            <w:tcW w:type="dxa" w:w="1201"/>
            <w:tcMar>
              <w:top w:w="50" w:type="dxa"/>
              <w:bottom w:w="50" w:type="dxa"/>
              <w:left w:w="90" w:type="dxa"/>
              <w:right w:w="90" w:type="dxa"/>
            </w:tcMar>
          </w:tcPr>
          <w:p>
            <w:pPr>
              <w:pStyle w:val="BDOITable"/>
            </w:pPr>
            <w:r>
              <w:rPr>
                <w:sz w:val="16"/>
              </w:rPr>
              <w:t>CMS</w:t>
            </w:r>
          </w:p>
        </w:tc>
        <w:tc>
          <w:tcPr>
            <w:tcW w:type="dxa" w:w="2403"/>
            <w:tcMar>
              <w:top w:w="50" w:type="dxa"/>
              <w:bottom w:w="50" w:type="dxa"/>
              <w:left w:w="90" w:type="dxa"/>
              <w:right w:w="90" w:type="dxa"/>
            </w:tcMar>
          </w:tcPr>
          <w:p>
            <w:pPr>
              <w:pStyle w:val="BDOITable"/>
            </w:pPr>
            <w:r>
              <w:rPr>
                <w:sz w:val="16"/>
              </w:rPr>
              <w:t>Row count; sum of promise_amount per currency</w:t>
            </w:r>
          </w:p>
        </w:tc>
        <w:tc>
          <w:tcPr>
            <w:tcW w:type="dxa" w:w="1562"/>
            <w:tcMar>
              <w:top w:w="50" w:type="dxa"/>
              <w:bottom w:w="50" w:type="dxa"/>
              <w:left w:w="90" w:type="dxa"/>
              <w:right w:w="90" w:type="dxa"/>
            </w:tcMar>
          </w:tcPr>
          <w:p>
            <w:pPr>
              <w:pStyle w:val="BDOITable"/>
            </w:pPr>
            <w:r>
              <w:rPr>
                <w:sz w:val="16"/>
              </w:rPr>
              <w:t>M4 (T-14 weeks);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081"/>
            <w:tcMar>
              <w:top w:w="50" w:type="dxa"/>
              <w:bottom w:w="50" w:type="dxa"/>
              <w:left w:w="90" w:type="dxa"/>
              <w:right w:w="90" w:type="dxa"/>
            </w:tcMar>
            <w:shd w:val="clear" w:color="auto" w:fill="E5F5FF"/>
          </w:tcPr>
          <w:p>
            <w:pPr>
              <w:pStyle w:val="BDOITable"/>
            </w:pPr>
            <w:r>
              <w:rPr>
                <w:sz w:val="16"/>
              </w:rPr>
              <w:t>F04</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 sum of amount per currency</w:t>
            </w:r>
          </w:p>
        </w:tc>
        <w:tc>
          <w:tcPr>
            <w:tcW w:type="dxa" w:w="15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21"/>
            <w:tcMar>
              <w:top w:w="50" w:type="dxa"/>
              <w:bottom w:w="50" w:type="dxa"/>
              <w:left w:w="90" w:type="dxa"/>
              <w:right w:w="90" w:type="dxa"/>
            </w:tcMar>
          </w:tcPr>
          <w:p>
            <w:pPr>
              <w:pStyle w:val="BDOITable"/>
            </w:pPr>
            <w:r>
              <w:rPr>
                <w:b/>
                <w:sz w:val="16"/>
              </w:rPr>
              <w:t>F06</w:t>
            </w:r>
          </w:p>
        </w:tc>
        <w:tc>
          <w:tcPr>
            <w:tcW w:type="dxa" w:w="3004"/>
            <w:tcMar>
              <w:top w:w="50" w:type="dxa"/>
              <w:bottom w:w="50" w:type="dxa"/>
              <w:left w:w="90" w:type="dxa"/>
              <w:right w:w="90" w:type="dxa"/>
            </w:tcMar>
          </w:tcPr>
          <w:p>
            <w:pPr>
              <w:pStyle w:val="BDOITable"/>
            </w:pPr>
            <w:r>
              <w:rPr>
                <w:sz w:val="16"/>
              </w:rPr>
              <w:t>PDCs in the warehouse, check pick-ups and refunds in process</w:t>
            </w:r>
          </w:p>
        </w:tc>
        <w:tc>
          <w:tcPr>
            <w:tcW w:type="dxa" w:w="1081"/>
            <w:tcMar>
              <w:top w:w="50" w:type="dxa"/>
              <w:bottom w:w="50" w:type="dxa"/>
              <w:left w:w="90" w:type="dxa"/>
              <w:right w:w="90" w:type="dxa"/>
            </w:tcMar>
          </w:tcPr>
          <w:p>
            <w:pPr>
              <w:pStyle w:val="BDOITable"/>
            </w:pPr>
            <w:r>
              <w:rPr>
                <w:sz w:val="16"/>
              </w:rPr>
              <w:t>F06</w:t>
            </w:r>
          </w:p>
        </w:tc>
        <w:tc>
          <w:tcPr>
            <w:tcW w:type="dxa" w:w="1201"/>
            <w:tcMar>
              <w:top w:w="50" w:type="dxa"/>
              <w:bottom w:w="50" w:type="dxa"/>
              <w:left w:w="90" w:type="dxa"/>
              <w:right w:w="90" w:type="dxa"/>
            </w:tcMar>
          </w:tcPr>
          <w:p>
            <w:pPr>
              <w:pStyle w:val="BDOITable"/>
            </w:pPr>
            <w:r>
              <w:rPr>
                <w:sz w:val="16"/>
              </w:rPr>
              <w:t>EBIX</w:t>
            </w:r>
          </w:p>
        </w:tc>
        <w:tc>
          <w:tcPr>
            <w:tcW w:type="dxa" w:w="2403"/>
            <w:tcMar>
              <w:top w:w="50" w:type="dxa"/>
              <w:bottom w:w="50" w:type="dxa"/>
              <w:left w:w="90" w:type="dxa"/>
              <w:right w:w="90" w:type="dxa"/>
            </w:tcMar>
          </w:tcPr>
          <w:p>
            <w:pPr>
              <w:pStyle w:val="BDOITable"/>
            </w:pPr>
            <w:r>
              <w:rPr>
                <w:sz w:val="16"/>
              </w:rPr>
              <w:t>Row count; sum of amount per currency and record type</w:t>
            </w:r>
          </w:p>
        </w:tc>
        <w:tc>
          <w:tcPr>
            <w:tcW w:type="dxa" w:w="1562"/>
            <w:tcMar>
              <w:top w:w="50" w:type="dxa"/>
              <w:bottom w:w="50" w:type="dxa"/>
              <w:left w:w="90" w:type="dxa"/>
              <w:right w:w="90" w:type="dxa"/>
            </w:tcMar>
          </w:tcPr>
          <w:p>
            <w:pPr>
              <w:pStyle w:val="BDOITable"/>
            </w:pPr>
            <w:r>
              <w:rPr>
                <w:sz w:val="16"/>
              </w:rPr>
              <w:t>M4 (T-14 weeks);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opening trial balance per account, branch and currency</w:t>
            </w:r>
          </w:p>
        </w:tc>
        <w:tc>
          <w:tcPr>
            <w:tcW w:type="dxa" w:w="1081"/>
            <w:tcMar>
              <w:top w:w="50" w:type="dxa"/>
              <w:bottom w:w="50" w:type="dxa"/>
              <w:left w:w="90" w:type="dxa"/>
              <w:right w:w="90" w:type="dxa"/>
            </w:tcMar>
            <w:shd w:val="clear" w:color="auto" w:fill="E5F5FF"/>
          </w:tcPr>
          <w:p>
            <w:pPr>
              <w:pStyle w:val="BDOITable"/>
            </w:pPr>
            <w:r>
              <w:rPr>
                <w:sz w:val="16"/>
              </w:rPr>
              <w:t>G01</w:t>
            </w:r>
          </w:p>
        </w:tc>
        <w:tc>
          <w:tcPr>
            <w:tcW w:type="dxa" w:w="1201"/>
            <w:tcMar>
              <w:top w:w="50" w:type="dxa"/>
              <w:bottom w:w="50" w:type="dxa"/>
              <w:left w:w="90" w:type="dxa"/>
              <w:right w:w="90" w:type="dxa"/>
            </w:tcMar>
            <w:shd w:val="clear" w:color="auto" w:fill="E5F5FF"/>
          </w:tcPr>
          <w:p>
            <w:pPr>
              <w:pStyle w:val="BDOITable"/>
            </w:pPr>
            <w:r>
              <w:rPr>
                <w:sz w:val="16"/>
              </w:rPr>
              <w:t>EBIX GL, ISYS GL</w:t>
            </w:r>
          </w:p>
        </w:tc>
        <w:tc>
          <w:tcPr>
            <w:tcW w:type="dxa" w:w="2403"/>
            <w:tcMar>
              <w:top w:w="50" w:type="dxa"/>
              <w:bottom w:w="50" w:type="dxa"/>
              <w:left w:w="90" w:type="dxa"/>
              <w:right w:w="90" w:type="dxa"/>
            </w:tcMar>
            <w:shd w:val="clear" w:color="auto" w:fill="E5F5FF"/>
          </w:tcPr>
          <w:p>
            <w:pPr>
              <w:pStyle w:val="BDOITable"/>
            </w:pPr>
            <w:r>
              <w:rPr>
                <w:sz w:val="16"/>
              </w:rPr>
              <w:t>Row count; total debit and total credit per branch and currency (must be equal)</w:t>
            </w:r>
          </w:p>
        </w:tc>
        <w:tc>
          <w:tcPr>
            <w:tcW w:type="dxa" w:w="1562"/>
            <w:tcMar>
              <w:top w:w="50" w:type="dxa"/>
              <w:bottom w:w="50" w:type="dxa"/>
              <w:left w:w="90" w:type="dxa"/>
              <w:right w:w="90" w:type="dxa"/>
            </w:tcMar>
            <w:shd w:val="clear" w:color="auto" w:fill="E5F5FF"/>
          </w:tcPr>
          <w:p>
            <w:pPr>
              <w:pStyle w:val="BDOITable"/>
            </w:pPr>
            <w:r>
              <w:rPr>
                <w:sz w:val="16"/>
              </w:rPr>
              <w:t>M4 (T-14 weeks); final at T-2</w:t>
            </w:r>
          </w:p>
        </w:tc>
      </w:tr>
      <w:tr>
        <w:trPr>
          <w:cantSplit w:val="true"/>
        </w:trPr>
        <w:tc>
          <w:tcPr>
            <w:tcW w:type="dxa" w:w="72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EBIX GL, ISYS GL</w:t>
            </w:r>
          </w:p>
        </w:tc>
        <w:tc>
          <w:tcPr>
            <w:tcW w:type="dxa" w:w="2403"/>
            <w:tcMar>
              <w:top w:w="50" w:type="dxa"/>
              <w:bottom w:w="50" w:type="dxa"/>
              <w:left w:w="90" w:type="dxa"/>
              <w:right w:w="90" w:type="dxa"/>
            </w:tcMar>
          </w:tcPr>
          <w:p>
            <w:pPr>
              <w:pStyle w:val="BDOITable"/>
            </w:pPr>
            <w:r>
              <w:rPr>
                <w:sz w:val="16"/>
              </w:rPr>
              <w:t>Row count and debit / credit totals per period</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Closed transactions (paid and remitted invoices, receipts, remittances...</w:t>
            </w:r>
          </w:p>
        </w:tc>
        <w:tc>
          <w:tcPr>
            <w:tcW w:type="dxa" w:w="1081"/>
            <w:tcMar>
              <w:top w:w="50" w:type="dxa"/>
              <w:bottom w:w="50" w:type="dxa"/>
              <w:left w:w="90" w:type="dxa"/>
              <w:right w:w="90" w:type="dxa"/>
            </w:tcMar>
            <w:shd w:val="clear" w:color="auto" w:fill="E5F5FF"/>
          </w:tcPr>
          <w:p>
            <w:pPr>
              <w:pStyle w:val="BDOITable"/>
            </w:pPr>
            <w:r>
              <w:rPr>
                <w:sz w:val="16"/>
              </w:rPr>
              <w:t>H01</w:t>
            </w:r>
          </w:p>
        </w:tc>
        <w:tc>
          <w:tcPr>
            <w:tcW w:type="dxa" w:w="1201"/>
            <w:tcMar>
              <w:top w:w="50" w:type="dxa"/>
              <w:bottom w:w="50" w:type="dxa"/>
              <w:left w:w="90" w:type="dxa"/>
              <w:right w:w="90" w:type="dxa"/>
            </w:tcMar>
            <w:shd w:val="clear" w:color="auto" w:fill="E5F5FF"/>
          </w:tcPr>
          <w:p>
            <w:pPr>
              <w:pStyle w:val="BDOITable"/>
            </w:pPr>
            <w:r>
              <w:rPr>
                <w:sz w:val="16"/>
              </w:rPr>
              <w:t>EBIX, QPS, ISYS</w:t>
            </w:r>
          </w:p>
        </w:tc>
        <w:tc>
          <w:tcPr>
            <w:tcW w:type="dxa" w:w="2403"/>
            <w:tcMar>
              <w:top w:w="50" w:type="dxa"/>
              <w:bottom w:w="50" w:type="dxa"/>
              <w:left w:w="90" w:type="dxa"/>
              <w:right w:w="90" w:type="dxa"/>
            </w:tcMar>
            <w:shd w:val="clear" w:color="auto" w:fill="E5F5FF"/>
          </w:tcPr>
          <w:p>
            <w:pPr>
              <w:pStyle w:val="BDOITable"/>
            </w:pPr>
            <w:r>
              <w:rPr>
                <w:sz w:val="16"/>
              </w:rPr>
              <w:t>Row count, amount totals and hash total per record type</w:t>
            </w:r>
          </w:p>
        </w:tc>
        <w:tc>
          <w:tcPr>
            <w:tcW w:type="dxa" w:w="1562"/>
            <w:tcMar>
              <w:top w:w="50" w:type="dxa"/>
              <w:bottom w:w="50" w:type="dxa"/>
              <w:left w:w="90" w:type="dxa"/>
              <w:right w:w="90" w:type="dxa"/>
            </w:tcMar>
            <w:shd w:val="clear" w:color="auto" w:fill="E5F5FF"/>
          </w:tcPr>
          <w:p>
            <w:pPr>
              <w:pStyle w:val="BDOITable"/>
            </w:pPr>
            <w:r>
              <w:rPr>
                <w:sz w:val="16"/>
              </w:rPr>
              <w:t>Before decommissioning</w:t>
            </w:r>
          </w:p>
        </w:tc>
      </w:tr>
      <w:tr>
        <w:trPr>
          <w:cantSplit w:val="true"/>
        </w:trPr>
        <w:tc>
          <w:tcPr>
            <w:tcW w:type="dxa" w:w="72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Legacy documents (policies, SOAs, ORs, certificates, letters)</w:t>
            </w:r>
          </w:p>
        </w:tc>
        <w:tc>
          <w:tcPr>
            <w:tcW w:type="dxa" w:w="1081"/>
            <w:tcMar>
              <w:top w:w="50" w:type="dxa"/>
              <w:bottom w:w="50" w:type="dxa"/>
              <w:left w:w="90" w:type="dxa"/>
              <w:right w:w="90" w:type="dxa"/>
            </w:tcMar>
          </w:tcPr>
          <w:p>
            <w:pPr>
              <w:pStyle w:val="BDOITable"/>
            </w:pPr>
            <w:r>
              <w:rPr>
                <w:sz w:val="16"/>
              </w:rPr>
              <w:t>H02</w:t>
            </w:r>
          </w:p>
        </w:tc>
        <w:tc>
          <w:tcPr>
            <w:tcW w:type="dxa" w:w="1201"/>
            <w:tcMar>
              <w:top w:w="50" w:type="dxa"/>
              <w:bottom w:w="50" w:type="dxa"/>
              <w:left w:w="90" w:type="dxa"/>
              <w:right w:w="90" w:type="dxa"/>
            </w:tcMar>
          </w:tcPr>
          <w:p>
            <w:pPr>
              <w:pStyle w:val="BDOITable"/>
            </w:pPr>
            <w:r>
              <w:rPr>
                <w:sz w:val="16"/>
              </w:rPr>
              <w:t>File shares, EBIX</w:t>
            </w:r>
          </w:p>
        </w:tc>
        <w:tc>
          <w:tcPr>
            <w:tcW w:type="dxa" w:w="2403"/>
            <w:tcMar>
              <w:top w:w="50" w:type="dxa"/>
              <w:bottom w:w="50" w:type="dxa"/>
              <w:left w:w="90" w:type="dxa"/>
              <w:right w:w="90" w:type="dxa"/>
            </w:tcMar>
          </w:tcPr>
          <w:p>
            <w:pPr>
              <w:pStyle w:val="BDOITable"/>
            </w:pPr>
            <w:r>
              <w:rPr>
                <w:sz w:val="16"/>
              </w:rPr>
              <w:t>Row count; SHA-256 per file</w:t>
            </w:r>
          </w:p>
        </w:tc>
        <w:tc>
          <w:tcPr>
            <w:tcW w:type="dxa" w:w="1562"/>
            <w:tcMar>
              <w:top w:w="50" w:type="dxa"/>
              <w:bottom w:w="50" w:type="dxa"/>
              <w:left w:w="90" w:type="dxa"/>
              <w:right w:w="90" w:type="dxa"/>
            </w:tcMar>
          </w:tcPr>
          <w:p>
            <w:pPr>
              <w:pStyle w:val="BDOITable"/>
            </w:pPr>
            <w:r>
              <w:rPr>
                <w:sz w:val="16"/>
              </w:rPr>
              <w:t>Before decommissioning</w:t>
            </w:r>
          </w:p>
        </w:tc>
      </w:tr>
    </w:tbl>
    <w:p>
      <w:pPr>
        <w:pStyle w:val="BDOISpacer"/>
      </w:pPr>
    </w:p>
    <w:p>
      <w:pPr>
        <w:pStyle w:val="Heading2"/>
      </w:pPr>
      <w:bookmarkStart w:id="125" w:name="_Toc000125"/>
      <w:r>
        <w:rPr/>
        <w:t>6.3 Secure transfer and staging</w:t>
      </w:r>
      <w:bookmarkEnd w:id="125"/>
    </w:p>
    <w:p>
      <w:pPr>
        <w:tabs>
          <w:tab w:pos="312" w:val="left"/>
        </w:tabs>
        <w:spacing w:after="40"/>
        <w:ind w:left="312" w:hanging="283"/>
      </w:pPr>
      <w:r>
        <w:rPr>
          <w:color w:val="004EA8"/>
        </w:rPr>
        <w:t>•</w:t>
        <w:tab/>
      </w:r>
      <w:r>
        <w:rPr/>
        <w:t>Files are received through the Migration Console upload, or through an SFTP drop that BDOI IT and iorta TechNXT set up (a seam of the intake; DMQ28). E-mail is never used.</w:t>
      </w:r>
    </w:p>
    <w:p>
      <w:pPr>
        <w:tabs>
          <w:tab w:pos="312" w:val="left"/>
        </w:tabs>
        <w:spacing w:after="40"/>
        <w:ind w:left="312" w:hanging="283"/>
      </w:pPr>
      <w:r>
        <w:rPr>
          <w:color w:val="004EA8"/>
        </w:rPr>
        <w:t>•</w:t>
        <w:tab/>
      </w:r>
      <w:r>
        <w:rPr/>
        <w:t>Files land in an encrypted intake bucket in AWS ap-southeast-1 with a 5-day lifecycle.</w:t>
      </w:r>
    </w:p>
    <w:p>
      <w:pPr>
        <w:tabs>
          <w:tab w:pos="312" w:val="left"/>
        </w:tabs>
        <w:spacing w:after="40"/>
        <w:ind w:left="312" w:hanging="283"/>
      </w:pPr>
      <w:r>
        <w:rPr>
          <w:color w:val="004EA8"/>
        </w:rPr>
        <w:t>•</w:t>
        <w:tab/>
      </w:r>
      <w:r>
        <w:rPr/>
        <w:t>The intake checks run before any row is staged. A file that fails is rejected with the reason and the difference, and BDOI IT re-sends it.</w:t>
      </w:r>
    </w:p>
    <w:p>
      <w:pPr>
        <w:tabs>
          <w:tab w:pos="312" w:val="left"/>
        </w:tabs>
        <w:spacing w:after="120"/>
        <w:ind w:left="312" w:hanging="283"/>
      </w:pPr>
      <w:r>
        <w:rPr>
          <w:color w:val="004EA8"/>
        </w:rPr>
        <w:t>•</w:t>
        <w:tab/>
      </w:r>
      <w:r>
        <w:rPr/>
        <w:t>Staged rows keep the raw values as received and the mapped values. Outside production, names, addresses, TIN, ID, account and phone numbers, e-mail addresses and birth dates are masked at intake with a keyed, repeatable masking, so dedupe still works on masked data.</w:t>
      </w:r>
    </w:p>
    <w:p>
      <w:pPr>
        <w:pStyle w:val="Heading2"/>
      </w:pPr>
      <w:bookmarkStart w:id="126" w:name="_Toc000126"/>
      <w:r>
        <w:rPr/>
        <w:t>6.4 Profiling</w:t>
      </w:r>
      <w:bookmarkEnd w:id="126"/>
    </w:p>
    <w:p>
      <w:r>
        <w:rPr/>
        <w:t>After the first full extract (M4, T-14 weeks) and after each mock, iorta TechNXT profiles every staged object and sends the report to the data stewards. The report gives, per field: fill rate, distinct values, top values, values out of format, codes without a map entry, duplicates of the key, and, per object, the rows that fail each data-quality rule. For clients it gives the candidate duplicate pairs by score band; for open items it gives the totals by component, currency, branch and age band. The stewards use it to plan the cleansing and the code maps.</w:t>
      </w:r>
    </w:p>
    <w:p>
      <w:pPr>
        <w:pStyle w:val="Heading2"/>
      </w:pPr>
      <w:bookmarkStart w:id="127" w:name="_Toc000127"/>
      <w:r>
        <w:rPr/>
        <w:t>6.5 Cleansing: who fixes what</w:t>
      </w:r>
      <w:bookmarkEnd w:id="127"/>
    </w:p>
    <w:p>
      <w:r>
        <w:rPr/>
        <w:t>Cleansing is shared. BDOI owns the data and fixes it where it lives; iorta TechNXT fixes what is a matter of format or mapping.</w:t>
      </w:r>
    </w:p>
    <w:p>
      <w:pPr>
        <w:pStyle w:val="Caption"/>
        <w:keepNext/>
        <w:spacing w:after="60"/>
      </w:pPr>
      <w:r>
        <w:rPr>
          <w:b/>
          <w:i w:val="0"/>
        </w:rPr>
        <w:t xml:space="preserve">Table 15: </w:t>
      </w:r>
      <w:r>
        <w:rPr/>
        <w:t>Cleansing responsibilities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1562"/>
        <w:gridCol w:w="204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Issue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Fixed by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Where</w:t>
            </w:r>
          </w:p>
        </w:tc>
      </w:tr>
      <w:tr>
        <w:trPr>
          <w:cantSplit w:val="true"/>
        </w:trPr>
        <w:tc>
          <w:tcPr>
            <w:tcW w:type="dxa" w:w="2643"/>
            <w:tcMar>
              <w:top w:w="50" w:type="dxa"/>
              <w:bottom w:w="50" w:type="dxa"/>
              <w:left w:w="90" w:type="dxa"/>
              <w:right w:w="90" w:type="dxa"/>
            </w:tcMar>
          </w:tcPr>
          <w:p>
            <w:pPr>
              <w:pStyle w:val="BDOITable"/>
            </w:pPr>
            <w:r>
              <w:rPr>
                <w:sz w:val="17"/>
              </w:rPr>
              <w:t>Wrong or missing business data</w:t>
            </w:r>
          </w:p>
        </w:tc>
        <w:tc>
          <w:tcPr>
            <w:tcW w:type="dxa" w:w="3724"/>
            <w:tcMar>
              <w:top w:w="50" w:type="dxa"/>
              <w:bottom w:w="50" w:type="dxa"/>
              <w:left w:w="90" w:type="dxa"/>
              <w:right w:w="90" w:type="dxa"/>
            </w:tcMar>
          </w:tcPr>
          <w:p>
            <w:pPr>
              <w:pStyle w:val="BDOITable"/>
            </w:pPr>
            <w:r>
              <w:rPr>
                <w:sz w:val="17"/>
              </w:rPr>
              <w:t>Client without birth date, invoice without insurer, TIN of another client</w:t>
            </w:r>
          </w:p>
        </w:tc>
        <w:tc>
          <w:tcPr>
            <w:tcW w:type="dxa" w:w="1562"/>
            <w:tcMar>
              <w:top w:w="50" w:type="dxa"/>
              <w:bottom w:w="50" w:type="dxa"/>
              <w:left w:w="90" w:type="dxa"/>
              <w:right w:w="90" w:type="dxa"/>
            </w:tcMar>
          </w:tcPr>
          <w:p>
            <w:pPr>
              <w:pStyle w:val="BDOITable"/>
            </w:pPr>
            <w:r>
              <w:rPr>
                <w:sz w:val="17"/>
              </w:rPr>
              <w:t>BDOI data steward</w:t>
            </w:r>
          </w:p>
        </w:tc>
        <w:tc>
          <w:tcPr>
            <w:tcW w:type="dxa" w:w="2042"/>
            <w:tcMar>
              <w:top w:w="50" w:type="dxa"/>
              <w:bottom w:w="50" w:type="dxa"/>
              <w:left w:w="90" w:type="dxa"/>
              <w:right w:w="90" w:type="dxa"/>
            </w:tcMar>
          </w:tcPr>
          <w:p>
            <w:pPr>
              <w:pStyle w:val="BDOITable"/>
            </w:pPr>
            <w:r>
              <w:rPr>
                <w:sz w:val="17"/>
              </w:rPr>
              <w:t>In legacy, before the next extract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Duplicate clients</w:t>
            </w:r>
          </w:p>
        </w:tc>
        <w:tc>
          <w:tcPr>
            <w:tcW w:type="dxa" w:w="3724"/>
            <w:tcMar>
              <w:top w:w="50" w:type="dxa"/>
              <w:bottom w:w="50" w:type="dxa"/>
              <w:left w:w="90" w:type="dxa"/>
              <w:right w:w="90" w:type="dxa"/>
            </w:tcMar>
            <w:shd w:val="clear" w:color="auto" w:fill="E5F5FF"/>
          </w:tcPr>
          <w:p>
            <w:pPr>
              <w:pStyle w:val="BDOITable"/>
            </w:pPr>
            <w:r>
              <w:rPr>
                <w:sz w:val="17"/>
              </w:rPr>
              <w:t>Same person in QPS and EBIX with different numbers</w:t>
            </w:r>
          </w:p>
        </w:tc>
        <w:tc>
          <w:tcPr>
            <w:tcW w:type="dxa" w:w="1562"/>
            <w:tcMar>
              <w:top w:w="50" w:type="dxa"/>
              <w:bottom w:w="50" w:type="dxa"/>
              <w:left w:w="90" w:type="dxa"/>
              <w:right w:w="90" w:type="dxa"/>
            </w:tcMar>
            <w:shd w:val="clear" w:color="auto" w:fill="E5F5FF"/>
          </w:tcPr>
          <w:p>
            <w:pPr>
              <w:pStyle w:val="BDOITable"/>
            </w:pPr>
            <w:r>
              <w:rPr>
                <w:sz w:val="17"/>
              </w:rPr>
              <w:t>BIBS matching; data steward decides doubtful pairs</w:t>
            </w:r>
          </w:p>
        </w:tc>
        <w:tc>
          <w:tcPr>
            <w:tcW w:type="dxa" w:w="2042"/>
            <w:tcMar>
              <w:top w:w="50" w:type="dxa"/>
              <w:bottom w:w="50" w:type="dxa"/>
              <w:left w:w="90" w:type="dxa"/>
              <w:right w:w="90" w:type="dxa"/>
            </w:tcMar>
            <w:shd w:val="clear" w:color="auto" w:fill="E5F5FF"/>
          </w:tcPr>
          <w:p>
            <w:pPr>
              <w:pStyle w:val="BDOITable"/>
            </w:pPr>
            <w:r>
              <w:rPr>
                <w:sz w:val="17"/>
              </w:rPr>
              <w:t>Client Matching queue</w:t>
            </w:r>
          </w:p>
        </w:tc>
      </w:tr>
      <w:tr>
        <w:trPr>
          <w:cantSplit w:val="true"/>
        </w:trPr>
        <w:tc>
          <w:tcPr>
            <w:tcW w:type="dxa" w:w="2643"/>
            <w:tcMar>
              <w:top w:w="50" w:type="dxa"/>
              <w:bottom w:w="50" w:type="dxa"/>
              <w:left w:w="90" w:type="dxa"/>
              <w:right w:w="90" w:type="dxa"/>
            </w:tcMar>
          </w:tcPr>
          <w:p>
            <w:pPr>
              <w:pStyle w:val="BDOITable"/>
            </w:pPr>
            <w:r>
              <w:rPr>
                <w:sz w:val="17"/>
              </w:rPr>
              <w:t>Legacy codes without a BIBS value</w:t>
            </w:r>
          </w:p>
        </w:tc>
        <w:tc>
          <w:tcPr>
            <w:tcW w:type="dxa" w:w="3724"/>
            <w:tcMar>
              <w:top w:w="50" w:type="dxa"/>
              <w:bottom w:w="50" w:type="dxa"/>
              <w:left w:w="90" w:type="dxa"/>
              <w:right w:w="90" w:type="dxa"/>
            </w:tcMar>
          </w:tcPr>
          <w:p>
            <w:pPr>
              <w:pStyle w:val="BDOITable"/>
            </w:pPr>
            <w:r>
              <w:rPr>
                <w:sz w:val="17"/>
              </w:rPr>
              <w:t>Discontinued segment code, insurer branch not in BIBS</w:t>
            </w:r>
          </w:p>
        </w:tc>
        <w:tc>
          <w:tcPr>
            <w:tcW w:type="dxa" w:w="1562"/>
            <w:tcMar>
              <w:top w:w="50" w:type="dxa"/>
              <w:bottom w:w="50" w:type="dxa"/>
              <w:left w:w="90" w:type="dxa"/>
              <w:right w:w="90" w:type="dxa"/>
            </w:tcMar>
          </w:tcPr>
          <w:p>
            <w:pPr>
              <w:pStyle w:val="BDOITable"/>
            </w:pPr>
            <w:r>
              <w:rPr>
                <w:sz w:val="17"/>
              </w:rPr>
              <w:t>Data steward proposes; business owner approves</w:t>
            </w:r>
          </w:p>
        </w:tc>
        <w:tc>
          <w:tcPr>
            <w:tcW w:type="dxa" w:w="2042"/>
            <w:tcMar>
              <w:top w:w="50" w:type="dxa"/>
              <w:bottom w:w="50" w:type="dxa"/>
              <w:left w:w="90" w:type="dxa"/>
              <w:right w:w="90" w:type="dxa"/>
            </w:tcMar>
          </w:tcPr>
          <w:p>
            <w:pPr>
              <w:pStyle w:val="BDOITable"/>
            </w:pPr>
            <w:r>
              <w:rPr>
                <w:sz w:val="17"/>
              </w:rPr>
              <w:t>Code map version (MAP, DEFAULT, CREATE or REJECT)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Format differences</w:t>
            </w:r>
          </w:p>
        </w:tc>
        <w:tc>
          <w:tcPr>
            <w:tcW w:type="dxa" w:w="3724"/>
            <w:tcMar>
              <w:top w:w="50" w:type="dxa"/>
              <w:bottom w:w="50" w:type="dxa"/>
              <w:left w:w="90" w:type="dxa"/>
              <w:right w:w="90" w:type="dxa"/>
            </w:tcMar>
            <w:shd w:val="clear" w:color="auto" w:fill="E5F5FF"/>
          </w:tcPr>
          <w:p>
            <w:pPr>
              <w:pStyle w:val="BDOITable"/>
            </w:pPr>
            <w:r>
              <w:rPr>
                <w:sz w:val="17"/>
              </w:rPr>
              <w:t>Date as dd/MM/yyyy, TIN with dashes, mobile without prefix</w:t>
            </w:r>
          </w:p>
        </w:tc>
        <w:tc>
          <w:tcPr>
            <w:tcW w:type="dxa" w:w="1562"/>
            <w:tcMar>
              <w:top w:w="50" w:type="dxa"/>
              <w:bottom w:w="50" w:type="dxa"/>
              <w:left w:w="90" w:type="dxa"/>
              <w:right w:w="90" w:type="dxa"/>
            </w:tcMar>
            <w:shd w:val="clear" w:color="auto" w:fill="E5F5FF"/>
          </w:tcPr>
          <w:p>
            <w:pPr>
              <w:pStyle w:val="BDOITable"/>
            </w:pPr>
            <w:r>
              <w:rPr>
                <w:sz w:val="17"/>
              </w:rPr>
              <w:t>iorta TechNXT (extract layout or staging rule)</w:t>
            </w:r>
          </w:p>
        </w:tc>
        <w:tc>
          <w:tcPr>
            <w:tcW w:type="dxa" w:w="2042"/>
            <w:tcMar>
              <w:top w:w="50" w:type="dxa"/>
              <w:bottom w:w="50" w:type="dxa"/>
              <w:left w:w="90" w:type="dxa"/>
              <w:right w:w="90" w:type="dxa"/>
            </w:tcMar>
            <w:shd w:val="clear" w:color="auto" w:fill="E5F5FF"/>
          </w:tcPr>
          <w:p>
            <w:pPr>
              <w:pStyle w:val="BDOITable"/>
            </w:pPr>
            <w:r>
              <w:rPr>
                <w:sz w:val="17"/>
              </w:rPr>
              <w:t>Extract job or staging</w:t>
            </w:r>
          </w:p>
        </w:tc>
      </w:tr>
      <w:tr>
        <w:trPr>
          <w:cantSplit w:val="true"/>
        </w:trPr>
        <w:tc>
          <w:tcPr>
            <w:tcW w:type="dxa" w:w="2643"/>
            <w:tcMar>
              <w:top w:w="50" w:type="dxa"/>
              <w:bottom w:w="50" w:type="dxa"/>
              <w:left w:w="90" w:type="dxa"/>
              <w:right w:w="90" w:type="dxa"/>
            </w:tcMar>
          </w:tcPr>
          <w:p>
            <w:pPr>
              <w:pStyle w:val="BDOITable"/>
            </w:pPr>
            <w:r>
              <w:rPr>
                <w:sz w:val="17"/>
              </w:rPr>
              <w:t>Records out of scope</w:t>
            </w:r>
          </w:p>
        </w:tc>
        <w:tc>
          <w:tcPr>
            <w:tcW w:type="dxa" w:w="3724"/>
            <w:tcMar>
              <w:top w:w="50" w:type="dxa"/>
              <w:bottom w:w="50" w:type="dxa"/>
              <w:left w:w="90" w:type="dxa"/>
              <w:right w:w="90" w:type="dxa"/>
            </w:tcMar>
          </w:tcPr>
          <w:p>
            <w:pPr>
              <w:pStyle w:val="BDOITable"/>
            </w:pPr>
            <w:r>
              <w:rPr>
                <w:sz w:val="17"/>
              </w:rPr>
              <w:t>Client not active since 2019, invoice fully settled</w:t>
            </w:r>
          </w:p>
        </w:tc>
        <w:tc>
          <w:tcPr>
            <w:tcW w:type="dxa" w:w="1562"/>
            <w:tcMar>
              <w:top w:w="50" w:type="dxa"/>
              <w:bottom w:w="50" w:type="dxa"/>
              <w:left w:w="90" w:type="dxa"/>
              <w:right w:w="90" w:type="dxa"/>
            </w:tcMar>
          </w:tcPr>
          <w:p>
            <w:pPr>
              <w:pStyle w:val="BDOITable"/>
            </w:pPr>
            <w:r>
              <w:rPr>
                <w:sz w:val="17"/>
              </w:rPr>
              <w:t>Business owner decides</w:t>
            </w:r>
          </w:p>
        </w:tc>
        <w:tc>
          <w:tcPr>
            <w:tcW w:type="dxa" w:w="2042"/>
            <w:tcMar>
              <w:top w:w="50" w:type="dxa"/>
              <w:bottom w:w="50" w:type="dxa"/>
              <w:left w:w="90" w:type="dxa"/>
              <w:right w:w="90" w:type="dxa"/>
            </w:tcMar>
          </w:tcPr>
          <w:p>
            <w:pPr>
              <w:pStyle w:val="BDOITable"/>
            </w:pPr>
            <w:r>
              <w:rPr>
                <w:sz w:val="17"/>
              </w:rPr>
              <w:t>Exclusion recorded in the batch</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Open balances that do not add up</w:t>
            </w:r>
          </w:p>
        </w:tc>
        <w:tc>
          <w:tcPr>
            <w:tcW w:type="dxa" w:w="3724"/>
            <w:tcMar>
              <w:top w:w="50" w:type="dxa"/>
              <w:bottom w:w="50" w:type="dxa"/>
              <w:left w:w="90" w:type="dxa"/>
              <w:right w:w="90" w:type="dxa"/>
            </w:tcMar>
            <w:shd w:val="clear" w:color="auto" w:fill="E5F5FF"/>
          </w:tcPr>
          <w:p>
            <w:pPr>
              <w:pStyle w:val="BDOITable"/>
            </w:pPr>
            <w:r>
              <w:rPr>
                <w:sz w:val="17"/>
              </w:rPr>
              <w:t>Components do not equal gross premium; open not equal to booked less paid</w:t>
            </w:r>
          </w:p>
        </w:tc>
        <w:tc>
          <w:tcPr>
            <w:tcW w:type="dxa" w:w="1562"/>
            <w:tcMar>
              <w:top w:w="50" w:type="dxa"/>
              <w:bottom w:w="50" w:type="dxa"/>
              <w:left w:w="90" w:type="dxa"/>
              <w:right w:w="90" w:type="dxa"/>
            </w:tcMar>
            <w:shd w:val="clear" w:color="auto" w:fill="E5F5FF"/>
          </w:tcPr>
          <w:p>
            <w:pPr>
              <w:pStyle w:val="BDOITable"/>
            </w:pPr>
            <w:r>
              <w:rPr>
                <w:sz w:val="17"/>
              </w:rPr>
              <w:t>BDOI data steward with Comptrollership</w:t>
            </w:r>
          </w:p>
        </w:tc>
        <w:tc>
          <w:tcPr>
            <w:tcW w:type="dxa" w:w="2042"/>
            <w:tcMar>
              <w:top w:w="50" w:type="dxa"/>
              <w:bottom w:w="50" w:type="dxa"/>
              <w:left w:w="90" w:type="dxa"/>
              <w:right w:w="90" w:type="dxa"/>
            </w:tcMar>
            <w:shd w:val="clear" w:color="auto" w:fill="E5F5FF"/>
          </w:tcPr>
          <w:p>
            <w:pPr>
              <w:pStyle w:val="BDOITable"/>
            </w:pPr>
            <w:r>
              <w:rPr>
                <w:sz w:val="17"/>
              </w:rPr>
              <w:t>In legacy (correction entry) before the freeze</w:t>
            </w:r>
          </w:p>
        </w:tc>
      </w:tr>
      <w:tr>
        <w:trPr>
          <w:cantSplit w:val="true"/>
        </w:trPr>
        <w:tc>
          <w:tcPr>
            <w:tcW w:type="dxa" w:w="2643"/>
            <w:tcMar>
              <w:top w:w="50" w:type="dxa"/>
              <w:bottom w:w="50" w:type="dxa"/>
              <w:left w:w="90" w:type="dxa"/>
              <w:right w:w="90" w:type="dxa"/>
            </w:tcMar>
          </w:tcPr>
          <w:p>
            <w:pPr>
              <w:pStyle w:val="BDOITable"/>
            </w:pPr>
            <w:r>
              <w:rPr>
                <w:sz w:val="17"/>
              </w:rPr>
              <w:t>Data that cannot be fixed before go-live</w:t>
            </w:r>
          </w:p>
        </w:tc>
        <w:tc>
          <w:tcPr>
            <w:tcW w:type="dxa" w:w="3724"/>
            <w:tcMar>
              <w:top w:w="50" w:type="dxa"/>
              <w:bottom w:w="50" w:type="dxa"/>
              <w:left w:w="90" w:type="dxa"/>
              <w:right w:w="90" w:type="dxa"/>
            </w:tcMar>
          </w:tcPr>
          <w:p>
            <w:pPr>
              <w:pStyle w:val="BDOITable"/>
            </w:pPr>
            <w:r>
              <w:rPr>
                <w:sz w:val="17"/>
              </w:rPr>
              <w:t>UPP without payor reference</w:t>
            </w:r>
          </w:p>
        </w:tc>
        <w:tc>
          <w:tcPr>
            <w:tcW w:type="dxa" w:w="1562"/>
            <w:tcMar>
              <w:top w:w="50" w:type="dxa"/>
              <w:bottom w:w="50" w:type="dxa"/>
              <w:left w:w="90" w:type="dxa"/>
              <w:right w:w="90" w:type="dxa"/>
            </w:tcMar>
          </w:tcPr>
          <w:p>
            <w:pPr>
              <w:pStyle w:val="BDOITable"/>
            </w:pPr>
            <w:r>
              <w:rPr>
                <w:sz w:val="17"/>
              </w:rPr>
              <w:t>Business owner waives with a reason and a plan</w:t>
            </w:r>
          </w:p>
        </w:tc>
        <w:tc>
          <w:tcPr>
            <w:tcW w:type="dxa" w:w="2042"/>
            <w:tcMar>
              <w:top w:w="50" w:type="dxa"/>
              <w:bottom w:w="50" w:type="dxa"/>
              <w:left w:w="90" w:type="dxa"/>
              <w:right w:w="90" w:type="dxa"/>
            </w:tcMar>
          </w:tcPr>
          <w:p>
            <w:pPr>
              <w:pStyle w:val="BDOITable"/>
            </w:pPr>
            <w:r>
              <w:rPr>
                <w:sz w:val="17"/>
              </w:rPr>
              <w:t>Waiver in the batch (G3)</w:t>
            </w:r>
          </w:p>
        </w:tc>
      </w:tr>
    </w:tbl>
    <w:p>
      <w:pPr>
        <w:pStyle w:val="BDOISpacer"/>
      </w:pPr>
    </w:p>
    <w:p>
      <w:r>
        <w:rPr/>
        <w:t>Thresholds for loading an object (configurable): master data may be loaded with at most 0.5 percent of rows rejected or waived; financial objects (open invoices, UPP, trial balance) load only with 0 errors, or with each excluded row approved by the business owner with a manual-entry plan (R3 section 8).</w:t>
      </w:r>
    </w:p>
    <w:p>
      <w:pPr>
        <w:pStyle w:val="Heading2"/>
      </w:pPr>
      <w:bookmarkStart w:id="128" w:name="_Toc000128"/>
      <w:r>
        <w:rPr/>
        <w:t>6.6 Mapping and code maps</w:t>
      </w:r>
      <w:bookmarkEnd w:id="128"/>
    </w:p>
    <w:p>
      <w:r>
        <w:rPr/>
        <w:t>Legacy codes are mapped to BIBS codes through code map sets, one per domain. Each set has versions: DRAFT, SUBMITTED, APPROVED, SUPERSEDED. The data steward prepares a version in the console or in the Excel template of the workbook and submits it; the business owner approves it (maker-checker). Each batch records the map versions it used, so every loaded value can be traced to the entry that produced it (BRID 3.1).</w:t>
      </w:r>
    </w:p>
    <w:p>
      <w:r>
        <w:rPr/>
        <w:t>An entry maps a legacy code to a BIBS code (MAP), to the default of the set (DEFAULT), rejects the rows that carry it (REJECT), or creates a new BIBS value (CREATE). CREATE values are created through the owning master (for example the LOV master or the insurer master) and authorised there before any dependent object loads.</w:t>
      </w:r>
    </w:p>
    <w:p>
      <w:pPr>
        <w:pStyle w:val="Caption"/>
        <w:keepNext/>
        <w:spacing w:after="60"/>
      </w:pPr>
      <w:r>
        <w:rPr>
          <w:b/>
          <w:i w:val="0"/>
        </w:rPr>
        <w:t xml:space="preserve">Table 16: </w:t>
      </w:r>
      <w:r>
        <w:rPr/>
        <w:t>Code map sets (BRID 3.1)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205"/>
        <w:gridCol w:w="2042"/>
        <w:gridCol w:w="204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Map set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What is mapped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BIBS master</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Approves</w:t>
            </w:r>
          </w:p>
        </w:tc>
      </w:tr>
      <w:tr>
        <w:trPr>
          <w:cantSplit w:val="true"/>
        </w:trPr>
        <w:tc>
          <w:tcPr>
            <w:tcW w:type="dxa" w:w="1682"/>
            <w:tcMar>
              <w:top w:w="50" w:type="dxa"/>
              <w:bottom w:w="50" w:type="dxa"/>
              <w:left w:w="90" w:type="dxa"/>
              <w:right w:w="90" w:type="dxa"/>
            </w:tcMar>
          </w:tcPr>
          <w:p>
            <w:pPr>
              <w:pStyle w:val="BDOITable"/>
            </w:pPr>
            <w:r>
              <w:rPr>
                <w:b/>
                <w:sz w:val="16"/>
              </w:rPr>
              <w:t>LOV:&lt;list&gt;</w:t>
            </w:r>
          </w:p>
        </w:tc>
        <w:tc>
          <w:tcPr>
            <w:tcW w:type="dxa" w:w="4205"/>
            <w:tcMar>
              <w:top w:w="50" w:type="dxa"/>
              <w:bottom w:w="50" w:type="dxa"/>
              <w:left w:w="90" w:type="dxa"/>
              <w:right w:w="90" w:type="dxa"/>
            </w:tcMar>
          </w:tcPr>
          <w:p>
            <w:pPr>
              <w:pStyle w:val="BDOITable"/>
            </w:pPr>
            <w:r>
              <w:rPr>
                <w:sz w:val="16"/>
              </w:rPr>
              <w:t>One set per legacy list (market segment, ID type, nationality, source of funds, KYC risk rating, account type, ...)</w:t>
            </w:r>
          </w:p>
        </w:tc>
        <w:tc>
          <w:tcPr>
            <w:tcW w:type="dxa" w:w="2042"/>
            <w:tcMar>
              <w:top w:w="50" w:type="dxa"/>
              <w:bottom w:w="50" w:type="dxa"/>
              <w:left w:w="90" w:type="dxa"/>
              <w:right w:w="90" w:type="dxa"/>
            </w:tcMar>
          </w:tcPr>
          <w:p>
            <w:pPr>
              <w:pStyle w:val="BDOITable"/>
            </w:pPr>
            <w:r>
              <w:rPr>
                <w:sz w:val="16"/>
              </w:rPr>
              <w:t>lov_value</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MIS:&lt;field&gt;</w:t>
            </w:r>
          </w:p>
        </w:tc>
        <w:tc>
          <w:tcPr>
            <w:tcW w:type="dxa" w:w="4205"/>
            <w:tcMar>
              <w:top w:w="50" w:type="dxa"/>
              <w:bottom w:w="50" w:type="dxa"/>
              <w:left w:w="90" w:type="dxa"/>
              <w:right w:w="90" w:type="dxa"/>
            </w:tcMar>
            <w:shd w:val="clear" w:color="auto" w:fill="E5F5FF"/>
          </w:tcPr>
          <w:p>
            <w:pPr>
              <w:pStyle w:val="BDOITable"/>
            </w:pPr>
            <w:r>
              <w:rPr>
                <w:sz w:val="16"/>
              </w:rPr>
              <w:t>One set per MIS field (market segment, department, unit head, AO, region, area, branch, business origin, customer segment; umbrella p.40)</w:t>
            </w:r>
          </w:p>
        </w:tc>
        <w:tc>
          <w:tcPr>
            <w:tcW w:type="dxa" w:w="2042"/>
            <w:tcMar>
              <w:top w:w="50" w:type="dxa"/>
              <w:bottom w:w="50" w:type="dxa"/>
              <w:left w:w="90" w:type="dxa"/>
              <w:right w:w="90" w:type="dxa"/>
            </w:tcMar>
            <w:shd w:val="clear" w:color="auto" w:fill="E5F5FF"/>
          </w:tcPr>
          <w:p>
            <w:pPr>
              <w:pStyle w:val="BDOITable"/>
            </w:pPr>
            <w:r>
              <w:rPr>
                <w:sz w:val="16"/>
              </w:rPr>
              <w:t>MIS field catalogue (CR-W1)</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INSURER</w:t>
            </w:r>
          </w:p>
        </w:tc>
        <w:tc>
          <w:tcPr>
            <w:tcW w:type="dxa" w:w="4205"/>
            <w:tcMar>
              <w:top w:w="50" w:type="dxa"/>
              <w:bottom w:w="50" w:type="dxa"/>
              <w:left w:w="90" w:type="dxa"/>
              <w:right w:w="90" w:type="dxa"/>
            </w:tcMar>
          </w:tcPr>
          <w:p>
            <w:pPr>
              <w:pStyle w:val="BDOITable"/>
            </w:pPr>
            <w:r>
              <w:rPr>
                <w:sz w:val="16"/>
              </w:rPr>
              <w:t>Legacy insurer code to BIBS insurer</w:t>
            </w:r>
          </w:p>
        </w:tc>
        <w:tc>
          <w:tcPr>
            <w:tcW w:type="dxa" w:w="2042"/>
            <w:tcMar>
              <w:top w:w="50" w:type="dxa"/>
              <w:bottom w:w="50" w:type="dxa"/>
              <w:left w:w="90" w:type="dxa"/>
              <w:right w:w="90" w:type="dxa"/>
            </w:tcMar>
          </w:tcPr>
          <w:p>
            <w:pPr>
              <w:pStyle w:val="BDOITable"/>
            </w:pPr>
            <w:r>
              <w:rPr>
                <w:sz w:val="16"/>
              </w:rPr>
              <w:t>cat_insurer</w:t>
            </w:r>
          </w:p>
        </w:tc>
        <w:tc>
          <w:tcPr>
            <w:tcW w:type="dxa" w:w="2042"/>
            <w:tcMar>
              <w:top w:w="50" w:type="dxa"/>
              <w:bottom w:w="50" w:type="dxa"/>
              <w:left w:w="90" w:type="dxa"/>
              <w:right w:w="90" w:type="dxa"/>
            </w:tcMar>
          </w:tcPr>
          <w:p>
            <w:pPr>
              <w:pStyle w:val="BDOITable"/>
            </w:pPr>
            <w:r>
              <w:rPr>
                <w:sz w:val="16"/>
              </w:rPr>
              <w:t>Head, Operations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INSURER_BRANCH</w:t>
            </w:r>
          </w:p>
        </w:tc>
        <w:tc>
          <w:tcPr>
            <w:tcW w:type="dxa" w:w="4205"/>
            <w:tcMar>
              <w:top w:w="50" w:type="dxa"/>
              <w:bottom w:w="50" w:type="dxa"/>
              <w:left w:w="90" w:type="dxa"/>
              <w:right w:w="90" w:type="dxa"/>
            </w:tcMar>
            <w:shd w:val="clear" w:color="auto" w:fill="E5F5FF"/>
          </w:tcPr>
          <w:p>
            <w:pPr>
              <w:pStyle w:val="BDOITable"/>
            </w:pPr>
            <w:r>
              <w:rPr>
                <w:sz w:val="16"/>
              </w:rPr>
              <w:t>Legacy insurer branch to BIBS insurer branch</w:t>
            </w:r>
          </w:p>
        </w:tc>
        <w:tc>
          <w:tcPr>
            <w:tcW w:type="dxa" w:w="2042"/>
            <w:tcMar>
              <w:top w:w="50" w:type="dxa"/>
              <w:bottom w:w="50" w:type="dxa"/>
              <w:left w:w="90" w:type="dxa"/>
              <w:right w:w="90" w:type="dxa"/>
            </w:tcMar>
            <w:shd w:val="clear" w:color="auto" w:fill="E5F5FF"/>
          </w:tcPr>
          <w:p>
            <w:pPr>
              <w:pStyle w:val="BDOITable"/>
            </w:pPr>
            <w:r>
              <w:rPr>
                <w:sz w:val="16"/>
              </w:rPr>
              <w:t>cat_insurer_branch</w:t>
            </w:r>
          </w:p>
        </w:tc>
        <w:tc>
          <w:tcPr>
            <w:tcW w:type="dxa" w:w="2042"/>
            <w:tcMar>
              <w:top w:w="50" w:type="dxa"/>
              <w:bottom w:w="50" w:type="dxa"/>
              <w:left w:w="90" w:type="dxa"/>
              <w:right w:w="90" w:type="dxa"/>
            </w:tcMar>
            <w:shd w:val="clear" w:color="auto" w:fill="E5F5FF"/>
          </w:tcPr>
          <w:p>
            <w:pPr>
              <w:pStyle w:val="BDOITable"/>
            </w:pPr>
            <w:r>
              <w:rPr>
                <w:sz w:val="16"/>
              </w:rPr>
              <w:t>Head, Operations</w:t>
            </w:r>
          </w:p>
        </w:tc>
      </w:tr>
      <w:tr>
        <w:trPr>
          <w:cantSplit w:val="true"/>
        </w:trPr>
        <w:tc>
          <w:tcPr>
            <w:tcW w:type="dxa" w:w="1682"/>
            <w:tcMar>
              <w:top w:w="50" w:type="dxa"/>
              <w:bottom w:w="50" w:type="dxa"/>
              <w:left w:w="90" w:type="dxa"/>
              <w:right w:w="90" w:type="dxa"/>
            </w:tcMar>
          </w:tcPr>
          <w:p>
            <w:pPr>
              <w:pStyle w:val="BDOITable"/>
            </w:pPr>
            <w:r>
              <w:rPr>
                <w:b/>
                <w:sz w:val="16"/>
              </w:rPr>
              <w:t>LINE</w:t>
            </w:r>
          </w:p>
        </w:tc>
        <w:tc>
          <w:tcPr>
            <w:tcW w:type="dxa" w:w="4205"/>
            <w:tcMar>
              <w:top w:w="50" w:type="dxa"/>
              <w:bottom w:w="50" w:type="dxa"/>
              <w:left w:w="90" w:type="dxa"/>
              <w:right w:w="90" w:type="dxa"/>
            </w:tcMar>
          </w:tcPr>
          <w:p>
            <w:pPr>
              <w:pStyle w:val="BDOITable"/>
            </w:pPr>
            <w:r>
              <w:rPr>
                <w:sz w:val="16"/>
              </w:rPr>
              <w:t>Legacy line of business to BIBS product line</w:t>
            </w:r>
          </w:p>
        </w:tc>
        <w:tc>
          <w:tcPr>
            <w:tcW w:type="dxa" w:w="2042"/>
            <w:tcMar>
              <w:top w:w="50" w:type="dxa"/>
              <w:bottom w:w="50" w:type="dxa"/>
              <w:left w:w="90" w:type="dxa"/>
              <w:right w:w="90" w:type="dxa"/>
            </w:tcMar>
          </w:tcPr>
          <w:p>
            <w:pPr>
              <w:pStyle w:val="BDOITable"/>
            </w:pPr>
            <w:r>
              <w:rPr>
                <w:sz w:val="16"/>
              </w:rPr>
              <w:t>cat_product_line</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COVER_TYPE</w:t>
            </w:r>
          </w:p>
        </w:tc>
        <w:tc>
          <w:tcPr>
            <w:tcW w:type="dxa" w:w="4205"/>
            <w:tcMar>
              <w:top w:w="50" w:type="dxa"/>
              <w:bottom w:w="50" w:type="dxa"/>
              <w:left w:w="90" w:type="dxa"/>
              <w:right w:w="90" w:type="dxa"/>
            </w:tcMar>
            <w:shd w:val="clear" w:color="auto" w:fill="E5F5FF"/>
          </w:tcPr>
          <w:p>
            <w:pPr>
              <w:pStyle w:val="BDOITable"/>
            </w:pPr>
            <w:r>
              <w:rPr>
                <w:sz w:val="16"/>
              </w:rPr>
              <w:t>Legacy cover type to BIBS cover type</w:t>
            </w:r>
          </w:p>
        </w:tc>
        <w:tc>
          <w:tcPr>
            <w:tcW w:type="dxa" w:w="2042"/>
            <w:tcMar>
              <w:top w:w="50" w:type="dxa"/>
              <w:bottom w:w="50" w:type="dxa"/>
              <w:left w:w="90" w:type="dxa"/>
              <w:right w:w="90" w:type="dxa"/>
            </w:tcMar>
            <w:shd w:val="clear" w:color="auto" w:fill="E5F5FF"/>
          </w:tcPr>
          <w:p>
            <w:pPr>
              <w:pStyle w:val="BDOITable"/>
            </w:pPr>
            <w:r>
              <w:rPr>
                <w:sz w:val="16"/>
              </w:rPr>
              <w:t>cat_cover_type</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PRODUCT</w:t>
            </w:r>
          </w:p>
        </w:tc>
        <w:tc>
          <w:tcPr>
            <w:tcW w:type="dxa" w:w="4205"/>
            <w:tcMar>
              <w:top w:w="50" w:type="dxa"/>
              <w:bottom w:w="50" w:type="dxa"/>
              <w:left w:w="90" w:type="dxa"/>
              <w:right w:w="90" w:type="dxa"/>
            </w:tcMar>
          </w:tcPr>
          <w:p>
            <w:pPr>
              <w:pStyle w:val="BDOITable"/>
            </w:pPr>
            <w:r>
              <w:rPr>
                <w:sz w:val="16"/>
              </w:rPr>
              <w:t>Legacy product / risk code to BIBS product code</w:t>
            </w:r>
          </w:p>
        </w:tc>
        <w:tc>
          <w:tcPr>
            <w:tcW w:type="dxa" w:w="2042"/>
            <w:tcMar>
              <w:top w:w="50" w:type="dxa"/>
              <w:bottom w:w="50" w:type="dxa"/>
              <w:left w:w="90" w:type="dxa"/>
              <w:right w:w="90" w:type="dxa"/>
            </w:tcMar>
          </w:tcPr>
          <w:p>
            <w:pPr>
              <w:pStyle w:val="BDOITable"/>
            </w:pPr>
            <w:r>
              <w:rPr>
                <w:sz w:val="16"/>
              </w:rPr>
              <w:t>cat_product</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PACKAGE</w:t>
            </w:r>
          </w:p>
        </w:tc>
        <w:tc>
          <w:tcPr>
            <w:tcW w:type="dxa" w:w="4205"/>
            <w:tcMar>
              <w:top w:w="50" w:type="dxa"/>
              <w:bottom w:w="50" w:type="dxa"/>
              <w:left w:w="90" w:type="dxa"/>
              <w:right w:w="90" w:type="dxa"/>
            </w:tcMar>
            <w:shd w:val="clear" w:color="auto" w:fill="E5F5FF"/>
          </w:tcPr>
          <w:p>
            <w:pPr>
              <w:pStyle w:val="BDOITable"/>
            </w:pPr>
            <w:r>
              <w:rPr>
                <w:sz w:val="16"/>
              </w:rPr>
              <w:t>Legacy package and version to BIBS package version</w:t>
            </w:r>
          </w:p>
        </w:tc>
        <w:tc>
          <w:tcPr>
            <w:tcW w:type="dxa" w:w="2042"/>
            <w:tcMar>
              <w:top w:w="50" w:type="dxa"/>
              <w:bottom w:w="50" w:type="dxa"/>
              <w:left w:w="90" w:type="dxa"/>
              <w:right w:w="90" w:type="dxa"/>
            </w:tcMar>
            <w:shd w:val="clear" w:color="auto" w:fill="E5F5FF"/>
          </w:tcPr>
          <w:p>
            <w:pPr>
              <w:pStyle w:val="BDOITable"/>
            </w:pPr>
            <w:r>
              <w:rPr>
                <w:sz w:val="16"/>
              </w:rPr>
              <w:t>cat_product_version</w:t>
            </w:r>
          </w:p>
        </w:tc>
        <w:tc>
          <w:tcPr>
            <w:tcW w:type="dxa" w:w="2042"/>
            <w:tcMar>
              <w:top w:w="50" w:type="dxa"/>
              <w:bottom w:w="50" w:type="dxa"/>
              <w:left w:w="90" w:type="dxa"/>
              <w:right w:w="90" w:type="dxa"/>
            </w:tcMar>
            <w:shd w:val="clear" w:color="auto" w:fill="E5F5FF"/>
          </w:tcPr>
          <w:p>
            <w:pPr>
              <w:pStyle w:val="BDOITable"/>
            </w:pPr>
            <w:r>
              <w:rPr>
                <w:sz w:val="16"/>
              </w:rPr>
              <w:t>Product Owner, MBS; TSU</w:t>
            </w:r>
          </w:p>
        </w:tc>
      </w:tr>
      <w:tr>
        <w:trPr>
          <w:cantSplit w:val="true"/>
        </w:trPr>
        <w:tc>
          <w:tcPr>
            <w:tcW w:type="dxa" w:w="1682"/>
            <w:tcMar>
              <w:top w:w="50" w:type="dxa"/>
              <w:bottom w:w="50" w:type="dxa"/>
              <w:left w:w="90" w:type="dxa"/>
              <w:right w:w="90" w:type="dxa"/>
            </w:tcMar>
          </w:tcPr>
          <w:p>
            <w:pPr>
              <w:pStyle w:val="BDOITable"/>
            </w:pPr>
            <w:r>
              <w:rPr>
                <w:b/>
                <w:sz w:val="16"/>
              </w:rPr>
              <w:t>BRANCH</w:t>
            </w:r>
          </w:p>
        </w:tc>
        <w:tc>
          <w:tcPr>
            <w:tcW w:type="dxa" w:w="4205"/>
            <w:tcMar>
              <w:top w:w="50" w:type="dxa"/>
              <w:bottom w:w="50" w:type="dxa"/>
              <w:left w:w="90" w:type="dxa"/>
              <w:right w:w="90" w:type="dxa"/>
            </w:tcMar>
          </w:tcPr>
          <w:p>
            <w:pPr>
              <w:pStyle w:val="BDOITable"/>
            </w:pPr>
            <w:r>
              <w:rPr>
                <w:sz w:val="16"/>
              </w:rPr>
              <w:t>Legacy branch to BIBS branch</w:t>
            </w:r>
          </w:p>
        </w:tc>
        <w:tc>
          <w:tcPr>
            <w:tcW w:type="dxa" w:w="2042"/>
            <w:tcMar>
              <w:top w:w="50" w:type="dxa"/>
              <w:bottom w:w="50" w:type="dxa"/>
              <w:left w:w="90" w:type="dxa"/>
              <w:right w:w="90" w:type="dxa"/>
            </w:tcMar>
          </w:tcPr>
          <w:p>
            <w:pPr>
              <w:pStyle w:val="BDOITable"/>
            </w:pPr>
            <w:r>
              <w:rPr>
                <w:sz w:val="16"/>
              </w:rPr>
              <w:t>org_branch</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SALES_UNIT</w:t>
            </w:r>
          </w:p>
        </w:tc>
        <w:tc>
          <w:tcPr>
            <w:tcW w:type="dxa" w:w="4205"/>
            <w:tcMar>
              <w:top w:w="50" w:type="dxa"/>
              <w:bottom w:w="50" w:type="dxa"/>
              <w:left w:w="90" w:type="dxa"/>
              <w:right w:w="90" w:type="dxa"/>
            </w:tcMar>
            <w:shd w:val="clear" w:color="auto" w:fill="E5F5FF"/>
          </w:tcPr>
          <w:p>
            <w:pPr>
              <w:pStyle w:val="BDOITable"/>
            </w:pPr>
            <w:r>
              <w:rPr>
                <w:sz w:val="16"/>
              </w:rPr>
              <w:t>Legacy region, department and team to BIBS sales unit</w:t>
            </w:r>
          </w:p>
        </w:tc>
        <w:tc>
          <w:tcPr>
            <w:tcW w:type="dxa" w:w="2042"/>
            <w:tcMar>
              <w:top w:w="50" w:type="dxa"/>
              <w:bottom w:w="50" w:type="dxa"/>
              <w:left w:w="90" w:type="dxa"/>
              <w:right w:w="90" w:type="dxa"/>
            </w:tcMar>
            <w:shd w:val="clear" w:color="auto" w:fill="E5F5FF"/>
          </w:tcPr>
          <w:p>
            <w:pPr>
              <w:pStyle w:val="BDOITable"/>
            </w:pPr>
            <w:r>
              <w:rPr>
                <w:sz w:val="16"/>
              </w:rPr>
              <w:t>cat_sales_unit</w:t>
            </w:r>
          </w:p>
        </w:tc>
        <w:tc>
          <w:tcPr>
            <w:tcW w:type="dxa" w:w="2042"/>
            <w:tcMar>
              <w:top w:w="50" w:type="dxa"/>
              <w:bottom w:w="50" w:type="dxa"/>
              <w:left w:w="90" w:type="dxa"/>
              <w:right w:w="90" w:type="dxa"/>
            </w:tcMar>
            <w:shd w:val="clear" w:color="auto" w:fill="E5F5FF"/>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tcPr>
          <w:p>
            <w:pPr>
              <w:pStyle w:val="BDOITable"/>
            </w:pPr>
            <w:r>
              <w:rPr>
                <w:b/>
                <w:sz w:val="16"/>
              </w:rPr>
              <w:t>AO</w:t>
            </w:r>
          </w:p>
        </w:tc>
        <w:tc>
          <w:tcPr>
            <w:tcW w:type="dxa" w:w="4205"/>
            <w:tcMar>
              <w:top w:w="50" w:type="dxa"/>
              <w:bottom w:w="50" w:type="dxa"/>
              <w:left w:w="90" w:type="dxa"/>
              <w:right w:w="90" w:type="dxa"/>
            </w:tcMar>
          </w:tcPr>
          <w:p>
            <w:pPr>
              <w:pStyle w:val="BDOITable"/>
            </w:pPr>
            <w:r>
              <w:rPr>
                <w:sz w:val="16"/>
              </w:rPr>
              <w:t>Legacy AO code to BIBS account officer</w:t>
            </w:r>
          </w:p>
        </w:tc>
        <w:tc>
          <w:tcPr>
            <w:tcW w:type="dxa" w:w="2042"/>
            <w:tcMar>
              <w:top w:w="50" w:type="dxa"/>
              <w:bottom w:w="50" w:type="dxa"/>
              <w:left w:w="90" w:type="dxa"/>
              <w:right w:w="90" w:type="dxa"/>
            </w:tcMar>
          </w:tcPr>
          <w:p>
            <w:pPr>
              <w:pStyle w:val="BDOITable"/>
            </w:pPr>
            <w:r>
              <w:rPr>
                <w:sz w:val="16"/>
              </w:rPr>
              <w:t>cat_sales_officer</w:t>
            </w:r>
          </w:p>
        </w:tc>
        <w:tc>
          <w:tcPr>
            <w:tcW w:type="dxa" w:w="2042"/>
            <w:tcMar>
              <w:top w:w="50" w:type="dxa"/>
              <w:bottom w:w="50" w:type="dxa"/>
              <w:left w:w="90" w:type="dxa"/>
              <w:right w:w="90" w:type="dxa"/>
            </w:tcMar>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USER</w:t>
            </w:r>
          </w:p>
        </w:tc>
        <w:tc>
          <w:tcPr>
            <w:tcW w:type="dxa" w:w="4205"/>
            <w:tcMar>
              <w:top w:w="50" w:type="dxa"/>
              <w:bottom w:w="50" w:type="dxa"/>
              <w:left w:w="90" w:type="dxa"/>
              <w:right w:w="90" w:type="dxa"/>
            </w:tcMar>
            <w:shd w:val="clear" w:color="auto" w:fill="E5F5FF"/>
          </w:tcPr>
          <w:p>
            <w:pPr>
              <w:pStyle w:val="BDOITable"/>
            </w:pPr>
            <w:r>
              <w:rPr>
                <w:sz w:val="16"/>
              </w:rPr>
              <w:t>Legacy user ID to BIBS username (AO, handler, collector, requester)</w:t>
            </w:r>
          </w:p>
        </w:tc>
        <w:tc>
          <w:tcPr>
            <w:tcW w:type="dxa" w:w="2042"/>
            <w:tcMar>
              <w:top w:w="50" w:type="dxa"/>
              <w:bottom w:w="50" w:type="dxa"/>
              <w:left w:w="90" w:type="dxa"/>
              <w:right w:w="90" w:type="dxa"/>
            </w:tcMar>
            <w:shd w:val="clear" w:color="auto" w:fill="E5F5FF"/>
          </w:tcPr>
          <w:p>
            <w:pPr>
              <w:pStyle w:val="BDOITable"/>
            </w:pPr>
            <w:r>
              <w:rPr>
                <w:sz w:val="16"/>
              </w:rPr>
              <w:t>BIBS users (User Access)</w:t>
            </w:r>
          </w:p>
        </w:tc>
        <w:tc>
          <w:tcPr>
            <w:tcW w:type="dxa" w:w="2042"/>
            <w:tcMar>
              <w:top w:w="50" w:type="dxa"/>
              <w:bottom w:w="50" w:type="dxa"/>
              <w:left w:w="90" w:type="dxa"/>
              <w:right w:w="90" w:type="dxa"/>
            </w:tcMar>
            <w:shd w:val="clear" w:color="auto" w:fill="E5F5FF"/>
          </w:tcPr>
          <w:p>
            <w:pPr>
              <w:pStyle w:val="BDOITable"/>
            </w:pPr>
            <w:r>
              <w:rPr>
                <w:sz w:val="16"/>
              </w:rPr>
              <w:t>Unit Head, Analytics and Risk Management</w:t>
            </w:r>
          </w:p>
        </w:tc>
      </w:tr>
      <w:tr>
        <w:trPr>
          <w:cantSplit w:val="true"/>
        </w:trPr>
        <w:tc>
          <w:tcPr>
            <w:tcW w:type="dxa" w:w="1682"/>
            <w:tcMar>
              <w:top w:w="50" w:type="dxa"/>
              <w:bottom w:w="50" w:type="dxa"/>
              <w:left w:w="90" w:type="dxa"/>
              <w:right w:w="90" w:type="dxa"/>
            </w:tcMar>
          </w:tcPr>
          <w:p>
            <w:pPr>
              <w:pStyle w:val="BDOITable"/>
            </w:pPr>
            <w:r>
              <w:rPr>
                <w:b/>
                <w:sz w:val="16"/>
              </w:rPr>
              <w:t>COST_CENTER</w:t>
            </w:r>
          </w:p>
        </w:tc>
        <w:tc>
          <w:tcPr>
            <w:tcW w:type="dxa" w:w="4205"/>
            <w:tcMar>
              <w:top w:w="50" w:type="dxa"/>
              <w:bottom w:w="50" w:type="dxa"/>
              <w:left w:w="90" w:type="dxa"/>
              <w:right w:w="90" w:type="dxa"/>
            </w:tcMar>
          </w:tcPr>
          <w:p>
            <w:pPr>
              <w:pStyle w:val="BDOITable"/>
            </w:pPr>
            <w:r>
              <w:rPr>
                <w:sz w:val="16"/>
              </w:rPr>
              <w:t>Legacy cost centre to BIBS cost centre</w:t>
            </w:r>
          </w:p>
        </w:tc>
        <w:tc>
          <w:tcPr>
            <w:tcW w:type="dxa" w:w="2042"/>
            <w:tcMar>
              <w:top w:w="50" w:type="dxa"/>
              <w:bottom w:w="50" w:type="dxa"/>
              <w:left w:w="90" w:type="dxa"/>
              <w:right w:w="90" w:type="dxa"/>
            </w:tcMar>
          </w:tcPr>
          <w:p>
            <w:pPr>
              <w:pStyle w:val="BDOITable"/>
            </w:pPr>
            <w:r>
              <w:rPr>
                <w:sz w:val="16"/>
              </w:rPr>
              <w:t>Cost centre master</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GL_ACCOUNT</w:t>
            </w:r>
          </w:p>
        </w:tc>
        <w:tc>
          <w:tcPr>
            <w:tcW w:type="dxa" w:w="4205"/>
            <w:tcMar>
              <w:top w:w="50" w:type="dxa"/>
              <w:bottom w:w="50" w:type="dxa"/>
              <w:left w:w="90" w:type="dxa"/>
              <w:right w:w="90" w:type="dxa"/>
            </w:tcMar>
            <w:shd w:val="clear" w:color="auto" w:fill="E5F5FF"/>
          </w:tcPr>
          <w:p>
            <w:pPr>
              <w:pStyle w:val="BDOITable"/>
            </w:pPr>
            <w:r>
              <w:rPr>
                <w:sz w:val="16"/>
              </w:rPr>
              <w:t>Legacy GL account to BIBS account (legacy control accounts to Migration Clearing)</w:t>
            </w:r>
          </w:p>
        </w:tc>
        <w:tc>
          <w:tcPr>
            <w:tcW w:type="dxa" w:w="2042"/>
            <w:tcMar>
              <w:top w:w="50" w:type="dxa"/>
              <w:bottom w:w="50" w:type="dxa"/>
              <w:left w:w="90" w:type="dxa"/>
              <w:right w:w="90" w:type="dxa"/>
            </w:tcMar>
            <w:shd w:val="clear" w:color="auto" w:fill="E5F5FF"/>
          </w:tcPr>
          <w:p>
            <w:pPr>
              <w:pStyle w:val="BDOITable"/>
            </w:pPr>
            <w:r>
              <w:rPr>
                <w:sz w:val="16"/>
              </w:rPr>
              <w:t>coa_account</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BANK</w:t>
            </w:r>
          </w:p>
        </w:tc>
        <w:tc>
          <w:tcPr>
            <w:tcW w:type="dxa" w:w="4205"/>
            <w:tcMar>
              <w:top w:w="50" w:type="dxa"/>
              <w:bottom w:w="50" w:type="dxa"/>
              <w:left w:w="90" w:type="dxa"/>
              <w:right w:w="90" w:type="dxa"/>
            </w:tcMar>
          </w:tcPr>
          <w:p>
            <w:pPr>
              <w:pStyle w:val="BDOITable"/>
            </w:pPr>
            <w:r>
              <w:rPr>
                <w:sz w:val="16"/>
              </w:rPr>
              <w:t>Legacy bank code to BIBS bank list</w:t>
            </w:r>
          </w:p>
        </w:tc>
        <w:tc>
          <w:tcPr>
            <w:tcW w:type="dxa" w:w="2042"/>
            <w:tcMar>
              <w:top w:w="50" w:type="dxa"/>
              <w:bottom w:w="50" w:type="dxa"/>
              <w:left w:w="90" w:type="dxa"/>
              <w:right w:w="90" w:type="dxa"/>
            </w:tcMar>
          </w:tcPr>
          <w:p>
            <w:pPr>
              <w:pStyle w:val="BDOITable"/>
            </w:pPr>
            <w:r>
              <w:rPr>
                <w:sz w:val="16"/>
              </w:rPr>
              <w:t>Bank list (LOV)</w:t>
            </w:r>
          </w:p>
        </w:tc>
        <w:tc>
          <w:tcPr>
            <w:tcW w:type="dxa" w:w="2042"/>
            <w:tcMar>
              <w:top w:w="50" w:type="dxa"/>
              <w:bottom w:w="50" w:type="dxa"/>
              <w:left w:w="90" w:type="dxa"/>
              <w:right w:w="90" w:type="dxa"/>
            </w:tcMar>
          </w:tcPr>
          <w:p>
            <w:pPr>
              <w:pStyle w:val="BDOITable"/>
            </w:pPr>
            <w:r>
              <w:rPr>
                <w:sz w:val="16"/>
              </w:rPr>
              <w:t>Product Owner, Comptrollership - Disbursement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CURRENCY</w:t>
            </w:r>
          </w:p>
        </w:tc>
        <w:tc>
          <w:tcPr>
            <w:tcW w:type="dxa" w:w="4205"/>
            <w:tcMar>
              <w:top w:w="50" w:type="dxa"/>
              <w:bottom w:w="50" w:type="dxa"/>
              <w:left w:w="90" w:type="dxa"/>
              <w:right w:w="90" w:type="dxa"/>
            </w:tcMar>
            <w:shd w:val="clear" w:color="auto" w:fill="E5F5FF"/>
          </w:tcPr>
          <w:p>
            <w:pPr>
              <w:pStyle w:val="BDOITable"/>
            </w:pPr>
            <w:r>
              <w:rPr>
                <w:sz w:val="16"/>
              </w:rPr>
              <w:t>Legacy currency code to ISO 4217</w:t>
            </w:r>
          </w:p>
        </w:tc>
        <w:tc>
          <w:tcPr>
            <w:tcW w:type="dxa" w:w="2042"/>
            <w:tcMar>
              <w:top w:w="50" w:type="dxa"/>
              <w:bottom w:w="50" w:type="dxa"/>
              <w:left w:w="90" w:type="dxa"/>
              <w:right w:w="90" w:type="dxa"/>
            </w:tcMar>
            <w:shd w:val="clear" w:color="auto" w:fill="E5F5FF"/>
          </w:tcPr>
          <w:p>
            <w:pPr>
              <w:pStyle w:val="BDOITable"/>
            </w:pPr>
            <w:r>
              <w:rPr>
                <w:sz w:val="16"/>
              </w:rPr>
              <w:t>Currency master</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STATUS:&lt;object&gt;</w:t>
            </w:r>
          </w:p>
        </w:tc>
        <w:tc>
          <w:tcPr>
            <w:tcW w:type="dxa" w:w="4205"/>
            <w:tcMar>
              <w:top w:w="50" w:type="dxa"/>
              <w:bottom w:w="50" w:type="dxa"/>
              <w:left w:w="90" w:type="dxa"/>
              <w:right w:w="90" w:type="dxa"/>
            </w:tcMar>
          </w:tcPr>
          <w:p>
            <w:pPr>
              <w:pStyle w:val="BDOITable"/>
            </w:pPr>
            <w:r>
              <w:rPr>
                <w:sz w:val="16"/>
              </w:rPr>
              <w:t>Legacy statuses per object to BIBS statuses (CLIENT, KYC, INSURER, PRODUCT, POLICY, RENEWAL, UPP, REMITTANCE, PDC)</w:t>
            </w:r>
          </w:p>
        </w:tc>
        <w:tc>
          <w:tcPr>
            <w:tcW w:type="dxa" w:w="2042"/>
            <w:tcMar>
              <w:top w:w="50" w:type="dxa"/>
              <w:bottom w:w="50" w:type="dxa"/>
              <w:left w:w="90" w:type="dxa"/>
              <w:right w:w="90" w:type="dxa"/>
            </w:tcMar>
          </w:tcPr>
          <w:p>
            <w:pPr>
              <w:pStyle w:val="BDOITable"/>
            </w:pPr>
            <w:r>
              <w:rPr>
                <w:sz w:val="16"/>
              </w:rPr>
              <w:t>Status of the target record</w:t>
            </w:r>
          </w:p>
        </w:tc>
        <w:tc>
          <w:tcPr>
            <w:tcW w:type="dxa" w:w="2042"/>
            <w:tcMar>
              <w:top w:w="50" w:type="dxa"/>
              <w:bottom w:w="50" w:type="dxa"/>
              <w:left w:w="90" w:type="dxa"/>
              <w:right w:w="90" w:type="dxa"/>
            </w:tcMar>
          </w:tcPr>
          <w:p>
            <w:pPr>
              <w:pStyle w:val="BDOITable"/>
            </w:pPr>
            <w:r>
              <w:rPr>
                <w:sz w:val="16"/>
              </w:rPr>
              <w:t>Owner of the object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DISPOSITION_TYPE</w:t>
            </w:r>
          </w:p>
        </w:tc>
        <w:tc>
          <w:tcPr>
            <w:tcW w:type="dxa" w:w="4205"/>
            <w:tcMar>
              <w:top w:w="50" w:type="dxa"/>
              <w:bottom w:w="50" w:type="dxa"/>
              <w:left w:w="90" w:type="dxa"/>
              <w:right w:w="90" w:type="dxa"/>
            </w:tcMar>
            <w:shd w:val="clear" w:color="auto" w:fill="E5F5FF"/>
          </w:tcPr>
          <w:p>
            <w:pPr>
              <w:pStyle w:val="BDOITable"/>
            </w:pPr>
            <w:r>
              <w:rPr>
                <w:sz w:val="16"/>
              </w:rPr>
              <w:t>Legacy UPP disposition types to BIBS disposition types</w:t>
            </w:r>
          </w:p>
        </w:tc>
        <w:tc>
          <w:tcPr>
            <w:tcW w:type="dxa" w:w="2042"/>
            <w:tcMar>
              <w:top w:w="50" w:type="dxa"/>
              <w:bottom w:w="50" w:type="dxa"/>
              <w:left w:w="90" w:type="dxa"/>
              <w:right w:w="90" w:type="dxa"/>
            </w:tcMar>
            <w:shd w:val="clear" w:color="auto" w:fill="E5F5FF"/>
          </w:tcPr>
          <w:p>
            <w:pPr>
              <w:pStyle w:val="BDOITable"/>
            </w:pPr>
            <w:r>
              <w:rPr>
                <w:sz w:val="16"/>
              </w:rPr>
              <w:t>csh_disposition_type_rule</w:t>
            </w:r>
          </w:p>
        </w:tc>
        <w:tc>
          <w:tcPr>
            <w:tcW w:type="dxa" w:w="204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1682"/>
            <w:tcMar>
              <w:top w:w="50" w:type="dxa"/>
              <w:bottom w:w="50" w:type="dxa"/>
              <w:left w:w="90" w:type="dxa"/>
              <w:right w:w="90" w:type="dxa"/>
            </w:tcMar>
          </w:tcPr>
          <w:p>
            <w:pPr>
              <w:pStyle w:val="BDOITable"/>
            </w:pPr>
            <w:r>
              <w:rPr>
                <w:b/>
                <w:sz w:val="16"/>
              </w:rPr>
              <w:t>DISPOSITION_CLX</w:t>
            </w:r>
          </w:p>
        </w:tc>
        <w:tc>
          <w:tcPr>
            <w:tcW w:type="dxa" w:w="4205"/>
            <w:tcMar>
              <w:top w:w="50" w:type="dxa"/>
              <w:bottom w:w="50" w:type="dxa"/>
              <w:left w:w="90" w:type="dxa"/>
              <w:right w:w="90" w:type="dxa"/>
            </w:tcMar>
          </w:tcPr>
          <w:p>
            <w:pPr>
              <w:pStyle w:val="BDOITable"/>
            </w:pPr>
            <w:r>
              <w:rPr>
                <w:sz w:val="16"/>
              </w:rPr>
              <w:t>Legacy collection dispositions to BIBS collection dispositions</w:t>
            </w:r>
          </w:p>
        </w:tc>
        <w:tc>
          <w:tcPr>
            <w:tcW w:type="dxa" w:w="2042"/>
            <w:tcMar>
              <w:top w:w="50" w:type="dxa"/>
              <w:bottom w:w="50" w:type="dxa"/>
              <w:left w:w="90" w:type="dxa"/>
              <w:right w:w="90" w:type="dxa"/>
            </w:tcMar>
          </w:tcPr>
          <w:p>
            <w:pPr>
              <w:pStyle w:val="BDOITable"/>
            </w:pPr>
            <w:r>
              <w:rPr>
                <w:sz w:val="16"/>
              </w:rPr>
              <w:t>Collections disposition list</w:t>
            </w:r>
          </w:p>
        </w:tc>
        <w:tc>
          <w:tcPr>
            <w:tcW w:type="dxa" w:w="2042"/>
            <w:tcMar>
              <w:top w:w="50" w:type="dxa"/>
              <w:bottom w:w="50" w:type="dxa"/>
              <w:left w:w="90" w:type="dxa"/>
              <w:right w:w="90" w:type="dxa"/>
            </w:tcMar>
          </w:tcPr>
          <w:p>
            <w:pPr>
              <w:pStyle w:val="BDOITable"/>
            </w:pPr>
            <w:r>
              <w:rPr>
                <w:sz w:val="16"/>
              </w:rPr>
              <w:t>Head, Operations (Collections)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DOCUMENT_TYPE</w:t>
            </w:r>
          </w:p>
        </w:tc>
        <w:tc>
          <w:tcPr>
            <w:tcW w:type="dxa" w:w="4205"/>
            <w:tcMar>
              <w:top w:w="50" w:type="dxa"/>
              <w:bottom w:w="50" w:type="dxa"/>
              <w:left w:w="90" w:type="dxa"/>
              <w:right w:w="90" w:type="dxa"/>
            </w:tcMar>
            <w:shd w:val="clear" w:color="auto" w:fill="E5F5FF"/>
          </w:tcPr>
          <w:p>
            <w:pPr>
              <w:pStyle w:val="BDOITable"/>
            </w:pPr>
            <w:r>
              <w:rPr>
                <w:sz w:val="16"/>
              </w:rPr>
              <w:t>Legacy document types to archive document types</w:t>
            </w:r>
          </w:p>
        </w:tc>
        <w:tc>
          <w:tcPr>
            <w:tcW w:type="dxa" w:w="2042"/>
            <w:tcMar>
              <w:top w:w="50" w:type="dxa"/>
              <w:bottom w:w="50" w:type="dxa"/>
              <w:left w:w="90" w:type="dxa"/>
              <w:right w:w="90" w:type="dxa"/>
            </w:tcMar>
            <w:shd w:val="clear" w:color="auto" w:fill="E5F5FF"/>
          </w:tcPr>
          <w:p>
            <w:pPr>
              <w:pStyle w:val="BDOITable"/>
            </w:pPr>
            <w:r>
              <w:rPr>
                <w:sz w:val="16"/>
              </w:rPr>
              <w:t>attachment document types</w:t>
            </w:r>
          </w:p>
        </w:tc>
        <w:tc>
          <w:tcPr>
            <w:tcW w:type="dxa" w:w="2042"/>
            <w:tcMar>
              <w:top w:w="50" w:type="dxa"/>
              <w:bottom w:w="50" w:type="dxa"/>
              <w:left w:w="90" w:type="dxa"/>
              <w:right w:w="90" w:type="dxa"/>
            </w:tcMar>
            <w:shd w:val="clear" w:color="auto" w:fill="E5F5FF"/>
          </w:tcPr>
          <w:p>
            <w:pPr>
              <w:pStyle w:val="BDOITable"/>
            </w:pPr>
            <w:r>
              <w:rPr>
                <w:sz w:val="16"/>
              </w:rPr>
              <w:t>Compliance</w:t>
            </w:r>
          </w:p>
        </w:tc>
      </w:tr>
    </w:tbl>
    <w:p>
      <w:pPr>
        <w:pStyle w:val="BDOISpacer"/>
      </w:pPr>
    </w:p>
    <w:p>
      <w:pPr>
        <w:pStyle w:val="Heading2"/>
      </w:pPr>
      <w:bookmarkStart w:id="129" w:name="_Toc000129"/>
      <w:r>
        <w:rPr/>
        <w:t>6.7 Validation</w:t>
      </w:r>
      <w:bookmarkEnd w:id="129"/>
    </w:p>
    <w:p>
      <w:r>
        <w:rPr/>
        <w:t>Every staged row is checked against the data-quality rules of its layout before a batch can be approved for load. An ERROR stops the row; a WARNING loads it and reports it. The catalogue (workbook sheet "DQ Rules") has 46 rules:</w:t>
      </w:r>
    </w:p>
    <w:p>
      <w:pPr>
        <w:pStyle w:val="Caption"/>
        <w:keepNext/>
        <w:spacing w:after="60"/>
      </w:pPr>
      <w:r>
        <w:rPr>
          <w:b/>
          <w:i w:val="0"/>
        </w:rPr>
        <w:t xml:space="preserve">Table 17: </w:t>
      </w:r>
      <w:r>
        <w:rPr/>
        <w:t>Data-quality rules by kind (full catalogue in the workbook, sheet DQ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841"/>
        <w:gridCol w:w="7089"/>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Rules</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Rule IDs</w:t>
            </w:r>
          </w:p>
        </w:tc>
      </w:tr>
      <w:tr>
        <w:trPr>
          <w:cantSplit w:val="true"/>
        </w:trPr>
        <w:tc>
          <w:tcPr>
            <w:tcW w:type="dxa" w:w="2042"/>
            <w:tcMar>
              <w:top w:w="50" w:type="dxa"/>
              <w:bottom w:w="50" w:type="dxa"/>
              <w:left w:w="90" w:type="dxa"/>
              <w:right w:w="90" w:type="dxa"/>
            </w:tcMar>
          </w:tcPr>
          <w:p>
            <w:pPr>
              <w:pStyle w:val="BDOITable"/>
            </w:pPr>
            <w:r>
              <w:rPr>
                <w:b/>
                <w:sz w:val="17"/>
              </w:rPr>
              <w:t>MANDATORY</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DQ-001</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FORMAT</w:t>
            </w:r>
          </w:p>
        </w:tc>
        <w:tc>
          <w:tcPr>
            <w:tcW w:type="dxa" w:w="841"/>
            <w:tcMar>
              <w:top w:w="50" w:type="dxa"/>
              <w:bottom w:w="50" w:type="dxa"/>
              <w:left w:w="90" w:type="dxa"/>
              <w:right w:w="90" w:type="dxa"/>
            </w:tcMar>
            <w:shd w:val="clear" w:color="auto" w:fill="E5F5FF"/>
          </w:tcPr>
          <w:p>
            <w:pPr>
              <w:pStyle w:val="BDOITable"/>
            </w:pPr>
            <w:r>
              <w:rPr>
                <w:sz w:val="17"/>
              </w:rPr>
              <w:t>6</w:t>
            </w:r>
          </w:p>
        </w:tc>
        <w:tc>
          <w:tcPr>
            <w:tcW w:type="dxa" w:w="7089"/>
            <w:tcMar>
              <w:top w:w="50" w:type="dxa"/>
              <w:bottom w:w="50" w:type="dxa"/>
              <w:left w:w="90" w:type="dxa"/>
              <w:right w:w="90" w:type="dxa"/>
            </w:tcMar>
            <w:shd w:val="clear" w:color="auto" w:fill="E5F5FF"/>
          </w:tcPr>
          <w:p>
            <w:pPr>
              <w:pStyle w:val="BDOITable"/>
            </w:pPr>
            <w:r>
              <w:rPr>
                <w:sz w:val="17"/>
              </w:rPr>
              <w:t>DQ-002, DQ-005, DQ-006, DQ-007, DQ-045, DQ-046</w:t>
            </w:r>
          </w:p>
        </w:tc>
      </w:tr>
      <w:tr>
        <w:trPr>
          <w:cantSplit w:val="true"/>
        </w:trPr>
        <w:tc>
          <w:tcPr>
            <w:tcW w:type="dxa" w:w="2042"/>
            <w:tcMar>
              <w:top w:w="50" w:type="dxa"/>
              <w:bottom w:w="50" w:type="dxa"/>
              <w:left w:w="90" w:type="dxa"/>
              <w:right w:w="90" w:type="dxa"/>
            </w:tcMar>
          </w:tcPr>
          <w:p>
            <w:pPr>
              <w:pStyle w:val="BDOITable"/>
            </w:pPr>
            <w:r>
              <w:rPr>
                <w:b/>
                <w:sz w:val="17"/>
              </w:rPr>
              <w:t>LOOKUP</w:t>
            </w:r>
          </w:p>
        </w:tc>
        <w:tc>
          <w:tcPr>
            <w:tcW w:type="dxa" w:w="841"/>
            <w:tcMar>
              <w:top w:w="50" w:type="dxa"/>
              <w:bottom w:w="50" w:type="dxa"/>
              <w:left w:w="90" w:type="dxa"/>
              <w:right w:w="90" w:type="dxa"/>
            </w:tcMar>
          </w:tcPr>
          <w:p>
            <w:pPr>
              <w:pStyle w:val="BDOITable"/>
            </w:pPr>
            <w:r>
              <w:rPr>
                <w:sz w:val="17"/>
              </w:rPr>
              <w:t>2</w:t>
            </w:r>
          </w:p>
        </w:tc>
        <w:tc>
          <w:tcPr>
            <w:tcW w:type="dxa" w:w="7089"/>
            <w:tcMar>
              <w:top w:w="50" w:type="dxa"/>
              <w:bottom w:w="50" w:type="dxa"/>
              <w:left w:w="90" w:type="dxa"/>
              <w:right w:w="90" w:type="dxa"/>
            </w:tcMar>
          </w:tcPr>
          <w:p>
            <w:pPr>
              <w:pStyle w:val="BDOITable"/>
            </w:pPr>
            <w:r>
              <w:rPr>
                <w:sz w:val="17"/>
              </w:rPr>
              <w:t>DQ-003, DQ-039</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UNIQUE</w:t>
            </w:r>
          </w:p>
        </w:tc>
        <w:tc>
          <w:tcPr>
            <w:tcW w:type="dxa" w:w="841"/>
            <w:tcMar>
              <w:top w:w="50" w:type="dxa"/>
              <w:bottom w:w="50" w:type="dxa"/>
              <w:left w:w="90" w:type="dxa"/>
              <w:right w:w="90" w:type="dxa"/>
            </w:tcMar>
            <w:shd w:val="clear" w:color="auto" w:fill="E5F5FF"/>
          </w:tcPr>
          <w:p>
            <w:pPr>
              <w:pStyle w:val="BDOITable"/>
            </w:pPr>
            <w:r>
              <w:rPr>
                <w:sz w:val="17"/>
              </w:rPr>
              <w:t>4</w:t>
            </w:r>
          </w:p>
        </w:tc>
        <w:tc>
          <w:tcPr>
            <w:tcW w:type="dxa" w:w="7089"/>
            <w:tcMar>
              <w:top w:w="50" w:type="dxa"/>
              <w:bottom w:w="50" w:type="dxa"/>
              <w:left w:w="90" w:type="dxa"/>
              <w:right w:w="90" w:type="dxa"/>
            </w:tcMar>
            <w:shd w:val="clear" w:color="auto" w:fill="E5F5FF"/>
          </w:tcPr>
          <w:p>
            <w:pPr>
              <w:pStyle w:val="BDOITable"/>
            </w:pPr>
            <w:r>
              <w:rPr>
                <w:sz w:val="17"/>
              </w:rPr>
              <w:t>DQ-004, DQ-020, DQ-036, DQ-044</w:t>
            </w:r>
          </w:p>
        </w:tc>
      </w:tr>
      <w:tr>
        <w:trPr>
          <w:cantSplit w:val="true"/>
        </w:trPr>
        <w:tc>
          <w:tcPr>
            <w:tcW w:type="dxa" w:w="2042"/>
            <w:tcMar>
              <w:top w:w="50" w:type="dxa"/>
              <w:bottom w:w="50" w:type="dxa"/>
              <w:left w:w="90" w:type="dxa"/>
              <w:right w:w="90" w:type="dxa"/>
            </w:tcMar>
          </w:tcPr>
          <w:p>
            <w:pPr>
              <w:pStyle w:val="BDOITable"/>
            </w:pPr>
            <w:r>
              <w:rPr>
                <w:b/>
                <w:sz w:val="17"/>
              </w:rPr>
              <w:t>PLAUSIBILITY</w:t>
            </w:r>
          </w:p>
        </w:tc>
        <w:tc>
          <w:tcPr>
            <w:tcW w:type="dxa" w:w="841"/>
            <w:tcMar>
              <w:top w:w="50" w:type="dxa"/>
              <w:bottom w:w="50" w:type="dxa"/>
              <w:left w:w="90" w:type="dxa"/>
              <w:right w:w="90" w:type="dxa"/>
            </w:tcMar>
          </w:tcPr>
          <w:p>
            <w:pPr>
              <w:pStyle w:val="BDOITable"/>
            </w:pPr>
            <w:r>
              <w:rPr>
                <w:sz w:val="17"/>
              </w:rPr>
              <w:t>5</w:t>
            </w:r>
          </w:p>
        </w:tc>
        <w:tc>
          <w:tcPr>
            <w:tcW w:type="dxa" w:w="7089"/>
            <w:tcMar>
              <w:top w:w="50" w:type="dxa"/>
              <w:bottom w:w="50" w:type="dxa"/>
              <w:left w:w="90" w:type="dxa"/>
              <w:right w:w="90" w:type="dxa"/>
            </w:tcMar>
          </w:tcPr>
          <w:p>
            <w:pPr>
              <w:pStyle w:val="BDOITable"/>
            </w:pPr>
            <w:r>
              <w:rPr>
                <w:sz w:val="17"/>
              </w:rPr>
              <w:t>DQ-008, DQ-011, DQ-028, DQ-031, DQ-032</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CROSS_FIELD</w:t>
            </w:r>
          </w:p>
        </w:tc>
        <w:tc>
          <w:tcPr>
            <w:tcW w:type="dxa" w:w="841"/>
            <w:tcMar>
              <w:top w:w="50" w:type="dxa"/>
              <w:bottom w:w="50" w:type="dxa"/>
              <w:left w:w="90" w:type="dxa"/>
              <w:right w:w="90" w:type="dxa"/>
            </w:tcMar>
            <w:shd w:val="clear" w:color="auto" w:fill="E5F5FF"/>
          </w:tcPr>
          <w:p>
            <w:pPr>
              <w:pStyle w:val="BDOITable"/>
            </w:pPr>
            <w:r>
              <w:rPr>
                <w:sz w:val="17"/>
              </w:rPr>
              <w:t>14</w:t>
            </w:r>
          </w:p>
        </w:tc>
        <w:tc>
          <w:tcPr>
            <w:tcW w:type="dxa" w:w="7089"/>
            <w:tcMar>
              <w:top w:w="50" w:type="dxa"/>
              <w:bottom w:w="50" w:type="dxa"/>
              <w:left w:w="90" w:type="dxa"/>
              <w:right w:w="90" w:type="dxa"/>
            </w:tcMar>
            <w:shd w:val="clear" w:color="auto" w:fill="E5F5FF"/>
          </w:tcPr>
          <w:p>
            <w:pPr>
              <w:pStyle w:val="BDOITable"/>
            </w:pPr>
            <w:r>
              <w:rPr>
                <w:sz w:val="17"/>
              </w:rPr>
              <w:t>DQ-009, DQ-013, DQ-014, DQ-015, DQ-017, DQ-019, DQ-021, DQ-024, DQ-025, DQ-029, DQ-038, DQ-041, DQ-042, DQ-043</w:t>
            </w:r>
          </w:p>
        </w:tc>
      </w:tr>
      <w:tr>
        <w:trPr>
          <w:cantSplit w:val="true"/>
        </w:trPr>
        <w:tc>
          <w:tcPr>
            <w:tcW w:type="dxa" w:w="2042"/>
            <w:tcMar>
              <w:top w:w="50" w:type="dxa"/>
              <w:bottom w:w="50" w:type="dxa"/>
              <w:left w:w="90" w:type="dxa"/>
              <w:right w:w="90" w:type="dxa"/>
            </w:tcMar>
          </w:tcPr>
          <w:p>
            <w:pPr>
              <w:pStyle w:val="BDOITable"/>
            </w:pPr>
            <w:r>
              <w:rPr>
                <w:b/>
                <w:sz w:val="17"/>
              </w:rPr>
              <w:t>DUPLICATE_CLIENT</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DQ-010</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REFERENTIAL</w:t>
            </w:r>
          </w:p>
        </w:tc>
        <w:tc>
          <w:tcPr>
            <w:tcW w:type="dxa" w:w="841"/>
            <w:tcMar>
              <w:top w:w="50" w:type="dxa"/>
              <w:bottom w:w="50" w:type="dxa"/>
              <w:left w:w="90" w:type="dxa"/>
              <w:right w:w="90" w:type="dxa"/>
            </w:tcMar>
            <w:shd w:val="clear" w:color="auto" w:fill="E5F5FF"/>
          </w:tcPr>
          <w:p>
            <w:pPr>
              <w:pStyle w:val="BDOITable"/>
            </w:pPr>
            <w:r>
              <w:rPr>
                <w:sz w:val="17"/>
              </w:rPr>
              <w:t>5</w:t>
            </w:r>
          </w:p>
        </w:tc>
        <w:tc>
          <w:tcPr>
            <w:tcW w:type="dxa" w:w="7089"/>
            <w:tcMar>
              <w:top w:w="50" w:type="dxa"/>
              <w:bottom w:w="50" w:type="dxa"/>
              <w:left w:w="90" w:type="dxa"/>
              <w:right w:w="90" w:type="dxa"/>
            </w:tcMar>
            <w:shd w:val="clear" w:color="auto" w:fill="E5F5FF"/>
          </w:tcPr>
          <w:p>
            <w:pPr>
              <w:pStyle w:val="BDOITable"/>
            </w:pPr>
            <w:r>
              <w:rPr>
                <w:sz w:val="17"/>
              </w:rPr>
              <w:t>DQ-012, DQ-016, DQ-018, DQ-026, DQ-033</w:t>
            </w:r>
          </w:p>
        </w:tc>
      </w:tr>
      <w:tr>
        <w:trPr>
          <w:cantSplit w:val="true"/>
        </w:trPr>
        <w:tc>
          <w:tcPr>
            <w:tcW w:type="dxa" w:w="2042"/>
            <w:tcMar>
              <w:top w:w="50" w:type="dxa"/>
              <w:bottom w:w="50" w:type="dxa"/>
              <w:left w:w="90" w:type="dxa"/>
              <w:right w:w="90" w:type="dxa"/>
            </w:tcMar>
          </w:tcPr>
          <w:p>
            <w:pPr>
              <w:pStyle w:val="BDOITable"/>
            </w:pPr>
            <w:r>
              <w:rPr>
                <w:b/>
                <w:sz w:val="17"/>
              </w:rPr>
              <w:t>BALANCE</w:t>
            </w:r>
          </w:p>
        </w:tc>
        <w:tc>
          <w:tcPr>
            <w:tcW w:type="dxa" w:w="841"/>
            <w:tcMar>
              <w:top w:w="50" w:type="dxa"/>
              <w:bottom w:w="50" w:type="dxa"/>
              <w:left w:w="90" w:type="dxa"/>
              <w:right w:w="90" w:type="dxa"/>
            </w:tcMar>
          </w:tcPr>
          <w:p>
            <w:pPr>
              <w:pStyle w:val="BDOITable"/>
            </w:pPr>
            <w:r>
              <w:rPr>
                <w:sz w:val="17"/>
              </w:rPr>
              <w:t>8</w:t>
            </w:r>
          </w:p>
        </w:tc>
        <w:tc>
          <w:tcPr>
            <w:tcW w:type="dxa" w:w="7089"/>
            <w:tcMar>
              <w:top w:w="50" w:type="dxa"/>
              <w:bottom w:w="50" w:type="dxa"/>
              <w:left w:w="90" w:type="dxa"/>
              <w:right w:w="90" w:type="dxa"/>
            </w:tcMar>
          </w:tcPr>
          <w:p>
            <w:pPr>
              <w:pStyle w:val="BDOITable"/>
            </w:pPr>
            <w:r>
              <w:rPr>
                <w:sz w:val="17"/>
              </w:rPr>
              <w:t>DQ-022, DQ-023, DQ-027, DQ-030, DQ-034, DQ-035, DQ-037, DQ-040</w:t>
            </w:r>
          </w:p>
        </w:tc>
      </w:tr>
    </w:tbl>
    <w:p>
      <w:pPr>
        <w:pStyle w:val="BDOISpacer"/>
      </w:pPr>
    </w:p>
    <w:p>
      <w:pPr>
        <w:pStyle w:val="Heading2"/>
      </w:pPr>
      <w:bookmarkStart w:id="130" w:name="_Toc000130"/>
      <w:r>
        <w:rPr/>
        <w:t>6.8 Client matching and survivorship</w:t>
      </w:r>
      <w:bookmarkEnd w:id="130"/>
    </w:p>
    <w:p>
      <w:r>
        <w:rPr/>
        <w:t>Legacy clients of all source systems are matched with each other and with any client already in BIBS before any client is loaded (FR-DM-031). Keys and scores (proposal until DMQ04 is answered):</w:t>
      </w:r>
    </w:p>
    <w:p>
      <w:pPr>
        <w:pStyle w:val="Caption"/>
        <w:keepNext/>
        <w:spacing w:after="60"/>
      </w:pPr>
      <w:r>
        <w:rPr>
          <w:b/>
          <w:i w:val="0"/>
        </w:rPr>
        <w:t xml:space="preserve">Table 18: </w:t>
      </w:r>
      <w:r>
        <w:rPr/>
        <w:t>Client matching keys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0"/>
        <w:gridCol w:w="7301"/>
        <w:gridCol w:w="1780"/>
      </w:tblGrid>
      <w:tr>
        <w:trPr>
          <w:tblHeader w:val="true"/>
          <w:cantSplit w:val="true"/>
        </w:trPr>
        <w:tc>
          <w:tcPr>
            <w:tcW w:type="dxa" w:w="890"/>
            <w:shd w:val="clear" w:color="auto" w:fill="004EA8"/>
            <w:tcMar>
              <w:top w:w="50" w:type="dxa"/>
              <w:bottom w:w="50" w:type="dxa"/>
              <w:left w:w="90" w:type="dxa"/>
              <w:right w:w="90" w:type="dxa"/>
            </w:tcMar>
            <w:vAlign w:val="center"/>
          </w:tcPr>
          <w:p>
            <w:pPr>
              <w:pStyle w:val="BDOITableHeader"/>
            </w:pPr>
            <w:r>
              <w:rPr>
                <w:b/>
                <w:color w:val="FFFFFF"/>
                <w:sz w:val="18"/>
              </w:rPr>
              <w:t>Key</w:t>
            </w:r>
          </w:p>
        </w:tc>
        <w:tc>
          <w:tcPr>
            <w:tcW w:type="dxa" w:w="7301"/>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8"/>
              </w:rPr>
              <w:t>Score</w:t>
            </w:r>
          </w:p>
        </w:tc>
      </w:tr>
      <w:tr>
        <w:trPr>
          <w:cantSplit w:val="true"/>
        </w:trPr>
        <w:tc>
          <w:tcPr>
            <w:tcW w:type="dxa" w:w="890"/>
            <w:tcMar>
              <w:top w:w="50" w:type="dxa"/>
              <w:bottom w:w="50" w:type="dxa"/>
              <w:left w:w="90" w:type="dxa"/>
              <w:right w:w="90" w:type="dxa"/>
            </w:tcMar>
          </w:tcPr>
          <w:p>
            <w:pPr>
              <w:pStyle w:val="BDOITable"/>
            </w:pPr>
            <w:r>
              <w:rPr>
                <w:sz w:val="18"/>
              </w:rPr>
              <w:t>K1</w:t>
            </w:r>
          </w:p>
        </w:tc>
        <w:tc>
          <w:tcPr>
            <w:tcW w:type="dxa" w:w="7301"/>
            <w:tcMar>
              <w:top w:w="50" w:type="dxa"/>
              <w:bottom w:w="50" w:type="dxa"/>
              <w:left w:w="90" w:type="dxa"/>
              <w:right w:w="90" w:type="dxa"/>
            </w:tcMar>
          </w:tcPr>
          <w:p>
            <w:pPr>
              <w:pStyle w:val="BDOITable"/>
            </w:pPr>
            <w:r>
              <w:rPr>
                <w:sz w:val="18"/>
              </w:rPr>
              <w:t>TIN, digits only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K2</w:t>
            </w:r>
          </w:p>
        </w:tc>
        <w:tc>
          <w:tcPr>
            <w:tcW w:type="dxa" w:w="7301"/>
            <w:tcMar>
              <w:top w:w="50" w:type="dxa"/>
              <w:bottom w:w="50" w:type="dxa"/>
              <w:left w:w="90" w:type="dxa"/>
              <w:right w:w="90" w:type="dxa"/>
            </w:tcMar>
            <w:shd w:val="clear" w:color="auto" w:fill="E5F5FF"/>
          </w:tcPr>
          <w:p>
            <w:pPr>
              <w:pStyle w:val="BDOITable"/>
            </w:pPr>
            <w:r>
              <w:rPr>
                <w:sz w:val="18"/>
              </w:rPr>
              <w:t>ID type and number</w:t>
            </w:r>
          </w:p>
        </w:tc>
        <w:tc>
          <w:tcPr>
            <w:tcW w:type="dxa" w:w="1781"/>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890"/>
            <w:tcMar>
              <w:top w:w="50" w:type="dxa"/>
              <w:bottom w:w="50" w:type="dxa"/>
              <w:left w:w="90" w:type="dxa"/>
              <w:right w:w="90" w:type="dxa"/>
            </w:tcMar>
          </w:tcPr>
          <w:p>
            <w:pPr>
              <w:pStyle w:val="BDOITable"/>
            </w:pPr>
            <w:r>
              <w:rPr>
                <w:sz w:val="18"/>
              </w:rPr>
              <w:t>K3</w:t>
            </w:r>
          </w:p>
        </w:tc>
        <w:tc>
          <w:tcPr>
            <w:tcW w:type="dxa" w:w="7301"/>
            <w:tcMar>
              <w:top w:w="50" w:type="dxa"/>
              <w:bottom w:w="50" w:type="dxa"/>
              <w:left w:w="90" w:type="dxa"/>
              <w:right w:w="90" w:type="dxa"/>
            </w:tcMar>
          </w:tcPr>
          <w:p>
            <w:pPr>
              <w:pStyle w:val="BDOITable"/>
            </w:pPr>
            <w:r>
              <w:rPr>
                <w:sz w:val="18"/>
              </w:rPr>
              <w:t>Last name, first name and birth date</w:t>
            </w:r>
          </w:p>
        </w:tc>
        <w:tc>
          <w:tcPr>
            <w:tcW w:type="dxa" w:w="1781"/>
            <w:tcMar>
              <w:top w:w="50" w:type="dxa"/>
              <w:bottom w:w="50" w:type="dxa"/>
              <w:left w:w="90" w:type="dxa"/>
              <w:right w:w="90" w:type="dxa"/>
            </w:tcMar>
          </w:tcPr>
          <w:p>
            <w:pPr>
              <w:pStyle w:val="BDOITable"/>
            </w:pPr>
            <w:r>
              <w:rPr>
                <w:sz w:val="18"/>
              </w:rPr>
              <w:t>95</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K4</w:t>
            </w:r>
          </w:p>
        </w:tc>
        <w:tc>
          <w:tcPr>
            <w:tcW w:type="dxa" w:w="7301"/>
            <w:tcMar>
              <w:top w:w="50" w:type="dxa"/>
              <w:bottom w:w="50" w:type="dxa"/>
              <w:left w:w="90" w:type="dxa"/>
              <w:right w:w="90" w:type="dxa"/>
            </w:tcMar>
            <w:shd w:val="clear" w:color="auto" w:fill="E5F5FF"/>
          </w:tcPr>
          <w:p>
            <w:pPr>
              <w:pStyle w:val="BDOITable"/>
            </w:pPr>
            <w:r>
              <w:rPr>
                <w:sz w:val="18"/>
              </w:rPr>
              <w:t>Normalised corporate name with registration number (90 without)</w:t>
            </w:r>
          </w:p>
        </w:tc>
        <w:tc>
          <w:tcPr>
            <w:tcW w:type="dxa" w:w="1781"/>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890"/>
            <w:tcMar>
              <w:top w:w="50" w:type="dxa"/>
              <w:bottom w:w="50" w:type="dxa"/>
              <w:left w:w="90" w:type="dxa"/>
              <w:right w:w="90" w:type="dxa"/>
            </w:tcMar>
          </w:tcPr>
          <w:p>
            <w:pPr>
              <w:pStyle w:val="BDOITable"/>
            </w:pPr>
            <w:r>
              <w:rPr>
                <w:sz w:val="18"/>
              </w:rPr>
              <w:t>K5</w:t>
            </w:r>
          </w:p>
        </w:tc>
        <w:tc>
          <w:tcPr>
            <w:tcW w:type="dxa" w:w="7301"/>
            <w:tcMar>
              <w:top w:w="50" w:type="dxa"/>
              <w:bottom w:w="50" w:type="dxa"/>
              <w:left w:w="90" w:type="dxa"/>
              <w:right w:w="90" w:type="dxa"/>
            </w:tcMar>
          </w:tcPr>
          <w:p>
            <w:pPr>
              <w:pStyle w:val="BDOITable"/>
            </w:pPr>
            <w:r>
              <w:rPr>
                <w:sz w:val="18"/>
              </w:rPr>
              <w:t>Bank CIF, if BDOI confirms it as a key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K6</w:t>
            </w:r>
          </w:p>
        </w:tc>
        <w:tc>
          <w:tcPr>
            <w:tcW w:type="dxa" w:w="7301"/>
            <w:tcMar>
              <w:top w:w="50" w:type="dxa"/>
              <w:bottom w:w="50" w:type="dxa"/>
              <w:left w:w="90" w:type="dxa"/>
              <w:right w:w="90" w:type="dxa"/>
            </w:tcMar>
            <w:shd w:val="clear" w:color="auto" w:fill="E5F5FF"/>
          </w:tcPr>
          <w:p>
            <w:pPr>
              <w:pStyle w:val="BDOITable"/>
            </w:pPr>
            <w:r>
              <w:rPr>
                <w:sz w:val="18"/>
              </w:rPr>
              <w:t>E-mail; PH mobile</w:t>
            </w:r>
          </w:p>
        </w:tc>
        <w:tc>
          <w:tcPr>
            <w:tcW w:type="dxa" w:w="1781"/>
            <w:tcMar>
              <w:top w:w="50" w:type="dxa"/>
              <w:bottom w:w="50" w:type="dxa"/>
              <w:left w:w="90" w:type="dxa"/>
              <w:right w:w="90" w:type="dxa"/>
            </w:tcMar>
            <w:shd w:val="clear" w:color="auto" w:fill="E5F5FF"/>
          </w:tcPr>
          <w:p>
            <w:pPr>
              <w:pStyle w:val="BDOITable"/>
            </w:pPr>
            <w:r>
              <w:rPr>
                <w:sz w:val="18"/>
              </w:rPr>
              <w:t>40 each</w:t>
            </w:r>
          </w:p>
        </w:tc>
      </w:tr>
      <w:tr>
        <w:trPr>
          <w:cantSplit w:val="true"/>
        </w:trPr>
        <w:tc>
          <w:tcPr>
            <w:tcW w:type="dxa" w:w="890"/>
            <w:tcMar>
              <w:top w:w="50" w:type="dxa"/>
              <w:bottom w:w="50" w:type="dxa"/>
              <w:left w:w="90" w:type="dxa"/>
              <w:right w:w="90" w:type="dxa"/>
            </w:tcMar>
          </w:tcPr>
          <w:p>
            <w:pPr>
              <w:pStyle w:val="BDOITable"/>
            </w:pPr>
            <w:r>
              <w:rPr>
                <w:sz w:val="18"/>
              </w:rPr>
              <w:t>K7</w:t>
            </w:r>
          </w:p>
        </w:tc>
        <w:tc>
          <w:tcPr>
            <w:tcW w:type="dxa" w:w="7301"/>
            <w:tcMar>
              <w:top w:w="50" w:type="dxa"/>
              <w:bottom w:w="50" w:type="dxa"/>
              <w:left w:w="90" w:type="dxa"/>
              <w:right w:w="90" w:type="dxa"/>
            </w:tcMar>
          </w:tcPr>
          <w:p>
            <w:pPr>
              <w:pStyle w:val="BDOITable"/>
            </w:pPr>
            <w:r>
              <w:rPr>
                <w:sz w:val="18"/>
              </w:rPr>
              <w:t>Similar name (at least 0.85) with the same birth date or city</w:t>
            </w:r>
          </w:p>
        </w:tc>
        <w:tc>
          <w:tcPr>
            <w:tcW w:type="dxa" w:w="1781"/>
            <w:tcMar>
              <w:top w:w="50" w:type="dxa"/>
              <w:bottom w:w="50" w:type="dxa"/>
              <w:left w:w="90" w:type="dxa"/>
              <w:right w:w="90" w:type="dxa"/>
            </w:tcMar>
          </w:tcPr>
          <w:p>
            <w:pPr>
              <w:pStyle w:val="BDOITable"/>
            </w:pPr>
            <w:r>
              <w:rPr>
                <w:sz w:val="18"/>
              </w:rPr>
              <w:t>70</w:t>
            </w:r>
          </w:p>
        </w:tc>
      </w:tr>
    </w:tbl>
    <w:p>
      <w:pPr>
        <w:pStyle w:val="BDOISpacer"/>
      </w:pPr>
    </w:p>
    <w:p>
      <w:r>
        <w:rPr/>
        <w:t>Pairs scoring 90 or more merge automatically; 60 to 89 go to the data steward's review queue; below 60 are separate clients. The client batch cannot be approved while the queue has open pairs. Survivorship takes, per field, the first non-blank value by source priority (proposal: QPS for contact data, EBIX for billing data) or the most recently updated value. Every value that lost is kept for review (report MIG-CLIENT-MATCH).</w:t>
      </w:r>
    </w:p>
    <w:p>
      <w:pPr>
        <w:pStyle w:val="Heading2"/>
      </w:pPr>
      <w:bookmarkStart w:id="131" w:name="_Toc000131"/>
      <w:r>
        <w:rPr/>
        <w:t>6.9 Load through the BIBS services</w:t>
      </w:r>
      <w:bookmarkEnd w:id="131"/>
    </w:p>
    <w:p>
      <w:r>
        <w:rPr/>
        <w:t>An approved batch is loaded in chunks of 500 rows, four partitions in parallel, one transaction per chunk; a failing chunk is retried row by row so one bad row fails alone. Loading the same batch again creates no duplicate: rows already loaded and unchanged are skipped through the key cross-reference. The planning target is 50,000 rows an hour per partition, proven in the dress rehearsal.</w:t>
      </w:r>
    </w:p>
    <w:p>
      <w:r>
        <w:rPr/>
        <w:t>Before sign-off a batch can be rerun (only the rejected rows, after a fix) or rolled back (when its loader can undo the records and nothing has changed them since the load). In the production cutover the rollback point is a database snapshot (section 11.5).</w:t>
      </w:r>
    </w:p>
    <w:p>
      <w:pPr>
        <w:pStyle w:val="Heading2"/>
      </w:pPr>
      <w:bookmarkStart w:id="132" w:name="_Toc000132"/>
      <w:r>
        <w:rPr/>
        <w:t>6.10 Reconciliation and sign-off</w:t>
      </w:r>
      <w:bookmarkEnd w:id="132"/>
    </w:p>
    <w:p>
      <w:r>
        <w:rPr/>
        <w:t>Every object is reconciled at up to five levels. The Reconciliation Approach and Sign-off document gives the measures per object, the sample plan for business verification and the sign-off forms.</w:t>
      </w:r>
    </w:p>
    <w:p>
      <w:pPr>
        <w:pStyle w:val="Caption"/>
        <w:keepNext/>
        <w:spacing w:after="60"/>
      </w:pPr>
      <w:r>
        <w:rPr>
          <w:b/>
          <w:i w:val="0"/>
        </w:rPr>
        <w:t xml:space="preserve">Table 19: </w:t>
      </w:r>
      <w:r>
        <w:rPr/>
        <w:t>Reconciliation levels (BRID 1.1b)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6969"/>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Rule</w:t>
            </w:r>
          </w:p>
        </w:tc>
      </w:tr>
      <w:tr>
        <w:trPr>
          <w:cantSplit w:val="true"/>
        </w:trPr>
        <w:tc>
          <w:tcPr>
            <w:tcW w:type="dxa" w:w="841"/>
            <w:tcMar>
              <w:top w:w="50" w:type="dxa"/>
              <w:bottom w:w="50" w:type="dxa"/>
              <w:left w:w="90" w:type="dxa"/>
              <w:right w:w="90" w:type="dxa"/>
            </w:tcMar>
          </w:tcPr>
          <w:p>
            <w:pPr>
              <w:pStyle w:val="BDOITable"/>
            </w:pPr>
            <w:r>
              <w:rPr>
                <w:sz w:val="18"/>
              </w:rPr>
              <w:t>L1</w:t>
            </w:r>
          </w:p>
        </w:tc>
        <w:tc>
          <w:tcPr>
            <w:tcW w:type="dxa" w:w="2163"/>
            <w:tcMar>
              <w:top w:w="50" w:type="dxa"/>
              <w:bottom w:w="50" w:type="dxa"/>
              <w:left w:w="90" w:type="dxa"/>
              <w:right w:w="90" w:type="dxa"/>
            </w:tcMar>
          </w:tcPr>
          <w:p>
            <w:pPr>
              <w:pStyle w:val="BDOITable"/>
            </w:pPr>
            <w:r>
              <w:rPr>
                <w:sz w:val="18"/>
              </w:rPr>
              <w:t>Record counts</w:t>
            </w:r>
          </w:p>
        </w:tc>
        <w:tc>
          <w:tcPr>
            <w:tcW w:type="dxa" w:w="6968"/>
            <w:tcMar>
              <w:top w:w="50" w:type="dxa"/>
              <w:bottom w:w="50" w:type="dxa"/>
              <w:left w:w="90" w:type="dxa"/>
              <w:right w:w="90" w:type="dxa"/>
            </w:tcMar>
          </w:tcPr>
          <w:p>
            <w:pPr>
              <w:pStyle w:val="BDOITable"/>
            </w:pPr>
            <w:r>
              <w:rPr>
                <w:sz w:val="18"/>
              </w:rPr>
              <w:t>Received = control count; loaded + skipped + rejected + excluded = staged</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L2</w:t>
            </w:r>
          </w:p>
        </w:tc>
        <w:tc>
          <w:tcPr>
            <w:tcW w:type="dxa" w:w="2163"/>
            <w:tcMar>
              <w:top w:w="50" w:type="dxa"/>
              <w:bottom w:w="50" w:type="dxa"/>
              <w:left w:w="90" w:type="dxa"/>
              <w:right w:w="90" w:type="dxa"/>
            </w:tcMar>
            <w:shd w:val="clear" w:color="auto" w:fill="E5F5FF"/>
          </w:tcPr>
          <w:p>
            <w:pPr>
              <w:pStyle w:val="BDOITable"/>
            </w:pPr>
            <w:r>
              <w:rPr>
                <w:sz w:val="18"/>
              </w:rPr>
              <w:t>Amounts</w:t>
            </w:r>
          </w:p>
        </w:tc>
        <w:tc>
          <w:tcPr>
            <w:tcW w:type="dxa" w:w="6968"/>
            <w:tcMar>
              <w:top w:w="50" w:type="dxa"/>
              <w:bottom w:w="50" w:type="dxa"/>
              <w:left w:w="90" w:type="dxa"/>
              <w:right w:w="90" w:type="dxa"/>
            </w:tcMar>
            <w:shd w:val="clear" w:color="auto" w:fill="E5F5FF"/>
          </w:tcPr>
          <w:p>
            <w:pPr>
              <w:pStyle w:val="BDOITable"/>
            </w:pPr>
            <w:r>
              <w:rPr>
                <w:sz w:val="18"/>
              </w:rPr>
              <w:t>Sum per amount column and currency: control total = staged = BIBS; difference 0.00</w:t>
            </w:r>
          </w:p>
        </w:tc>
      </w:tr>
      <w:tr>
        <w:trPr>
          <w:cantSplit w:val="true"/>
        </w:trPr>
        <w:tc>
          <w:tcPr>
            <w:tcW w:type="dxa" w:w="841"/>
            <w:tcMar>
              <w:top w:w="50" w:type="dxa"/>
              <w:bottom w:w="50" w:type="dxa"/>
              <w:left w:w="90" w:type="dxa"/>
              <w:right w:w="90" w:type="dxa"/>
            </w:tcMar>
          </w:tcPr>
          <w:p>
            <w:pPr>
              <w:pStyle w:val="BDOITable"/>
            </w:pPr>
            <w:r>
              <w:rPr>
                <w:sz w:val="18"/>
              </w:rPr>
              <w:t>L3</w:t>
            </w:r>
          </w:p>
        </w:tc>
        <w:tc>
          <w:tcPr>
            <w:tcW w:type="dxa" w:w="2163"/>
            <w:tcMar>
              <w:top w:w="50" w:type="dxa"/>
              <w:bottom w:w="50" w:type="dxa"/>
              <w:left w:w="90" w:type="dxa"/>
              <w:right w:w="90" w:type="dxa"/>
            </w:tcMar>
          </w:tcPr>
          <w:p>
            <w:pPr>
              <w:pStyle w:val="BDOITable"/>
            </w:pPr>
            <w:r>
              <w:rPr>
                <w:sz w:val="18"/>
              </w:rPr>
              <w:t>Hash totals</w:t>
            </w:r>
          </w:p>
        </w:tc>
        <w:tc>
          <w:tcPr>
            <w:tcW w:type="dxa" w:w="6968"/>
            <w:tcMar>
              <w:top w:w="50" w:type="dxa"/>
              <w:bottom w:w="50" w:type="dxa"/>
              <w:left w:w="90" w:type="dxa"/>
              <w:right w:w="90" w:type="dxa"/>
            </w:tcMar>
          </w:tcPr>
          <w:p>
            <w:pPr>
              <w:pStyle w:val="BDOITable"/>
            </w:pPr>
            <w:r>
              <w:rPr>
                <w:sz w:val="18"/>
              </w:rPr>
              <w:t>Hash total of the key and SHA-256 per row equal between control, staging and BIBS keys</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L4</w:t>
            </w:r>
          </w:p>
        </w:tc>
        <w:tc>
          <w:tcPr>
            <w:tcW w:type="dxa" w:w="2163"/>
            <w:tcMar>
              <w:top w:w="50" w:type="dxa"/>
              <w:bottom w:w="50" w:type="dxa"/>
              <w:left w:w="90" w:type="dxa"/>
              <w:right w:w="90" w:type="dxa"/>
            </w:tcMar>
            <w:shd w:val="clear" w:color="auto" w:fill="E5F5FF"/>
          </w:tcPr>
          <w:p>
            <w:pPr>
              <w:pStyle w:val="BDOITable"/>
            </w:pPr>
            <w:r>
              <w:rPr>
                <w:sz w:val="18"/>
              </w:rPr>
              <w:t>Fields</w:t>
            </w:r>
          </w:p>
        </w:tc>
        <w:tc>
          <w:tcPr>
            <w:tcW w:type="dxa" w:w="6968"/>
            <w:tcMar>
              <w:top w:w="50" w:type="dxa"/>
              <w:bottom w:w="50" w:type="dxa"/>
              <w:left w:w="90" w:type="dxa"/>
              <w:right w:w="90" w:type="dxa"/>
            </w:tcMar>
            <w:shd w:val="clear" w:color="auto" w:fill="E5F5FF"/>
          </w:tcPr>
          <w:p>
            <w:pPr>
              <w:pStyle w:val="BDOITable"/>
            </w:pPr>
            <w:r>
              <w:rPr>
                <w:sz w:val="18"/>
              </w:rPr>
              <w:t>Every mapped field of every loaded row, read back from BIBS, equals the staged value</w:t>
            </w:r>
          </w:p>
        </w:tc>
      </w:tr>
      <w:tr>
        <w:trPr>
          <w:cantSplit w:val="true"/>
        </w:trPr>
        <w:tc>
          <w:tcPr>
            <w:tcW w:type="dxa" w:w="841"/>
            <w:tcMar>
              <w:top w:w="50" w:type="dxa"/>
              <w:bottom w:w="50" w:type="dxa"/>
              <w:left w:w="90" w:type="dxa"/>
              <w:right w:w="90" w:type="dxa"/>
            </w:tcMar>
          </w:tcPr>
          <w:p>
            <w:pPr>
              <w:pStyle w:val="BDOITable"/>
            </w:pPr>
            <w:r>
              <w:rPr>
                <w:sz w:val="18"/>
              </w:rPr>
              <w:t>L5</w:t>
            </w:r>
          </w:p>
        </w:tc>
        <w:tc>
          <w:tcPr>
            <w:tcW w:type="dxa" w:w="2163"/>
            <w:tcMar>
              <w:top w:w="50" w:type="dxa"/>
              <w:bottom w:w="50" w:type="dxa"/>
              <w:left w:w="90" w:type="dxa"/>
              <w:right w:w="90" w:type="dxa"/>
            </w:tcMar>
          </w:tcPr>
          <w:p>
            <w:pPr>
              <w:pStyle w:val="BDOITable"/>
            </w:pPr>
            <w:r>
              <w:rPr>
                <w:sz w:val="18"/>
              </w:rPr>
              <w:t>GL</w:t>
            </w:r>
          </w:p>
        </w:tc>
        <w:tc>
          <w:tcPr>
            <w:tcW w:type="dxa" w:w="6968"/>
            <w:tcMar>
              <w:top w:w="50" w:type="dxa"/>
              <w:bottom w:w="50" w:type="dxa"/>
              <w:left w:w="90" w:type="dxa"/>
              <w:right w:w="90" w:type="dxa"/>
            </w:tcMar>
          </w:tcPr>
          <w:p>
            <w:pPr>
              <w:pStyle w:val="BDOITable"/>
            </w:pPr>
            <w:r>
              <w:rPr>
                <w:sz w:val="18"/>
              </w:rPr>
              <w:t>Migration Clearing is 0.00 per branch and currency; legacy control accounts equal the legacy sub-ledgers</w:t>
            </w:r>
          </w:p>
        </w:tc>
      </w:tr>
    </w:tbl>
    <w:p>
      <w:pPr>
        <w:pStyle w:val="BDOISpacer"/>
      </w:pPr>
    </w:p>
    <w:p>
      <w:r>
        <w:rPr/>
        <w:t>Seven gates record the sign-offs of each object: G1 decision, G2 mapping, G3 validation, G4 load approval, G5 reconciliation, G6 object accepted, G7 go-live. A reconciliation with a break cannot be signed until the break is explained and the explanation approved. The operator who ran a batch cannot sign its reconciliation or acceptance.</w:t>
      </w:r>
    </w:p>
    <w:p>
      <w:pPr>
        <w:pStyle w:val="Heading1"/>
        <w:pageBreakBefore/>
        <w:pBdr>
          <w:bottom w:val="single" w:sz="4" w:space="4" w:color="99C1E7"/>
        </w:pBdr>
      </w:pPr>
      <w:bookmarkStart w:id="133" w:name="_Toc000133"/>
      <w:r>
        <w:rPr/>
        <w:t>7 Legacy invoices after go-live</w:t>
      </w:r>
      <w:bookmarkEnd w:id="133"/>
    </w:p>
    <w:p>
      <w:r>
        <w:rPr/>
        <w:t>This chapter is for the Cashiering, Remittance, Collections, Accounting and Operations users who will process legacy items in BIBS.</w:t>
      </w:r>
    </w:p>
    <w:p>
      <w:pPr>
        <w:pStyle w:val="Heading2"/>
      </w:pPr>
      <w:bookmarkStart w:id="134" w:name="_Toc000134"/>
      <w:r>
        <w:rPr/>
        <w:t>7.1 What a legacy invoice is</w:t>
      </w:r>
      <w:bookmarkEnd w:id="134"/>
    </w:p>
    <w:p>
      <w:r>
        <w:rPr/>
        <w:t xml:space="preserve">A legacy invoice is an invoice booked in EBIX or QPS before go-live that still has something open at the freeze: premium the client has not paid, premium paid but not yet remitted to the insurer, commission not yet collected from the insurer, or a PR2307 balance. It is </w:t>
      </w:r>
      <w:r>
        <w:rPr>
          <w:b/>
        </w:rPr>
        <w:t>not re-booked</w:t>
      </w:r>
      <w:r>
        <w:rPr/>
        <w:t xml:space="preserve"> in BIBS. It is loaded into the BIBS Operations ledger with:</w:t>
      </w:r>
    </w:p>
    <w:p>
      <w:pPr>
        <w:tabs>
          <w:tab w:pos="312" w:val="left"/>
        </w:tabs>
        <w:spacing w:after="40"/>
        <w:ind w:left="312" w:hanging="283"/>
      </w:pPr>
      <w:r>
        <w:rPr>
          <w:color w:val="004EA8"/>
        </w:rPr>
        <w:t>•</w:t>
        <w:tab/>
      </w:r>
      <w:r>
        <w:rPr/>
        <w:t>its legacy invoice number (kept as the BIBS invoice number unless it collides with a number of another source system, DMQ11), the source system and the legacy policy reference;</w:t>
      </w:r>
    </w:p>
    <w:p>
      <w:pPr>
        <w:tabs>
          <w:tab w:pos="312" w:val="left"/>
        </w:tabs>
        <w:spacing w:after="40"/>
        <w:ind w:left="312" w:hanging="283"/>
      </w:pPr>
      <w:r>
        <w:rPr>
          <w:color w:val="004EA8"/>
        </w:rPr>
        <w:t>•</w:t>
        <w:tab/>
      </w:r>
      <w:r>
        <w:rPr/>
        <w:t>each component (basic premium, DST, premium tax or VAT, LGT, FST, other charges, DTIP, commission, VAT on commission, withholding tax, PR2307) with what was booked, paid, remitted, adjusted and written off in legacy, so its open balance equals the legacy open balance;</w:t>
      </w:r>
    </w:p>
    <w:p>
      <w:pPr>
        <w:tabs>
          <w:tab w:pos="312" w:val="left"/>
        </w:tabs>
        <w:spacing w:after="40"/>
        <w:ind w:left="312" w:hanging="283"/>
      </w:pPr>
      <w:r>
        <w:rPr>
          <w:color w:val="004EA8"/>
        </w:rPr>
        <w:t>•</w:t>
        <w:tab/>
      </w:r>
      <w:r>
        <w:rPr/>
        <w:t>its insurer shares, client, AO, unit, branch and flags (direct payment, 2307);</w:t>
      </w:r>
    </w:p>
    <w:p>
      <w:pPr>
        <w:tabs>
          <w:tab w:pos="312" w:val="left"/>
        </w:tabs>
        <w:spacing w:after="120"/>
        <w:ind w:left="312" w:hanging="283"/>
      </w:pPr>
      <w:r>
        <w:rPr>
          <w:color w:val="004EA8"/>
        </w:rPr>
        <w:t>•</w:t>
        <w:tab/>
      </w:r>
      <w:r>
        <w:rPr/>
        <w:t xml:space="preserve">an opening accounting entry that puts the open balances on the </w:t>
      </w:r>
      <w:r>
        <w:rPr>
          <w:b/>
        </w:rPr>
        <w:t>legacy sub-ledgers</w:t>
      </w:r>
      <w:r>
        <w:rPr/>
        <w:t>.</w:t>
      </w:r>
    </w:p>
    <w:p>
      <w:r>
        <w:rPr/>
        <w:t>From then on BIBS processes it with the normal screens (Figure 2). The only difference from a BIBS invoice is where its postings go: to the legacy control accounts, so the legacy positions run off visibly and separately from the new business.</w:t>
      </w:r>
    </w:p>
    <w:p>
      <w:pPr>
        <w:keepNext/>
        <w:spacing w:before="80" w:after="0"/>
        <w:jc w:val="center"/>
      </w:pPr>
      <w:r>
        <w:drawing>
          <wp:inline xmlns:a="http://schemas.openxmlformats.org/drawingml/2006/main" xmlns:pic="http://schemas.openxmlformats.org/drawingml/2006/picture">
            <wp:extent cx="5400000" cy="4066921"/>
            <wp:docPr id="4" name="Picture 4"/>
            <wp:cNvGraphicFramePr>
              <a:graphicFrameLocks noChangeAspect="1"/>
            </wp:cNvGraphicFramePr>
            <a:graphic>
              <a:graphicData uri="http://schemas.openxmlformats.org/drawingml/2006/picture">
                <pic:pic>
                  <pic:nvPicPr>
                    <pic:cNvPr id="0" name="dm_legacy_invoice_flows.png"/>
                    <pic:cNvPicPr/>
                  </pic:nvPicPr>
                  <pic:blipFill>
                    <a:blip r:embed="rId16"/>
                    <a:stretch>
                      <a:fillRect/>
                    </a:stretch>
                  </pic:blipFill>
                  <pic:spPr>
                    <a:xfrm>
                      <a:off x="0" y="0"/>
                      <a:ext cx="5400000" cy="4066921"/>
                    </a:xfrm>
                    <a:prstGeom prst="rect"/>
                  </pic:spPr>
                </pic:pic>
              </a:graphicData>
            </a:graphic>
          </wp:inline>
        </w:drawing>
      </w:r>
    </w:p>
    <w:p>
      <w:pPr>
        <w:pStyle w:val="Caption"/>
        <w:jc w:val="center"/>
      </w:pPr>
      <w:r>
        <w:rPr>
          <w:b/>
          <w:i w:val="0"/>
        </w:rPr>
        <w:t xml:space="preserve">Figure 2: </w:t>
      </w:r>
      <w:r>
        <w:rPr/>
        <w:t>A legacy invoice and the processes that act on it after go-live (BRID 5.1-10.1)</w:t>
      </w:r>
    </w:p>
    <w:p>
      <w:pPr>
        <w:pStyle w:val="Heading2"/>
      </w:pPr>
      <w:bookmarkStart w:id="135" w:name="_Toc000135"/>
      <w:r>
        <w:rPr/>
        <w:t>7.2 Legacy sub-ledgers</w:t>
      </w:r>
      <w:bookmarkEnd w:id="135"/>
    </w:p>
    <w:p>
      <w:r>
        <w:rPr/>
        <w:t>The BRD asks for legacy Premium Receivable, Commission Receivable, DTIP and UPP sub-ledgers (BRID 5.2, 6.1, 6.3, 6.4, 7.1, 7.2, 8.1). Comptrollership assigns the account codes of the legacy control accounts and of the Migration Clearing account (DMQ18, DCR-197); this document names the accounts only.</w:t>
      </w:r>
    </w:p>
    <w:p>
      <w:pPr>
        <w:pStyle w:val="Caption"/>
        <w:keepNext/>
        <w:spacing w:after="60"/>
      </w:pPr>
      <w:r>
        <w:rPr>
          <w:b/>
          <w:i w:val="0"/>
        </w:rPr>
        <w:t xml:space="preserve">Table 20: </w:t>
      </w:r>
      <w:r>
        <w:rPr/>
        <w:t>Legacy sub-ledgers (account codes assigned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3724"/>
        <w:gridCol w:w="3484"/>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Legacy control account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763"/>
            <w:tcMar>
              <w:top w:w="50" w:type="dxa"/>
              <w:bottom w:w="50" w:type="dxa"/>
              <w:left w:w="90" w:type="dxa"/>
              <w:right w:w="90" w:type="dxa"/>
            </w:tcMar>
          </w:tcPr>
          <w:p>
            <w:pPr>
              <w:pStyle w:val="BDOITable"/>
            </w:pPr>
            <w:r>
              <w:rPr>
                <w:sz w:val="18"/>
              </w:rPr>
              <w:t>Premium Receivable - Legacy (by component)</w:t>
            </w:r>
          </w:p>
        </w:tc>
        <w:tc>
          <w:tcPr>
            <w:tcW w:type="dxa" w:w="3724"/>
            <w:tcMar>
              <w:top w:w="50" w:type="dxa"/>
              <w:bottom w:w="50" w:type="dxa"/>
              <w:left w:w="90" w:type="dxa"/>
              <w:right w:w="90" w:type="dxa"/>
            </w:tcMar>
          </w:tcPr>
          <w:p>
            <w:pPr>
              <w:pStyle w:val="BDOITable"/>
            </w:pPr>
            <w:r>
              <w:rPr>
                <w:sz w:val="18"/>
              </w:rPr>
              <w:t>Open premium of legacy invoices</w:t>
            </w:r>
          </w:p>
        </w:tc>
        <w:tc>
          <w:tcPr>
            <w:tcW w:type="dxa" w:w="348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 2307 - Legacy</w:t>
            </w:r>
          </w:p>
        </w:tc>
        <w:tc>
          <w:tcPr>
            <w:tcW w:type="dxa" w:w="3724"/>
            <w:tcMar>
              <w:top w:w="50" w:type="dxa"/>
              <w:bottom w:w="50" w:type="dxa"/>
              <w:left w:w="90" w:type="dxa"/>
              <w:right w:w="90" w:type="dxa"/>
            </w:tcMar>
            <w:shd w:val="clear" w:color="auto" w:fill="E5F5FF"/>
          </w:tcPr>
          <w:p>
            <w:pPr>
              <w:pStyle w:val="BDOITable"/>
            </w:pPr>
            <w:r>
              <w:rPr>
                <w:sz w:val="18"/>
              </w:rPr>
              <w:t>Open PR2307 of legacy invoices</w:t>
            </w:r>
          </w:p>
        </w:tc>
        <w:tc>
          <w:tcPr>
            <w:tcW w:type="dxa" w:w="348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763"/>
            <w:tcMar>
              <w:top w:w="50" w:type="dxa"/>
              <w:bottom w:w="50" w:type="dxa"/>
              <w:left w:w="90" w:type="dxa"/>
              <w:right w:w="90" w:type="dxa"/>
            </w:tcMar>
          </w:tcPr>
          <w:p>
            <w:pPr>
              <w:pStyle w:val="BDOITable"/>
            </w:pPr>
            <w:r>
              <w:rPr>
                <w:sz w:val="18"/>
              </w:rPr>
              <w:t>Due to Insurers (DTIP) - Legacy</w:t>
            </w:r>
          </w:p>
        </w:tc>
        <w:tc>
          <w:tcPr>
            <w:tcW w:type="dxa" w:w="3724"/>
            <w:tcMar>
              <w:top w:w="50" w:type="dxa"/>
              <w:bottom w:w="50" w:type="dxa"/>
              <w:left w:w="90" w:type="dxa"/>
              <w:right w:w="90" w:type="dxa"/>
            </w:tcMar>
          </w:tcPr>
          <w:p>
            <w:pPr>
              <w:pStyle w:val="BDOITable"/>
            </w:pPr>
            <w:r>
              <w:rPr>
                <w:sz w:val="18"/>
              </w:rPr>
              <w:t>Premium payable to insurers on legacy invoices</w:t>
            </w:r>
          </w:p>
        </w:tc>
        <w:tc>
          <w:tcPr>
            <w:tcW w:type="dxa" w:w="3484"/>
            <w:tcMar>
              <w:top w:w="50" w:type="dxa"/>
              <w:bottom w:w="50" w:type="dxa"/>
              <w:left w:w="90" w:type="dxa"/>
              <w:right w:w="90" w:type="dxa"/>
            </w:tcMar>
          </w:tcPr>
          <w:p>
            <w:pPr>
              <w:pStyle w:val="BDOITable"/>
            </w:pPr>
            <w:r>
              <w:rPr>
                <w:sz w:val="18"/>
              </w:rPr>
              <w:t>Remittance, DPPR and PR2307 reversals,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Commission Receivable - Legacy</w:t>
            </w:r>
          </w:p>
        </w:tc>
        <w:tc>
          <w:tcPr>
            <w:tcW w:type="dxa" w:w="3724"/>
            <w:tcMar>
              <w:top w:w="50" w:type="dxa"/>
              <w:bottom w:w="50" w:type="dxa"/>
              <w:left w:w="90" w:type="dxa"/>
              <w:right w:w="90" w:type="dxa"/>
            </w:tcMar>
            <w:shd w:val="clear" w:color="auto" w:fill="E5F5FF"/>
          </w:tcPr>
          <w:p>
            <w:pPr>
              <w:pStyle w:val="BDOITable"/>
            </w:pPr>
            <w:r>
              <w:rPr>
                <w:sz w:val="18"/>
              </w:rPr>
              <w:t>Commission and VAT on commission still due from insurers</w:t>
            </w:r>
          </w:p>
        </w:tc>
        <w:tc>
          <w:tcPr>
            <w:tcW w:type="dxa" w:w="3484"/>
            <w:tcMar>
              <w:top w:w="50" w:type="dxa"/>
              <w:bottom w:w="50" w:type="dxa"/>
              <w:left w:w="90" w:type="dxa"/>
              <w:right w:w="90" w:type="dxa"/>
            </w:tcMar>
            <w:shd w:val="clear" w:color="auto" w:fill="E5F5FF"/>
          </w:tcPr>
          <w:p>
            <w:pPr>
              <w:pStyle w:val="BDOITable"/>
            </w:pPr>
            <w:r>
              <w:rPr>
                <w:sz w:val="18"/>
              </w:rPr>
              <w:t>Remittance, DP commission collection, endorsements</w:t>
            </w:r>
          </w:p>
        </w:tc>
      </w:tr>
      <w:tr>
        <w:trPr>
          <w:cantSplit w:val="true"/>
        </w:trPr>
        <w:tc>
          <w:tcPr>
            <w:tcW w:type="dxa" w:w="2763"/>
            <w:tcMar>
              <w:top w:w="50" w:type="dxa"/>
              <w:bottom w:w="50" w:type="dxa"/>
              <w:left w:w="90" w:type="dxa"/>
              <w:right w:w="90" w:type="dxa"/>
            </w:tcMar>
          </w:tcPr>
          <w:p>
            <w:pPr>
              <w:pStyle w:val="BDOITable"/>
            </w:pPr>
            <w:r>
              <w:rPr>
                <w:sz w:val="18"/>
              </w:rPr>
              <w:t>Unrealised Commission and Deferred Output VAT - Legacy</w:t>
            </w:r>
          </w:p>
        </w:tc>
        <w:tc>
          <w:tcPr>
            <w:tcW w:type="dxa" w:w="3724"/>
            <w:tcMar>
              <w:top w:w="50" w:type="dxa"/>
              <w:bottom w:w="50" w:type="dxa"/>
              <w:left w:w="90" w:type="dxa"/>
              <w:right w:w="90" w:type="dxa"/>
            </w:tcMar>
          </w:tcPr>
          <w:p>
            <w:pPr>
              <w:pStyle w:val="BDOITable"/>
            </w:pPr>
            <w:r>
              <w:rPr>
                <w:sz w:val="18"/>
              </w:rPr>
              <w:t>Commission not yet recognised as income</w:t>
            </w:r>
          </w:p>
        </w:tc>
        <w:tc>
          <w:tcPr>
            <w:tcW w:type="dxa" w:w="3484"/>
            <w:tcMar>
              <w:top w:w="50" w:type="dxa"/>
              <w:bottom w:w="50" w:type="dxa"/>
              <w:left w:w="90" w:type="dxa"/>
              <w:right w:w="90" w:type="dxa"/>
            </w:tcMar>
          </w:tcPr>
          <w:p>
            <w:pPr>
              <w:pStyle w:val="BDOITable"/>
            </w:pPr>
            <w:r>
              <w:rPr>
                <w:sz w:val="18"/>
              </w:rPr>
              <w:t>Realisation on collection</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Unapplied Collections (UPP) - Legacy</w:t>
            </w:r>
          </w:p>
        </w:tc>
        <w:tc>
          <w:tcPr>
            <w:tcW w:type="dxa" w:w="3724"/>
            <w:tcMar>
              <w:top w:w="50" w:type="dxa"/>
              <w:bottom w:w="50" w:type="dxa"/>
              <w:left w:w="90" w:type="dxa"/>
              <w:right w:w="90" w:type="dxa"/>
            </w:tcMar>
            <w:shd w:val="clear" w:color="auto" w:fill="E5F5FF"/>
          </w:tcPr>
          <w:p>
            <w:pPr>
              <w:pStyle w:val="BDOITable"/>
            </w:pPr>
            <w:r>
              <w:rPr>
                <w:sz w:val="18"/>
              </w:rPr>
              <w:t>Unapplied payments received in legacy</w:t>
            </w:r>
          </w:p>
        </w:tc>
        <w:tc>
          <w:tcPr>
            <w:tcW w:type="dxa" w:w="3484"/>
            <w:tcMar>
              <w:top w:w="50" w:type="dxa"/>
              <w:bottom w:w="50" w:type="dxa"/>
              <w:left w:w="90" w:type="dxa"/>
              <w:right w:w="90" w:type="dxa"/>
            </w:tcMar>
            <w:shd w:val="clear" w:color="auto" w:fill="E5F5FF"/>
          </w:tcPr>
          <w:p>
            <w:pPr>
              <w:pStyle w:val="BDOITable"/>
            </w:pPr>
            <w:r>
              <w:rPr>
                <w:sz w:val="18"/>
              </w:rPr>
              <w:t>Automatch, dispositions, refunds, reclassification to income</w:t>
            </w:r>
          </w:p>
        </w:tc>
      </w:tr>
      <w:tr>
        <w:trPr>
          <w:cantSplit w:val="true"/>
        </w:trPr>
        <w:tc>
          <w:tcPr>
            <w:tcW w:type="dxa" w:w="2763"/>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Offsets of the opening entries and of the legacy control-account lines of the trial balance</w:t>
            </w:r>
          </w:p>
        </w:tc>
        <w:tc>
          <w:tcPr>
            <w:tcW w:type="dxa" w:w="3484"/>
            <w:tcMar>
              <w:top w:w="50" w:type="dxa"/>
              <w:bottom w:w="50" w:type="dxa"/>
              <w:left w:w="90" w:type="dxa"/>
              <w:right w:w="90" w:type="dxa"/>
            </w:tcMar>
          </w:tcPr>
          <w:p>
            <w:pPr>
              <w:pStyle w:val="BDOITable"/>
            </w:pPr>
            <w:r>
              <w:rPr>
                <w:sz w:val="18"/>
              </w:rPr>
              <w:t>Opening entries only; must be 0.00</w:t>
            </w:r>
          </w:p>
        </w:tc>
      </w:tr>
    </w:tbl>
    <w:p>
      <w:pPr>
        <w:pStyle w:val="BDOISpacer"/>
      </w:pPr>
    </w:p>
    <w:p>
      <w:pPr>
        <w:pStyle w:val="Heading2"/>
      </w:pPr>
      <w:bookmarkStart w:id="136" w:name="_Toc000136"/>
      <w:r>
        <w:rPr/>
        <w:t>7.3 Worked example: one legacy invoice from load to remittance</w:t>
      </w:r>
      <w:bookmarkEnd w:id="136"/>
    </w:p>
    <w:p>
      <w:r>
        <w:rPr/>
        <w:t xml:space="preserve">Legacy invoice </w:t>
      </w:r>
      <w:r>
        <w:rPr>
          <w:b/>
        </w:rPr>
        <w:t>I00123456</w:t>
      </w:r>
      <w:r>
        <w:rPr/>
        <w:t xml:space="preserve"> (EBIX), private car, PHP, lead insurer 100 percent. Booked in legacy before go-live: basic premium 20,000.00, DST 2,500.00, premium tax 400.00, LGT 150.00; gross premium 23,050.00; commission 4,000.00 (20 percent), VAT on commission 480.00, withholding tax on commission 400.00. Before the freeze the client paid 13,050.00, which covered DST, premium tax, LGT and 10,000.00 of the basic premium (the application order DST, premium tax / VAT, LGT, FST, other charges, basic). Nothing was remitted to the insurer. The figures are made up.</w:t>
      </w:r>
    </w:p>
    <w:p>
      <w:pPr>
        <w:pStyle w:val="Caption"/>
        <w:keepNext/>
        <w:spacing w:after="60"/>
      </w:pPr>
      <w:r>
        <w:rPr>
          <w:b/>
          <w:i w:val="0"/>
        </w:rPr>
        <w:t xml:space="preserve">Table 21: </w:t>
      </w:r>
      <w:r>
        <w:rPr/>
        <w:t>Positions of I00123456 at the freeze (extract F01C)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441"/>
        <w:gridCol w:w="1321"/>
        <w:gridCol w:w="1321"/>
        <w:gridCol w:w="1321"/>
        <w:gridCol w:w="240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Component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8"/>
              </w:rPr>
              <w:t>Booked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Paid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Remitted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Open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r>
      <w:tr>
        <w:trPr>
          <w:cantSplit w:val="true"/>
        </w:trPr>
        <w:tc>
          <w:tcPr>
            <w:tcW w:type="dxa" w:w="2163"/>
            <w:tcMar>
              <w:top w:w="50" w:type="dxa"/>
              <w:bottom w:w="50" w:type="dxa"/>
              <w:left w:w="90" w:type="dxa"/>
              <w:right w:w="90" w:type="dxa"/>
            </w:tcMar>
          </w:tcPr>
          <w:p>
            <w:pPr>
              <w:pStyle w:val="BDOITable"/>
            </w:pPr>
            <w:r>
              <w:rPr>
                <w:sz w:val="18"/>
              </w:rPr>
              <w:t>Basic premium</w:t>
            </w:r>
          </w:p>
        </w:tc>
        <w:tc>
          <w:tcPr>
            <w:tcW w:type="dxa" w:w="1442"/>
            <w:tcMar>
              <w:top w:w="50" w:type="dxa"/>
              <w:bottom w:w="50" w:type="dxa"/>
              <w:left w:w="90" w:type="dxa"/>
              <w:right w:w="90" w:type="dxa"/>
            </w:tcMar>
          </w:tcPr>
          <w:p>
            <w:pPr>
              <w:pStyle w:val="BDOITable"/>
            </w:pPr>
            <w:r>
              <w:rPr>
                <w:sz w:val="18"/>
              </w:rPr>
              <w:t>20,000.00</w:t>
            </w:r>
          </w:p>
        </w:tc>
        <w:tc>
          <w:tcPr>
            <w:tcW w:type="dxa" w:w="1322"/>
            <w:tcMar>
              <w:top w:w="50" w:type="dxa"/>
              <w:bottom w:w="50" w:type="dxa"/>
              <w:left w:w="90" w:type="dxa"/>
              <w:right w:w="90" w:type="dxa"/>
            </w:tcMar>
          </w:tcPr>
          <w:p>
            <w:pPr>
              <w:pStyle w:val="BDOITable"/>
            </w:pPr>
            <w:r>
              <w:rPr>
                <w:sz w:val="18"/>
              </w:rPr>
              <w:t>10,000.00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10,000.00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DST</w:t>
            </w:r>
          </w:p>
        </w:tc>
        <w:tc>
          <w:tcPr>
            <w:tcW w:type="dxa" w:w="144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Premium tax / VAT</w:t>
            </w:r>
          </w:p>
        </w:tc>
        <w:tc>
          <w:tcPr>
            <w:tcW w:type="dxa" w:w="144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LGT</w:t>
            </w:r>
          </w:p>
        </w:tc>
        <w:tc>
          <w:tcPr>
            <w:tcW w:type="dxa" w:w="144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DTIP</w:t>
            </w:r>
          </w:p>
        </w:tc>
        <w:tc>
          <w:tcPr>
            <w:tcW w:type="dxa" w:w="1442"/>
            <w:tcMar>
              <w:top w:w="50" w:type="dxa"/>
              <w:bottom w:w="50" w:type="dxa"/>
              <w:left w:w="90" w:type="dxa"/>
              <w:right w:w="90" w:type="dxa"/>
            </w:tcMar>
          </w:tcPr>
          <w:p>
            <w:pPr>
              <w:pStyle w:val="BDOITable"/>
            </w:pPr>
            <w:r>
              <w:rPr>
                <w:sz w:val="18"/>
              </w:rPr>
              <w:t>23,050.00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23,050.00</w:t>
            </w:r>
          </w:p>
        </w:tc>
        <w:tc>
          <w:tcPr>
            <w:tcW w:type="dxa" w:w="2403"/>
            <w:tcMar>
              <w:top w:w="50" w:type="dxa"/>
              <w:bottom w:w="50" w:type="dxa"/>
              <w:left w:w="90" w:type="dxa"/>
              <w:right w:w="90" w:type="dxa"/>
            </w:tcMar>
          </w:tcPr>
          <w:p>
            <w:pPr>
              <w:pStyle w:val="BDOITable"/>
            </w:pPr>
            <w:r>
              <w:rPr>
                <w:sz w:val="18"/>
              </w:rPr>
              <w:t>DTIP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Commission</w:t>
            </w:r>
          </w:p>
        </w:tc>
        <w:tc>
          <w:tcPr>
            <w:tcW w:type="dxa" w:w="1442"/>
            <w:tcMar>
              <w:top w:w="50" w:type="dxa"/>
              <w:bottom w:w="50" w:type="dxa"/>
              <w:left w:w="90" w:type="dxa"/>
              <w:right w:w="90" w:type="dxa"/>
            </w:tcMar>
            <w:shd w:val="clear" w:color="auto" w:fill="E5F5FF"/>
          </w:tcPr>
          <w:p>
            <w:pPr>
              <w:pStyle w:val="BDOITable"/>
            </w:pPr>
            <w:r>
              <w:rPr>
                <w:sz w:val="18"/>
              </w:rPr>
              <w:t>4,000.00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4,000.00</w:t>
            </w:r>
          </w:p>
        </w:tc>
        <w:tc>
          <w:tcPr>
            <w:tcW w:type="dxa" w:w="2403"/>
            <w:tcMar>
              <w:top w:w="50" w:type="dxa"/>
              <w:bottom w:w="50" w:type="dxa"/>
              <w:left w:w="90" w:type="dxa"/>
              <w:right w:w="90" w:type="dxa"/>
            </w:tcMar>
            <w:shd w:val="clear" w:color="auto" w:fill="E5F5FF"/>
          </w:tcPr>
          <w:p>
            <w:pPr>
              <w:pStyle w:val="BDOITable"/>
            </w:pPr>
            <w:r>
              <w:rPr>
                <w:sz w:val="18"/>
              </w:rPr>
              <w:t>Commission Receivable - Legacy</w:t>
            </w:r>
          </w:p>
        </w:tc>
      </w:tr>
      <w:tr>
        <w:trPr>
          <w:cantSplit w:val="true"/>
        </w:trPr>
        <w:tc>
          <w:tcPr>
            <w:tcW w:type="dxa" w:w="2163"/>
            <w:tcMar>
              <w:top w:w="50" w:type="dxa"/>
              <w:bottom w:w="50" w:type="dxa"/>
              <w:left w:w="90" w:type="dxa"/>
              <w:right w:w="90" w:type="dxa"/>
            </w:tcMar>
          </w:tcPr>
          <w:p>
            <w:pPr>
              <w:pStyle w:val="BDOITable"/>
            </w:pPr>
            <w:r>
              <w:rPr>
                <w:sz w:val="18"/>
              </w:rPr>
              <w:t>VAT on commission</w:t>
            </w:r>
          </w:p>
        </w:tc>
        <w:tc>
          <w:tcPr>
            <w:tcW w:type="dxa" w:w="1442"/>
            <w:tcMar>
              <w:top w:w="50" w:type="dxa"/>
              <w:bottom w:w="50" w:type="dxa"/>
              <w:left w:w="90" w:type="dxa"/>
              <w:right w:w="90" w:type="dxa"/>
            </w:tcMar>
          </w:tcPr>
          <w:p>
            <w:pPr>
              <w:pStyle w:val="BDOITable"/>
            </w:pPr>
            <w:r>
              <w:rPr>
                <w:sz w:val="18"/>
              </w:rPr>
              <w:t>480.00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480.00</w:t>
            </w:r>
          </w:p>
        </w:tc>
        <w:tc>
          <w:tcPr>
            <w:tcW w:type="dxa" w:w="2403"/>
            <w:tcMar>
              <w:top w:w="50" w:type="dxa"/>
              <w:bottom w:w="50" w:type="dxa"/>
              <w:left w:w="90" w:type="dxa"/>
              <w:right w:w="90" w:type="dxa"/>
            </w:tcMar>
          </w:tcPr>
          <w:p>
            <w:pPr>
              <w:pStyle w:val="BDOITable"/>
            </w:pPr>
            <w:r>
              <w:rPr>
                <w:sz w:val="18"/>
              </w:rPr>
              <w:t>Commission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Withholding tax</w:t>
            </w:r>
          </w:p>
        </w:tc>
        <w:tc>
          <w:tcPr>
            <w:tcW w:type="dxa" w:w="1442"/>
            <w:tcMar>
              <w:top w:w="50" w:type="dxa"/>
              <w:bottom w:w="50" w:type="dxa"/>
              <w:left w:w="90" w:type="dxa"/>
              <w:right w:w="90" w:type="dxa"/>
            </w:tcMar>
            <w:shd w:val="clear" w:color="auto" w:fill="E5F5FF"/>
          </w:tcPr>
          <w:p>
            <w:pPr>
              <w:pStyle w:val="BDOITable"/>
            </w:pPr>
            <w:r>
              <w:rPr>
                <w:sz w:val="18"/>
              </w:rPr>
              <w:t>400.00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w:t>
            </w:r>
          </w:p>
        </w:tc>
        <w:tc>
          <w:tcPr>
            <w:tcW w:type="dxa" w:w="2403"/>
            <w:tcMar>
              <w:top w:w="50" w:type="dxa"/>
              <w:bottom w:w="50" w:type="dxa"/>
              <w:left w:w="90" w:type="dxa"/>
              <w:right w:w="90" w:type="dxa"/>
            </w:tcMar>
            <w:shd w:val="clear" w:color="auto" w:fill="E5F5FF"/>
          </w:tcPr>
          <w:p>
            <w:pPr>
              <w:pStyle w:val="BDOITable"/>
            </w:pPr>
            <w:r>
              <w:rPr>
                <w:sz w:val="18"/>
              </w:rPr>
              <w:t>(settled at remittance)</w:t>
            </w:r>
          </w:p>
        </w:tc>
      </w:tr>
    </w:tbl>
    <w:p>
      <w:pPr>
        <w:pStyle w:val="BDOISpacer"/>
      </w:pPr>
    </w:p>
    <w:p>
      <w:r>
        <w:rPr/>
        <w:t>What happens after go-live:</w:t>
      </w:r>
    </w:p>
    <w:p>
      <w:pPr>
        <w:pStyle w:val="Caption"/>
        <w:keepNext/>
        <w:spacing w:after="60"/>
      </w:pPr>
      <w:r>
        <w:rPr>
          <w:b/>
          <w:i w:val="0"/>
        </w:rPr>
        <w:t xml:space="preserve">Table 22: </w:t>
      </w:r>
      <w:r>
        <w:rPr/>
        <w:t>Life of I00123456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3244"/>
        <w:gridCol w:w="5527"/>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Event in BIBS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Effect</w:t>
            </w:r>
          </w:p>
        </w:tc>
      </w:tr>
      <w:tr>
        <w:trPr>
          <w:cantSplit w:val="true"/>
        </w:trPr>
        <w:tc>
          <w:tcPr>
            <w:tcW w:type="dxa" w:w="1201"/>
            <w:tcMar>
              <w:top w:w="50" w:type="dxa"/>
              <w:bottom w:w="50" w:type="dxa"/>
              <w:left w:w="90" w:type="dxa"/>
              <w:right w:w="90" w:type="dxa"/>
            </w:tcMar>
          </w:tcPr>
          <w:p>
            <w:pPr>
              <w:pStyle w:val="BDOITable"/>
            </w:pPr>
            <w:r>
              <w:rPr>
                <w:sz w:val="17"/>
              </w:rPr>
              <w:t>Load (T-2)</w:t>
            </w:r>
          </w:p>
        </w:tc>
        <w:tc>
          <w:tcPr>
            <w:tcW w:type="dxa" w:w="3244"/>
            <w:tcMar>
              <w:top w:w="50" w:type="dxa"/>
              <w:bottom w:w="50" w:type="dxa"/>
              <w:left w:w="90" w:type="dxa"/>
              <w:right w:w="90" w:type="dxa"/>
            </w:tcMar>
          </w:tcPr>
          <w:p>
            <w:pPr>
              <w:pStyle w:val="BDOITable"/>
            </w:pPr>
            <w:r>
              <w:rPr>
                <w:sz w:val="17"/>
              </w:rPr>
              <w:t>Invoice created in the Operations ledger with origin LEGACY; opening entry</w:t>
            </w:r>
          </w:p>
        </w:tc>
        <w:tc>
          <w:tcPr>
            <w:tcW w:type="dxa" w:w="5527"/>
            <w:tcMar>
              <w:top w:w="50" w:type="dxa"/>
              <w:bottom w:w="50" w:type="dxa"/>
              <w:left w:w="90" w:type="dxa"/>
              <w:right w:w="90" w:type="dxa"/>
            </w:tcMar>
          </w:tcPr>
          <w:p>
            <w:pPr>
              <w:pStyle w:val="BDOITable"/>
            </w:pPr>
            <w:r>
              <w:rPr>
                <w:sz w:val="17"/>
              </w:rPr>
              <w:t>Premium Receivable - Legacy 10,000.00 debit; DTIP - Legacy 23,050.00 credit; Commission Receivable - Legacy 4,480.00 debit; the unrealised part per DMQ13; the balance of the entry to Migration Clearing. Invoice 360 shows booked 23,050.00, applied 13,050.00, open 10,000.00 and the LEGACY badge</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w:t>
            </w:r>
          </w:p>
        </w:tc>
        <w:tc>
          <w:tcPr>
            <w:tcW w:type="dxa" w:w="3244"/>
            <w:tcMar>
              <w:top w:w="50" w:type="dxa"/>
              <w:bottom w:w="50" w:type="dxa"/>
              <w:left w:w="90" w:type="dxa"/>
              <w:right w:w="90" w:type="dxa"/>
            </w:tcMar>
            <w:shd w:val="clear" w:color="auto" w:fill="E5F5FF"/>
          </w:tcPr>
          <w:p>
            <w:pPr>
              <w:pStyle w:val="BDOITable"/>
            </w:pPr>
            <w:r>
              <w:rPr>
                <w:sz w:val="17"/>
              </w:rPr>
              <w:t>The client pays 10,000.00 at the counter quoting I00123456</w:t>
            </w:r>
          </w:p>
        </w:tc>
        <w:tc>
          <w:tcPr>
            <w:tcW w:type="dxa" w:w="5527"/>
            <w:tcMar>
              <w:top w:w="50" w:type="dxa"/>
              <w:bottom w:w="50" w:type="dxa"/>
              <w:left w:w="90" w:type="dxa"/>
              <w:right w:w="90" w:type="dxa"/>
            </w:tcMar>
            <w:shd w:val="clear" w:color="auto" w:fill="E5F5FF"/>
          </w:tcPr>
          <w:p>
            <w:pPr>
              <w:pStyle w:val="BDOITable"/>
            </w:pPr>
            <w:r>
              <w:rPr>
                <w:sz w:val="17"/>
              </w:rPr>
              <w:t>BIBS finds the legacy invoice, issues a BIBS AR and applies the payment to basic. Entries: Dr Bank / Cr Unapplied Collections 10,000.00; Dr Unapplied Collections / Cr Premium Receivable - Legacy 10,000.00. The invoice is fully paid; the receipt is in the Cash Receipts Book</w:t>
            </w:r>
          </w:p>
        </w:tc>
      </w:tr>
      <w:tr>
        <w:trPr>
          <w:cantSplit w:val="true"/>
        </w:trPr>
        <w:tc>
          <w:tcPr>
            <w:tcW w:type="dxa" w:w="1201"/>
            <w:tcMar>
              <w:top w:w="50" w:type="dxa"/>
              <w:bottom w:w="50" w:type="dxa"/>
              <w:left w:w="90" w:type="dxa"/>
              <w:right w:w="90" w:type="dxa"/>
            </w:tcMar>
          </w:tcPr>
          <w:p>
            <w:pPr>
              <w:pStyle w:val="BDOITable"/>
            </w:pPr>
            <w:r>
              <w:rPr>
                <w:sz w:val="17"/>
              </w:rPr>
              <w:t>T+9</w:t>
            </w:r>
          </w:p>
        </w:tc>
        <w:tc>
          <w:tcPr>
            <w:tcW w:type="dxa" w:w="3244"/>
            <w:tcMar>
              <w:top w:w="50" w:type="dxa"/>
              <w:bottom w:w="50" w:type="dxa"/>
              <w:left w:w="90" w:type="dxa"/>
              <w:right w:w="90" w:type="dxa"/>
            </w:tcMar>
          </w:tcPr>
          <w:p>
            <w:pPr>
              <w:pStyle w:val="BDOITable"/>
            </w:pPr>
            <w:r>
              <w:rPr>
                <w:sz w:val="17"/>
              </w:rPr>
              <w:t>Remittance extraction for the insurer</w:t>
            </w:r>
          </w:p>
        </w:tc>
        <w:tc>
          <w:tcPr>
            <w:tcW w:type="dxa" w:w="5527"/>
            <w:tcMar>
              <w:top w:w="50" w:type="dxa"/>
              <w:bottom w:w="50" w:type="dxa"/>
              <w:left w:w="90" w:type="dxa"/>
              <w:right w:w="90" w:type="dxa"/>
            </w:tcMar>
          </w:tcPr>
          <w:p>
            <w:pPr>
              <w:pStyle w:val="BDOITable"/>
            </w:pPr>
            <w:r>
              <w:rPr>
                <w:sz w:val="17"/>
              </w:rPr>
              <w:t>The invoice is extracted with paid AR 23,050.00 (13,050.00 paid in legacy and 10,000.00 in BIBS). Net due to the insurer 18,970.00 = 23,050.00 - 4,480.00 + 400.00. Entry: Dr DTIP - Legacy 23,050.00 and Dr CWT 400.00 / Cr Commission Receivable - Legacy 4,480.00 and Cr Due to Insurer for Disbursement 18,970.00. The schedule shows the legacy invoice number and source system; the commission OR is issued as for any batch</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T+20</w:t>
            </w:r>
          </w:p>
        </w:tc>
        <w:tc>
          <w:tcPr>
            <w:tcW w:type="dxa" w:w="3244"/>
            <w:tcMar>
              <w:top w:w="50" w:type="dxa"/>
              <w:bottom w:w="50" w:type="dxa"/>
              <w:left w:w="90" w:type="dxa"/>
              <w:right w:w="90" w:type="dxa"/>
            </w:tcMar>
            <w:shd w:val="clear" w:color="auto" w:fill="E5F5FF"/>
          </w:tcPr>
          <w:p>
            <w:pPr>
              <w:pStyle w:val="BDOITable"/>
            </w:pPr>
            <w:r>
              <w:rPr>
                <w:sz w:val="17"/>
              </w:rPr>
              <w:t>Positive endorsement, additional basic premium 2,000.00</w:t>
            </w:r>
          </w:p>
        </w:tc>
        <w:tc>
          <w:tcPr>
            <w:tcW w:type="dxa" w:w="5527"/>
            <w:tcMar>
              <w:top w:w="50" w:type="dxa"/>
              <w:bottom w:w="50" w:type="dxa"/>
              <w:left w:w="90" w:type="dxa"/>
              <w:right w:w="90" w:type="dxa"/>
            </w:tcMar>
            <w:shd w:val="clear" w:color="auto" w:fill="E5F5FF"/>
          </w:tcPr>
          <w:p>
            <w:pPr>
              <w:pStyle w:val="BDOITable"/>
            </w:pPr>
            <w:r>
              <w:rPr>
                <w:sz w:val="17"/>
              </w:rPr>
              <w:t>The policy header is a migrated account (P01). BIBS books an endorsement invoice with a BI- number whose parent is I00123456 and ledger context LEGACY; its entries go to the legacy accounts; the service invoice is issued for the commission increase</w:t>
            </w:r>
          </w:p>
        </w:tc>
      </w:tr>
      <w:tr>
        <w:trPr>
          <w:cantSplit w:val="true"/>
        </w:trPr>
        <w:tc>
          <w:tcPr>
            <w:tcW w:type="dxa" w:w="1201"/>
            <w:tcMar>
              <w:top w:w="50" w:type="dxa"/>
              <w:bottom w:w="50" w:type="dxa"/>
              <w:left w:w="90" w:type="dxa"/>
              <w:right w:w="90" w:type="dxa"/>
            </w:tcMar>
          </w:tcPr>
          <w:p>
            <w:pPr>
              <w:pStyle w:val="BDOITable"/>
            </w:pPr>
            <w:r>
              <w:rPr>
                <w:sz w:val="17"/>
              </w:rPr>
              <w:t>Month end</w:t>
            </w:r>
          </w:p>
        </w:tc>
        <w:tc>
          <w:tcPr>
            <w:tcW w:type="dxa" w:w="3244"/>
            <w:tcMar>
              <w:top w:w="50" w:type="dxa"/>
              <w:bottom w:w="50" w:type="dxa"/>
              <w:left w:w="90" w:type="dxa"/>
              <w:right w:w="90" w:type="dxa"/>
            </w:tcMar>
          </w:tcPr>
          <w:p>
            <w:pPr>
              <w:pStyle w:val="BDOITable"/>
            </w:pPr>
            <w:r>
              <w:rPr>
                <w:sz w:val="17"/>
              </w:rPr>
              <w:t>Prod Recon legacy change report</w:t>
            </w:r>
          </w:p>
        </w:tc>
        <w:tc>
          <w:tcPr>
            <w:tcW w:type="dxa" w:w="5527"/>
            <w:tcMar>
              <w:top w:w="50" w:type="dxa"/>
              <w:bottom w:w="50" w:type="dxa"/>
              <w:left w:w="90" w:type="dxa"/>
              <w:right w:w="90" w:type="dxa"/>
            </w:tcMar>
          </w:tcPr>
          <w:p>
            <w:pPr>
              <w:pStyle w:val="BDOITable"/>
            </w:pPr>
            <w:r>
              <w:rPr>
                <w:sz w:val="17"/>
              </w:rPr>
              <w:t>Shows for I00123456 basic premium original 20,000.00, updated 22,000.00, delta 2,000.00, with the endorsement number, date and user (BRID 10.1)</w:t>
            </w:r>
          </w:p>
        </w:tc>
      </w:tr>
    </w:tbl>
    <w:p>
      <w:pPr>
        <w:pStyle w:val="BDOISpacer"/>
      </w:pPr>
    </w:p>
    <w:p>
      <w:pPr>
        <w:pStyle w:val="Heading2"/>
      </w:pPr>
      <w:bookmarkStart w:id="137" w:name="_Toc000137"/>
      <w:r>
        <w:rPr/>
        <w:t>7.4 Unapplied premium payments (UPP)</w:t>
      </w:r>
      <w:bookmarkEnd w:id="137"/>
    </w:p>
    <w:p>
      <w:r>
        <w:rPr/>
        <w:t>Every legacy UPP item with a balance at the freeze is created in the BIBS Unapplied Payments workbench with origin MIGRATED, its legacy AR number and date, payor, client, sales unit, amount, balance, status and the references the payor gave (invoice, cover, PN, bank reference). An opening entry puts the balance on Unapplied Collections - Legacy. No new AR is issued for money already acknowledged in legacy (proposal, DMQ14, DCR-204).</w:t>
      </w:r>
    </w:p>
    <w:p>
      <w:pPr>
        <w:pStyle w:val="Caption"/>
        <w:keepNext/>
        <w:spacing w:after="60"/>
      </w:pPr>
      <w:r>
        <w:rPr>
          <w:b/>
          <w:i w:val="0"/>
        </w:rPr>
        <w:t xml:space="preserve">Table 23: </w:t>
      </w:r>
      <w:r>
        <w:rPr/>
        <w:t>Processing legacy UPP in BIBS (BRID 5.1-5.5, 6.3, 6.4)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724"/>
        <w:gridCol w:w="408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Process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Entries (by context)</w:t>
            </w:r>
          </w:p>
        </w:tc>
      </w:tr>
      <w:tr>
        <w:trPr>
          <w:cantSplit w:val="true"/>
        </w:trPr>
        <w:tc>
          <w:tcPr>
            <w:tcW w:type="dxa" w:w="2163"/>
            <w:tcMar>
              <w:top w:w="50" w:type="dxa"/>
              <w:bottom w:w="50" w:type="dxa"/>
              <w:left w:w="90" w:type="dxa"/>
              <w:right w:w="90" w:type="dxa"/>
            </w:tcMar>
          </w:tcPr>
          <w:p>
            <w:pPr>
              <w:pStyle w:val="BDOITable"/>
            </w:pPr>
            <w:r>
              <w:rPr>
                <w:sz w:val="17"/>
              </w:rPr>
              <w:t>Automatch rerun (after every payment upload and hourly)</w:t>
            </w:r>
          </w:p>
        </w:tc>
        <w:tc>
          <w:tcPr>
            <w:tcW w:type="dxa" w:w="3724"/>
            <w:tcMar>
              <w:top w:w="50" w:type="dxa"/>
              <w:bottom w:w="50" w:type="dxa"/>
              <w:left w:w="90" w:type="dxa"/>
              <w:right w:w="90" w:type="dxa"/>
            </w:tcMar>
          </w:tcPr>
          <w:p>
            <w:pPr>
              <w:pStyle w:val="BDOITable"/>
            </w:pPr>
            <w:r>
              <w:rPr>
                <w:sz w:val="17"/>
              </w:rPr>
              <w:t>Legacy UPP of 5,000.00 quotes legacy invoice I00200001 (3,000.00 open) and new invoice BI-2027-000150 (2,000.00 open). The job applies both and closes the item</w:t>
            </w:r>
          </w:p>
        </w:tc>
        <w:tc>
          <w:tcPr>
            <w:tcW w:type="dxa" w:w="4085"/>
            <w:tcMar>
              <w:top w:w="50" w:type="dxa"/>
              <w:bottom w:w="50" w:type="dxa"/>
              <w:left w:w="90" w:type="dxa"/>
              <w:right w:w="90" w:type="dxa"/>
            </w:tcMar>
          </w:tcPr>
          <w:p>
            <w:pPr>
              <w:pStyle w:val="BDOITable"/>
            </w:pPr>
            <w:r>
              <w:rPr>
                <w:sz w:val="17"/>
              </w:rPr>
              <w:t>Dr Unapplied Collections - Legacy 3,000.00 / Cr Premium Receivable - Legacy 3,000.00; Dr Unapplied Collections - Legacy 2,000.00 / Cr Premium Receivable (new) 2,000.00</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Apply to another invoice (client instruction)</w:t>
            </w:r>
          </w:p>
        </w:tc>
        <w:tc>
          <w:tcPr>
            <w:tcW w:type="dxa" w:w="3724"/>
            <w:tcMar>
              <w:top w:w="50" w:type="dxa"/>
              <w:bottom w:w="50" w:type="dxa"/>
              <w:left w:w="90" w:type="dxa"/>
              <w:right w:w="90" w:type="dxa"/>
            </w:tcMar>
            <w:shd w:val="clear" w:color="auto" w:fill="E5F5FF"/>
          </w:tcPr>
          <w:p>
            <w:pPr>
              <w:pStyle w:val="BDOITable"/>
            </w:pPr>
            <w:r>
              <w:rPr>
                <w:sz w:val="17"/>
              </w:rPr>
              <w:t>The client asks to apply a legacy UPP to another legacy invoice</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Premium Receivable - Legacy</w:t>
            </w:r>
          </w:p>
        </w:tc>
      </w:tr>
      <w:tr>
        <w:trPr>
          <w:cantSplit w:val="true"/>
        </w:trPr>
        <w:tc>
          <w:tcPr>
            <w:tcW w:type="dxa" w:w="2163"/>
            <w:tcMar>
              <w:top w:w="50" w:type="dxa"/>
              <w:bottom w:w="50" w:type="dxa"/>
              <w:left w:w="90" w:type="dxa"/>
              <w:right w:w="90" w:type="dxa"/>
            </w:tcMar>
          </w:tcPr>
          <w:p>
            <w:pPr>
              <w:pStyle w:val="BDOITable"/>
            </w:pPr>
            <w:r>
              <w:rPr>
                <w:sz w:val="17"/>
              </w:rPr>
              <w:t>Refund</w:t>
            </w:r>
          </w:p>
        </w:tc>
        <w:tc>
          <w:tcPr>
            <w:tcW w:type="dxa" w:w="3724"/>
            <w:tcMar>
              <w:top w:w="50" w:type="dxa"/>
              <w:bottom w:w="50" w:type="dxa"/>
              <w:left w:w="90" w:type="dxa"/>
              <w:right w:w="90" w:type="dxa"/>
            </w:tcMar>
          </w:tcPr>
          <w:p>
            <w:pPr>
              <w:pStyle w:val="BDOITable"/>
            </w:pPr>
            <w:r>
              <w:rPr>
                <w:sz w:val="17"/>
              </w:rPr>
              <w:t>Approved refund of 1,500.00</w:t>
            </w:r>
          </w:p>
        </w:tc>
        <w:tc>
          <w:tcPr>
            <w:tcW w:type="dxa" w:w="4085"/>
            <w:tcMar>
              <w:top w:w="50" w:type="dxa"/>
              <w:bottom w:w="50" w:type="dxa"/>
              <w:left w:w="90" w:type="dxa"/>
              <w:right w:w="90" w:type="dxa"/>
            </w:tcMar>
          </w:tcPr>
          <w:p>
            <w:pPr>
              <w:pStyle w:val="BDOITable"/>
            </w:pPr>
            <w:r>
              <w:rPr>
                <w:sz w:val="17"/>
              </w:rPr>
              <w:t>Dr Unapplied Collections - Legacy / Cr Refund Payable; payment request to Disbursement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Reclassification to other income</w:t>
            </w:r>
          </w:p>
        </w:tc>
        <w:tc>
          <w:tcPr>
            <w:tcW w:type="dxa" w:w="3724"/>
            <w:tcMar>
              <w:top w:w="50" w:type="dxa"/>
              <w:bottom w:w="50" w:type="dxa"/>
              <w:left w:w="90" w:type="dxa"/>
              <w:right w:w="90" w:type="dxa"/>
            </w:tcMar>
            <w:shd w:val="clear" w:color="auto" w:fill="E5F5FF"/>
          </w:tcPr>
          <w:p>
            <w:pPr>
              <w:pStyle w:val="BDOITable"/>
            </w:pPr>
            <w:r>
              <w:rPr>
                <w:sz w:val="17"/>
              </w:rPr>
              <w:t>UPP of 1,500.00 unclaimed for more than 2 years; batch approved by the Cashiering TL and then top management (DMQ16)</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Other Income (account per DMQ16); item closed</w:t>
            </w:r>
          </w:p>
        </w:tc>
      </w:tr>
    </w:tbl>
    <w:p>
      <w:pPr>
        <w:pStyle w:val="BDOISpacer"/>
      </w:pPr>
    </w:p>
    <w:p>
      <w:pPr>
        <w:pStyle w:val="Heading2"/>
      </w:pPr>
      <w:bookmarkStart w:id="138" w:name="_Toc000138"/>
      <w:r>
        <w:rPr/>
        <w:t>7.5 Payments, reversals, remittance, endorsements and Prod Recon</w:t>
      </w:r>
      <w:bookmarkEnd w:id="138"/>
    </w:p>
    <w:p>
      <w:pPr>
        <w:pStyle w:val="Caption"/>
        <w:keepNext/>
        <w:spacing w:after="60"/>
      </w:pPr>
      <w:r>
        <w:rPr>
          <w:b/>
          <w:i w:val="0"/>
        </w:rPr>
        <w:t xml:space="preserve">Table 24: </w:t>
      </w:r>
      <w:r>
        <w:rPr/>
        <w:t>Other processes on legacy invoices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Process (BRID)</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What the user does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What BIBS does</w:t>
            </w:r>
          </w:p>
        </w:tc>
      </w:tr>
      <w:tr>
        <w:trPr>
          <w:cantSplit w:val="true"/>
        </w:trPr>
        <w:tc>
          <w:tcPr>
            <w:tcW w:type="dxa" w:w="2042"/>
            <w:tcMar>
              <w:top w:w="50" w:type="dxa"/>
              <w:bottom w:w="50" w:type="dxa"/>
              <w:left w:w="90" w:type="dxa"/>
              <w:right w:w="90" w:type="dxa"/>
            </w:tcMar>
          </w:tcPr>
          <w:p>
            <w:pPr>
              <w:pStyle w:val="BDOITable"/>
            </w:pPr>
            <w:r>
              <w:rPr>
                <w:sz w:val="17"/>
              </w:rPr>
              <w:t>OTC payment (6.1)</w:t>
            </w:r>
          </w:p>
        </w:tc>
        <w:tc>
          <w:tcPr>
            <w:tcW w:type="dxa" w:w="3845"/>
            <w:tcMar>
              <w:top w:w="50" w:type="dxa"/>
              <w:bottom w:w="50" w:type="dxa"/>
              <w:left w:w="90" w:type="dxa"/>
              <w:right w:w="90" w:type="dxa"/>
            </w:tcMar>
          </w:tcPr>
          <w:p>
            <w:pPr>
              <w:pStyle w:val="BDOITable"/>
            </w:pPr>
            <w:r>
              <w:rPr>
                <w:sz w:val="17"/>
              </w:rPr>
              <w:t>Keys the legacy invoice number, ARN, policy or PN at the counter</w:t>
            </w:r>
          </w:p>
        </w:tc>
        <w:tc>
          <w:tcPr>
            <w:tcW w:type="dxa" w:w="4085"/>
            <w:tcMar>
              <w:top w:w="50" w:type="dxa"/>
              <w:bottom w:w="50" w:type="dxa"/>
              <w:left w:w="90" w:type="dxa"/>
              <w:right w:w="90" w:type="dxa"/>
            </w:tcMar>
          </w:tcPr>
          <w:p>
            <w:pPr>
              <w:pStyle w:val="BDOITable"/>
            </w:pPr>
            <w:r>
              <w:rPr>
                <w:sz w:val="17"/>
              </w:rPr>
              <w:t>Finds the legacy invoice, issues the AR, applies by component, posts to Premium Receivable - Legacy; Cash Receipts Book as usual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Autopay (6.2)</w:t>
            </w:r>
          </w:p>
        </w:tc>
        <w:tc>
          <w:tcPr>
            <w:tcW w:type="dxa" w:w="3845"/>
            <w:tcMar>
              <w:top w:w="50" w:type="dxa"/>
              <w:bottom w:w="50" w:type="dxa"/>
              <w:left w:w="90" w:type="dxa"/>
              <w:right w:w="90" w:type="dxa"/>
            </w:tcMar>
            <w:shd w:val="clear" w:color="auto" w:fill="E5F5FF"/>
          </w:tcPr>
          <w:p>
            <w:pPr>
              <w:pStyle w:val="BDOITable"/>
            </w:pPr>
            <w:r>
              <w:rPr>
                <w:sz w:val="17"/>
              </w:rPr>
              <w:t>Uploads the bills payment, trade, CLPC or direct credit file as today</w:t>
            </w:r>
          </w:p>
        </w:tc>
        <w:tc>
          <w:tcPr>
            <w:tcW w:type="dxa" w:w="4085"/>
            <w:tcMar>
              <w:top w:w="50" w:type="dxa"/>
              <w:bottom w:w="50" w:type="dxa"/>
              <w:left w:w="90" w:type="dxa"/>
              <w:right w:w="90" w:type="dxa"/>
            </w:tcMar>
            <w:shd w:val="clear" w:color="auto" w:fill="E5F5FF"/>
          </w:tcPr>
          <w:p>
            <w:pPr>
              <w:pStyle w:val="BDOITable"/>
            </w:pPr>
            <w:r>
              <w:rPr>
                <w:sz w:val="17"/>
              </w:rPr>
              <w:t>Matches rows that carry the legacy invoice number or the EBIX reference; applies and posts by the context of each invoice</w:t>
            </w:r>
          </w:p>
        </w:tc>
      </w:tr>
      <w:tr>
        <w:trPr>
          <w:cantSplit w:val="true"/>
        </w:trPr>
        <w:tc>
          <w:tcPr>
            <w:tcW w:type="dxa" w:w="2042"/>
            <w:tcMar>
              <w:top w:w="50" w:type="dxa"/>
              <w:bottom w:w="50" w:type="dxa"/>
              <w:left w:w="90" w:type="dxa"/>
              <w:right w:w="90" w:type="dxa"/>
            </w:tcMar>
          </w:tcPr>
          <w:p>
            <w:pPr>
              <w:pStyle w:val="BDOITable"/>
            </w:pPr>
            <w:r>
              <w:rPr>
                <w:sz w:val="17"/>
              </w:rPr>
              <w:t>DPPR batch reversal (7.1)</w:t>
            </w:r>
          </w:p>
        </w:tc>
        <w:tc>
          <w:tcPr>
            <w:tcW w:type="dxa" w:w="3845"/>
            <w:tcMar>
              <w:top w:w="50" w:type="dxa"/>
              <w:bottom w:w="50" w:type="dxa"/>
              <w:left w:w="90" w:type="dxa"/>
              <w:right w:w="90" w:type="dxa"/>
            </w:tcMar>
          </w:tcPr>
          <w:p>
            <w:pPr>
              <w:pStyle w:val="BDOITable"/>
            </w:pPr>
            <w:r>
              <w:rPr>
                <w:sz w:val="17"/>
              </w:rPr>
              <w:t>Uploads or selects the approved list of direct-payment legacy invoices; a checker approves</w:t>
            </w:r>
          </w:p>
        </w:tc>
        <w:tc>
          <w:tcPr>
            <w:tcW w:type="dxa" w:w="4085"/>
            <w:tcMar>
              <w:top w:w="50" w:type="dxa"/>
              <w:bottom w:w="50" w:type="dxa"/>
              <w:left w:w="90" w:type="dxa"/>
              <w:right w:w="90" w:type="dxa"/>
            </w:tcMar>
          </w:tcPr>
          <w:p>
            <w:pPr>
              <w:pStyle w:val="BDOITable"/>
            </w:pPr>
            <w:r>
              <w:rPr>
                <w:sz w:val="17"/>
              </w:rPr>
              <w:t>Reverses each open premium receivable against DTIP on the legacy sub-ledgers, one line at a time (Dr DTIP - Legacy / Cr Premium Receivable - Legacy); Commission Receivable effect per DMQ19</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PR2307 batch reversal (7.2)</w:t>
            </w:r>
          </w:p>
        </w:tc>
        <w:tc>
          <w:tcPr>
            <w:tcW w:type="dxa" w:w="3845"/>
            <w:tcMar>
              <w:top w:w="50" w:type="dxa"/>
              <w:bottom w:w="50" w:type="dxa"/>
              <w:left w:w="90" w:type="dxa"/>
              <w:right w:w="90" w:type="dxa"/>
            </w:tcMar>
            <w:shd w:val="clear" w:color="auto" w:fill="E5F5FF"/>
          </w:tcPr>
          <w:p>
            <w:pPr>
              <w:pStyle w:val="BDOITable"/>
            </w:pPr>
            <w:r>
              <w:rPr>
                <w:sz w:val="17"/>
              </w:rPr>
              <w:t>Selects legacy invoices with PR2307 balances; approval</w:t>
            </w:r>
          </w:p>
        </w:tc>
        <w:tc>
          <w:tcPr>
            <w:tcW w:type="dxa" w:w="4085"/>
            <w:tcMar>
              <w:top w:w="50" w:type="dxa"/>
              <w:bottom w:w="50" w:type="dxa"/>
              <w:left w:w="90" w:type="dxa"/>
              <w:right w:w="90" w:type="dxa"/>
            </w:tcMar>
            <w:shd w:val="clear" w:color="auto" w:fill="E5F5FF"/>
          </w:tcPr>
          <w:p>
            <w:pPr>
              <w:pStyle w:val="BDOITable"/>
            </w:pPr>
            <w:r>
              <w:rPr>
                <w:sz w:val="17"/>
              </w:rPr>
              <w:t>Offsets PR2307 - Legacy against DTIP - Legacy; commission effect per DMQ20</w:t>
            </w:r>
          </w:p>
        </w:tc>
      </w:tr>
      <w:tr>
        <w:trPr>
          <w:cantSplit w:val="true"/>
        </w:trPr>
        <w:tc>
          <w:tcPr>
            <w:tcW w:type="dxa" w:w="2042"/>
            <w:tcMar>
              <w:top w:w="50" w:type="dxa"/>
              <w:bottom w:w="50" w:type="dxa"/>
              <w:left w:w="90" w:type="dxa"/>
              <w:right w:w="90" w:type="dxa"/>
            </w:tcMar>
          </w:tcPr>
          <w:p>
            <w:pPr>
              <w:pStyle w:val="BDOITable"/>
            </w:pPr>
            <w:r>
              <w:rPr>
                <w:sz w:val="17"/>
              </w:rPr>
              <w:t>Remittance (8.1)</w:t>
            </w:r>
          </w:p>
        </w:tc>
        <w:tc>
          <w:tcPr>
            <w:tcW w:type="dxa" w:w="3845"/>
            <w:tcMar>
              <w:top w:w="50" w:type="dxa"/>
              <w:bottom w:w="50" w:type="dxa"/>
              <w:left w:w="90" w:type="dxa"/>
              <w:right w:w="90" w:type="dxa"/>
            </w:tcMar>
          </w:tcPr>
          <w:p>
            <w:pPr>
              <w:pStyle w:val="BDOITable"/>
            </w:pPr>
            <w:r>
              <w:rPr>
                <w:sz w:val="17"/>
              </w:rPr>
              <w:t>Runs the extraction as today</w:t>
            </w:r>
          </w:p>
        </w:tc>
        <w:tc>
          <w:tcPr>
            <w:tcW w:type="dxa" w:w="4085"/>
            <w:tcMar>
              <w:top w:w="50" w:type="dxa"/>
              <w:bottom w:w="50" w:type="dxa"/>
              <w:left w:w="90" w:type="dxa"/>
              <w:right w:w="90" w:type="dxa"/>
            </w:tcMar>
          </w:tcPr>
          <w:p>
            <w:pPr>
              <w:pStyle w:val="BDOITable"/>
            </w:pPr>
            <w:r>
              <w:rPr>
                <w:sz w:val="17"/>
              </w:rPr>
              <w:t>Includes legacy invoices with paid premium not yet remitted; never remits again what was remitted in legacy; posts legacy lines to DTIP and Commission Receivable - Legacy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Endorsements (9.1-9.3)</w:t>
            </w:r>
          </w:p>
        </w:tc>
        <w:tc>
          <w:tcPr>
            <w:tcW w:type="dxa" w:w="3845"/>
            <w:tcMar>
              <w:top w:w="50" w:type="dxa"/>
              <w:bottom w:w="50" w:type="dxa"/>
              <w:left w:w="90" w:type="dxa"/>
              <w:right w:w="90" w:type="dxa"/>
            </w:tcMar>
            <w:shd w:val="clear" w:color="auto" w:fill="E5F5FF"/>
          </w:tcPr>
          <w:p>
            <w:pPr>
              <w:pStyle w:val="BDOITable"/>
            </w:pPr>
            <w:r>
              <w:rPr>
                <w:sz w:val="17"/>
              </w:rPr>
              <w:t>Raises the endorsement request on the legacy invoice</w:t>
            </w:r>
          </w:p>
        </w:tc>
        <w:tc>
          <w:tcPr>
            <w:tcW w:type="dxa" w:w="4085"/>
            <w:tcMar>
              <w:top w:w="50" w:type="dxa"/>
              <w:bottom w:w="50" w:type="dxa"/>
              <w:left w:w="90" w:type="dxa"/>
              <w:right w:w="90" w:type="dxa"/>
            </w:tcMar>
            <w:shd w:val="clear" w:color="auto" w:fill="E5F5FF"/>
          </w:tcPr>
          <w:p>
            <w:pPr>
              <w:pStyle w:val="BDOITable"/>
            </w:pPr>
            <w:r>
              <w:rPr>
                <w:sz w:val="17"/>
              </w:rPr>
              <w:t>Needs the migrated policy header; books the endorsement invoice in context LEGACY; non-financial changes update the account with no posting; renewal uses the updated values</w:t>
            </w:r>
          </w:p>
        </w:tc>
      </w:tr>
      <w:tr>
        <w:trPr>
          <w:cantSplit w:val="true"/>
        </w:trPr>
        <w:tc>
          <w:tcPr>
            <w:tcW w:type="dxa" w:w="2042"/>
            <w:tcMar>
              <w:top w:w="50" w:type="dxa"/>
              <w:bottom w:w="50" w:type="dxa"/>
              <w:left w:w="90" w:type="dxa"/>
              <w:right w:w="90" w:type="dxa"/>
            </w:tcMar>
          </w:tcPr>
          <w:p>
            <w:pPr>
              <w:pStyle w:val="BDOITable"/>
            </w:pPr>
            <w:r>
              <w:rPr>
                <w:sz w:val="17"/>
              </w:rPr>
              <w:t>Collections</w:t>
            </w:r>
          </w:p>
        </w:tc>
        <w:tc>
          <w:tcPr>
            <w:tcW w:type="dxa" w:w="3845"/>
            <w:tcMar>
              <w:top w:w="50" w:type="dxa"/>
              <w:bottom w:w="50" w:type="dxa"/>
              <w:left w:w="90" w:type="dxa"/>
              <w:right w:w="90" w:type="dxa"/>
            </w:tcMar>
          </w:tcPr>
          <w:p>
            <w:pPr>
              <w:pStyle w:val="BDOITable"/>
            </w:pPr>
            <w:r>
              <w:rPr>
                <w:sz w:val="17"/>
              </w:rPr>
              <w:t>Works the worklist as today</w:t>
            </w:r>
          </w:p>
        </w:tc>
        <w:tc>
          <w:tcPr>
            <w:tcW w:type="dxa" w:w="4085"/>
            <w:tcMar>
              <w:top w:w="50" w:type="dxa"/>
              <w:bottom w:w="50" w:type="dxa"/>
              <w:left w:w="90" w:type="dxa"/>
              <w:right w:w="90" w:type="dxa"/>
            </w:tcMar>
          </w:tcPr>
          <w:p>
            <w:pPr>
              <w:pStyle w:val="BDOITable"/>
            </w:pPr>
            <w:r>
              <w:rPr>
                <w:sz w:val="17"/>
              </w:rPr>
              <w:t>Legacy invoices above the threshold appear with the LEGACY badge; carried promises and assignments (F03) are shown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 Recon (10.1)</w:t>
            </w:r>
          </w:p>
        </w:tc>
        <w:tc>
          <w:tcPr>
            <w:tcW w:type="dxa" w:w="3845"/>
            <w:tcMar>
              <w:top w:w="50" w:type="dxa"/>
              <w:bottom w:w="50" w:type="dxa"/>
              <w:left w:w="90" w:type="dxa"/>
              <w:right w:w="90" w:type="dxa"/>
            </w:tcMar>
            <w:shd w:val="clear" w:color="auto" w:fill="E5F5FF"/>
          </w:tcPr>
          <w:p>
            <w:pPr>
              <w:pStyle w:val="BDOITable"/>
            </w:pPr>
            <w:r>
              <w:rPr>
                <w:sz w:val="17"/>
              </w:rPr>
              <w:t>Runs the legacy change report</w:t>
            </w:r>
          </w:p>
        </w:tc>
        <w:tc>
          <w:tcPr>
            <w:tcW w:type="dxa" w:w="4085"/>
            <w:tcMar>
              <w:top w:w="50" w:type="dxa"/>
              <w:bottom w:w="50" w:type="dxa"/>
              <w:left w:w="90" w:type="dxa"/>
              <w:right w:w="90" w:type="dxa"/>
            </w:tcMar>
            <w:shd w:val="clear" w:color="auto" w:fill="E5F5FF"/>
          </w:tcPr>
          <w:p>
            <w:pPr>
              <w:pStyle w:val="BDOITable"/>
            </w:pPr>
            <w:r>
              <w:rPr>
                <w:sz w:val="17"/>
              </w:rPr>
              <w:t>Lists original, updated and delta per change; legacy invoices are not part of the production register extract</w:t>
            </w:r>
          </w:p>
        </w:tc>
      </w:tr>
    </w:tbl>
    <w:p>
      <w:pPr>
        <w:pStyle w:val="BDOISpacer"/>
      </w:pPr>
    </w:p>
    <w:p>
      <w:pPr>
        <w:pStyle w:val="Heading2"/>
      </w:pPr>
      <w:bookmarkStart w:id="139" w:name="_Toc000139"/>
      <w:r>
        <w:rPr/>
        <w:t>7.6 When the legacy context closes</w:t>
      </w:r>
      <w:bookmarkEnd w:id="139"/>
    </w:p>
    <w:p>
      <w:r>
        <w:rPr/>
        <w:t>The legacy sub-ledgers run off as legacy invoices are paid, remitted, reversed or written off and as legacy UPP is applied, refunded or reclassified. The report MIG-LEGACY-POSITIONS shows the open legacy positions by component, insurer, client and age each month. When no legacy invoice or UPP is open and the legacy control accounts and Migration Clearing are 0.00, Comptrollership decides whether to close the legacy accounts.</w:t>
      </w:r>
    </w:p>
    <w:p>
      <w:pPr>
        <w:pStyle w:val="Heading1"/>
        <w:pageBreakBefore/>
        <w:pBdr>
          <w:bottom w:val="single" w:sz="4" w:space="4" w:color="99C1E7"/>
        </w:pBdr>
      </w:pPr>
      <w:bookmarkStart w:id="140" w:name="_Toc000140"/>
      <w:r>
        <w:rPr/>
        <w:t>8 In-force policies and the renewal-driven transition</w:t>
      </w:r>
      <w:bookmarkEnd w:id="140"/>
    </w:p>
    <w:p>
      <w:pPr>
        <w:pStyle w:val="Heading2"/>
      </w:pPr>
      <w:bookmarkStart w:id="141" w:name="_Toc000141"/>
      <w:r>
        <w:rPr/>
        <w:t>8.1 In-force policy headers</w:t>
      </w:r>
      <w:bookmarkEnd w:id="141"/>
    </w:p>
    <w:p>
      <w:r>
        <w:rPr/>
        <w:t xml:space="preserve">BRID 4.1 asks for a minimal header of in-force policies "when operationally required" (p.8); capability 4 is conditional (p.6). BIBS needs the header for three things: to locate active coverage for servicing, to endorse a legacy invoice (BRID 9 cannot be met without it), and to renew the policy in BIBS. The proposal is therefore to migrate the header of </w:t>
      </w:r>
      <w:r>
        <w:rPr>
          <w:b/>
        </w:rPr>
        <w:t>every policy in force at go-live</w:t>
      </w:r>
      <w:r>
        <w:rPr/>
        <w:t xml:space="preserve"> (DMQ09, DCR-194), in layouts P01 (header) and P01S (insurer shares).</w:t>
      </w:r>
    </w:p>
    <w:p>
      <w:r>
        <w:rPr/>
        <w:t>A header becomes a BIBS account with origin MIGRATED and status BOOKED: client, product and line, insurer and shares, policy number, inception and expiry, sum insured, premium, currency, payment arrangement, PN numbers, AO, unit and branch. It has no quotation, placement or BIBS invoice. Its legacy invoices link to it. It is found by ARN, policy number, legacy reference or client.</w:t>
      </w:r>
    </w:p>
    <w:p>
      <w:pPr>
        <w:pStyle w:val="Heading2"/>
      </w:pPr>
      <w:bookmarkStart w:id="142" w:name="_Toc000142"/>
      <w:r>
        <w:rPr/>
        <w:t>8.2 Renewal by RMEL cohort</w:t>
      </w:r>
      <w:bookmarkEnd w:id="142"/>
    </w:p>
    <w:p>
      <w:r>
        <w:rPr/>
        <w:t>The transition follows the renewal expiry month (RMEL, BRID 12.1). BIBS Renewal extracts policies 140 days before expiry, so at go-live the RMEL of the next months has already been run in legacy. Proposed transition (DMQ26, DCR-199):</w:t>
      </w:r>
    </w:p>
    <w:p>
      <w:pPr>
        <w:keepNext/>
        <w:spacing w:before="80" w:after="0"/>
        <w:jc w:val="center"/>
      </w:pPr>
      <w:r>
        <w:drawing>
          <wp:inline xmlns:a="http://schemas.openxmlformats.org/drawingml/2006/main" xmlns:pic="http://schemas.openxmlformats.org/drawingml/2006/picture">
            <wp:extent cx="5760000" cy="1136408"/>
            <wp:docPr id="5" name="Picture 5"/>
            <wp:cNvGraphicFramePr>
              <a:graphicFrameLocks noChangeAspect="1"/>
            </wp:cNvGraphicFramePr>
            <a:graphic>
              <a:graphicData uri="http://schemas.openxmlformats.org/drawingml/2006/picture">
                <pic:pic>
                  <pic:nvPicPr>
                    <pic:cNvPr id="0" name="dm_rmel_cohorts.png"/>
                    <pic:cNvPicPr/>
                  </pic:nvPicPr>
                  <pic:blipFill>
                    <a:blip r:embed="rId17"/>
                    <a:stretch>
                      <a:fillRect/>
                    </a:stretch>
                  </pic:blipFill>
                  <pic:spPr>
                    <a:xfrm>
                      <a:off x="0" y="0"/>
                      <a:ext cx="5760000" cy="1136408"/>
                    </a:xfrm>
                    <a:prstGeom prst="rect"/>
                  </pic:spPr>
                </pic:pic>
              </a:graphicData>
            </a:graphic>
          </wp:inline>
        </w:drawing>
      </w:r>
    </w:p>
    <w:p>
      <w:pPr>
        <w:pStyle w:val="Caption"/>
        <w:jc w:val="center"/>
      </w:pPr>
      <w:r>
        <w:rPr>
          <w:b/>
          <w:i w:val="0"/>
        </w:rPr>
        <w:t xml:space="preserve">Figure 3: </w:t>
      </w:r>
      <w:r>
        <w:rPr/>
        <w:t>Transition by RMEL cohort (T = go-live)</w:t>
      </w:r>
    </w:p>
    <w:p>
      <w:pPr>
        <w:pStyle w:val="Caption"/>
        <w:keepNext/>
        <w:spacing w:after="60"/>
      </w:pPr>
      <w:r>
        <w:rPr>
          <w:b/>
          <w:i w:val="0"/>
        </w:rPr>
        <w:t xml:space="preserve">Table 25: </w:t>
      </w:r>
      <w:r>
        <w:rPr/>
        <w:t>Treatment of each cohort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Cohort (expiry)</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403"/>
            <w:tcMar>
              <w:top w:w="50" w:type="dxa"/>
              <w:bottom w:w="50" w:type="dxa"/>
              <w:left w:w="90" w:type="dxa"/>
              <w:right w:w="90" w:type="dxa"/>
            </w:tcMar>
          </w:tcPr>
          <w:p>
            <w:pPr>
              <w:pStyle w:val="BDOITable"/>
            </w:pPr>
            <w:r>
              <w:rPr>
                <w:sz w:val="18"/>
              </w:rPr>
              <w:t>Before go-live</w:t>
            </w:r>
          </w:p>
        </w:tc>
        <w:tc>
          <w:tcPr>
            <w:tcW w:type="dxa" w:w="7569"/>
            <w:tcMar>
              <w:top w:w="50" w:type="dxa"/>
              <w:bottom w:w="50" w:type="dxa"/>
              <w:left w:w="90" w:type="dxa"/>
              <w:right w:w="90" w:type="dxa"/>
            </w:tcMar>
          </w:tcPr>
          <w:p>
            <w:pPr>
              <w:pStyle w:val="BDOITable"/>
            </w:pPr>
            <w:r>
              <w:rPr>
                <w:sz w:val="18"/>
              </w:rPr>
              <w:t>Renewed or lapsed in legacy before the freeze; renewals booked in legacy; only open items are carried</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From go-live to go-live + 140 days</w:t>
            </w:r>
          </w:p>
        </w:tc>
        <w:tc>
          <w:tcPr>
            <w:tcW w:type="dxa" w:w="7569"/>
            <w:tcMar>
              <w:top w:w="50" w:type="dxa"/>
              <w:bottom w:w="50" w:type="dxa"/>
              <w:left w:w="90" w:type="dxa"/>
              <w:right w:w="90" w:type="dxa"/>
            </w:tcMar>
            <w:shd w:val="clear" w:color="auto" w:fill="E5F5FF"/>
          </w:tcPr>
          <w:p>
            <w:pPr>
              <w:pStyle w:val="BDOITable"/>
            </w:pPr>
            <w:r>
              <w:rPr>
                <w:sz w:val="18"/>
              </w:rPr>
              <w:t>Carried forward (layout P03): each candidate with its disposition, handler, RA status and remarks; it continues in BIBS Renewal with source LEGACY</w:t>
            </w:r>
          </w:p>
        </w:tc>
      </w:tr>
      <w:tr>
        <w:trPr>
          <w:cantSplit w:val="true"/>
        </w:trPr>
        <w:tc>
          <w:tcPr>
            <w:tcW w:type="dxa" w:w="2403"/>
            <w:tcMar>
              <w:top w:w="50" w:type="dxa"/>
              <w:bottom w:w="50" w:type="dxa"/>
              <w:left w:w="90" w:type="dxa"/>
              <w:right w:w="90" w:type="dxa"/>
            </w:tcMar>
          </w:tcPr>
          <w:p>
            <w:pPr>
              <w:pStyle w:val="BDOITable"/>
            </w:pPr>
            <w:r>
              <w:rPr>
                <w:sz w:val="18"/>
              </w:rPr>
              <w:t>After go-live + 140 days</w:t>
            </w:r>
          </w:p>
        </w:tc>
        <w:tc>
          <w:tcPr>
            <w:tcW w:type="dxa" w:w="7569"/>
            <w:tcMar>
              <w:top w:w="50" w:type="dxa"/>
              <w:bottom w:w="50" w:type="dxa"/>
              <w:left w:w="90" w:type="dxa"/>
              <w:right w:w="90" w:type="dxa"/>
            </w:tcMar>
          </w:tcPr>
          <w:p>
            <w:pPr>
              <w:pStyle w:val="BDOITable"/>
            </w:pPr>
            <w:r>
              <w:rPr>
                <w:sz w:val="18"/>
              </w:rPr>
              <w:t>Extracted by BIBS Renewal from the migrated headers on the normal lead time</w:t>
            </w:r>
          </w:p>
        </w:tc>
      </w:tr>
    </w:tbl>
    <w:p>
      <w:pPr>
        <w:pStyle w:val="BDOISpacer"/>
      </w:pPr>
    </w:p>
    <w:p>
      <w:r>
        <w:rPr/>
        <w:t>A legacy policy renews on the new-business path pre-filled from its header, because the header carries no BIBS rating data. The renewal account refers to the legacy reference, so the run-off tracker can link them. The tracker (report MIG-RUNOFF) shows, per expiry month, the legacy policies in force at go-live, renewed in BIBS, not renewed, lapsed and still open. Legacy systems are decommissioned when their last cohort has run off and the other checklist criteria are met (section 11.8).</w:t>
      </w:r>
    </w:p>
    <w:p>
      <w:pPr>
        <w:pStyle w:val="Heading1"/>
        <w:pageBreakBefore/>
        <w:pBdr>
          <w:bottom w:val="single" w:sz="4" w:space="4" w:color="99C1E7"/>
        </w:pBdr>
      </w:pPr>
      <w:bookmarkStart w:id="143" w:name="_Toc000143"/>
      <w:r>
        <w:rPr/>
        <w:t>9 History, archive and read-only access</w:t>
      </w:r>
      <w:bookmarkEnd w:id="143"/>
    </w:p>
    <w:p>
      <w:r>
        <w:rPr/>
        <w:t>History is not migrated into BIBS business tables. For each legacy system BDOI chooses how history stays available (DMQ24, DCR-209):</w:t>
      </w:r>
    </w:p>
    <w:p>
      <w:pPr>
        <w:pStyle w:val="Caption"/>
        <w:keepNext/>
        <w:spacing w:after="60"/>
      </w:pPr>
      <w:r>
        <w:rPr>
          <w:b/>
          <w:i w:val="0"/>
        </w:rPr>
        <w:t xml:space="preserve">Table 26: </w:t>
      </w:r>
      <w:r>
        <w:rPr/>
        <w:t>Options for history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2163"/>
            <w:tcMar>
              <w:top w:w="50" w:type="dxa"/>
              <w:bottom w:w="50" w:type="dxa"/>
              <w:left w:w="90" w:type="dxa"/>
              <w:right w:w="90" w:type="dxa"/>
            </w:tcMar>
          </w:tcPr>
          <w:p>
            <w:pPr>
              <w:pStyle w:val="BDOITable"/>
            </w:pPr>
            <w:r>
              <w:rPr>
                <w:sz w:val="18"/>
              </w:rPr>
              <w:t>Read-only legacy</w:t>
            </w:r>
          </w:p>
        </w:tc>
        <w:tc>
          <w:tcPr>
            <w:tcW w:type="dxa" w:w="3965"/>
            <w:tcMar>
              <w:top w:w="50" w:type="dxa"/>
              <w:bottom w:w="50" w:type="dxa"/>
              <w:left w:w="90" w:type="dxa"/>
              <w:right w:w="90" w:type="dxa"/>
            </w:tcMar>
          </w:tcPr>
          <w:p>
            <w:pPr>
              <w:pStyle w:val="BDOITable"/>
            </w:pPr>
            <w:r>
              <w:rPr>
                <w:sz w:val="18"/>
              </w:rPr>
              <w:t>The legacy application stays up in read-only mode, with its own access logging (BDOI IT). BIBS shows the legacy reference and a link</w:t>
            </w:r>
          </w:p>
        </w:tc>
        <w:tc>
          <w:tcPr>
            <w:tcW w:type="dxa" w:w="3845"/>
            <w:tcMar>
              <w:top w:w="50" w:type="dxa"/>
              <w:bottom w:w="50" w:type="dxa"/>
              <w:left w:w="90" w:type="dxa"/>
              <w:right w:w="90" w:type="dxa"/>
            </w:tcMar>
          </w:tcPr>
          <w:p>
            <w:pPr>
              <w:pStyle w:val="BDOITable"/>
            </w:pPr>
            <w:r>
              <w:rPr>
                <w:sz w:val="18"/>
              </w:rPr>
              <w:t>From the freeze until the system is decommissioned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BIBS archive</w:t>
            </w:r>
          </w:p>
        </w:tc>
        <w:tc>
          <w:tcPr>
            <w:tcW w:type="dxa" w:w="3965"/>
            <w:tcMar>
              <w:top w:w="50" w:type="dxa"/>
              <w:bottom w:w="50" w:type="dxa"/>
              <w:left w:w="90" w:type="dxa"/>
              <w:right w:w="90" w:type="dxa"/>
            </w:tcMar>
            <w:shd w:val="clear" w:color="auto" w:fill="E5F5FF"/>
          </w:tcPr>
          <w:p>
            <w:pPr>
              <w:pStyle w:val="BDOITable"/>
            </w:pPr>
            <w:r>
              <w:rPr>
                <w:sz w:val="18"/>
              </w:rPr>
              <w:t>Closed transactions, expired policies, GL history and documents are loaded into the BIBS archive (layouts H01 and H02) and searched in Legacy Inquiry</w:t>
            </w:r>
          </w:p>
        </w:tc>
        <w:tc>
          <w:tcPr>
            <w:tcW w:type="dxa" w:w="3845"/>
            <w:tcMar>
              <w:top w:w="50" w:type="dxa"/>
              <w:bottom w:w="50" w:type="dxa"/>
              <w:left w:w="90" w:type="dxa"/>
              <w:right w:w="90" w:type="dxa"/>
            </w:tcMar>
            <w:shd w:val="clear" w:color="auto" w:fill="E5F5FF"/>
          </w:tcPr>
          <w:p>
            <w:pPr>
              <w:pStyle w:val="BDOITable"/>
            </w:pPr>
            <w:r>
              <w:rPr>
                <w:sz w:val="18"/>
              </w:rPr>
              <w:t>Before a legacy system is decommissioned</w:t>
            </w:r>
          </w:p>
        </w:tc>
      </w:tr>
    </w:tbl>
    <w:p>
      <w:pPr>
        <w:pStyle w:val="BDOISpacer"/>
      </w:pPr>
    </w:p>
    <w:p>
      <w:r>
        <w:rPr>
          <w:b/>
        </w:rPr>
        <w:t>Legacy Inquiry</w:t>
      </w:r>
      <w:r>
        <w:rPr/>
        <w:t xml:space="preserve"> searches the archive by client, policy or cover number, invoice, receipt, claim, date and record type, and shows each record read-only with its documents. Every search, view, download and export is logged (user, time, criteria, records, reason); the log cannot be changed; Compliance reviews it on screen and receives a monthly digest (FR-DM-110, FR-DM-111).</w:t>
      </w:r>
    </w:p>
    <w:p>
      <w:r>
        <w:rPr>
          <w:b/>
        </w:rPr>
        <w:t>Retention.</w:t>
      </w:r>
      <w:r>
        <w:rPr/>
        <w:t xml:space="preserve"> Archive records and access logs follow the retention rules: the umbrella BRD gives 5 years online and 15 years archive for historical data (R5 p.45). Reconciliation reports, sign-offs and run logs are kept as project records and are not purged with the staging data (proposed 10 years, DMQ29).</w:t>
      </w:r>
    </w:p>
    <w:p>
      <w:r>
        <w:rPr>
          <w:b/>
        </w:rPr>
        <w:t>Archive reconciliation.</w:t>
      </w:r>
      <w:r>
        <w:rPr/>
        <w:t xml:space="preserve"> Each archive load is reconciled against legacy by counts, amount totals and hash totals per record type, and Audit / Compliance checks samples in Legacy Inquiry before the system is decommissioned.</w:t>
      </w:r>
    </w:p>
    <w:p>
      <w:pPr>
        <w:pStyle w:val="Heading1"/>
        <w:pageBreakBefore/>
        <w:pBdr>
          <w:bottom w:val="single" w:sz="4" w:space="4" w:color="99C1E7"/>
        </w:pBdr>
      </w:pPr>
      <w:bookmarkStart w:id="144" w:name="_Toc000144"/>
      <w:r>
        <w:rPr/>
        <w:t>10 Migration cycles</w:t>
      </w:r>
      <w:bookmarkEnd w:id="144"/>
    </w:p>
    <w:p>
      <w:pPr>
        <w:pStyle w:val="Heading2"/>
      </w:pPr>
      <w:bookmarkStart w:id="145" w:name="_Toc000145"/>
      <w:r>
        <w:rPr/>
        <w:t>10.1 Mocks, dress rehearsal and production</w:t>
      </w:r>
      <w:bookmarkEnd w:id="145"/>
    </w:p>
    <w:p>
      <w:r>
        <w:rPr/>
        <w:t>The migration is run five times before it counts. Each run follows the same plan in the Migration Console, so timings and defects are measured and the production cutover repeats a rehearsed plan.</w:t>
      </w:r>
    </w:p>
    <w:p>
      <w:pPr>
        <w:keepNext/>
        <w:spacing w:before="80" w:after="0"/>
        <w:jc w:val="center"/>
      </w:pPr>
      <w:r>
        <w:drawing>
          <wp:inline xmlns:a="http://schemas.openxmlformats.org/drawingml/2006/main" xmlns:pic="http://schemas.openxmlformats.org/drawingml/2006/picture">
            <wp:extent cx="5400000" cy="4739597"/>
            <wp:docPr id="6" name="Picture 6"/>
            <wp:cNvGraphicFramePr>
              <a:graphicFrameLocks noChangeAspect="1"/>
            </wp:cNvGraphicFramePr>
            <a:graphic>
              <a:graphicData uri="http://schemas.openxmlformats.org/drawingml/2006/picture">
                <pic:pic>
                  <pic:nvPicPr>
                    <pic:cNvPr id="0" name="dm_cycles.png"/>
                    <pic:cNvPicPr/>
                  </pic:nvPicPr>
                  <pic:blipFill>
                    <a:blip r:embed="rId18"/>
                    <a:stretch>
                      <a:fillRect/>
                    </a:stretch>
                  </pic:blipFill>
                  <pic:spPr>
                    <a:xfrm>
                      <a:off x="0" y="0"/>
                      <a:ext cx="5400000" cy="4739597"/>
                    </a:xfrm>
                    <a:prstGeom prst="rect"/>
                  </pic:spPr>
                </pic:pic>
              </a:graphicData>
            </a:graphic>
          </wp:inline>
        </w:drawing>
      </w:r>
    </w:p>
    <w:p>
      <w:pPr>
        <w:pStyle w:val="Caption"/>
        <w:jc w:val="center"/>
      </w:pPr>
      <w:r>
        <w:rPr>
          <w:b/>
          <w:i w:val="0"/>
        </w:rPr>
        <w:t xml:space="preserve">Figure 4: </w:t>
      </w:r>
      <w:r>
        <w:rPr/>
        <w:t>Migration cycles (T = go-live)</w:t>
      </w:r>
    </w:p>
    <w:p>
      <w:pPr>
        <w:pStyle w:val="Caption"/>
        <w:keepNext/>
        <w:spacing w:after="60"/>
      </w:pPr>
      <w:r>
        <w:rPr>
          <w:b/>
          <w:i w:val="0"/>
        </w:rPr>
        <w:t xml:space="preserve">Table 27: </w:t>
      </w:r>
      <w:r>
        <w:rPr/>
        <w:t>Migration cycles with entry and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321"/>
        <w:gridCol w:w="1562"/>
        <w:gridCol w:w="2883"/>
        <w:gridCol w:w="2883"/>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Cycle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When / where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Data and objects</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6"/>
              </w:rPr>
              <w:t>Entry criteria</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6"/>
              </w:rPr>
              <w:t>Exit criteria</w:t>
            </w:r>
          </w:p>
        </w:tc>
      </w:tr>
      <w:tr>
        <w:trPr>
          <w:cantSplit w:val="true"/>
        </w:trPr>
        <w:tc>
          <w:tcPr>
            <w:tcW w:type="dxa" w:w="1322"/>
            <w:tcMar>
              <w:top w:w="50" w:type="dxa"/>
              <w:bottom w:w="50" w:type="dxa"/>
              <w:left w:w="90" w:type="dxa"/>
              <w:right w:w="90" w:type="dxa"/>
            </w:tcMar>
          </w:tcPr>
          <w:p>
            <w:pPr>
              <w:pStyle w:val="BDOITable"/>
            </w:pPr>
            <w:r>
              <w:rPr>
                <w:sz w:val="16"/>
              </w:rPr>
              <w:t>Mock 1</w:t>
            </w:r>
          </w:p>
        </w:tc>
        <w:tc>
          <w:tcPr>
            <w:tcW w:type="dxa" w:w="1322"/>
            <w:tcMar>
              <w:top w:w="50" w:type="dxa"/>
              <w:bottom w:w="50" w:type="dxa"/>
              <w:left w:w="90" w:type="dxa"/>
              <w:right w:w="90" w:type="dxa"/>
            </w:tcMar>
          </w:tcPr>
          <w:p>
            <w:pPr>
              <w:pStyle w:val="BDOITable"/>
            </w:pPr>
            <w:r>
              <w:rPr>
                <w:sz w:val="16"/>
              </w:rPr>
              <w:t>T-12 weeks; SIT</w:t>
            </w:r>
          </w:p>
        </w:tc>
        <w:tc>
          <w:tcPr>
            <w:tcW w:type="dxa" w:w="1562"/>
            <w:tcMar>
              <w:top w:w="50" w:type="dxa"/>
              <w:bottom w:w="50" w:type="dxa"/>
              <w:left w:w="90" w:type="dxa"/>
              <w:right w:w="90" w:type="dxa"/>
            </w:tcMar>
          </w:tcPr>
          <w:p>
            <w:pPr>
              <w:pStyle w:val="BDOITable"/>
            </w:pPr>
            <w:r>
              <w:rPr>
                <w:sz w:val="16"/>
              </w:rPr>
              <w:t>Masked full extracts; reference data, clients, policy headers</w:t>
            </w:r>
          </w:p>
        </w:tc>
        <w:tc>
          <w:tcPr>
            <w:tcW w:type="dxa" w:w="2883"/>
            <w:tcMar>
              <w:top w:w="50" w:type="dxa"/>
              <w:bottom w:w="50" w:type="dxa"/>
              <w:left w:w="90" w:type="dxa"/>
              <w:right w:w="90" w:type="dxa"/>
            </w:tcMar>
          </w:tcPr>
          <w:p>
            <w:pPr>
              <w:pStyle w:val="BDOITable"/>
            </w:pPr>
            <w:r>
              <w:rPr>
                <w:sz w:val="16"/>
              </w:rPr>
              <w:t>Build waves DM0 and DM1-C deployed on SIT; layouts frozen (G2 part 1); draft code maps; first full extracts received (M4)</w:t>
            </w:r>
          </w:p>
        </w:tc>
        <w:tc>
          <w:tcPr>
            <w:tcW w:type="dxa" w:w="2883"/>
            <w:tcMar>
              <w:top w:w="50" w:type="dxa"/>
              <w:bottom w:w="50" w:type="dxa"/>
              <w:left w:w="90" w:type="dxa"/>
              <w:right w:w="90" w:type="dxa"/>
            </w:tcMar>
          </w:tcPr>
          <w:p>
            <w:pPr>
              <w:pStyle w:val="BDOITable"/>
            </w:pPr>
            <w:r>
              <w:rPr>
                <w:sz w:val="16"/>
              </w:rPr>
              <w:t>Objects loaded; L1-L4 run; defects logged; timing per object recorded; profiling report issued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Mock 2</w:t>
            </w:r>
          </w:p>
        </w:tc>
        <w:tc>
          <w:tcPr>
            <w:tcW w:type="dxa" w:w="1322"/>
            <w:tcMar>
              <w:top w:w="50" w:type="dxa"/>
              <w:bottom w:w="50" w:type="dxa"/>
              <w:left w:w="90" w:type="dxa"/>
              <w:right w:w="90" w:type="dxa"/>
            </w:tcMar>
            <w:shd w:val="clear" w:color="auto" w:fill="E5F5FF"/>
          </w:tcPr>
          <w:p>
            <w:pPr>
              <w:pStyle w:val="BDOITable"/>
            </w:pPr>
            <w:r>
              <w:rPr>
                <w:sz w:val="16"/>
              </w:rPr>
              <w:t>T-9 weeks; SIT</w:t>
            </w:r>
          </w:p>
        </w:tc>
        <w:tc>
          <w:tcPr>
            <w:tcW w:type="dxa" w:w="1562"/>
            <w:tcMar>
              <w:top w:w="50" w:type="dxa"/>
              <w:bottom w:w="50" w:type="dxa"/>
              <w:left w:w="90" w:type="dxa"/>
              <w:right w:w="90" w:type="dxa"/>
            </w:tcMar>
            <w:shd w:val="clear" w:color="auto" w:fill="E5F5FF"/>
          </w:tcPr>
          <w:p>
            <w:pPr>
              <w:pStyle w:val="BDOITable"/>
            </w:pPr>
            <w:r>
              <w:rPr>
                <w:sz w:val="16"/>
              </w:rPr>
              <w:t>Masked full extracts; all objects</w:t>
            </w:r>
          </w:p>
        </w:tc>
        <w:tc>
          <w:tcPr>
            <w:tcW w:type="dxa" w:w="2883"/>
            <w:tcMar>
              <w:top w:w="50" w:type="dxa"/>
              <w:bottom w:w="50" w:type="dxa"/>
              <w:left w:w="90" w:type="dxa"/>
              <w:right w:w="90" w:type="dxa"/>
            </w:tcMar>
            <w:shd w:val="clear" w:color="auto" w:fill="E5F5FF"/>
          </w:tcPr>
          <w:p>
            <w:pPr>
              <w:pStyle w:val="BDOITable"/>
            </w:pPr>
            <w:r>
              <w:rPr>
                <w:sz w:val="16"/>
              </w:rPr>
              <w:t>Mock 1 exit met; build waves DM1-A, DM1-B, DM2-A deployed; code maps approved (M5); legacy accounts and rules configured on SIT</w:t>
            </w:r>
          </w:p>
        </w:tc>
        <w:tc>
          <w:tcPr>
            <w:tcW w:type="dxa" w:w="2883"/>
            <w:tcMar>
              <w:top w:w="50" w:type="dxa"/>
              <w:bottom w:w="50" w:type="dxa"/>
              <w:left w:w="90" w:type="dxa"/>
              <w:right w:w="90" w:type="dxa"/>
            </w:tcMar>
            <w:shd w:val="clear" w:color="auto" w:fill="E5F5FF"/>
          </w:tcPr>
          <w:p>
            <w:pPr>
              <w:pStyle w:val="BDOITable"/>
            </w:pPr>
            <w:r>
              <w:rPr>
                <w:sz w:val="16"/>
              </w:rPr>
              <w:t>All objects loaded; L1-L5 reconciled; Migration Clearing 0.00 per branch and currency; no open Critical migration defect</w:t>
            </w:r>
          </w:p>
        </w:tc>
      </w:tr>
      <w:tr>
        <w:trPr>
          <w:cantSplit w:val="true"/>
        </w:trPr>
        <w:tc>
          <w:tcPr>
            <w:tcW w:type="dxa" w:w="1322"/>
            <w:tcMar>
              <w:top w:w="50" w:type="dxa"/>
              <w:bottom w:w="50" w:type="dxa"/>
              <w:left w:w="90" w:type="dxa"/>
              <w:right w:w="90" w:type="dxa"/>
            </w:tcMar>
          </w:tcPr>
          <w:p>
            <w:pPr>
              <w:pStyle w:val="BDOITable"/>
            </w:pPr>
            <w:r>
              <w:rPr>
                <w:sz w:val="16"/>
              </w:rPr>
              <w:t>Mock 3 (UAT load)</w:t>
            </w:r>
          </w:p>
        </w:tc>
        <w:tc>
          <w:tcPr>
            <w:tcW w:type="dxa" w:w="1322"/>
            <w:tcMar>
              <w:top w:w="50" w:type="dxa"/>
              <w:bottom w:w="50" w:type="dxa"/>
              <w:left w:w="90" w:type="dxa"/>
              <w:right w:w="90" w:type="dxa"/>
            </w:tcMar>
          </w:tcPr>
          <w:p>
            <w:pPr>
              <w:pStyle w:val="BDOITable"/>
            </w:pPr>
            <w:r>
              <w:rPr>
                <w:sz w:val="16"/>
              </w:rPr>
              <w:t>T-6 weeks; UAT</w:t>
            </w:r>
          </w:p>
        </w:tc>
        <w:tc>
          <w:tcPr>
            <w:tcW w:type="dxa" w:w="1562"/>
            <w:tcMar>
              <w:top w:w="50" w:type="dxa"/>
              <w:bottom w:w="50" w:type="dxa"/>
              <w:left w:w="90" w:type="dxa"/>
              <w:right w:w="90" w:type="dxa"/>
            </w:tcMar>
          </w:tcPr>
          <w:p>
            <w:pPr>
              <w:pStyle w:val="BDOITable"/>
            </w:pPr>
            <w:r>
              <w:rPr>
                <w:sz w:val="16"/>
              </w:rPr>
              <w:t>Masked extracts refreshed; all objects</w:t>
            </w:r>
          </w:p>
        </w:tc>
        <w:tc>
          <w:tcPr>
            <w:tcW w:type="dxa" w:w="2883"/>
            <w:tcMar>
              <w:top w:w="50" w:type="dxa"/>
              <w:bottom w:w="50" w:type="dxa"/>
              <w:left w:w="90" w:type="dxa"/>
              <w:right w:w="90" w:type="dxa"/>
            </w:tcMar>
          </w:tcPr>
          <w:p>
            <w:pPr>
              <w:pStyle w:val="BDOITable"/>
            </w:pPr>
            <w:r>
              <w:rPr>
                <w:sz w:val="16"/>
              </w:rPr>
              <w:t>Mock 2 exit met; UAT readiness statement issued (R7, programme item 11)</w:t>
            </w:r>
          </w:p>
        </w:tc>
        <w:tc>
          <w:tcPr>
            <w:tcW w:type="dxa" w:w="2883"/>
            <w:tcMar>
              <w:top w:w="50" w:type="dxa"/>
              <w:bottom w:w="50" w:type="dxa"/>
              <w:left w:w="90" w:type="dxa"/>
              <w:right w:w="90" w:type="dxa"/>
            </w:tcMar>
          </w:tcPr>
          <w:p>
            <w:pPr>
              <w:pStyle w:val="BDOITable"/>
            </w:pPr>
            <w:r>
              <w:rPr>
                <w:sz w:val="16"/>
              </w:rPr>
              <w:t>Business owners verify samples on screen (G6 rehearsal); UAT runs on the migrated data; data-quality issues below the thresholds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Dress rehearsal</w:t>
            </w:r>
          </w:p>
        </w:tc>
        <w:tc>
          <w:tcPr>
            <w:tcW w:type="dxa" w:w="1322"/>
            <w:tcMar>
              <w:top w:w="50" w:type="dxa"/>
              <w:bottom w:w="50" w:type="dxa"/>
              <w:left w:w="90" w:type="dxa"/>
              <w:right w:w="90" w:type="dxa"/>
            </w:tcMar>
            <w:shd w:val="clear" w:color="auto" w:fill="E5F5FF"/>
          </w:tcPr>
          <w:p>
            <w:pPr>
              <w:pStyle w:val="BDOITable"/>
            </w:pPr>
            <w:r>
              <w:rPr>
                <w:sz w:val="16"/>
              </w:rPr>
              <w:t>T-3 weeks; production-sized environment</w:t>
            </w:r>
          </w:p>
        </w:tc>
        <w:tc>
          <w:tcPr>
            <w:tcW w:type="dxa" w:w="1562"/>
            <w:tcMar>
              <w:top w:w="50" w:type="dxa"/>
              <w:bottom w:w="50" w:type="dxa"/>
              <w:left w:w="90" w:type="dxa"/>
              <w:right w:w="90" w:type="dxa"/>
            </w:tcMar>
            <w:shd w:val="clear" w:color="auto" w:fill="E5F5FF"/>
          </w:tcPr>
          <w:p>
            <w:pPr>
              <w:pStyle w:val="BDOITable"/>
            </w:pPr>
            <w:r>
              <w:rPr>
                <w:sz w:val="16"/>
              </w:rPr>
              <w:t>Masked full-volume extracts taken after a legacy EOD</w:t>
            </w:r>
          </w:p>
        </w:tc>
        <w:tc>
          <w:tcPr>
            <w:tcW w:type="dxa" w:w="2883"/>
            <w:tcMar>
              <w:top w:w="50" w:type="dxa"/>
              <w:bottom w:w="50" w:type="dxa"/>
              <w:left w:w="90" w:type="dxa"/>
              <w:right w:w="90" w:type="dxa"/>
            </w:tcMar>
            <w:shd w:val="clear" w:color="auto" w:fill="E5F5FF"/>
          </w:tcPr>
          <w:p>
            <w:pPr>
              <w:pStyle w:val="BDOITable"/>
            </w:pPr>
            <w:r>
              <w:rPr>
                <w:sz w:val="16"/>
              </w:rPr>
              <w:t>Mock 3 exit met; production-sized environment; cutover plan frozen</w:t>
            </w:r>
          </w:p>
        </w:tc>
        <w:tc>
          <w:tcPr>
            <w:tcW w:type="dxa" w:w="2883"/>
            <w:tcMar>
              <w:top w:w="50" w:type="dxa"/>
              <w:bottom w:w="50" w:type="dxa"/>
              <w:left w:w="90" w:type="dxa"/>
              <w:right w:w="90" w:type="dxa"/>
            </w:tcMar>
            <w:shd w:val="clear" w:color="auto" w:fill="E5F5FF"/>
          </w:tcPr>
          <w:p>
            <w:pPr>
              <w:pStyle w:val="BDOITable"/>
            </w:pPr>
            <w:r>
              <w:rPr>
                <w:sz w:val="16"/>
              </w:rPr>
              <w:t>Full cutover within the window with at least 20 percent margin; rollback (snapshot restore) rehearsed; go / no-go criteria measured</w:t>
            </w:r>
          </w:p>
        </w:tc>
      </w:tr>
      <w:tr>
        <w:trPr>
          <w:cantSplit w:val="true"/>
        </w:trPr>
        <w:tc>
          <w:tcPr>
            <w:tcW w:type="dxa" w:w="1322"/>
            <w:tcMar>
              <w:top w:w="50" w:type="dxa"/>
              <w:bottom w:w="50" w:type="dxa"/>
              <w:left w:w="90" w:type="dxa"/>
              <w:right w:w="90" w:type="dxa"/>
            </w:tcMar>
          </w:tcPr>
          <w:p>
            <w:pPr>
              <w:pStyle w:val="BDOITable"/>
            </w:pPr>
            <w:r>
              <w:rPr>
                <w:sz w:val="16"/>
              </w:rPr>
              <w:t>Production</w:t>
            </w:r>
          </w:p>
        </w:tc>
        <w:tc>
          <w:tcPr>
            <w:tcW w:type="dxa" w:w="1322"/>
            <w:tcMar>
              <w:top w:w="50" w:type="dxa"/>
              <w:bottom w:w="50" w:type="dxa"/>
              <w:left w:w="90" w:type="dxa"/>
              <w:right w:w="90" w:type="dxa"/>
            </w:tcMar>
          </w:tcPr>
          <w:p>
            <w:pPr>
              <w:pStyle w:val="BDOITable"/>
            </w:pPr>
            <w:r>
              <w:rPr>
                <w:sz w:val="16"/>
              </w:rPr>
              <w:t>T-14 days to T</w:t>
            </w:r>
          </w:p>
        </w:tc>
        <w:tc>
          <w:tcPr>
            <w:tcW w:type="dxa" w:w="1562"/>
            <w:tcMar>
              <w:top w:w="50" w:type="dxa"/>
              <w:bottom w:w="50" w:type="dxa"/>
              <w:left w:w="90" w:type="dxa"/>
              <w:right w:w="90" w:type="dxa"/>
            </w:tcMar>
          </w:tcPr>
          <w:p>
            <w:pPr>
              <w:pStyle w:val="BDOITable"/>
            </w:pPr>
            <w:r>
              <w:rPr>
                <w:sz w:val="16"/>
              </w:rPr>
              <w:t>Real data in production only</w:t>
            </w:r>
          </w:p>
        </w:tc>
        <w:tc>
          <w:tcPr>
            <w:tcW w:type="dxa" w:w="2883"/>
            <w:tcMar>
              <w:top w:w="50" w:type="dxa"/>
              <w:bottom w:w="50" w:type="dxa"/>
              <w:left w:w="90" w:type="dxa"/>
              <w:right w:w="90" w:type="dxa"/>
            </w:tcMar>
          </w:tcPr>
          <w:p>
            <w:pPr>
              <w:pStyle w:val="BDOITable"/>
            </w:pPr>
            <w:r>
              <w:rPr>
                <w:sz w:val="16"/>
              </w:rPr>
              <w:t>GNG-1 passed (Cutover Runbook)</w:t>
            </w:r>
          </w:p>
        </w:tc>
        <w:tc>
          <w:tcPr>
            <w:tcW w:type="dxa" w:w="2883"/>
            <w:tcMar>
              <w:top w:w="50" w:type="dxa"/>
              <w:bottom w:w="50" w:type="dxa"/>
              <w:left w:w="90" w:type="dxa"/>
              <w:right w:w="90" w:type="dxa"/>
            </w:tcMar>
          </w:tcPr>
          <w:p>
            <w:pPr>
              <w:pStyle w:val="BDOITable"/>
            </w:pPr>
            <w:r>
              <w:rPr>
                <w:sz w:val="16"/>
              </w:rPr>
              <w:t>GNG-3 GO; hypercare exit criteria (Cutover Runbook)</w:t>
            </w:r>
          </w:p>
        </w:tc>
      </w:tr>
    </w:tbl>
    <w:p>
      <w:pPr>
        <w:pStyle w:val="BDOISpacer"/>
      </w:pPr>
    </w:p>
    <w:p>
      <w:r>
        <w:rPr/>
        <w:t>Defects found in a cycle are fixed before the next one: in legacy (cleansing), in the code maps, in the layouts or in the loaders. The next cycle uses fresh extracts, so every fix is proven with new data.</w:t>
      </w:r>
    </w:p>
    <w:p>
      <w:pPr>
        <w:pStyle w:val="Heading2"/>
      </w:pPr>
      <w:bookmarkStart w:id="146" w:name="_Toc000146"/>
      <w:r>
        <w:rPr/>
        <w:t>10.2 Test data and masking</w:t>
      </w:r>
      <w:bookmarkEnd w:id="146"/>
    </w:p>
    <w:p>
      <w:r>
        <w:rPr/>
        <w:t>SIT and UAT receive masked extracts only. Masking is done at intake in BIBS with a keyed, repeatable method: the same person gets the same masked name and numbers in every file, so dedupe and matching behave as in production. Amounts, codes and transaction dates are not masked, so reconciliation and business verification work on real figures. Unmasked extracts never leave production (DMQ31, DCR-200).</w:t>
      </w:r>
    </w:p>
    <w:p>
      <w:pPr>
        <w:pStyle w:val="Heading1"/>
        <w:pageBreakBefore/>
        <w:pBdr>
          <w:bottom w:val="single" w:sz="4" w:space="4" w:color="99C1E7"/>
        </w:pBdr>
      </w:pPr>
      <w:bookmarkStart w:id="147" w:name="_Toc000147"/>
      <w:r>
        <w:rPr/>
        <w:t>11 Cutover strategy</w:t>
      </w:r>
      <w:bookmarkEnd w:id="147"/>
    </w:p>
    <w:p>
      <w:pPr>
        <w:pStyle w:val="Heading2"/>
      </w:pPr>
      <w:bookmarkStart w:id="148" w:name="_Toc000148"/>
      <w:r>
        <w:rPr/>
        <w:t>11.1 Approach</w:t>
      </w:r>
      <w:bookmarkEnd w:id="148"/>
    </w:p>
    <w:p>
      <w:pPr>
        <w:tabs>
          <w:tab w:pos="312" w:val="left"/>
        </w:tabs>
        <w:spacing w:after="40"/>
        <w:ind w:left="312" w:hanging="283"/>
      </w:pPr>
      <w:r>
        <w:rPr>
          <w:color w:val="004EA8"/>
        </w:rPr>
        <w:t>•</w:t>
        <w:tab/>
      </w:r>
      <w:r>
        <w:rPr>
          <w:b/>
        </w:rPr>
        <w:t>Big bang for open items.</w:t>
      </w:r>
      <w:r>
        <w:rPr/>
        <w:t xml:space="preserve"> All open items (invoices, UPP, collection state, remittance items, PDCs), the policy headers, the RMEL cohorts and the GL trial balance are loaded once, after the legacy freeze, over one weekend. They change every day, so a delta approach would add reconciliation risk for no benefit.</w:t>
      </w:r>
    </w:p>
    <w:p>
      <w:pPr>
        <w:tabs>
          <w:tab w:pos="312" w:val="left"/>
        </w:tabs>
        <w:spacing w:after="40"/>
        <w:ind w:left="312" w:hanging="283"/>
      </w:pPr>
      <w:r>
        <w:rPr>
          <w:color w:val="004EA8"/>
        </w:rPr>
        <w:t>•</w:t>
        <w:tab/>
      </w:r>
      <w:r>
        <w:rPr>
          <w:b/>
        </w:rPr>
        <w:t>Pre-load and deltas for master data.</w:t>
      </w:r>
      <w:r>
        <w:rPr/>
        <w:t xml:space="preserve"> Reference data and clients are loaded two weeks before go-live and kept current with daily client deltas until the freeze. This takes the largest objects out of the cutover window.</w:t>
      </w:r>
    </w:p>
    <w:p>
      <w:pPr>
        <w:tabs>
          <w:tab w:pos="312" w:val="left"/>
        </w:tabs>
        <w:spacing w:after="120"/>
        <w:ind w:left="312" w:hanging="283"/>
      </w:pPr>
      <w:r>
        <w:rPr>
          <w:color w:val="004EA8"/>
        </w:rPr>
        <w:t>•</w:t>
        <w:tab/>
      </w:r>
      <w:r>
        <w:rPr>
          <w:b/>
        </w:rPr>
        <w:t>Month-end alignment.</w:t>
      </w:r>
      <w:r>
        <w:rPr/>
        <w:t xml:space="preserve"> Go-live is the first business day of a month, after a legacy month-end close, so the opening trial balance is a closed month-end balance (proposal, DMQ25, DCR-200).</w:t>
      </w:r>
    </w:p>
    <w:p>
      <w:pPr>
        <w:pStyle w:val="Heading2"/>
      </w:pPr>
      <w:bookmarkStart w:id="149" w:name="_Toc000149"/>
      <w:r>
        <w:rPr/>
        <w:t>11.2 Freeze windows</w:t>
      </w:r>
      <w:bookmarkEnd w:id="149"/>
    </w:p>
    <w:p>
      <w:pPr>
        <w:pStyle w:val="Caption"/>
        <w:keepNext/>
        <w:spacing w:after="60"/>
      </w:pPr>
      <w:r>
        <w:rPr>
          <w:b/>
          <w:i w:val="0"/>
        </w:rPr>
        <w:t xml:space="preserve">Table 28: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rPr>
          <w:cantSplit w:val="true"/>
        </w:trP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rPr>
          <w:cantSplit w:val="true"/>
        </w:trP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in EBIX, QPS, CMS - bookings, receipts, UPP, dispositions, remittances, endorsements, GL journals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BIBS configuration</w:t>
            </w:r>
          </w:p>
        </w:tc>
        <w:tc>
          <w:tcPr>
            <w:tcW w:type="dxa" w:w="1682"/>
            <w:tcMar>
              <w:top w:w="50" w:type="dxa"/>
              <w:bottom w:w="50" w:type="dxa"/>
              <w:left w:w="90" w:type="dxa"/>
              <w:right w:w="90" w:type="dxa"/>
            </w:tcMar>
            <w:shd w:val="clear" w:color="auto" w:fill="E5F5FF"/>
          </w:tcPr>
          <w:p>
            <w:pPr>
              <w:pStyle w:val="BDOITable"/>
            </w:pPr>
            <w:r>
              <w:rPr>
                <w:sz w:val="17"/>
              </w:rPr>
              <w:t>T-2 00:00</w:t>
            </w:r>
          </w:p>
        </w:tc>
        <w:tc>
          <w:tcPr>
            <w:tcW w:type="dxa" w:w="1081"/>
            <w:tcMar>
              <w:top w:w="50" w:type="dxa"/>
              <w:bottom w:w="50" w:type="dxa"/>
              <w:left w:w="90" w:type="dxa"/>
              <w:right w:w="90" w:type="dxa"/>
            </w:tcMar>
            <w:shd w:val="clear" w:color="auto" w:fill="E5F5FF"/>
          </w:tcPr>
          <w:p>
            <w:pPr>
              <w:pStyle w:val="BDOITable"/>
            </w:pPr>
            <w:r>
              <w:rPr>
                <w:sz w:val="17"/>
              </w:rPr>
              <w:t>T+3</w:t>
            </w:r>
          </w:p>
        </w:tc>
        <w:tc>
          <w:tcPr>
            <w:tcW w:type="dxa" w:w="3244"/>
            <w:tcMar>
              <w:top w:w="50" w:type="dxa"/>
              <w:bottom w:w="50" w:type="dxa"/>
              <w:left w:w="90" w:type="dxa"/>
              <w:right w:w="90" w:type="dxa"/>
            </w:tcMar>
            <w:shd w:val="clear" w:color="auto" w:fill="E5F5FF"/>
          </w:tcPr>
          <w:p>
            <w:pPr>
              <w:pStyle w:val="BDOITable"/>
            </w:pPr>
            <w:r>
              <w:rPr>
                <w:sz w:val="17"/>
              </w:rPr>
              <w:t>Parameters, accounting rules, code maps, workflows in production</w:t>
            </w:r>
          </w:p>
        </w:tc>
        <w:tc>
          <w:tcPr>
            <w:tcW w:type="dxa" w:w="2403"/>
            <w:tcMar>
              <w:top w:w="50" w:type="dxa"/>
              <w:bottom w:w="50" w:type="dxa"/>
              <w:left w:w="90" w:type="dxa"/>
              <w:right w:w="90" w:type="dxa"/>
            </w:tcMar>
            <w:shd w:val="clear" w:color="auto" w:fill="E5F5FF"/>
          </w:tcPr>
          <w:p>
            <w:pPr>
              <w:pStyle w:val="BDOITable"/>
            </w:pPr>
            <w:r>
              <w:rPr>
                <w:sz w:val="17"/>
              </w:rPr>
              <w:t>Emergency change approved by the go / no-go board</w:t>
            </w:r>
          </w:p>
        </w:tc>
      </w:tr>
      <w:tr>
        <w:trPr>
          <w:cantSplit w:val="true"/>
        </w:trPr>
        <w:tc>
          <w:tcPr>
            <w:tcW w:type="dxa" w:w="1562"/>
            <w:tcMar>
              <w:top w:w="50" w:type="dxa"/>
              <w:bottom w:w="50" w:type="dxa"/>
              <w:left w:w="90" w:type="dxa"/>
              <w:right w:w="90" w:type="dxa"/>
            </w:tcMar>
          </w:tcPr>
          <w:p>
            <w:pPr>
              <w:pStyle w:val="BDOITable"/>
            </w:pPr>
            <w:r>
              <w:rPr>
                <w:b/>
                <w:sz w:val="17"/>
              </w:rPr>
              <w:t>BIBS releases</w:t>
            </w:r>
          </w:p>
        </w:tc>
        <w:tc>
          <w:tcPr>
            <w:tcW w:type="dxa" w:w="1682"/>
            <w:tcMar>
              <w:top w:w="50" w:type="dxa"/>
              <w:bottom w:w="50" w:type="dxa"/>
              <w:left w:w="90" w:type="dxa"/>
              <w:right w:w="90" w:type="dxa"/>
            </w:tcMar>
          </w:tcPr>
          <w:p>
            <w:pPr>
              <w:pStyle w:val="BDOITable"/>
            </w:pPr>
            <w:r>
              <w:rPr>
                <w:sz w:val="17"/>
              </w:rPr>
              <w:t>T-7</w:t>
            </w:r>
          </w:p>
        </w:tc>
        <w:tc>
          <w:tcPr>
            <w:tcW w:type="dxa" w:w="1081"/>
            <w:tcMar>
              <w:top w:w="50" w:type="dxa"/>
              <w:bottom w:w="50" w:type="dxa"/>
              <w:left w:w="90" w:type="dxa"/>
              <w:right w:w="90" w:type="dxa"/>
            </w:tcMar>
          </w:tcPr>
          <w:p>
            <w:pPr>
              <w:pStyle w:val="BDOITable"/>
            </w:pPr>
            <w:r>
              <w:rPr>
                <w:sz w:val="17"/>
              </w:rPr>
              <w:t>T+14</w:t>
            </w:r>
          </w:p>
        </w:tc>
        <w:tc>
          <w:tcPr>
            <w:tcW w:type="dxa" w:w="3244"/>
            <w:tcMar>
              <w:top w:w="50" w:type="dxa"/>
              <w:bottom w:w="50" w:type="dxa"/>
              <w:left w:w="90" w:type="dxa"/>
              <w:right w:w="90" w:type="dxa"/>
            </w:tcMar>
          </w:tcPr>
          <w:p>
            <w:pPr>
              <w:pStyle w:val="BDOITable"/>
            </w:pPr>
            <w:r>
              <w:rPr>
                <w:sz w:val="17"/>
              </w:rPr>
              <w:t>Deployments to production</w:t>
            </w:r>
          </w:p>
        </w:tc>
        <w:tc>
          <w:tcPr>
            <w:tcW w:type="dxa" w:w="2403"/>
            <w:tcMar>
              <w:top w:w="50" w:type="dxa"/>
              <w:bottom w:w="50" w:type="dxa"/>
              <w:left w:w="90" w:type="dxa"/>
              <w:right w:w="90" w:type="dxa"/>
            </w:tcMar>
          </w:tcPr>
          <w:p>
            <w:pPr>
              <w:pStyle w:val="BDOITable"/>
            </w:pPr>
            <w:r>
              <w:rPr>
                <w:sz w:val="17"/>
              </w:rPr>
              <w:t>Hotfix of a Critical defect approved by the go / no-go board</w:t>
            </w:r>
          </w:p>
        </w:tc>
      </w:tr>
    </w:tbl>
    <w:p>
      <w:pPr>
        <w:pStyle w:val="BDOISpacer"/>
      </w:pPr>
    </w:p>
    <w:p>
      <w:pPr>
        <w:pStyle w:val="Heading2"/>
      </w:pPr>
      <w:bookmarkStart w:id="150" w:name="_Toc000150"/>
      <w:r>
        <w:rPr/>
        <w:t>11.3 Parallel run</w:t>
      </w:r>
      <w:bookmarkEnd w:id="150"/>
    </w:p>
    <w:p>
      <w:r>
        <w:rPr/>
        <w:t>There is no parallel run of legacy and BIBS on the same items. A parallel run would need each receipt, application, remittance and endorsement keyed twice and reconciled daily, and it contradicts the principle that an open item is processed in one system only (BRD p.5). The controls that replace it are the three mocks and the dress rehearsal on full extracts, the go / no-go criteria measured on production data, the rollback point until the go / no-go, and the daily hypercare reconciliation after go-live.</w:t>
      </w:r>
    </w:p>
    <w:p>
      <w:pPr>
        <w:pStyle w:val="Heading2"/>
      </w:pPr>
      <w:bookmarkStart w:id="151" w:name="_Toc000151"/>
      <w:r>
        <w:rPr/>
        <w:t>11.4 Go / no-go</w:t>
      </w:r>
      <w:bookmarkEnd w:id="151"/>
    </w:p>
    <w:p>
      <w:r>
        <w:rPr/>
        <w:t>Three checkpoints decide the cutover. The criteria are measured by BIBS and recorded with their values (FR-DM-121). GNG-3 is the go-live decision on the Sunday before go-live at 18:00:</w:t>
      </w:r>
    </w:p>
    <w:p>
      <w:pPr>
        <w:pStyle w:val="Caption"/>
        <w:keepNext/>
        <w:spacing w:after="60"/>
      </w:pPr>
      <w:r>
        <w:rPr>
          <w:b/>
          <w:i w:val="0"/>
        </w:rPr>
        <w:t xml:space="preserve">Table 29: </w:t>
      </w:r>
      <w:r>
        <w:rPr/>
        <w:t>Go-live criteria (GNG-3)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767"/>
        <w:gridCol w:w="3724"/>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8"/>
              </w:rPr>
              <w:t>Criterion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Threshold</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5767"/>
            <w:tcMar>
              <w:top w:w="50" w:type="dxa"/>
              <w:bottom w:w="50" w:type="dxa"/>
              <w:left w:w="90" w:type="dxa"/>
              <w:right w:w="90" w:type="dxa"/>
            </w:tcMar>
          </w:tcPr>
          <w:p>
            <w:pPr>
              <w:pStyle w:val="BDOITable"/>
            </w:pPr>
            <w:r>
              <w:rPr>
                <w:sz w:val="18"/>
              </w:rPr>
              <w:t>Day-1 objects accepted (G6)</w:t>
            </w:r>
          </w:p>
        </w:tc>
        <w:tc>
          <w:tcPr>
            <w:tcW w:type="dxa" w:w="3724"/>
            <w:tcMar>
              <w:top w:w="50" w:type="dxa"/>
              <w:bottom w:w="50" w:type="dxa"/>
              <w:left w:w="90" w:type="dxa"/>
              <w:right w:w="90" w:type="dxa"/>
            </w:tcMar>
          </w:tcPr>
          <w:p>
            <w:pPr>
              <w:pStyle w:val="BDOITable"/>
            </w:pPr>
            <w:r>
              <w:rPr>
                <w:sz w:val="18"/>
              </w:rPr>
              <w:t>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5767"/>
            <w:tcMar>
              <w:top w:w="50" w:type="dxa"/>
              <w:bottom w:w="50" w:type="dxa"/>
              <w:left w:w="90" w:type="dxa"/>
              <w:right w:w="90" w:type="dxa"/>
            </w:tcMar>
            <w:shd w:val="clear" w:color="auto" w:fill="E5F5FF"/>
          </w:tcPr>
          <w:p>
            <w:pPr>
              <w:pStyle w:val="BDOITable"/>
            </w:pPr>
            <w:r>
              <w:rPr>
                <w:sz w:val="18"/>
              </w:rPr>
              <w:t>Count reconciliation per object</w:t>
            </w:r>
          </w:p>
        </w:tc>
        <w:tc>
          <w:tcPr>
            <w:tcW w:type="dxa" w:w="3724"/>
            <w:tcMar>
              <w:top w:w="50" w:type="dxa"/>
              <w:bottom w:w="50" w:type="dxa"/>
              <w:left w:w="90" w:type="dxa"/>
              <w:right w:w="90" w:type="dxa"/>
            </w:tcMar>
            <w:shd w:val="clear" w:color="auto" w:fill="E5F5FF"/>
          </w:tcPr>
          <w:p>
            <w:pPr>
              <w:pStyle w:val="BDOITable"/>
            </w:pPr>
            <w:r>
              <w:rPr>
                <w:sz w:val="18"/>
              </w:rPr>
              <w:t>Received = control; loaded + skipped + rejected + excluded = staged</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5767"/>
            <w:tcMar>
              <w:top w:w="50" w:type="dxa"/>
              <w:bottom w:w="50" w:type="dxa"/>
              <w:left w:w="90" w:type="dxa"/>
              <w:right w:w="90" w:type="dxa"/>
            </w:tcMar>
          </w:tcPr>
          <w:p>
            <w:pPr>
              <w:pStyle w:val="BDOITable"/>
            </w:pPr>
            <w:r>
              <w:rPr>
                <w:sz w:val="18"/>
              </w:rPr>
              <w:t>Financial rejects (open invoices, UPP, trial balance)</w:t>
            </w:r>
          </w:p>
        </w:tc>
        <w:tc>
          <w:tcPr>
            <w:tcW w:type="dxa" w:w="3724"/>
            <w:tcMar>
              <w:top w:w="50" w:type="dxa"/>
              <w:bottom w:w="50" w:type="dxa"/>
              <w:left w:w="90" w:type="dxa"/>
              <w:right w:w="90" w:type="dxa"/>
            </w:tcMar>
          </w:tcPr>
          <w:p>
            <w:pPr>
              <w:pStyle w:val="BDOITable"/>
            </w:pPr>
            <w:r>
              <w:rPr>
                <w:sz w:val="18"/>
              </w:rPr>
              <w:t>0, or each excluded item approved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5767"/>
            <w:tcMar>
              <w:top w:w="50" w:type="dxa"/>
              <w:bottom w:w="50" w:type="dxa"/>
              <w:left w:w="90" w:type="dxa"/>
              <w:right w:w="90" w:type="dxa"/>
            </w:tcMar>
            <w:shd w:val="clear" w:color="auto" w:fill="E5F5FF"/>
          </w:tcPr>
          <w:p>
            <w:pPr>
              <w:pStyle w:val="BDOITable"/>
            </w:pPr>
            <w:r>
              <w:rPr>
                <w:sz w:val="18"/>
              </w:rPr>
              <w:t>Amount reconciliation of open items, UPP and trial balance</w:t>
            </w:r>
          </w:p>
        </w:tc>
        <w:tc>
          <w:tcPr>
            <w:tcW w:type="dxa" w:w="3724"/>
            <w:tcMar>
              <w:top w:w="50" w:type="dxa"/>
              <w:bottom w:w="50" w:type="dxa"/>
              <w:left w:w="90" w:type="dxa"/>
              <w:right w:w="90" w:type="dxa"/>
            </w:tcMar>
            <w:shd w:val="clear" w:color="auto" w:fill="E5F5FF"/>
          </w:tcPr>
          <w:p>
            <w:pPr>
              <w:pStyle w:val="BDOITable"/>
            </w:pPr>
            <w:r>
              <w:rPr>
                <w:sz w:val="18"/>
              </w:rPr>
              <w:t>0.00 per currency</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5767"/>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5767"/>
            <w:tcMar>
              <w:top w:w="50" w:type="dxa"/>
              <w:bottom w:w="50" w:type="dxa"/>
              <w:left w:w="90" w:type="dxa"/>
              <w:right w:w="90" w:type="dxa"/>
            </w:tcMar>
            <w:shd w:val="clear" w:color="auto" w:fill="E5F5FF"/>
          </w:tcPr>
          <w:p>
            <w:pPr>
              <w:pStyle w:val="BDOITable"/>
            </w:pPr>
            <w:r>
              <w:rPr>
                <w:sz w:val="18"/>
              </w:rPr>
              <w:t>Legacy control accounts vs legacy sub-ledgers</w:t>
            </w:r>
          </w:p>
        </w:tc>
        <w:tc>
          <w:tcPr>
            <w:tcW w:type="dxa" w:w="3724"/>
            <w:tcMar>
              <w:top w:w="50" w:type="dxa"/>
              <w:bottom w:w="50" w:type="dxa"/>
              <w:left w:w="90" w:type="dxa"/>
              <w:right w:w="90" w:type="dxa"/>
            </w:tcMar>
            <w:shd w:val="clear" w:color="auto" w:fill="E5F5FF"/>
          </w:tcPr>
          <w:p>
            <w:pPr>
              <w:pStyle w:val="BDOITable"/>
            </w:pPr>
            <w:r>
              <w:rPr>
                <w:sz w:val="18"/>
              </w:rPr>
              <w:t>0.00</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5767"/>
            <w:tcMar>
              <w:top w:w="50" w:type="dxa"/>
              <w:bottom w:w="50" w:type="dxa"/>
              <w:left w:w="90" w:type="dxa"/>
              <w:right w:w="90" w:type="dxa"/>
            </w:tcMar>
          </w:tcPr>
          <w:p>
            <w:pPr>
              <w:pStyle w:val="BDOITable"/>
            </w:pPr>
            <w:r>
              <w:rPr>
                <w:sz w:val="18"/>
              </w:rPr>
              <w:t>Client review queue; screening run</w:t>
            </w:r>
          </w:p>
        </w:tc>
        <w:tc>
          <w:tcPr>
            <w:tcW w:type="dxa" w:w="3724"/>
            <w:tcMar>
              <w:top w:w="50" w:type="dxa"/>
              <w:bottom w:w="50" w:type="dxa"/>
              <w:left w:w="90" w:type="dxa"/>
              <w:right w:w="90" w:type="dxa"/>
            </w:tcMar>
          </w:tcPr>
          <w:p>
            <w:pPr>
              <w:pStyle w:val="BDOITable"/>
            </w:pPr>
            <w:r>
              <w:rPr>
                <w:sz w:val="18"/>
              </w:rPr>
              <w:t>Empty;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5767"/>
            <w:tcMar>
              <w:top w:w="50" w:type="dxa"/>
              <w:bottom w:w="50" w:type="dxa"/>
              <w:left w:w="90" w:type="dxa"/>
              <w:right w:w="90" w:type="dxa"/>
            </w:tcMar>
            <w:shd w:val="clear" w:color="auto" w:fill="E5F5FF"/>
          </w:tcPr>
          <w:p>
            <w:pPr>
              <w:pStyle w:val="BDOITable"/>
            </w:pPr>
            <w:r>
              <w:rPr>
                <w:sz w:val="18"/>
              </w:rPr>
              <w:t>Business smoke test on production</w:t>
            </w:r>
          </w:p>
        </w:tc>
        <w:tc>
          <w:tcPr>
            <w:tcW w:type="dxa" w:w="3724"/>
            <w:tcMar>
              <w:top w:w="50" w:type="dxa"/>
              <w:bottom w:w="50" w:type="dxa"/>
              <w:left w:w="90" w:type="dxa"/>
              <w:right w:w="90" w:type="dxa"/>
            </w:tcMar>
            <w:shd w:val="clear" w:color="auto" w:fill="E5F5FF"/>
          </w:tcPr>
          <w:p>
            <w:pPr>
              <w:pStyle w:val="BDOITable"/>
            </w:pPr>
            <w:r>
              <w:rPr>
                <w:sz w:val="18"/>
              </w:rPr>
              <w:t>Passed</w:t>
            </w:r>
          </w:p>
        </w:tc>
      </w:tr>
      <w:tr>
        <w:trPr>
          <w:cantSplit w:val="true"/>
        </w:trPr>
        <w:tc>
          <w:tcPr>
            <w:tcW w:type="dxa" w:w="481"/>
            <w:tcMar>
              <w:top w:w="50" w:type="dxa"/>
              <w:bottom w:w="50" w:type="dxa"/>
              <w:left w:w="90" w:type="dxa"/>
              <w:right w:w="90" w:type="dxa"/>
            </w:tcMar>
          </w:tcPr>
          <w:p>
            <w:pPr>
              <w:pStyle w:val="BDOITable"/>
            </w:pPr>
            <w:r>
              <w:rPr>
                <w:sz w:val="18"/>
              </w:rPr>
              <w:t>9</w:t>
            </w:r>
          </w:p>
        </w:tc>
        <w:tc>
          <w:tcPr>
            <w:tcW w:type="dxa" w:w="5767"/>
            <w:tcMar>
              <w:top w:w="50" w:type="dxa"/>
              <w:bottom w:w="50" w:type="dxa"/>
              <w:left w:w="90" w:type="dxa"/>
              <w:right w:w="90" w:type="dxa"/>
            </w:tcMar>
          </w:tcPr>
          <w:p>
            <w:pPr>
              <w:pStyle w:val="BDOITable"/>
            </w:pPr>
            <w:r>
              <w:rPr>
                <w:sz w:val="18"/>
              </w:rPr>
              <w:t>Rollback point (snapshot)</w:t>
            </w:r>
          </w:p>
        </w:tc>
        <w:tc>
          <w:tcPr>
            <w:tcW w:type="dxa" w:w="3724"/>
            <w:tcMar>
              <w:top w:w="50" w:type="dxa"/>
              <w:bottom w:w="50" w:type="dxa"/>
              <w:left w:w="90" w:type="dxa"/>
              <w:right w:w="90" w:type="dxa"/>
            </w:tcMar>
          </w:tcPr>
          <w:p>
            <w:pPr>
              <w:pStyle w:val="BDOITable"/>
            </w:pPr>
            <w:r>
              <w:rPr>
                <w:sz w:val="18"/>
              </w:rPr>
              <w:t>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10</w:t>
            </w:r>
          </w:p>
        </w:tc>
        <w:tc>
          <w:tcPr>
            <w:tcW w:type="dxa" w:w="5767"/>
            <w:tcMar>
              <w:top w:w="50" w:type="dxa"/>
              <w:bottom w:w="50" w:type="dxa"/>
              <w:left w:w="90" w:type="dxa"/>
              <w:right w:w="90" w:type="dxa"/>
            </w:tcMar>
            <w:shd w:val="clear" w:color="auto" w:fill="E5F5FF"/>
          </w:tcPr>
          <w:p>
            <w:pPr>
              <w:pStyle w:val="BDOITable"/>
            </w:pPr>
            <w:r>
              <w:rPr>
                <w:sz w:val="18"/>
              </w:rPr>
              <w:t>Hypercare roster and support channels</w:t>
            </w:r>
          </w:p>
        </w:tc>
        <w:tc>
          <w:tcPr>
            <w:tcW w:type="dxa" w:w="3724"/>
            <w:tcMar>
              <w:top w:w="50" w:type="dxa"/>
              <w:bottom w:w="50" w:type="dxa"/>
              <w:left w:w="90" w:type="dxa"/>
              <w:right w:w="90" w:type="dxa"/>
            </w:tcMar>
            <w:shd w:val="clear" w:color="auto" w:fill="E5F5FF"/>
          </w:tcPr>
          <w:p>
            <w:pPr>
              <w:pStyle w:val="BDOITable"/>
            </w:pPr>
            <w:r>
              <w:rPr>
                <w:sz w:val="18"/>
              </w:rPr>
              <w:t>In place</w:t>
            </w:r>
          </w:p>
        </w:tc>
      </w:tr>
    </w:tbl>
    <w:p>
      <w:pPr>
        <w:pStyle w:val="BDOISpacer"/>
      </w:pPr>
    </w:p>
    <w:p>
      <w:r>
        <w:rPr/>
        <w:t>GNG-1 (T-15, start the pre-load) and GNG-2 (T-4, enter the freeze) are in the Cutover Runbook.</w:t>
      </w:r>
    </w:p>
    <w:p>
      <w:pPr>
        <w:pStyle w:val="Heading2"/>
      </w:pPr>
      <w:bookmarkStart w:id="152" w:name="_Toc000152"/>
      <w:r>
        <w:rPr/>
        <w:t>11.5 Rollback</w:t>
      </w:r>
      <w:bookmarkEnd w:id="152"/>
    </w:p>
    <w:p>
      <w:r>
        <w:rPr/>
        <w:t>Until the go / no-go decision the rollback is a restore of the production database snapshot taken at the start of the production load, and legacy is reopened for business on Monday. After go-live, until the point of no return at 18:00 on the first business day, the same restore is possible with re-keying in legacy of the transactions keyed in BIBS that day. After the point of no return, issues are fixed forward in BIBS (DMQ32, DCR-200). The steps are in the Cutover Runbook.</w:t>
      </w:r>
    </w:p>
    <w:p>
      <w:pPr>
        <w:pStyle w:val="Heading2"/>
      </w:pPr>
      <w:bookmarkStart w:id="153" w:name="_Toc000153"/>
      <w:r>
        <w:rPr/>
        <w:t>11.6 Hypercare</w:t>
      </w:r>
      <w:bookmarkEnd w:id="153"/>
    </w:p>
    <w:p>
      <w:r>
        <w:rPr/>
        <w:t>Hypercare runs from go-live to the first month-end close. Every day: Migration Clearing 0.00, legacy control accounts against their sub-ledgers, automatch results, exception queues and failed jobs; defect triage twice a day. Exit requires no open Critical or High defect, 10 consecutive business days of clean daily checks, and the first month-end close with the ACSL GL-SL reconciliation (context LEGACY) without difference.</w:t>
      </w:r>
    </w:p>
    <w:p>
      <w:pPr>
        <w:pStyle w:val="Heading2"/>
      </w:pPr>
      <w:bookmarkStart w:id="154" w:name="_Toc000154"/>
      <w:r>
        <w:rPr/>
        <w:t>11.7 In-flight items at the freeze</w:t>
      </w:r>
      <w:bookmarkEnd w:id="154"/>
    </w:p>
    <w:p>
      <w:r>
        <w:rPr/>
        <w:t>Items in process in legacy at the freeze (pending endorsements, un-booked accounts, placements, PDCs, check pick-ups, refunds, remittance batches) are, in order of preference, completed in legacy before the freeze, carried forward in a layout (F04, F06), or re-keyed in BIBS after go-live from a list signed by the business owner (DMQ33, DMQ21). The runbook schedules the completion drives from T-9.</w:t>
      </w:r>
    </w:p>
    <w:p>
      <w:pPr>
        <w:pStyle w:val="Heading2"/>
      </w:pPr>
      <w:bookmarkStart w:id="155" w:name="_Toc000155"/>
      <w:r>
        <w:rPr/>
        <w:t>11.8 Decommissioning</w:t>
      </w:r>
      <w:bookmarkEnd w:id="155"/>
    </w:p>
    <w:p>
      <w:r>
        <w:rPr/>
        <w:t>Each legacy system is decommissioned only against a signed checklist (FR-DM-123): final extracts reconciled, archive loaded and reconciled, Legacy Inquiry verified by Audit / Compliance, no open inquiry or claim that needs the system, the last legacy-booked policy expired plus the claims tail, access logs archived, retention covered, and sign-off by the system owner, Compliance and Comptrollership (DMQ27). The checklists per system are in the Cutover Runbook.</w:t>
      </w:r>
    </w:p>
    <w:p>
      <w:pPr>
        <w:pStyle w:val="Heading1"/>
        <w:pageBreakBefore/>
        <w:pBdr>
          <w:bottom w:val="single" w:sz="4" w:space="4" w:color="99C1E7"/>
        </w:pBdr>
      </w:pPr>
      <w:bookmarkStart w:id="156" w:name="_Toc000156"/>
      <w:r>
        <w:rPr/>
        <w:t>12 Data security</w:t>
      </w:r>
      <w:bookmarkEnd w:id="156"/>
    </w:p>
    <w:p>
      <w:r>
        <w:rPr/>
        <w:t>The migration follows the hosting appendix (R7) and the security controls of BIBS.</w:t>
      </w:r>
    </w:p>
    <w:p>
      <w:pPr>
        <w:pStyle w:val="Caption"/>
        <w:keepNext/>
        <w:spacing w:after="60"/>
      </w:pPr>
      <w:r>
        <w:rPr>
          <w:b/>
          <w:i w:val="0"/>
        </w:rPr>
        <w:t xml:space="preserve">Table 30: </w:t>
      </w:r>
      <w:r>
        <w:rPr/>
        <w:t>Data protection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How it is applied</w:t>
            </w:r>
          </w:p>
        </w:tc>
      </w:tr>
      <w:tr>
        <w:trPr>
          <w:cantSplit w:val="true"/>
        </w:trPr>
        <w:tc>
          <w:tcPr>
            <w:tcW w:type="dxa" w:w="2403"/>
            <w:tcMar>
              <w:top w:w="50" w:type="dxa"/>
              <w:bottom w:w="50" w:type="dxa"/>
              <w:left w:w="90" w:type="dxa"/>
              <w:right w:w="90" w:type="dxa"/>
            </w:tcMar>
          </w:tcPr>
          <w:p>
            <w:pPr>
              <w:pStyle w:val="BDOITable"/>
            </w:pPr>
            <w:r>
              <w:rPr>
                <w:sz w:val="18"/>
              </w:rPr>
              <w:t>Hosting</w:t>
            </w:r>
          </w:p>
        </w:tc>
        <w:tc>
          <w:tcPr>
            <w:tcW w:type="dxa" w:w="7569"/>
            <w:tcMar>
              <w:top w:w="50" w:type="dxa"/>
              <w:bottom w:w="50" w:type="dxa"/>
              <w:left w:w="90" w:type="dxa"/>
              <w:right w:w="90" w:type="dxa"/>
            </w:tcMar>
          </w:tcPr>
          <w:p>
            <w:pPr>
              <w:pStyle w:val="BDOITable"/>
            </w:pPr>
            <w:r>
              <w:rPr>
                <w:sz w:val="18"/>
              </w:rPr>
              <w:t>All migration data (intake bucket, staging, archive) is in the BIBS environment in AWS ap-southeast-1</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Masked non-production data</w:t>
            </w:r>
          </w:p>
        </w:tc>
        <w:tc>
          <w:tcPr>
            <w:tcW w:type="dxa" w:w="7569"/>
            <w:tcMar>
              <w:top w:w="50" w:type="dxa"/>
              <w:bottom w:w="50" w:type="dxa"/>
              <w:left w:w="90" w:type="dxa"/>
              <w:right w:w="90" w:type="dxa"/>
            </w:tcMar>
            <w:shd w:val="clear" w:color="auto" w:fill="E5F5FF"/>
          </w:tcPr>
          <w:p>
            <w:pPr>
              <w:pStyle w:val="BDOITable"/>
            </w:pPr>
            <w:r>
              <w:rPr>
                <w:sz w:val="18"/>
              </w:rPr>
              <w:t>Every non-production environment (SIT, UAT, dress rehearsal) receives data masked at intake; unmasked extracts never leave production</w:t>
            </w:r>
          </w:p>
        </w:tc>
      </w:tr>
      <w:tr>
        <w:trPr>
          <w:cantSplit w:val="true"/>
        </w:trPr>
        <w:tc>
          <w:tcPr>
            <w:tcW w:type="dxa" w:w="2403"/>
            <w:tcMar>
              <w:top w:w="50" w:type="dxa"/>
              <w:bottom w:w="50" w:type="dxa"/>
              <w:left w:w="90" w:type="dxa"/>
              <w:right w:w="90" w:type="dxa"/>
            </w:tcMar>
          </w:tcPr>
          <w:p>
            <w:pPr>
              <w:pStyle w:val="BDOITable"/>
            </w:pPr>
            <w:r>
              <w:rPr>
                <w:sz w:val="18"/>
              </w:rPr>
              <w:t>Staging purge within 5 days</w:t>
            </w:r>
          </w:p>
        </w:tc>
        <w:tc>
          <w:tcPr>
            <w:tcW w:type="dxa" w:w="7569"/>
            <w:tcMar>
              <w:top w:w="50" w:type="dxa"/>
              <w:bottom w:w="50" w:type="dxa"/>
              <w:left w:w="90" w:type="dxa"/>
              <w:right w:w="90" w:type="dxa"/>
            </w:tcMar>
          </w:tcPr>
          <w:p>
            <w:pPr>
              <w:pStyle w:val="BDOITable"/>
            </w:pPr>
            <w:r>
              <w:rPr>
                <w:sz w:val="18"/>
              </w:rPr>
              <w:t>Staging payloads and extract files are deleted within 5 days of the batch sign-off or rollback, or of an extract rejection (job MIG_STAGING_PURGE and a lifecycle rule on the intake bucket); an alert is raised when a signed-off batch still has payloads after the limit. Counts, hashes and totals are kept as evidence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restricted to the Philippines</w:t>
            </w:r>
          </w:p>
        </w:tc>
        <w:tc>
          <w:tcPr>
            <w:tcW w:type="dxa" w:w="7569"/>
            <w:tcMar>
              <w:top w:w="50" w:type="dxa"/>
              <w:bottom w:w="50" w:type="dxa"/>
              <w:left w:w="90" w:type="dxa"/>
              <w:right w:w="90" w:type="dxa"/>
            </w:tcMar>
            <w:shd w:val="clear" w:color="auto" w:fill="E5F5FF"/>
          </w:tcPr>
          <w:p>
            <w:pPr>
              <w:pStyle w:val="BDOITable"/>
            </w:pPr>
            <w:r>
              <w:rPr>
                <w:sz w:val="18"/>
              </w:rPr>
              <w:t>The Migration Console, staging and the intake bucket are reachable only by migration roles and only from the Philippines (network allow-list and VPN at the infrastructure layer)</w:t>
            </w:r>
          </w:p>
        </w:tc>
      </w:tr>
      <w:tr>
        <w:trPr>
          <w:cantSplit w:val="true"/>
        </w:trPr>
        <w:tc>
          <w:tcPr>
            <w:tcW w:type="dxa" w:w="2403"/>
            <w:tcMar>
              <w:top w:w="50" w:type="dxa"/>
              <w:bottom w:w="50" w:type="dxa"/>
              <w:left w:w="90" w:type="dxa"/>
              <w:right w:w="90" w:type="dxa"/>
            </w:tcMar>
          </w:tcPr>
          <w:p>
            <w:pPr>
              <w:pStyle w:val="BDOITable"/>
            </w:pPr>
            <w:r>
              <w:rPr>
                <w:sz w:val="18"/>
              </w:rPr>
              <w:t>Encrypted transfer and storage</w:t>
            </w:r>
          </w:p>
        </w:tc>
        <w:tc>
          <w:tcPr>
            <w:tcW w:type="dxa" w:w="7569"/>
            <w:tcMar>
              <w:top w:w="50" w:type="dxa"/>
              <w:bottom w:w="50" w:type="dxa"/>
              <w:left w:w="90" w:type="dxa"/>
              <w:right w:w="90" w:type="dxa"/>
            </w:tcMar>
          </w:tcPr>
          <w:p>
            <w:pPr>
              <w:pStyle w:val="BDOITable"/>
            </w:pPr>
            <w:r>
              <w:rPr>
                <w:sz w:val="18"/>
              </w:rPr>
              <w:t>Files move through the console (TLS) or SFTP; at rest they are encrypted with KMS keys; never by e-mail or removable media</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logging</w:t>
            </w:r>
          </w:p>
        </w:tc>
        <w:tc>
          <w:tcPr>
            <w:tcW w:type="dxa" w:w="7569"/>
            <w:tcMar>
              <w:top w:w="50" w:type="dxa"/>
              <w:bottom w:w="50" w:type="dxa"/>
              <w:left w:w="90" w:type="dxa"/>
              <w:right w:w="90" w:type="dxa"/>
            </w:tcMar>
            <w:shd w:val="clear" w:color="auto" w:fill="E5F5FF"/>
          </w:tcPr>
          <w:p>
            <w:pPr>
              <w:pStyle w:val="BDOITable"/>
            </w:pPr>
            <w:r>
              <w:rPr>
                <w:sz w:val="18"/>
              </w:rPr>
              <w:t>Every console action (upload, validation, load, rerun, rollback, reconciliation, sign-off, decision) is audited; every access to archived history is written to the append-only legacy access log</w:t>
            </w:r>
          </w:p>
        </w:tc>
      </w:tr>
      <w:tr>
        <w:trPr>
          <w:cantSplit w:val="true"/>
        </w:trPr>
        <w:tc>
          <w:tcPr>
            <w:tcW w:type="dxa" w:w="2403"/>
            <w:tcMar>
              <w:top w:w="50" w:type="dxa"/>
              <w:bottom w:w="50" w:type="dxa"/>
              <w:left w:w="90" w:type="dxa"/>
              <w:right w:w="90" w:type="dxa"/>
            </w:tcMar>
          </w:tcPr>
          <w:p>
            <w:pPr>
              <w:pStyle w:val="BDOITable"/>
            </w:pPr>
            <w:r>
              <w:rPr>
                <w:sz w:val="18"/>
              </w:rPr>
              <w:t>Segregation of duties</w:t>
            </w:r>
          </w:p>
        </w:tc>
        <w:tc>
          <w:tcPr>
            <w:tcW w:type="dxa" w:w="7569"/>
            <w:tcMar>
              <w:top w:w="50" w:type="dxa"/>
              <w:bottom w:w="50" w:type="dxa"/>
              <w:left w:w="90" w:type="dxa"/>
              <w:right w:w="90" w:type="dxa"/>
            </w:tcMar>
          </w:tcPr>
          <w:p>
            <w:pPr>
              <w:pStyle w:val="BDOITable"/>
            </w:pPr>
            <w:r>
              <w:rPr>
                <w:sz w:val="18"/>
              </w:rPr>
              <w:t>The maker of a decision, map version, load or rollback never approves it; the operator of a batch cannot sign its reconciliation or acceptance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Least privilege</w:t>
            </w:r>
          </w:p>
        </w:tc>
        <w:tc>
          <w:tcPr>
            <w:tcW w:type="dxa" w:w="7569"/>
            <w:tcMar>
              <w:top w:w="50" w:type="dxa"/>
              <w:bottom w:w="50" w:type="dxa"/>
              <w:left w:w="90" w:type="dxa"/>
              <w:right w:w="90" w:type="dxa"/>
            </w:tcMar>
            <w:shd w:val="clear" w:color="auto" w:fill="E5F5FF"/>
          </w:tcPr>
          <w:p>
            <w:pPr>
              <w:pStyle w:val="BDOITable"/>
            </w:pPr>
            <w:r>
              <w:rPr>
                <w:sz w:val="18"/>
              </w:rPr>
              <w:t>Migration roles are granted through User Access requests for the migration period and removed at hypercare exit</w:t>
            </w:r>
          </w:p>
        </w:tc>
      </w:tr>
    </w:tbl>
    <w:p>
      <w:pPr>
        <w:pStyle w:val="BDOISpacer"/>
      </w:pPr>
    </w:p>
    <w:p>
      <w:pPr>
        <w:pStyle w:val="Heading1"/>
        <w:pageBreakBefore/>
        <w:pBdr>
          <w:bottom w:val="single" w:sz="4" w:space="4" w:color="99C1E7"/>
        </w:pBdr>
      </w:pPr>
      <w:bookmarkStart w:id="157" w:name="_Toc000157"/>
      <w:r>
        <w:rPr/>
        <w:t>13 Roles and responsibilities</w:t>
      </w:r>
      <w:bookmarkEnd w:id="157"/>
    </w:p>
    <w:p>
      <w:pPr>
        <w:pStyle w:val="Heading2"/>
      </w:pPr>
      <w:bookmarkStart w:id="158" w:name="_Toc000158"/>
      <w:r>
        <w:rPr/>
        <w:t>13.1 Migration organisation</w:t>
      </w:r>
      <w:bookmarkEnd w:id="158"/>
    </w:p>
    <w:p>
      <w:pPr>
        <w:tabs>
          <w:tab w:pos="312" w:val="left"/>
        </w:tabs>
        <w:spacing w:after="40"/>
        <w:ind w:left="312" w:hanging="283"/>
      </w:pPr>
      <w:r>
        <w:rPr>
          <w:color w:val="004EA8"/>
        </w:rPr>
        <w:t>•</w:t>
        <w:tab/>
      </w:r>
      <w:r>
        <w:rPr>
          <w:b/>
        </w:rPr>
        <w:t>Go / no-go board</w:t>
      </w:r>
      <w:r>
        <w:rPr/>
        <w:t>: BDOI Program Manager (chair), Heads of Operations, Comptrollership, Marketing and Compliance, BDOI IT head, iorta TechNXT Project Manager. Decides at GNG-1, GNG-2, GNG-3 and the point of no return.</w:t>
      </w:r>
    </w:p>
    <w:p>
      <w:pPr>
        <w:tabs>
          <w:tab w:pos="312" w:val="left"/>
        </w:tabs>
        <w:spacing w:after="40"/>
        <w:ind w:left="312" w:hanging="283"/>
      </w:pPr>
      <w:r>
        <w:rPr>
          <w:color w:val="004EA8"/>
        </w:rPr>
        <w:t>•</w:t>
        <w:tab/>
      </w:r>
      <w:r>
        <w:rPr>
          <w:b/>
        </w:rPr>
        <w:t>BDOI Data Migration Lead</w:t>
      </w:r>
      <w:r>
        <w:rPr/>
        <w:t>: runs the migration on the BDOI side: object register, decisions, load approvals (G4), acceptance with the owners (G6), cutover plan.</w:t>
      </w:r>
    </w:p>
    <w:p>
      <w:pPr>
        <w:tabs>
          <w:tab w:pos="312" w:val="left"/>
        </w:tabs>
        <w:spacing w:after="40"/>
        <w:ind w:left="312" w:hanging="283"/>
      </w:pPr>
      <w:r>
        <w:rPr>
          <w:color w:val="004EA8"/>
        </w:rPr>
        <w:t>•</w:t>
        <w:tab/>
      </w:r>
      <w:r>
        <w:rPr>
          <w:b/>
        </w:rPr>
        <w:t>Data owners</w:t>
      </w:r>
      <w:r>
        <w:rPr/>
        <w:t>: department heads who own an object; approve its class, code maps, waivers and acceptance.</w:t>
      </w:r>
    </w:p>
    <w:p>
      <w:pPr>
        <w:tabs>
          <w:tab w:pos="312" w:val="left"/>
        </w:tabs>
        <w:spacing w:after="40"/>
        <w:ind w:left="312" w:hanging="283"/>
      </w:pPr>
      <w:r>
        <w:rPr>
          <w:color w:val="004EA8"/>
        </w:rPr>
        <w:t>•</w:t>
        <w:tab/>
      </w:r>
      <w:r>
        <w:rPr>
          <w:b/>
        </w:rPr>
        <w:t>Data stewards</w:t>
      </w:r>
      <w:r>
        <w:rPr/>
        <w:t>: named staff per object; profile review, cleansing at source, code maps, client match review.</w:t>
      </w:r>
    </w:p>
    <w:p>
      <w:pPr>
        <w:tabs>
          <w:tab w:pos="312" w:val="left"/>
        </w:tabs>
        <w:spacing w:after="40"/>
        <w:ind w:left="312" w:hanging="283"/>
      </w:pPr>
      <w:r>
        <w:rPr>
          <w:color w:val="004EA8"/>
        </w:rPr>
        <w:t>•</w:t>
        <w:tab/>
      </w:r>
      <w:r>
        <w:rPr>
          <w:b/>
        </w:rPr>
        <w:t>BDOI IT</w:t>
      </w:r>
      <w:r>
        <w:rPr/>
        <w:t>: extracts, control files, transfer, legacy freeze and read-only mode, archive extracts, decommissioning.</w:t>
      </w:r>
    </w:p>
    <w:p>
      <w:pPr>
        <w:tabs>
          <w:tab w:pos="312" w:val="left"/>
        </w:tabs>
        <w:spacing w:after="40"/>
        <w:ind w:left="312" w:hanging="283"/>
      </w:pPr>
      <w:r>
        <w:rPr>
          <w:color w:val="004EA8"/>
        </w:rPr>
        <w:t>•</w:t>
        <w:tab/>
      </w:r>
      <w:r>
        <w:rPr>
          <w:b/>
        </w:rPr>
        <w:t>Comptrollership</w:t>
      </w:r>
      <w:r>
        <w:rPr/>
        <w:t>: legacy control accounts, Migration Clearing and accounting rules; reconciliation approver for financial objects (G5).</w:t>
      </w:r>
    </w:p>
    <w:p>
      <w:pPr>
        <w:tabs>
          <w:tab w:pos="312" w:val="left"/>
        </w:tabs>
        <w:spacing w:after="120"/>
        <w:ind w:left="312" w:hanging="283"/>
      </w:pPr>
      <w:r>
        <w:rPr>
          <w:color w:val="004EA8"/>
        </w:rPr>
        <w:t>•</w:t>
        <w:tab/>
      </w:r>
      <w:r>
        <w:rPr>
          <w:b/>
        </w:rPr>
        <w:t>iorta TechNXT</w:t>
      </w:r>
      <w:r>
        <w:rPr/>
        <w:t>: Project Manager; Migration Lead (loaders, reconciliation, profiling, console); Migration Operator (intake, validation, loads); DevOps (environments, snapshots, access); QA (smoke tests, migration test plan).</w:t>
      </w:r>
    </w:p>
    <w:p>
      <w:pPr>
        <w:pStyle w:val="Heading2"/>
      </w:pPr>
      <w:bookmarkStart w:id="159" w:name="_Toc000159"/>
      <w:r>
        <w:rPr/>
        <w:t>13.2 RACI</w:t>
      </w:r>
      <w:bookmarkEnd w:id="159"/>
    </w:p>
    <w:p>
      <w:r>
        <w:rPr/>
        <w:t>R = responsible, A = accountable, C = consulted, I = informed.</w:t>
      </w:r>
    </w:p>
    <w:p>
      <w:pPr>
        <w:pStyle w:val="Caption"/>
        <w:keepNext/>
        <w:spacing w:after="60"/>
      </w:pPr>
      <w:r>
        <w:rPr>
          <w:b/>
          <w:i w:val="0"/>
        </w:rPr>
        <w:t xml:space="preserve">Table 31: </w:t>
      </w:r>
      <w:r>
        <w:rPr/>
        <w:t>RACI. PM = BDOI Program Manager; DML = Data Migration Lead; OWN = data owners; STW = data stewards; BIT = BDOI IT; COMP = Comptrollership; CMP = Compliance; IPM = iorta Project Manager; IML = iorta Migration Lead; IOP = iorta Operator / DevOps; GNG =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00"/>
        <w:gridCol w:w="600"/>
        <w:gridCol w:w="600"/>
        <w:gridCol w:w="600"/>
        <w:gridCol w:w="600"/>
        <w:gridCol w:w="600"/>
        <w:gridCol w:w="600"/>
        <w:gridCol w:w="600"/>
        <w:gridCol w:w="600"/>
        <w:gridCol w:w="600"/>
        <w:gridCol w:w="600"/>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DML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OWN</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STW</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BIT</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COMP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IOP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GNG</w:t>
            </w:r>
          </w:p>
        </w:tc>
      </w:tr>
      <w:tr>
        <w:trPr>
          <w:cantSplit w:val="true"/>
        </w:trPr>
        <w:tc>
          <w:tcPr>
            <w:tcW w:type="dxa" w:w="3364"/>
            <w:tcMar>
              <w:top w:w="50" w:type="dxa"/>
              <w:bottom w:w="50" w:type="dxa"/>
              <w:left w:w="90" w:type="dxa"/>
              <w:right w:w="90" w:type="dxa"/>
            </w:tcMar>
          </w:tcPr>
          <w:p>
            <w:pPr>
              <w:pStyle w:val="BDOITable"/>
            </w:pPr>
            <w:r>
              <w:rPr>
                <w:sz w:val="16"/>
              </w:rPr>
              <w:t>Migration strategy and this document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Object register and decisions (G1)</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Extract layouts and templates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Extracts and control files</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Secure transfer and intake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Profiling report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Cleansing at source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Code maps (G2)</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Client matching and survivorship</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Validation and waivers (G3)</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Load approval (G4) and loads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Reconciliation (G5)</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Legacy accounts, clearing, rules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Business verification and acceptance (G6)</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Mocks and dress rehearsal</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Legacy freeze and read-only mode</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Go / no-go (G7)</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Rollback</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364"/>
            <w:tcMar>
              <w:top w:w="50" w:type="dxa"/>
              <w:bottom w:w="50" w:type="dxa"/>
              <w:left w:w="90" w:type="dxa"/>
              <w:right w:w="90" w:type="dxa"/>
            </w:tcMar>
          </w:tcPr>
          <w:p>
            <w:pPr>
              <w:pStyle w:val="BDOITable"/>
            </w:pPr>
            <w:r>
              <w:rPr>
                <w:sz w:val="16"/>
              </w:rPr>
              <w:t>Hypercare</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Archive loads and Legacy Inquiry verification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Decommissioning</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r>
    </w:tbl>
    <w:p>
      <w:pPr>
        <w:pStyle w:val="BDOISpacer"/>
      </w:pPr>
    </w:p>
    <w:p>
      <w:pPr>
        <w:pStyle w:val="Heading1"/>
        <w:pageBreakBefore/>
        <w:pBdr>
          <w:bottom w:val="single" w:sz="4" w:space="4" w:color="99C1E7"/>
        </w:pBdr>
      </w:pPr>
      <w:bookmarkStart w:id="160" w:name="_Toc000160"/>
      <w:r>
        <w:rPr/>
        <w:t>14 Risks and mitigations</w:t>
      </w:r>
      <w:bookmarkEnd w:id="160"/>
    </w:p>
    <w:p>
      <w:pPr>
        <w:pStyle w:val="Caption"/>
        <w:keepNext/>
        <w:spacing w:after="60"/>
      </w:pPr>
      <w:r>
        <w:rPr>
          <w:b/>
          <w:i w:val="0"/>
        </w:rPr>
        <w:t xml:space="preserve">Table 32: </w:t>
      </w:r>
      <w:r>
        <w:rPr/>
        <w:t>Migration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244"/>
        <w:gridCol w:w="901"/>
        <w:gridCol w:w="528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Risk</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7"/>
              </w:rPr>
              <w:t>Impact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Mitigation</w:t>
            </w:r>
          </w:p>
        </w:tc>
      </w:tr>
      <w:tr>
        <w:trPr>
          <w:cantSplit w:val="true"/>
        </w:trPr>
        <w:tc>
          <w:tcPr>
            <w:tcW w:type="dxa" w:w="541"/>
            <w:tcMar>
              <w:top w:w="50" w:type="dxa"/>
              <w:bottom w:w="50" w:type="dxa"/>
              <w:left w:w="90" w:type="dxa"/>
              <w:right w:w="90" w:type="dxa"/>
            </w:tcMar>
          </w:tcPr>
          <w:p>
            <w:pPr>
              <w:pStyle w:val="BDOITable"/>
            </w:pPr>
            <w:r>
              <w:rPr>
                <w:sz w:val="17"/>
              </w:rPr>
              <w:t>1</w:t>
            </w:r>
          </w:p>
        </w:tc>
        <w:tc>
          <w:tcPr>
            <w:tcW w:type="dxa" w:w="3244"/>
            <w:tcMar>
              <w:top w:w="50" w:type="dxa"/>
              <w:bottom w:w="50" w:type="dxa"/>
              <w:left w:w="90" w:type="dxa"/>
              <w:right w:w="90" w:type="dxa"/>
            </w:tcMar>
          </w:tcPr>
          <w:p>
            <w:pPr>
              <w:pStyle w:val="BDOITable"/>
            </w:pPr>
            <w:r>
              <w:rPr>
                <w:sz w:val="17"/>
              </w:rPr>
              <w:t>Legacy cannot give open balances per component or the paid / remitted split (DMQ12, DCR-207)</w:t>
            </w:r>
          </w:p>
        </w:tc>
        <w:tc>
          <w:tcPr>
            <w:tcW w:type="dxa" w:w="901"/>
            <w:tcMar>
              <w:top w:w="50" w:type="dxa"/>
              <w:bottom w:w="50" w:type="dxa"/>
              <w:left w:w="90" w:type="dxa"/>
              <w:right w:w="90" w:type="dxa"/>
            </w:tcMar>
          </w:tcPr>
          <w:p>
            <w:pPr>
              <w:pStyle w:val="BDOITable"/>
            </w:pPr>
            <w:r>
              <w:rPr>
                <w:sz w:val="17"/>
              </w:rPr>
              <w:t>High</w:t>
            </w:r>
          </w:p>
        </w:tc>
        <w:tc>
          <w:tcPr>
            <w:tcW w:type="dxa" w:w="5286"/>
            <w:tcMar>
              <w:top w:w="50" w:type="dxa"/>
              <w:bottom w:w="50" w:type="dxa"/>
              <w:left w:w="90" w:type="dxa"/>
              <w:right w:w="90" w:type="dxa"/>
            </w:tcMar>
          </w:tcPr>
          <w:p>
            <w:pPr>
              <w:pStyle w:val="BDOITable"/>
            </w:pPr>
            <w:r>
              <w:rPr>
                <w:sz w:val="17"/>
              </w:rPr>
              <w:t>Profiling at T-14 weeks; "open-balance mode" (open balance loaded as booked, original values in the snapshot); split rules as configuration agreed with Comptrollership</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2</w:t>
            </w:r>
          </w:p>
        </w:tc>
        <w:tc>
          <w:tcPr>
            <w:tcW w:type="dxa" w:w="3244"/>
            <w:tcMar>
              <w:top w:w="50" w:type="dxa"/>
              <w:bottom w:w="50" w:type="dxa"/>
              <w:left w:w="90" w:type="dxa"/>
              <w:right w:w="90" w:type="dxa"/>
            </w:tcMar>
            <w:shd w:val="clear" w:color="auto" w:fill="E5F5FF"/>
          </w:tcPr>
          <w:p>
            <w:pPr>
              <w:pStyle w:val="BDOITable"/>
            </w:pPr>
            <w:r>
              <w:rPr>
                <w:sz w:val="17"/>
              </w:rPr>
              <w:t>Migration Clearing not 0.00 at cutover (detail and trial balance disagree)</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Reconciliation in every mock from Mock 2; trial balance extracted after the same EOD as the detail; break explanations agreed with Comptrollership before GNG-3</w:t>
            </w:r>
          </w:p>
        </w:tc>
      </w:tr>
      <w:tr>
        <w:trPr>
          <w:cantSplit w:val="true"/>
        </w:trPr>
        <w:tc>
          <w:tcPr>
            <w:tcW w:type="dxa" w:w="541"/>
            <w:tcMar>
              <w:top w:w="50" w:type="dxa"/>
              <w:bottom w:w="50" w:type="dxa"/>
              <w:left w:w="90" w:type="dxa"/>
              <w:right w:w="90" w:type="dxa"/>
            </w:tcMar>
          </w:tcPr>
          <w:p>
            <w:pPr>
              <w:pStyle w:val="BDOITable"/>
            </w:pPr>
            <w:r>
              <w:rPr>
                <w:sz w:val="17"/>
              </w:rPr>
              <w:t>3</w:t>
            </w:r>
          </w:p>
        </w:tc>
        <w:tc>
          <w:tcPr>
            <w:tcW w:type="dxa" w:w="3244"/>
            <w:tcMar>
              <w:top w:w="50" w:type="dxa"/>
              <w:bottom w:w="50" w:type="dxa"/>
              <w:left w:w="90" w:type="dxa"/>
              <w:right w:w="90" w:type="dxa"/>
            </w:tcMar>
          </w:tcPr>
          <w:p>
            <w:pPr>
              <w:pStyle w:val="BDOITable"/>
            </w:pPr>
            <w:r>
              <w:rPr>
                <w:sz w:val="17"/>
              </w:rPr>
              <w:t>Duplicate clients merged wrongly, or not merged</w:t>
            </w:r>
          </w:p>
        </w:tc>
        <w:tc>
          <w:tcPr>
            <w:tcW w:type="dxa" w:w="901"/>
            <w:tcMar>
              <w:top w:w="50" w:type="dxa"/>
              <w:bottom w:w="50" w:type="dxa"/>
              <w:left w:w="90" w:type="dxa"/>
              <w:right w:w="90" w:type="dxa"/>
            </w:tcMar>
          </w:tcPr>
          <w:p>
            <w:pPr>
              <w:pStyle w:val="BDOITable"/>
            </w:pPr>
            <w:r>
              <w:rPr>
                <w:sz w:val="17"/>
              </w:rPr>
              <w:t>High</w:t>
            </w:r>
          </w:p>
        </w:tc>
        <w:tc>
          <w:tcPr>
            <w:tcW w:type="dxa" w:w="5286"/>
            <w:tcMar>
              <w:top w:w="50" w:type="dxa"/>
              <w:bottom w:w="50" w:type="dxa"/>
              <w:left w:w="90" w:type="dxa"/>
              <w:right w:w="90" w:type="dxa"/>
            </w:tcMar>
          </w:tcPr>
          <w:p>
            <w:pPr>
              <w:pStyle w:val="BDOITable"/>
            </w:pPr>
            <w:r>
              <w:rPr>
                <w:sz w:val="17"/>
              </w:rPr>
              <w:t>Auto-merge only on hard keys; review queue for the rest; every lost value kept; client batches can be rolled back before sign-off</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4</w:t>
            </w:r>
          </w:p>
        </w:tc>
        <w:tc>
          <w:tcPr>
            <w:tcW w:type="dxa" w:w="3244"/>
            <w:tcMar>
              <w:top w:w="50" w:type="dxa"/>
              <w:bottom w:w="50" w:type="dxa"/>
              <w:left w:w="90" w:type="dxa"/>
              <w:right w:w="90" w:type="dxa"/>
            </w:tcMar>
            <w:shd w:val="clear" w:color="auto" w:fill="E5F5FF"/>
          </w:tcPr>
          <w:p>
            <w:pPr>
              <w:pStyle w:val="BDOITable"/>
            </w:pPr>
            <w:r>
              <w:rPr>
                <w:sz w:val="17"/>
              </w:rPr>
              <w:t>Answers to the build-shaping decisions arrive late (M1)</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Decisions listed with dates (chapter 15); defaults in configuration where possible; build waves sequenced so late answers change configuration, not code</w:t>
            </w:r>
          </w:p>
        </w:tc>
      </w:tr>
      <w:tr>
        <w:trPr>
          <w:cantSplit w:val="true"/>
        </w:trPr>
        <w:tc>
          <w:tcPr>
            <w:tcW w:type="dxa" w:w="541"/>
            <w:tcMar>
              <w:top w:w="50" w:type="dxa"/>
              <w:bottom w:w="50" w:type="dxa"/>
              <w:left w:w="90" w:type="dxa"/>
              <w:right w:w="90" w:type="dxa"/>
            </w:tcMar>
          </w:tcPr>
          <w:p>
            <w:pPr>
              <w:pStyle w:val="BDOITable"/>
            </w:pPr>
            <w:r>
              <w:rPr>
                <w:sz w:val="17"/>
              </w:rPr>
              <w:t>5</w:t>
            </w:r>
          </w:p>
        </w:tc>
        <w:tc>
          <w:tcPr>
            <w:tcW w:type="dxa" w:w="3244"/>
            <w:tcMar>
              <w:top w:w="50" w:type="dxa"/>
              <w:bottom w:w="50" w:type="dxa"/>
              <w:left w:w="90" w:type="dxa"/>
              <w:right w:w="90" w:type="dxa"/>
            </w:tcMar>
          </w:tcPr>
          <w:p>
            <w:pPr>
              <w:pStyle w:val="BDOITable"/>
            </w:pPr>
            <w:r>
              <w:rPr>
                <w:sz w:val="17"/>
              </w:rPr>
              <w:t>Load time exceeds the cutover window</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Pre-load of reference data and clients; four partitions; dress rehearsal at full volume with 20 percent margin</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6</w:t>
            </w:r>
          </w:p>
        </w:tc>
        <w:tc>
          <w:tcPr>
            <w:tcW w:type="dxa" w:w="3244"/>
            <w:tcMar>
              <w:top w:w="50" w:type="dxa"/>
              <w:bottom w:w="50" w:type="dxa"/>
              <w:left w:w="90" w:type="dxa"/>
              <w:right w:w="90" w:type="dxa"/>
            </w:tcMar>
            <w:shd w:val="clear" w:color="auto" w:fill="E5F5FF"/>
          </w:tcPr>
          <w:p>
            <w:pPr>
              <w:pStyle w:val="BDOITable"/>
            </w:pPr>
            <w:r>
              <w:rPr>
                <w:sz w:val="17"/>
              </w:rPr>
              <w:t>Endorsements of legacy invoices without policy headers (BRID 9 depends on BRID 4.1)</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Decide DMQ09 / DMQ22 by M1; proposal: headers of every in-force policy</w:t>
            </w:r>
          </w:p>
        </w:tc>
      </w:tr>
      <w:tr>
        <w:trPr>
          <w:cantSplit w:val="true"/>
        </w:trPr>
        <w:tc>
          <w:tcPr>
            <w:tcW w:type="dxa" w:w="541"/>
            <w:tcMar>
              <w:top w:w="50" w:type="dxa"/>
              <w:bottom w:w="50" w:type="dxa"/>
              <w:left w:w="90" w:type="dxa"/>
              <w:right w:w="90" w:type="dxa"/>
            </w:tcMar>
          </w:tcPr>
          <w:p>
            <w:pPr>
              <w:pStyle w:val="BDOITable"/>
            </w:pPr>
            <w:r>
              <w:rPr>
                <w:sz w:val="17"/>
              </w:rPr>
              <w:t>7</w:t>
            </w:r>
          </w:p>
        </w:tc>
        <w:tc>
          <w:tcPr>
            <w:tcW w:type="dxa" w:w="3244"/>
            <w:tcMar>
              <w:top w:w="50" w:type="dxa"/>
              <w:bottom w:w="50" w:type="dxa"/>
              <w:left w:w="90" w:type="dxa"/>
              <w:right w:w="90" w:type="dxa"/>
            </w:tcMar>
          </w:tcPr>
          <w:p>
            <w:pPr>
              <w:pStyle w:val="BDOITable"/>
            </w:pPr>
            <w:r>
              <w:rPr>
                <w:sz w:val="17"/>
              </w:rPr>
              <w:t>Real personal data in a test environment</w:t>
            </w:r>
          </w:p>
        </w:tc>
        <w:tc>
          <w:tcPr>
            <w:tcW w:type="dxa" w:w="901"/>
            <w:tcMar>
              <w:top w:w="50" w:type="dxa"/>
              <w:bottom w:w="50" w:type="dxa"/>
              <w:left w:w="90" w:type="dxa"/>
              <w:right w:w="90" w:type="dxa"/>
            </w:tcMar>
          </w:tcPr>
          <w:p>
            <w:pPr>
              <w:pStyle w:val="BDOITable"/>
            </w:pPr>
            <w:r>
              <w:rPr>
                <w:sz w:val="17"/>
              </w:rPr>
              <w:t>High</w:t>
            </w:r>
          </w:p>
        </w:tc>
        <w:tc>
          <w:tcPr>
            <w:tcW w:type="dxa" w:w="5286"/>
            <w:tcMar>
              <w:top w:w="50" w:type="dxa"/>
              <w:bottom w:w="50" w:type="dxa"/>
              <w:left w:w="90" w:type="dxa"/>
              <w:right w:w="90" w:type="dxa"/>
            </w:tcMar>
          </w:tcPr>
          <w:p>
            <w:pPr>
              <w:pStyle w:val="BDOITable"/>
            </w:pPr>
            <w:r>
              <w:rPr>
                <w:sz w:val="17"/>
              </w:rPr>
              <w:t>Masking at intake; unmasked files never leave production; 5-day purge; access only from the Philippines</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8</w:t>
            </w:r>
          </w:p>
        </w:tc>
        <w:tc>
          <w:tcPr>
            <w:tcW w:type="dxa" w:w="3244"/>
            <w:tcMar>
              <w:top w:w="50" w:type="dxa"/>
              <w:bottom w:w="50" w:type="dxa"/>
              <w:left w:w="90" w:type="dxa"/>
              <w:right w:w="90" w:type="dxa"/>
            </w:tcMar>
            <w:shd w:val="clear" w:color="auto" w:fill="E5F5FF"/>
          </w:tcPr>
          <w:p>
            <w:pPr>
              <w:pStyle w:val="BDOITable"/>
            </w:pPr>
            <w:r>
              <w:rPr>
                <w:sz w:val="17"/>
              </w:rPr>
              <w:t>Legacy postings after the freeze</w:t>
            </w:r>
          </w:p>
        </w:tc>
        <w:tc>
          <w:tcPr>
            <w:tcW w:type="dxa" w:w="901"/>
            <w:tcMar>
              <w:top w:w="50" w:type="dxa"/>
              <w:bottom w:w="50" w:type="dxa"/>
              <w:left w:w="90" w:type="dxa"/>
              <w:right w:w="90" w:type="dxa"/>
            </w:tcMar>
            <w:shd w:val="clear" w:color="auto" w:fill="E5F5FF"/>
          </w:tcPr>
          <w:p>
            <w:pPr>
              <w:pStyle w:val="BDOITable"/>
            </w:pPr>
            <w:r>
              <w:rPr>
                <w:sz w:val="17"/>
              </w:rPr>
              <w:t>High</w:t>
            </w:r>
          </w:p>
        </w:tc>
        <w:tc>
          <w:tcPr>
            <w:tcW w:type="dxa" w:w="5286"/>
            <w:tcMar>
              <w:top w:w="50" w:type="dxa"/>
              <w:bottom w:w="50" w:type="dxa"/>
              <w:left w:w="90" w:type="dxa"/>
              <w:right w:w="90" w:type="dxa"/>
            </w:tcMar>
            <w:shd w:val="clear" w:color="auto" w:fill="E5F5FF"/>
          </w:tcPr>
          <w:p>
            <w:pPr>
              <w:pStyle w:val="BDOITable"/>
            </w:pPr>
            <w:r>
              <w:rPr>
                <w:sz w:val="17"/>
              </w:rPr>
              <w:t>Legacy set read-only at T-3 22:00 and tested; any late legacy transaction is a reconciliation break and is re-keyed in BIBS</w:t>
            </w:r>
          </w:p>
        </w:tc>
      </w:tr>
      <w:tr>
        <w:trPr>
          <w:cantSplit w:val="true"/>
        </w:trPr>
        <w:tc>
          <w:tcPr>
            <w:tcW w:type="dxa" w:w="541"/>
            <w:tcMar>
              <w:top w:w="50" w:type="dxa"/>
              <w:bottom w:w="50" w:type="dxa"/>
              <w:left w:w="90" w:type="dxa"/>
              <w:right w:w="90" w:type="dxa"/>
            </w:tcMar>
          </w:tcPr>
          <w:p>
            <w:pPr>
              <w:pStyle w:val="BDOITable"/>
            </w:pPr>
            <w:r>
              <w:rPr>
                <w:sz w:val="17"/>
              </w:rPr>
              <w:t>9</w:t>
            </w:r>
          </w:p>
        </w:tc>
        <w:tc>
          <w:tcPr>
            <w:tcW w:type="dxa" w:w="3244"/>
            <w:tcMar>
              <w:top w:w="50" w:type="dxa"/>
              <w:bottom w:w="50" w:type="dxa"/>
              <w:left w:w="90" w:type="dxa"/>
              <w:right w:w="90" w:type="dxa"/>
            </w:tcMar>
          </w:tcPr>
          <w:p>
            <w:pPr>
              <w:pStyle w:val="BDOITable"/>
            </w:pPr>
            <w:r>
              <w:rPr>
                <w:sz w:val="17"/>
              </w:rPr>
              <w:t>In-flight items forgotten at the freeze</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Completion drives from T-9; carry-forward layouts F04, F06; signed re-keying list</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10</w:t>
            </w:r>
          </w:p>
        </w:tc>
        <w:tc>
          <w:tcPr>
            <w:tcW w:type="dxa" w:w="3244"/>
            <w:tcMar>
              <w:top w:w="50" w:type="dxa"/>
              <w:bottom w:w="50" w:type="dxa"/>
              <w:left w:w="90" w:type="dxa"/>
              <w:right w:w="90" w:type="dxa"/>
            </w:tcMar>
            <w:shd w:val="clear" w:color="auto" w:fill="E5F5FF"/>
          </w:tcPr>
          <w:p>
            <w:pPr>
              <w:pStyle w:val="BDOITable"/>
            </w:pPr>
            <w:r>
              <w:rPr>
                <w:sz w:val="17"/>
              </w:rPr>
              <w:t>Code maps incomplete when transactions load</w:t>
            </w:r>
          </w:p>
        </w:tc>
        <w:tc>
          <w:tcPr>
            <w:tcW w:type="dxa" w:w="901"/>
            <w:tcMar>
              <w:top w:w="50" w:type="dxa"/>
              <w:bottom w:w="50" w:type="dxa"/>
              <w:left w:w="90" w:type="dxa"/>
              <w:right w:w="90" w:type="dxa"/>
            </w:tcMar>
            <w:shd w:val="clear" w:color="auto" w:fill="E5F5FF"/>
          </w:tcPr>
          <w:p>
            <w:pPr>
              <w:pStyle w:val="BDOITable"/>
            </w:pPr>
            <w:r>
              <w:rPr>
                <w:sz w:val="17"/>
              </w:rPr>
              <w:t>Medium</w:t>
            </w:r>
          </w:p>
        </w:tc>
        <w:tc>
          <w:tcPr>
            <w:tcW w:type="dxa" w:w="5286"/>
            <w:tcMar>
              <w:top w:w="50" w:type="dxa"/>
              <w:bottom w:w="50" w:type="dxa"/>
              <w:left w:w="90" w:type="dxa"/>
              <w:right w:w="90" w:type="dxa"/>
            </w:tcMar>
            <w:shd w:val="clear" w:color="auto" w:fill="E5F5FF"/>
          </w:tcPr>
          <w:p>
            <w:pPr>
              <w:pStyle w:val="BDOITable"/>
            </w:pPr>
            <w:r>
              <w:rPr>
                <w:sz w:val="17"/>
              </w:rPr>
              <w:t>Unmapped-code report before load; gate G3 blocks the batch; map freeze at T-7</w:t>
            </w:r>
          </w:p>
        </w:tc>
      </w:tr>
      <w:tr>
        <w:trPr>
          <w:cantSplit w:val="true"/>
        </w:trPr>
        <w:tc>
          <w:tcPr>
            <w:tcW w:type="dxa" w:w="541"/>
            <w:tcMar>
              <w:top w:w="50" w:type="dxa"/>
              <w:bottom w:w="50" w:type="dxa"/>
              <w:left w:w="90" w:type="dxa"/>
              <w:right w:w="90" w:type="dxa"/>
            </w:tcMar>
          </w:tcPr>
          <w:p>
            <w:pPr>
              <w:pStyle w:val="BDOITable"/>
            </w:pPr>
            <w:r>
              <w:rPr>
                <w:sz w:val="17"/>
              </w:rPr>
              <w:t>11</w:t>
            </w:r>
          </w:p>
        </w:tc>
        <w:tc>
          <w:tcPr>
            <w:tcW w:type="dxa" w:w="3244"/>
            <w:tcMar>
              <w:top w:w="50" w:type="dxa"/>
              <w:bottom w:w="50" w:type="dxa"/>
              <w:left w:w="90" w:type="dxa"/>
              <w:right w:w="90" w:type="dxa"/>
            </w:tcMar>
          </w:tcPr>
          <w:p>
            <w:pPr>
              <w:pStyle w:val="BDOITable"/>
            </w:pPr>
            <w:r>
              <w:rPr>
                <w:sz w:val="17"/>
              </w:rPr>
              <w:t>BDOI steward capacity for cleansing and review</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Named stewards per object by M2; profiling report per mock with the top issues; review queue sized from Mock 1</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12</w:t>
            </w:r>
          </w:p>
        </w:tc>
        <w:tc>
          <w:tcPr>
            <w:tcW w:type="dxa" w:w="3244"/>
            <w:tcMar>
              <w:top w:w="50" w:type="dxa"/>
              <w:bottom w:w="50" w:type="dxa"/>
              <w:left w:w="90" w:type="dxa"/>
              <w:right w:w="90" w:type="dxa"/>
            </w:tcMar>
            <w:shd w:val="clear" w:color="auto" w:fill="E5F5FF"/>
          </w:tcPr>
          <w:p>
            <w:pPr>
              <w:pStyle w:val="BDOITable"/>
            </w:pPr>
            <w:r>
              <w:rPr>
                <w:sz w:val="17"/>
              </w:rPr>
              <w:t>Legacy system decommissioned before history is archived</w:t>
            </w:r>
          </w:p>
        </w:tc>
        <w:tc>
          <w:tcPr>
            <w:tcW w:type="dxa" w:w="901"/>
            <w:tcMar>
              <w:top w:w="50" w:type="dxa"/>
              <w:bottom w:w="50" w:type="dxa"/>
              <w:left w:w="90" w:type="dxa"/>
              <w:right w:w="90" w:type="dxa"/>
            </w:tcMar>
            <w:shd w:val="clear" w:color="auto" w:fill="E5F5FF"/>
          </w:tcPr>
          <w:p>
            <w:pPr>
              <w:pStyle w:val="BDOITable"/>
            </w:pPr>
            <w:r>
              <w:rPr>
                <w:sz w:val="17"/>
              </w:rPr>
              <w:t>Medium</w:t>
            </w:r>
          </w:p>
        </w:tc>
        <w:tc>
          <w:tcPr>
            <w:tcW w:type="dxa" w:w="5286"/>
            <w:tcMar>
              <w:top w:w="50" w:type="dxa"/>
              <w:bottom w:w="50" w:type="dxa"/>
              <w:left w:w="90" w:type="dxa"/>
              <w:right w:w="90" w:type="dxa"/>
            </w:tcMar>
            <w:shd w:val="clear" w:color="auto" w:fill="E5F5FF"/>
          </w:tcPr>
          <w:p>
            <w:pPr>
              <w:pStyle w:val="BDOITable"/>
            </w:pPr>
            <w:r>
              <w:rPr>
                <w:sz w:val="17"/>
              </w:rPr>
              <w:t>Decommissioning only against the signed checklist; archive reconciled and verified by Audit / Compliance</w:t>
            </w:r>
          </w:p>
        </w:tc>
      </w:tr>
      <w:tr>
        <w:trPr>
          <w:cantSplit w:val="true"/>
        </w:trPr>
        <w:tc>
          <w:tcPr>
            <w:tcW w:type="dxa" w:w="541"/>
            <w:tcMar>
              <w:top w:w="50" w:type="dxa"/>
              <w:bottom w:w="50" w:type="dxa"/>
              <w:left w:w="90" w:type="dxa"/>
              <w:right w:w="90" w:type="dxa"/>
            </w:tcMar>
          </w:tcPr>
          <w:p>
            <w:pPr>
              <w:pStyle w:val="BDOITable"/>
            </w:pPr>
            <w:r>
              <w:rPr>
                <w:sz w:val="17"/>
              </w:rPr>
              <w:t>13</w:t>
            </w:r>
          </w:p>
        </w:tc>
        <w:tc>
          <w:tcPr>
            <w:tcW w:type="dxa" w:w="3244"/>
            <w:tcMar>
              <w:top w:w="50" w:type="dxa"/>
              <w:bottom w:w="50" w:type="dxa"/>
              <w:left w:w="90" w:type="dxa"/>
              <w:right w:w="90" w:type="dxa"/>
            </w:tcMar>
          </w:tcPr>
          <w:p>
            <w:pPr>
              <w:pStyle w:val="BDOITable"/>
            </w:pPr>
            <w:r>
              <w:rPr>
                <w:sz w:val="17"/>
              </w:rPr>
              <w:t>Foreign-currency openings at the wrong rate (DMQ35)</w:t>
            </w:r>
          </w:p>
        </w:tc>
        <w:tc>
          <w:tcPr>
            <w:tcW w:type="dxa" w:w="901"/>
            <w:tcMar>
              <w:top w:w="50" w:type="dxa"/>
              <w:bottom w:w="50" w:type="dxa"/>
              <w:left w:w="90" w:type="dxa"/>
              <w:right w:w="90" w:type="dxa"/>
            </w:tcMar>
          </w:tcPr>
          <w:p>
            <w:pPr>
              <w:pStyle w:val="BDOITable"/>
            </w:pPr>
            <w:r>
              <w:rPr>
                <w:sz w:val="17"/>
              </w:rPr>
              <w:t>Medium</w:t>
            </w:r>
          </w:p>
        </w:tc>
        <w:tc>
          <w:tcPr>
            <w:tcW w:type="dxa" w:w="5286"/>
            <w:tcMar>
              <w:top w:w="50" w:type="dxa"/>
              <w:bottom w:w="50" w:type="dxa"/>
              <w:left w:w="90" w:type="dxa"/>
              <w:right w:w="90" w:type="dxa"/>
            </w:tcMar>
          </w:tcPr>
          <w:p>
            <w:pPr>
              <w:pStyle w:val="BDOITable"/>
            </w:pPr>
            <w:r>
              <w:rPr>
                <w:sz w:val="17"/>
              </w:rPr>
              <w:t>Rate decision by M2; booking rate carried in the extract; reconciliation per currency</w:t>
            </w:r>
          </w:p>
        </w:tc>
      </w:tr>
      <w:tr>
        <w:trPr>
          <w:cantSplit w:val="true"/>
        </w:trPr>
        <w:tc>
          <w:tcPr>
            <w:tcW w:type="dxa" w:w="541"/>
            <w:tcMar>
              <w:top w:w="50" w:type="dxa"/>
              <w:bottom w:w="50" w:type="dxa"/>
              <w:left w:w="90" w:type="dxa"/>
              <w:right w:w="90" w:type="dxa"/>
            </w:tcMar>
            <w:shd w:val="clear" w:color="auto" w:fill="E5F5FF"/>
          </w:tcPr>
          <w:p>
            <w:pPr>
              <w:pStyle w:val="BDOITable"/>
            </w:pPr>
            <w:r>
              <w:rPr>
                <w:sz w:val="17"/>
              </w:rPr>
              <w:t>14</w:t>
            </w:r>
          </w:p>
        </w:tc>
        <w:tc>
          <w:tcPr>
            <w:tcW w:type="dxa" w:w="3244"/>
            <w:tcMar>
              <w:top w:w="50" w:type="dxa"/>
              <w:bottom w:w="50" w:type="dxa"/>
              <w:left w:w="90" w:type="dxa"/>
              <w:right w:w="90" w:type="dxa"/>
            </w:tcMar>
            <w:shd w:val="clear" w:color="auto" w:fill="E5F5FF"/>
          </w:tcPr>
          <w:p>
            <w:pPr>
              <w:pStyle w:val="BDOITable"/>
            </w:pPr>
            <w:r>
              <w:rPr>
                <w:sz w:val="17"/>
              </w:rPr>
              <w:t>The draft BRD changes when it is signed (DCR-189)</w:t>
            </w:r>
          </w:p>
        </w:tc>
        <w:tc>
          <w:tcPr>
            <w:tcW w:type="dxa" w:w="901"/>
            <w:tcMar>
              <w:top w:w="50" w:type="dxa"/>
              <w:bottom w:w="50" w:type="dxa"/>
              <w:left w:w="90" w:type="dxa"/>
              <w:right w:w="90" w:type="dxa"/>
            </w:tcMar>
            <w:shd w:val="clear" w:color="auto" w:fill="E5F5FF"/>
          </w:tcPr>
          <w:p>
            <w:pPr>
              <w:pStyle w:val="BDOITable"/>
            </w:pPr>
            <w:r>
              <w:rPr>
                <w:sz w:val="17"/>
              </w:rPr>
              <w:t>Medium</w:t>
            </w:r>
          </w:p>
        </w:tc>
        <w:tc>
          <w:tcPr>
            <w:tcW w:type="dxa" w:w="5286"/>
            <w:tcMar>
              <w:top w:w="50" w:type="dxa"/>
              <w:bottom w:w="50" w:type="dxa"/>
              <w:left w:w="90" w:type="dxa"/>
              <w:right w:w="90" w:type="dxa"/>
            </w:tcMar>
            <w:shd w:val="clear" w:color="auto" w:fill="E5F5FF"/>
          </w:tcPr>
          <w:p>
            <w:pPr>
              <w:pStyle w:val="BDOITable"/>
            </w:pPr>
            <w:r>
              <w:rPr>
                <w:sz w:val="17"/>
              </w:rPr>
              <w:t>This document and the FRS are re-issued; decisions are configuration where possible</w:t>
            </w:r>
          </w:p>
        </w:tc>
      </w:tr>
    </w:tbl>
    <w:p>
      <w:pPr>
        <w:pStyle w:val="BDOISpacer"/>
      </w:pPr>
    </w:p>
    <w:p>
      <w:pPr>
        <w:pStyle w:val="Heading1"/>
        <w:pageBreakBefore/>
        <w:pBdr>
          <w:bottom w:val="single" w:sz="4" w:space="4" w:color="99C1E7"/>
        </w:pBdr>
      </w:pPr>
      <w:bookmarkStart w:id="161" w:name="_Toc000161"/>
      <w:r>
        <w:rPr/>
        <w:t>15 Dependencies and open decisions</w:t>
      </w:r>
      <w:bookmarkEnd w:id="161"/>
    </w:p>
    <w:p>
      <w:pPr>
        <w:pStyle w:val="Heading2"/>
      </w:pPr>
      <w:bookmarkStart w:id="162" w:name="_Toc000162"/>
      <w:r>
        <w:rPr/>
        <w:t>15.1 Dependencies</w:t>
      </w:r>
      <w:bookmarkEnd w:id="162"/>
    </w:p>
    <w:p>
      <w:pPr>
        <w:pStyle w:val="Caption"/>
        <w:keepNext/>
        <w:spacing w:after="60"/>
      </w:pPr>
      <w:r>
        <w:rPr>
          <w:b/>
          <w:i w:val="0"/>
        </w:rPr>
        <w:t xml:space="preserve">Table 33: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5647"/>
        <w:gridCol w:w="1922"/>
        <w:gridCol w:w="168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21"/>
            <w:tcMar>
              <w:top w:w="50" w:type="dxa"/>
              <w:bottom w:w="50" w:type="dxa"/>
              <w:left w:w="90" w:type="dxa"/>
              <w:right w:w="90" w:type="dxa"/>
            </w:tcMar>
          </w:tcPr>
          <w:p>
            <w:pPr>
              <w:pStyle w:val="BDOITable"/>
            </w:pPr>
            <w:r>
              <w:rPr>
                <w:sz w:val="17"/>
              </w:rPr>
              <w:t>D1</w:t>
            </w:r>
          </w:p>
        </w:tc>
        <w:tc>
          <w:tcPr>
            <w:tcW w:type="dxa" w:w="5647"/>
            <w:tcMar>
              <w:top w:w="50" w:type="dxa"/>
              <w:bottom w:w="50" w:type="dxa"/>
              <w:left w:w="90" w:type="dxa"/>
              <w:right w:w="90" w:type="dxa"/>
            </w:tcMar>
          </w:tcPr>
          <w:p>
            <w:pPr>
              <w:pStyle w:val="BDOITable"/>
            </w:pPr>
            <w:r>
              <w:rPr>
                <w:sz w:val="17"/>
              </w:rPr>
              <w:t>Build waves DM0 and DM1-C of the migration module (reference data, clients, headers) deployed on SIT</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Mock 1 (T-12 weeks)</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D2</w:t>
            </w:r>
          </w:p>
        </w:tc>
        <w:tc>
          <w:tcPr>
            <w:tcW w:type="dxa" w:w="5647"/>
            <w:tcMar>
              <w:top w:w="50" w:type="dxa"/>
              <w:bottom w:w="50" w:type="dxa"/>
              <w:left w:w="90" w:type="dxa"/>
              <w:right w:w="90" w:type="dxa"/>
            </w:tcMar>
            <w:shd w:val="clear" w:color="auto" w:fill="E5F5FF"/>
          </w:tcPr>
          <w:p>
            <w:pPr>
              <w:pStyle w:val="BDOITable"/>
            </w:pPr>
            <w:r>
              <w:rPr>
                <w:sz w:val="17"/>
              </w:rPr>
              <w:t>Build waves DM1-A, DM1-B, DM2-A (legacy invoices, UPP, reversals, remittance, endorsements, Prod Recon) deployed on SIT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Mock 2 (T-9 weeks)</w:t>
            </w:r>
          </w:p>
        </w:tc>
      </w:tr>
      <w:tr>
        <w:trPr>
          <w:cantSplit w:val="true"/>
        </w:trPr>
        <w:tc>
          <w:tcPr>
            <w:tcW w:type="dxa" w:w="721"/>
            <w:tcMar>
              <w:top w:w="50" w:type="dxa"/>
              <w:bottom w:w="50" w:type="dxa"/>
              <w:left w:w="90" w:type="dxa"/>
              <w:right w:w="90" w:type="dxa"/>
            </w:tcMar>
          </w:tcPr>
          <w:p>
            <w:pPr>
              <w:pStyle w:val="BDOITable"/>
            </w:pPr>
            <w:r>
              <w:rPr>
                <w:sz w:val="17"/>
              </w:rPr>
              <w:t>D3</w:t>
            </w:r>
          </w:p>
        </w:tc>
        <w:tc>
          <w:tcPr>
            <w:tcW w:type="dxa" w:w="5647"/>
            <w:tcMar>
              <w:top w:w="50" w:type="dxa"/>
              <w:bottom w:w="50" w:type="dxa"/>
              <w:left w:w="90" w:type="dxa"/>
              <w:right w:w="90" w:type="dxa"/>
            </w:tcMar>
          </w:tcPr>
          <w:p>
            <w:pPr>
              <w:pStyle w:val="BDOITable"/>
            </w:pPr>
            <w:r>
              <w:rPr>
                <w:sz w:val="17"/>
              </w:rPr>
              <w:t>Build wave DM2-B (cutover plan, run-off, archive) and DM3 (performance harness)</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Dress rehearsal (T-3 weeks); archive 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D4</w:t>
            </w:r>
          </w:p>
        </w:tc>
        <w:tc>
          <w:tcPr>
            <w:tcW w:type="dxa" w:w="5647"/>
            <w:tcMar>
              <w:top w:w="50" w:type="dxa"/>
              <w:bottom w:w="50" w:type="dxa"/>
              <w:left w:w="90" w:type="dxa"/>
              <w:right w:w="90" w:type="dxa"/>
            </w:tcMar>
            <w:shd w:val="clear" w:color="auto" w:fill="E5F5FF"/>
          </w:tcPr>
          <w:p>
            <w:pPr>
              <w:pStyle w:val="BDOITable"/>
            </w:pPr>
            <w:r>
              <w:rPr>
                <w:sz w:val="17"/>
              </w:rPr>
              <w:t>Renewal module (BRD-6) live at go-live, with the legacy policy source</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Go-live</w:t>
            </w:r>
          </w:p>
        </w:tc>
      </w:tr>
      <w:tr>
        <w:trPr>
          <w:cantSplit w:val="true"/>
        </w:trPr>
        <w:tc>
          <w:tcPr>
            <w:tcW w:type="dxa" w:w="721"/>
            <w:tcMar>
              <w:top w:w="50" w:type="dxa"/>
              <w:bottom w:w="50" w:type="dxa"/>
              <w:left w:w="90" w:type="dxa"/>
              <w:right w:w="90" w:type="dxa"/>
            </w:tcMar>
          </w:tcPr>
          <w:p>
            <w:pPr>
              <w:pStyle w:val="BDOITable"/>
            </w:pPr>
            <w:r>
              <w:rPr>
                <w:sz w:val="17"/>
              </w:rPr>
              <w:t>D5</w:t>
            </w:r>
          </w:p>
        </w:tc>
        <w:tc>
          <w:tcPr>
            <w:tcW w:type="dxa" w:w="5647"/>
            <w:tcMar>
              <w:top w:w="50" w:type="dxa"/>
              <w:bottom w:w="50" w:type="dxa"/>
              <w:left w:w="90" w:type="dxa"/>
              <w:right w:w="90" w:type="dxa"/>
            </w:tcMar>
          </w:tcPr>
          <w:p>
            <w:pPr>
              <w:pStyle w:val="BDOITable"/>
            </w:pPr>
            <w:r>
              <w:rPr>
                <w:sz w:val="17"/>
              </w:rPr>
              <w:t>Legacy control accounts, Migration Clearing and legacy rule lines set up by Comptrollership</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Mock 2 (SIT); T-26 (production)</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D6</w:t>
            </w:r>
          </w:p>
        </w:tc>
        <w:tc>
          <w:tcPr>
            <w:tcW w:type="dxa" w:w="5647"/>
            <w:tcMar>
              <w:top w:w="50" w:type="dxa"/>
              <w:bottom w:w="50" w:type="dxa"/>
              <w:left w:w="90" w:type="dxa"/>
              <w:right w:w="90" w:type="dxa"/>
            </w:tcMar>
            <w:shd w:val="clear" w:color="auto" w:fill="E5F5FF"/>
          </w:tcPr>
          <w:p>
            <w:pPr>
              <w:pStyle w:val="BDOITable"/>
            </w:pPr>
            <w:r>
              <w:rPr>
                <w:sz w:val="17"/>
              </w:rPr>
              <w:t>Extracts in the templates with control files, and volumes per object</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M4 (T-14 weeks) and every mock</w:t>
            </w:r>
          </w:p>
        </w:tc>
      </w:tr>
      <w:tr>
        <w:trPr>
          <w:cantSplit w:val="true"/>
        </w:trPr>
        <w:tc>
          <w:tcPr>
            <w:tcW w:type="dxa" w:w="721"/>
            <w:tcMar>
              <w:top w:w="50" w:type="dxa"/>
              <w:bottom w:w="50" w:type="dxa"/>
              <w:left w:w="90" w:type="dxa"/>
              <w:right w:w="90" w:type="dxa"/>
            </w:tcMar>
          </w:tcPr>
          <w:p>
            <w:pPr>
              <w:pStyle w:val="BDOITable"/>
            </w:pPr>
            <w:r>
              <w:rPr>
                <w:sz w:val="17"/>
              </w:rPr>
              <w:t>D7</w:t>
            </w:r>
          </w:p>
        </w:tc>
        <w:tc>
          <w:tcPr>
            <w:tcW w:type="dxa" w:w="5647"/>
            <w:tcMar>
              <w:top w:w="50" w:type="dxa"/>
              <w:bottom w:w="50" w:type="dxa"/>
              <w:left w:w="90" w:type="dxa"/>
              <w:right w:w="90" w:type="dxa"/>
            </w:tcMar>
          </w:tcPr>
          <w:p>
            <w:pPr>
              <w:pStyle w:val="BDOITable"/>
            </w:pPr>
            <w:r>
              <w:rPr>
                <w:sz w:val="17"/>
              </w:rPr>
              <w:t>Named data owners and stewards</w:t>
            </w:r>
          </w:p>
        </w:tc>
        <w:tc>
          <w:tcPr>
            <w:tcW w:type="dxa" w:w="1922"/>
            <w:tcMar>
              <w:top w:w="50" w:type="dxa"/>
              <w:bottom w:w="50" w:type="dxa"/>
              <w:left w:w="90" w:type="dxa"/>
              <w:right w:w="90" w:type="dxa"/>
            </w:tcMar>
          </w:tcPr>
          <w:p>
            <w:pPr>
              <w:pStyle w:val="BDOITable"/>
            </w:pPr>
            <w:r>
              <w:rPr>
                <w:sz w:val="17"/>
              </w:rPr>
              <w:t>BDOI</w:t>
            </w:r>
          </w:p>
        </w:tc>
        <w:tc>
          <w:tcPr>
            <w:tcW w:type="dxa" w:w="1682"/>
            <w:tcMar>
              <w:top w:w="50" w:type="dxa"/>
              <w:bottom w:w="50" w:type="dxa"/>
              <w:left w:w="90" w:type="dxa"/>
              <w:right w:w="90" w:type="dxa"/>
            </w:tcMar>
          </w:tcPr>
          <w:p>
            <w:pPr>
              <w:pStyle w:val="BDOITable"/>
            </w:pPr>
            <w:r>
              <w:rPr>
                <w:sz w:val="17"/>
              </w:rPr>
              <w:t>M2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D8</w:t>
            </w:r>
          </w:p>
        </w:tc>
        <w:tc>
          <w:tcPr>
            <w:tcW w:type="dxa" w:w="5647"/>
            <w:tcMar>
              <w:top w:w="50" w:type="dxa"/>
              <w:bottom w:w="50" w:type="dxa"/>
              <w:left w:w="90" w:type="dxa"/>
              <w:right w:w="90" w:type="dxa"/>
            </w:tcMar>
            <w:shd w:val="clear" w:color="auto" w:fill="E5F5FF"/>
          </w:tcPr>
          <w:p>
            <w:pPr>
              <w:pStyle w:val="BDOITable"/>
            </w:pPr>
            <w:r>
              <w:rPr>
                <w:sz w:val="17"/>
              </w:rPr>
              <w:t>Legacy systems can be set read-only with access logging; SFTP drop</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Dress rehearsal</w:t>
            </w:r>
          </w:p>
        </w:tc>
      </w:tr>
      <w:tr>
        <w:trPr>
          <w:cantSplit w:val="true"/>
        </w:trPr>
        <w:tc>
          <w:tcPr>
            <w:tcW w:type="dxa" w:w="721"/>
            <w:tcMar>
              <w:top w:w="50" w:type="dxa"/>
              <w:bottom w:w="50" w:type="dxa"/>
              <w:left w:w="90" w:type="dxa"/>
              <w:right w:w="90" w:type="dxa"/>
            </w:tcMar>
          </w:tcPr>
          <w:p>
            <w:pPr>
              <w:pStyle w:val="BDOITable"/>
            </w:pPr>
            <w:r>
              <w:rPr>
                <w:sz w:val="17"/>
              </w:rPr>
              <w:t>D9</w:t>
            </w:r>
          </w:p>
        </w:tc>
        <w:tc>
          <w:tcPr>
            <w:tcW w:type="dxa" w:w="5647"/>
            <w:tcMar>
              <w:top w:w="50" w:type="dxa"/>
              <w:bottom w:w="50" w:type="dxa"/>
              <w:left w:w="90" w:type="dxa"/>
              <w:right w:w="90" w:type="dxa"/>
            </w:tcMar>
          </w:tcPr>
          <w:p>
            <w:pPr>
              <w:pStyle w:val="BDOITable"/>
            </w:pPr>
            <w:r>
              <w:rPr>
                <w:sz w:val="17"/>
              </w:rPr>
              <w:t>Users of every persona created through User Access requests</w:t>
            </w:r>
          </w:p>
        </w:tc>
        <w:tc>
          <w:tcPr>
            <w:tcW w:type="dxa" w:w="1922"/>
            <w:tcMar>
              <w:top w:w="50" w:type="dxa"/>
              <w:bottom w:w="50" w:type="dxa"/>
              <w:left w:w="90" w:type="dxa"/>
              <w:right w:w="90" w:type="dxa"/>
            </w:tcMar>
          </w:tcPr>
          <w:p>
            <w:pPr>
              <w:pStyle w:val="BDOITable"/>
            </w:pPr>
            <w:r>
              <w:rPr>
                <w:sz w:val="17"/>
              </w:rPr>
              <w:t>BDOI and iorta TechNXT</w:t>
            </w:r>
          </w:p>
        </w:tc>
        <w:tc>
          <w:tcPr>
            <w:tcW w:type="dxa" w:w="1682"/>
            <w:tcMar>
              <w:top w:w="50" w:type="dxa"/>
              <w:bottom w:w="50" w:type="dxa"/>
              <w:left w:w="90" w:type="dxa"/>
              <w:right w:w="90" w:type="dxa"/>
            </w:tcMar>
          </w:tcPr>
          <w:p>
            <w:pPr>
              <w:pStyle w:val="BDOITable"/>
            </w:pPr>
            <w:r>
              <w:rPr>
                <w:sz w:val="17"/>
              </w:rPr>
              <w:t>T-24</w:t>
            </w:r>
          </w:p>
        </w:tc>
      </w:tr>
    </w:tbl>
    <w:p>
      <w:pPr>
        <w:pStyle w:val="BDOISpacer"/>
      </w:pPr>
    </w:p>
    <w:p>
      <w:pPr>
        <w:pStyle w:val="Heading2"/>
      </w:pPr>
      <w:bookmarkStart w:id="163" w:name="_Toc000163"/>
      <w:r>
        <w:rPr/>
        <w:t>15.2 Open decisions and the date each is needed by</w:t>
      </w:r>
      <w:bookmarkEnd w:id="163"/>
    </w:p>
    <w:p>
      <w:r>
        <w:rPr/>
        <w:t xml:space="preserve">Decisions marked M1 change what is built and are needed by </w:t>
      </w:r>
      <w:r>
        <w:rPr>
          <w:b/>
        </w:rPr>
        <w:t>16 October 2026</w:t>
      </w:r>
      <w:r>
        <w:rPr/>
        <w:t xml:space="preserve">; M2 decisions are needed by </w:t>
      </w:r>
      <w:r>
        <w:rPr>
          <w:b/>
        </w:rPr>
        <w:t>6 November 2026</w:t>
      </w:r>
      <w:r>
        <w:rPr/>
        <w:t>; the others are tied to the cutover calendar (T = go-live). The register column refers to the BRD discrepancy and clarification register v1.1 (R6).</w:t>
      </w:r>
    </w:p>
    <w:p>
      <w:pPr>
        <w:pStyle w:val="Caption"/>
        <w:keepNext/>
        <w:spacing w:after="60"/>
      </w:pPr>
      <w:r>
        <w:rPr>
          <w:b/>
          <w:i w:val="0"/>
        </w:rPr>
        <w:t xml:space="preserve">Table 34: </w:t>
      </w:r>
      <w:r>
        <w:rPr/>
        <w:t>Open decisions, register items (v1.1) and the date each is needed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1081"/>
        <w:gridCol w:w="2162"/>
        <w:gridCol w:w="2403"/>
        <w:gridCol w:w="1862"/>
        <w:gridCol w:w="1622"/>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Register</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Blocks</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1622"/>
            <w:shd w:val="clear" w:color="auto" w:fill="004EA8"/>
            <w:tcMar>
              <w:top w:w="50" w:type="dxa"/>
              <w:bottom w:w="50" w:type="dxa"/>
              <w:left w:w="90" w:type="dxa"/>
              <w:right w:w="90" w:type="dxa"/>
            </w:tcMar>
            <w:vAlign w:val="center"/>
          </w:tcPr>
          <w:p>
            <w:pPr>
              <w:pStyle w:val="BDOITableHeader"/>
            </w:pPr>
            <w:r>
              <w:rPr>
                <w:b/>
                <w:color w:val="FFFFFF"/>
                <w:sz w:val="16"/>
              </w:rPr>
              <w:t>BDOI owner</w:t>
            </w:r>
          </w:p>
        </w:tc>
      </w:tr>
      <w:tr>
        <w:trPr>
          <w:cantSplit w:val="true"/>
        </w:trPr>
        <w:tc>
          <w:tcPr>
            <w:tcW w:type="dxa" w:w="841"/>
            <w:tcMar>
              <w:top w:w="50" w:type="dxa"/>
              <w:bottom w:w="50" w:type="dxa"/>
              <w:left w:w="90" w:type="dxa"/>
              <w:right w:w="90" w:type="dxa"/>
            </w:tcMar>
          </w:tcPr>
          <w:p>
            <w:pPr>
              <w:pStyle w:val="BDOITable"/>
            </w:pPr>
            <w:r>
              <w:rPr>
                <w:b/>
                <w:sz w:val="16"/>
              </w:rPr>
              <w:t>DCR-189</w:t>
            </w:r>
          </w:p>
        </w:tc>
        <w:tc>
          <w:tcPr>
            <w:tcW w:type="dxa" w:w="1081"/>
            <w:tcMar>
              <w:top w:w="50" w:type="dxa"/>
              <w:bottom w:w="50" w:type="dxa"/>
              <w:left w:w="90" w:type="dxa"/>
              <w:right w:w="90" w:type="dxa"/>
            </w:tcMar>
          </w:tcPr>
          <w:p>
            <w:pPr>
              <w:pStyle w:val="BDOITable"/>
            </w:pPr>
            <w:r>
              <w:rPr>
                <w:sz w:val="16"/>
              </w:rPr>
              <w:t>DCR-189</w:t>
            </w:r>
          </w:p>
        </w:tc>
        <w:tc>
          <w:tcPr>
            <w:tcW w:type="dxa" w:w="2163"/>
            <w:tcMar>
              <w:top w:w="50" w:type="dxa"/>
              <w:bottom w:w="50" w:type="dxa"/>
              <w:left w:w="90" w:type="dxa"/>
              <w:right w:w="90" w:type="dxa"/>
            </w:tcMar>
          </w:tcPr>
          <w:p>
            <w:pPr>
              <w:pStyle w:val="BDOITable"/>
            </w:pPr>
            <w:r>
              <w:rPr>
                <w:sz w:val="16"/>
              </w:rPr>
              <w:t>BRD sign-off</w:t>
            </w:r>
          </w:p>
        </w:tc>
        <w:tc>
          <w:tcPr>
            <w:tcW w:type="dxa" w:w="2403"/>
            <w:tcMar>
              <w:top w:w="50" w:type="dxa"/>
              <w:bottom w:w="50" w:type="dxa"/>
              <w:left w:w="90" w:type="dxa"/>
              <w:right w:w="90" w:type="dxa"/>
            </w:tcMar>
          </w:tcPr>
          <w:p>
            <w:pPr>
              <w:pStyle w:val="BDOITable"/>
            </w:pPr>
            <w:r>
              <w:rPr>
                <w:sz w:val="16"/>
              </w:rPr>
              <w:t>Baseline of this document set; FRS re-issue</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DCR-173</w:t>
            </w:r>
          </w:p>
        </w:tc>
        <w:tc>
          <w:tcPr>
            <w:tcW w:type="dxa" w:w="1081"/>
            <w:tcMar>
              <w:top w:w="50" w:type="dxa"/>
              <w:bottom w:w="50" w:type="dxa"/>
              <w:left w:w="90" w:type="dxa"/>
              <w:right w:w="90" w:type="dxa"/>
            </w:tcMar>
            <w:shd w:val="clear" w:color="auto" w:fill="E5F5FF"/>
          </w:tcPr>
          <w:p>
            <w:pPr>
              <w:pStyle w:val="BDOITable"/>
            </w:pPr>
            <w:r>
              <w:rPr>
                <w:sz w:val="16"/>
              </w:rPr>
              <w:t>DCR-173</w:t>
            </w:r>
          </w:p>
        </w:tc>
        <w:tc>
          <w:tcPr>
            <w:tcW w:type="dxa" w:w="2163"/>
            <w:tcMar>
              <w:top w:w="50" w:type="dxa"/>
              <w:bottom w:w="50" w:type="dxa"/>
              <w:left w:w="90" w:type="dxa"/>
              <w:right w:w="90" w:type="dxa"/>
            </w:tcMar>
            <w:shd w:val="clear" w:color="auto" w:fill="E5F5FF"/>
          </w:tcPr>
          <w:p>
            <w:pPr>
              <w:pStyle w:val="BDOITable"/>
            </w:pPr>
            <w:r>
              <w:rPr>
                <w:sz w:val="16"/>
              </w:rPr>
              <w:t>Client migration period and daily client batches</w:t>
            </w:r>
          </w:p>
        </w:tc>
        <w:tc>
          <w:tcPr>
            <w:tcW w:type="dxa" w:w="2403"/>
            <w:tcMar>
              <w:top w:w="50" w:type="dxa"/>
              <w:bottom w:w="50" w:type="dxa"/>
              <w:left w:w="90" w:type="dxa"/>
              <w:right w:w="90" w:type="dxa"/>
            </w:tcMar>
            <w:shd w:val="clear" w:color="auto" w:fill="E5F5FF"/>
          </w:tcPr>
          <w:p>
            <w:pPr>
              <w:pStyle w:val="BDOITable"/>
            </w:pPr>
            <w:r>
              <w:rPr>
                <w:sz w:val="16"/>
              </w:rPr>
              <w:t>C01 scope and delta design; build wave DM1-C</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841"/>
            <w:tcMar>
              <w:top w:w="50" w:type="dxa"/>
              <w:bottom w:w="50" w:type="dxa"/>
              <w:left w:w="90" w:type="dxa"/>
              <w:right w:w="90" w:type="dxa"/>
            </w:tcMar>
          </w:tcPr>
          <w:p>
            <w:pPr>
              <w:pStyle w:val="BDOITable"/>
            </w:pPr>
            <w:r>
              <w:rPr>
                <w:b/>
                <w:sz w:val="16"/>
              </w:rPr>
              <w:t>DMQ01</w:t>
            </w:r>
          </w:p>
        </w:tc>
        <w:tc>
          <w:tcPr>
            <w:tcW w:type="dxa" w:w="1081"/>
            <w:tcMar>
              <w:top w:w="50" w:type="dxa"/>
              <w:bottom w:w="50" w:type="dxa"/>
              <w:left w:w="90" w:type="dxa"/>
              <w:right w:w="90" w:type="dxa"/>
            </w:tcMar>
          </w:tcPr>
          <w:p>
            <w:pPr>
              <w:pStyle w:val="BDOITable"/>
            </w:pPr>
            <w:r>
              <w:rPr>
                <w:sz w:val="16"/>
              </w:rPr>
              <w:t>DCR-195</w:t>
            </w:r>
          </w:p>
        </w:tc>
        <w:tc>
          <w:tcPr>
            <w:tcW w:type="dxa" w:w="2163"/>
            <w:tcMar>
              <w:top w:w="50" w:type="dxa"/>
              <w:bottom w:w="50" w:type="dxa"/>
              <w:left w:w="90" w:type="dxa"/>
              <w:right w:w="90" w:type="dxa"/>
            </w:tcMar>
          </w:tcPr>
          <w:p>
            <w:pPr>
              <w:pStyle w:val="BDOITable"/>
            </w:pPr>
            <w:r>
              <w:rPr>
                <w:sz w:val="16"/>
              </w:rPr>
              <w:t>Data object inventory</w:t>
            </w:r>
          </w:p>
        </w:tc>
        <w:tc>
          <w:tcPr>
            <w:tcW w:type="dxa" w:w="2403"/>
            <w:tcMar>
              <w:top w:w="50" w:type="dxa"/>
              <w:bottom w:w="50" w:type="dxa"/>
              <w:left w:w="90" w:type="dxa"/>
              <w:right w:w="90" w:type="dxa"/>
            </w:tcMar>
          </w:tcPr>
          <w:p>
            <w:pPr>
              <w:pStyle w:val="BDOITable"/>
            </w:pPr>
            <w:r>
              <w:rPr>
                <w:sz w:val="16"/>
              </w:rPr>
              <w:t>All objects; gate G1</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DMQ02</w:t>
            </w:r>
          </w:p>
        </w:tc>
        <w:tc>
          <w:tcPr>
            <w:tcW w:type="dxa" w:w="1081"/>
            <w:tcMar>
              <w:top w:w="50" w:type="dxa"/>
              <w:bottom w:w="50" w:type="dxa"/>
              <w:left w:w="90" w:type="dxa"/>
              <w:right w:w="90" w:type="dxa"/>
            </w:tcMar>
            <w:shd w:val="clear" w:color="auto" w:fill="E5F5FF"/>
          </w:tcPr>
          <w:p>
            <w:pPr>
              <w:pStyle w:val="BDOITable"/>
            </w:pPr>
            <w:r>
              <w:rPr>
                <w:sz w:val="16"/>
              </w:rPr>
              <w:t>DCR-192</w:t>
            </w:r>
          </w:p>
        </w:tc>
        <w:tc>
          <w:tcPr>
            <w:tcW w:type="dxa" w:w="2163"/>
            <w:tcMar>
              <w:top w:w="50" w:type="dxa"/>
              <w:bottom w:w="50" w:type="dxa"/>
              <w:left w:w="90" w:type="dxa"/>
              <w:right w:w="90" w:type="dxa"/>
            </w:tcMar>
            <w:shd w:val="clear" w:color="auto" w:fill="E5F5FF"/>
          </w:tcPr>
          <w:p>
            <w:pPr>
              <w:pStyle w:val="BDOITable"/>
            </w:pPr>
            <w:r>
              <w:rPr>
                <w:sz w:val="16"/>
              </w:rPr>
              <w:t>Decision rule</w:t>
            </w:r>
          </w:p>
        </w:tc>
        <w:tc>
          <w:tcPr>
            <w:tcW w:type="dxa" w:w="2403"/>
            <w:tcMar>
              <w:top w:w="50" w:type="dxa"/>
              <w:bottom w:w="50" w:type="dxa"/>
              <w:left w:w="90" w:type="dxa"/>
              <w:right w:w="90" w:type="dxa"/>
            </w:tcMar>
            <w:shd w:val="clear" w:color="auto" w:fill="E5F5FF"/>
          </w:tcPr>
          <w:p>
            <w:pPr>
              <w:pStyle w:val="BDOITable"/>
            </w:pPr>
            <w:r>
              <w:rPr>
                <w:sz w:val="16"/>
              </w:rPr>
              <w:t>Gate G1</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Program Manager</w:t>
            </w:r>
          </w:p>
        </w:tc>
      </w:tr>
      <w:tr>
        <w:trPr>
          <w:cantSplit w:val="true"/>
        </w:trPr>
        <w:tc>
          <w:tcPr>
            <w:tcW w:type="dxa" w:w="841"/>
            <w:tcMar>
              <w:top w:w="50" w:type="dxa"/>
              <w:bottom w:w="50" w:type="dxa"/>
              <w:left w:w="90" w:type="dxa"/>
              <w:right w:w="90" w:type="dxa"/>
            </w:tcMar>
          </w:tcPr>
          <w:p>
            <w:pPr>
              <w:pStyle w:val="BDOITable"/>
            </w:pPr>
            <w:r>
              <w:rPr>
                <w:b/>
                <w:sz w:val="16"/>
              </w:rPr>
              <w:t>DMQ03</w:t>
            </w:r>
          </w:p>
        </w:tc>
        <w:tc>
          <w:tcPr>
            <w:tcW w:type="dxa" w:w="1081"/>
            <w:tcMar>
              <w:top w:w="50" w:type="dxa"/>
              <w:bottom w:w="50" w:type="dxa"/>
              <w:left w:w="90" w:type="dxa"/>
              <w:right w:w="90" w:type="dxa"/>
            </w:tcMar>
          </w:tcPr>
          <w:p>
            <w:pPr>
              <w:pStyle w:val="BDOITable"/>
            </w:pPr>
            <w:r>
              <w:rPr>
                <w:sz w:val="16"/>
              </w:rPr>
              <w:t>DCR-195</w:t>
            </w:r>
          </w:p>
        </w:tc>
        <w:tc>
          <w:tcPr>
            <w:tcW w:type="dxa" w:w="2163"/>
            <w:tcMar>
              <w:top w:w="50" w:type="dxa"/>
              <w:bottom w:w="50" w:type="dxa"/>
              <w:left w:w="90" w:type="dxa"/>
              <w:right w:w="90" w:type="dxa"/>
            </w:tcMar>
          </w:tcPr>
          <w:p>
            <w:pPr>
              <w:pStyle w:val="BDOITable"/>
            </w:pPr>
            <w:r>
              <w:rPr>
                <w:sz w:val="16"/>
              </w:rPr>
              <w:t>Source systems</w:t>
            </w:r>
          </w:p>
        </w:tc>
        <w:tc>
          <w:tcPr>
            <w:tcW w:type="dxa" w:w="2403"/>
            <w:tcMar>
              <w:top w:w="50" w:type="dxa"/>
              <w:bottom w:w="50" w:type="dxa"/>
              <w:left w:w="90" w:type="dxa"/>
              <w:right w:w="90" w:type="dxa"/>
            </w:tcMar>
          </w:tcPr>
          <w:p>
            <w:pPr>
              <w:pStyle w:val="BDOITable"/>
            </w:pPr>
            <w:r>
              <w:rPr>
                <w:sz w:val="16"/>
              </w:rPr>
              <w:t>All layouts</w:t>
            </w:r>
          </w:p>
        </w:tc>
        <w:tc>
          <w:tcPr>
            <w:tcW w:type="dxa" w:w="186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BDOI IT</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DMQ04</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63"/>
            <w:tcMar>
              <w:top w:w="50" w:type="dxa"/>
              <w:bottom w:w="50" w:type="dxa"/>
              <w:left w:w="90" w:type="dxa"/>
              <w:right w:w="90" w:type="dxa"/>
            </w:tcMar>
            <w:shd w:val="clear" w:color="auto" w:fill="E5F5FF"/>
          </w:tcPr>
          <w:p>
            <w:pPr>
              <w:pStyle w:val="BDOITable"/>
            </w:pPr>
            <w:r>
              <w:rPr>
                <w:sz w:val="16"/>
              </w:rPr>
              <w:t>Client dedupe keys</w:t>
            </w:r>
          </w:p>
        </w:tc>
        <w:tc>
          <w:tcPr>
            <w:tcW w:type="dxa" w:w="2403"/>
            <w:tcMar>
              <w:top w:w="50" w:type="dxa"/>
              <w:bottom w:w="50" w:type="dxa"/>
              <w:left w:w="90" w:type="dxa"/>
              <w:right w:w="90" w:type="dxa"/>
            </w:tcMar>
            <w:shd w:val="clear" w:color="auto" w:fill="E5F5FF"/>
          </w:tcPr>
          <w:p>
            <w:pPr>
              <w:pStyle w:val="BDOITable"/>
            </w:pPr>
            <w:r>
              <w:rPr>
                <w:sz w:val="16"/>
              </w:rPr>
              <w:t>C01 matching; DM1-C</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841"/>
            <w:tcMar>
              <w:top w:w="50" w:type="dxa"/>
              <w:bottom w:w="50" w:type="dxa"/>
              <w:left w:w="90" w:type="dxa"/>
              <w:right w:w="90" w:type="dxa"/>
            </w:tcMar>
          </w:tcPr>
          <w:p>
            <w:pPr>
              <w:pStyle w:val="BDOITable"/>
            </w:pPr>
            <w:r>
              <w:rPr>
                <w:b/>
                <w:sz w:val="16"/>
              </w:rPr>
              <w:t>DMQ05</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Client scope</w:t>
            </w:r>
          </w:p>
        </w:tc>
        <w:tc>
          <w:tcPr>
            <w:tcW w:type="dxa" w:w="2403"/>
            <w:tcMar>
              <w:top w:w="50" w:type="dxa"/>
              <w:bottom w:w="50" w:type="dxa"/>
              <w:left w:w="90" w:type="dxa"/>
              <w:right w:w="90" w:type="dxa"/>
            </w:tcMar>
          </w:tcPr>
          <w:p>
            <w:pPr>
              <w:pStyle w:val="BDOITable"/>
            </w:pPr>
            <w:r>
              <w:rPr>
                <w:sz w:val="16"/>
              </w:rPr>
              <w:t>C01 volumes; filter</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Product Owner, MBS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DMQ06</w:t>
            </w:r>
          </w:p>
        </w:tc>
        <w:tc>
          <w:tcPr>
            <w:tcW w:type="dxa" w:w="1081"/>
            <w:tcMar>
              <w:top w:w="50" w:type="dxa"/>
              <w:bottom w:w="50" w:type="dxa"/>
              <w:left w:w="90" w:type="dxa"/>
              <w:right w:w="90" w:type="dxa"/>
            </w:tcMar>
            <w:shd w:val="clear" w:color="auto" w:fill="E5F5FF"/>
          </w:tcPr>
          <w:p>
            <w:pPr>
              <w:pStyle w:val="BDOITable"/>
            </w:pPr>
            <w:r>
              <w:rPr>
                <w:sz w:val="16"/>
              </w:rPr>
              <w:t>DCR-208</w:t>
            </w:r>
          </w:p>
        </w:tc>
        <w:tc>
          <w:tcPr>
            <w:tcW w:type="dxa" w:w="2163"/>
            <w:tcMar>
              <w:top w:w="50" w:type="dxa"/>
              <w:bottom w:w="50" w:type="dxa"/>
              <w:left w:w="90" w:type="dxa"/>
              <w:right w:w="90" w:type="dxa"/>
            </w:tcMar>
            <w:shd w:val="clear" w:color="auto" w:fill="E5F5FF"/>
          </w:tcPr>
          <w:p>
            <w:pPr>
              <w:pStyle w:val="BDOITable"/>
            </w:pPr>
            <w:r>
              <w:rPr>
                <w:sz w:val="16"/>
              </w:rPr>
              <w:t>Screening of migrated clients</w:t>
            </w:r>
          </w:p>
        </w:tc>
        <w:tc>
          <w:tcPr>
            <w:tcW w:type="dxa" w:w="2403"/>
            <w:tcMar>
              <w:top w:w="50" w:type="dxa"/>
              <w:bottom w:w="50" w:type="dxa"/>
              <w:left w:w="90" w:type="dxa"/>
              <w:right w:w="90" w:type="dxa"/>
            </w:tcMar>
            <w:shd w:val="clear" w:color="auto" w:fill="E5F5FF"/>
          </w:tcPr>
          <w:p>
            <w:pPr>
              <w:pStyle w:val="BDOITable"/>
            </w:pPr>
            <w:r>
              <w:rPr>
                <w:sz w:val="16"/>
              </w:rPr>
              <w:t>C01 load; cutover task CT-P5</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Compliance</w:t>
            </w:r>
          </w:p>
        </w:tc>
      </w:tr>
      <w:tr>
        <w:trPr>
          <w:cantSplit w:val="true"/>
        </w:trPr>
        <w:tc>
          <w:tcPr>
            <w:tcW w:type="dxa" w:w="841"/>
            <w:tcMar>
              <w:top w:w="50" w:type="dxa"/>
              <w:bottom w:w="50" w:type="dxa"/>
              <w:left w:w="90" w:type="dxa"/>
              <w:right w:w="90" w:type="dxa"/>
            </w:tcMar>
          </w:tcPr>
          <w:p>
            <w:pPr>
              <w:pStyle w:val="BDOITable"/>
            </w:pPr>
            <w:r>
              <w:rPr>
                <w:b/>
                <w:sz w:val="16"/>
              </w:rPr>
              <w:t>DMQ07</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KYC documents</w:t>
            </w:r>
          </w:p>
        </w:tc>
        <w:tc>
          <w:tcPr>
            <w:tcW w:type="dxa" w:w="2403"/>
            <w:tcMar>
              <w:top w:w="50" w:type="dxa"/>
              <w:bottom w:w="50" w:type="dxa"/>
              <w:left w:w="90" w:type="dxa"/>
              <w:right w:w="90" w:type="dxa"/>
            </w:tcMar>
          </w:tcPr>
          <w:p>
            <w:pPr>
              <w:pStyle w:val="BDOITable"/>
            </w:pPr>
            <w:r>
              <w:rPr>
                <w:sz w:val="16"/>
              </w:rPr>
              <w:t>C04, H02</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Compliance</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DMQ08</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63"/>
            <w:tcMar>
              <w:top w:w="50" w:type="dxa"/>
              <w:bottom w:w="50" w:type="dxa"/>
              <w:left w:w="90" w:type="dxa"/>
              <w:right w:w="90" w:type="dxa"/>
            </w:tcMar>
            <w:shd w:val="clear" w:color="auto" w:fill="E5F5FF"/>
          </w:tcPr>
          <w:p>
            <w:pPr>
              <w:pStyle w:val="BDOITable"/>
            </w:pPr>
            <w:r>
              <w:rPr>
                <w:sz w:val="16"/>
              </w:rPr>
              <w:t>Code map owners</w:t>
            </w:r>
          </w:p>
        </w:tc>
        <w:tc>
          <w:tcPr>
            <w:tcW w:type="dxa" w:w="2403"/>
            <w:tcMar>
              <w:top w:w="50" w:type="dxa"/>
              <w:bottom w:w="50" w:type="dxa"/>
              <w:left w:w="90" w:type="dxa"/>
              <w:right w:w="90" w:type="dxa"/>
            </w:tcMar>
            <w:shd w:val="clear" w:color="auto" w:fill="E5F5FF"/>
          </w:tcPr>
          <w:p>
            <w:pPr>
              <w:pStyle w:val="BDOITable"/>
            </w:pPr>
            <w:r>
              <w:rPr>
                <w:sz w:val="16"/>
              </w:rPr>
              <w:t>Gate G2; all map sets</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841"/>
            <w:tcMar>
              <w:top w:w="50" w:type="dxa"/>
              <w:bottom w:w="50" w:type="dxa"/>
              <w:left w:w="90" w:type="dxa"/>
              <w:right w:w="90" w:type="dxa"/>
            </w:tcMar>
          </w:tcPr>
          <w:p>
            <w:pPr>
              <w:pStyle w:val="BDOITable"/>
            </w:pPr>
            <w:r>
              <w:rPr>
                <w:b/>
                <w:sz w:val="16"/>
              </w:rPr>
              <w:t>DMQ09</w:t>
            </w:r>
          </w:p>
        </w:tc>
        <w:tc>
          <w:tcPr>
            <w:tcW w:type="dxa" w:w="1081"/>
            <w:tcMar>
              <w:top w:w="50" w:type="dxa"/>
              <w:bottom w:w="50" w:type="dxa"/>
              <w:left w:w="90" w:type="dxa"/>
              <w:right w:w="90" w:type="dxa"/>
            </w:tcMar>
          </w:tcPr>
          <w:p>
            <w:pPr>
              <w:pStyle w:val="BDOITable"/>
            </w:pPr>
            <w:r>
              <w:rPr>
                <w:sz w:val="16"/>
              </w:rPr>
              <w:t>DCR-194</w:t>
            </w:r>
          </w:p>
        </w:tc>
        <w:tc>
          <w:tcPr>
            <w:tcW w:type="dxa" w:w="2163"/>
            <w:tcMar>
              <w:top w:w="50" w:type="dxa"/>
              <w:bottom w:w="50" w:type="dxa"/>
              <w:left w:w="90" w:type="dxa"/>
              <w:right w:w="90" w:type="dxa"/>
            </w:tcMar>
          </w:tcPr>
          <w:p>
            <w:pPr>
              <w:pStyle w:val="BDOITable"/>
            </w:pPr>
            <w:r>
              <w:rPr>
                <w:sz w:val="16"/>
              </w:rPr>
              <w:t>In-force header condition</w:t>
            </w:r>
          </w:p>
        </w:tc>
        <w:tc>
          <w:tcPr>
            <w:tcW w:type="dxa" w:w="2403"/>
            <w:tcMar>
              <w:top w:w="50" w:type="dxa"/>
              <w:bottom w:w="50" w:type="dxa"/>
              <w:left w:w="90" w:type="dxa"/>
              <w:right w:w="90" w:type="dxa"/>
            </w:tcMar>
          </w:tcPr>
          <w:p>
            <w:pPr>
              <w:pStyle w:val="BDOITable"/>
            </w:pPr>
            <w:r>
              <w:rPr>
                <w:sz w:val="16"/>
              </w:rPr>
              <w:t>P01, P01S; endorsements BRID 9; DM1-C</w:t>
            </w:r>
          </w:p>
        </w:tc>
        <w:tc>
          <w:tcPr>
            <w:tcW w:type="dxa" w:w="186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Head, Operations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DMQ10</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63"/>
            <w:tcMar>
              <w:top w:w="50" w:type="dxa"/>
              <w:bottom w:w="50" w:type="dxa"/>
              <w:left w:w="90" w:type="dxa"/>
              <w:right w:w="90" w:type="dxa"/>
            </w:tcMar>
            <w:shd w:val="clear" w:color="auto" w:fill="E5F5FF"/>
          </w:tcPr>
          <w:p>
            <w:pPr>
              <w:pStyle w:val="BDOITable"/>
            </w:pPr>
            <w:r>
              <w:rPr>
                <w:sz w:val="16"/>
              </w:rPr>
              <w:t>Legacy invoice scope</w:t>
            </w:r>
          </w:p>
        </w:tc>
        <w:tc>
          <w:tcPr>
            <w:tcW w:type="dxa" w:w="2403"/>
            <w:tcMar>
              <w:top w:w="50" w:type="dxa"/>
              <w:bottom w:w="50" w:type="dxa"/>
              <w:left w:w="90" w:type="dxa"/>
              <w:right w:w="90" w:type="dxa"/>
            </w:tcMar>
            <w:shd w:val="clear" w:color="auto" w:fill="E5F5FF"/>
          </w:tcPr>
          <w:p>
            <w:pPr>
              <w:pStyle w:val="BDOITable"/>
            </w:pPr>
            <w:r>
              <w:rPr>
                <w:sz w:val="16"/>
              </w:rPr>
              <w:t>F01; DM1-A</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841"/>
            <w:tcMar>
              <w:top w:w="50" w:type="dxa"/>
              <w:bottom w:w="50" w:type="dxa"/>
              <w:left w:w="90" w:type="dxa"/>
              <w:right w:w="90" w:type="dxa"/>
            </w:tcMar>
          </w:tcPr>
          <w:p>
            <w:pPr>
              <w:pStyle w:val="BDOITable"/>
            </w:pPr>
            <w:r>
              <w:rPr>
                <w:b/>
                <w:sz w:val="16"/>
              </w:rPr>
              <w:t>DMQ11</w:t>
            </w:r>
          </w:p>
        </w:tc>
        <w:tc>
          <w:tcPr>
            <w:tcW w:type="dxa" w:w="1081"/>
            <w:tcMar>
              <w:top w:w="50" w:type="dxa"/>
              <w:bottom w:w="50" w:type="dxa"/>
              <w:left w:w="90" w:type="dxa"/>
              <w:right w:w="90" w:type="dxa"/>
            </w:tcMar>
          </w:tcPr>
          <w:p>
            <w:pPr>
              <w:pStyle w:val="BDOITable"/>
            </w:pPr>
            <w:r>
              <w:rPr>
                <w:sz w:val="16"/>
              </w:rPr>
              <w:t>DCR-207</w:t>
            </w:r>
          </w:p>
        </w:tc>
        <w:tc>
          <w:tcPr>
            <w:tcW w:type="dxa" w:w="2163"/>
            <w:tcMar>
              <w:top w:w="50" w:type="dxa"/>
              <w:bottom w:w="50" w:type="dxa"/>
              <w:left w:w="90" w:type="dxa"/>
              <w:right w:w="90" w:type="dxa"/>
            </w:tcMar>
          </w:tcPr>
          <w:p>
            <w:pPr>
              <w:pStyle w:val="BDOITable"/>
            </w:pPr>
            <w:r>
              <w:rPr>
                <w:sz w:val="16"/>
              </w:rPr>
              <w:t>Invoice numbers</w:t>
            </w:r>
          </w:p>
        </w:tc>
        <w:tc>
          <w:tcPr>
            <w:tcW w:type="dxa" w:w="2403"/>
            <w:tcMar>
              <w:top w:w="50" w:type="dxa"/>
              <w:bottom w:w="50" w:type="dxa"/>
              <w:left w:w="90" w:type="dxa"/>
              <w:right w:w="90" w:type="dxa"/>
            </w:tcMar>
          </w:tcPr>
          <w:p>
            <w:pPr>
              <w:pStyle w:val="BDOITable"/>
            </w:pPr>
            <w:r>
              <w:rPr>
                <w:sz w:val="16"/>
              </w:rPr>
              <w:t>F01 keys; payment matching</w:t>
            </w:r>
          </w:p>
        </w:tc>
        <w:tc>
          <w:tcPr>
            <w:tcW w:type="dxa" w:w="186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BDOI IT</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DMQ12</w:t>
            </w:r>
          </w:p>
        </w:tc>
        <w:tc>
          <w:tcPr>
            <w:tcW w:type="dxa" w:w="1081"/>
            <w:tcMar>
              <w:top w:w="50" w:type="dxa"/>
              <w:bottom w:w="50" w:type="dxa"/>
              <w:left w:w="90" w:type="dxa"/>
              <w:right w:w="90" w:type="dxa"/>
            </w:tcMar>
            <w:shd w:val="clear" w:color="auto" w:fill="E5F5FF"/>
          </w:tcPr>
          <w:p>
            <w:pPr>
              <w:pStyle w:val="BDOITable"/>
            </w:pPr>
            <w:r>
              <w:rPr>
                <w:sz w:val="16"/>
              </w:rPr>
              <w:t>DCR-207</w:t>
            </w:r>
          </w:p>
        </w:tc>
        <w:tc>
          <w:tcPr>
            <w:tcW w:type="dxa" w:w="2163"/>
            <w:tcMar>
              <w:top w:w="50" w:type="dxa"/>
              <w:bottom w:w="50" w:type="dxa"/>
              <w:left w:w="90" w:type="dxa"/>
              <w:right w:w="90" w:type="dxa"/>
            </w:tcMar>
            <w:shd w:val="clear" w:color="auto" w:fill="E5F5FF"/>
          </w:tcPr>
          <w:p>
            <w:pPr>
              <w:pStyle w:val="BDOITable"/>
            </w:pPr>
            <w:r>
              <w:rPr>
                <w:sz w:val="16"/>
              </w:rPr>
              <w:t>Components and shares</w:t>
            </w:r>
          </w:p>
        </w:tc>
        <w:tc>
          <w:tcPr>
            <w:tcW w:type="dxa" w:w="2403"/>
            <w:tcMar>
              <w:top w:w="50" w:type="dxa"/>
              <w:bottom w:w="50" w:type="dxa"/>
              <w:left w:w="90" w:type="dxa"/>
              <w:right w:w="90" w:type="dxa"/>
            </w:tcMar>
            <w:shd w:val="clear" w:color="auto" w:fill="E5F5FF"/>
          </w:tcPr>
          <w:p>
            <w:pPr>
              <w:pStyle w:val="BDOITable"/>
            </w:pPr>
            <w:r>
              <w:rPr>
                <w:sz w:val="16"/>
              </w:rPr>
              <w:t>F01C; DM1-A</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BDOI IT; Comptrollership</w:t>
            </w:r>
          </w:p>
        </w:tc>
      </w:tr>
      <w:tr>
        <w:trPr>
          <w:cantSplit w:val="true"/>
        </w:trPr>
        <w:tc>
          <w:tcPr>
            <w:tcW w:type="dxa" w:w="841"/>
            <w:tcMar>
              <w:top w:w="50" w:type="dxa"/>
              <w:bottom w:w="50" w:type="dxa"/>
              <w:left w:w="90" w:type="dxa"/>
              <w:right w:w="90" w:type="dxa"/>
            </w:tcMar>
          </w:tcPr>
          <w:p>
            <w:pPr>
              <w:pStyle w:val="BDOITable"/>
            </w:pPr>
            <w:r>
              <w:rPr>
                <w:b/>
                <w:sz w:val="16"/>
              </w:rPr>
              <w:t>DMQ13</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Commission state</w:t>
            </w:r>
          </w:p>
        </w:tc>
        <w:tc>
          <w:tcPr>
            <w:tcW w:type="dxa" w:w="2403"/>
            <w:tcMar>
              <w:top w:w="50" w:type="dxa"/>
              <w:bottom w:w="50" w:type="dxa"/>
              <w:left w:w="90" w:type="dxa"/>
              <w:right w:w="90" w:type="dxa"/>
            </w:tcMar>
          </w:tcPr>
          <w:p>
            <w:pPr>
              <w:pStyle w:val="BDOITable"/>
            </w:pPr>
            <w:r>
              <w:rPr>
                <w:sz w:val="16"/>
              </w:rPr>
              <w:t>F01 opening entry</w:t>
            </w:r>
          </w:p>
        </w:tc>
        <w:tc>
          <w:tcPr>
            <w:tcW w:type="dxa" w:w="186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Head, Comptrollership</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DMQ14</w:t>
            </w:r>
          </w:p>
        </w:tc>
        <w:tc>
          <w:tcPr>
            <w:tcW w:type="dxa" w:w="1081"/>
            <w:tcMar>
              <w:top w:w="50" w:type="dxa"/>
              <w:bottom w:w="50" w:type="dxa"/>
              <w:left w:w="90" w:type="dxa"/>
              <w:right w:w="90" w:type="dxa"/>
            </w:tcMar>
            <w:shd w:val="clear" w:color="auto" w:fill="E5F5FF"/>
          </w:tcPr>
          <w:p>
            <w:pPr>
              <w:pStyle w:val="BDOITable"/>
            </w:pPr>
            <w:r>
              <w:rPr>
                <w:sz w:val="16"/>
              </w:rPr>
              <w:t>DCR-204</w:t>
            </w:r>
          </w:p>
        </w:tc>
        <w:tc>
          <w:tcPr>
            <w:tcW w:type="dxa" w:w="2163"/>
            <w:tcMar>
              <w:top w:w="50" w:type="dxa"/>
              <w:bottom w:w="50" w:type="dxa"/>
              <w:left w:w="90" w:type="dxa"/>
              <w:right w:w="90" w:type="dxa"/>
            </w:tcMar>
            <w:shd w:val="clear" w:color="auto" w:fill="E5F5FF"/>
          </w:tcPr>
          <w:p>
            <w:pPr>
              <w:pStyle w:val="BDOITable"/>
            </w:pPr>
            <w:r>
              <w:rPr>
                <w:sz w:val="16"/>
              </w:rPr>
              <w:t>UPP receipt and statuses</w:t>
            </w:r>
          </w:p>
        </w:tc>
        <w:tc>
          <w:tcPr>
            <w:tcW w:type="dxa" w:w="2403"/>
            <w:tcMar>
              <w:top w:w="50" w:type="dxa"/>
              <w:bottom w:w="50" w:type="dxa"/>
              <w:left w:w="90" w:type="dxa"/>
              <w:right w:w="90" w:type="dxa"/>
            </w:tcMar>
            <w:shd w:val="clear" w:color="auto" w:fill="E5F5FF"/>
          </w:tcPr>
          <w:p>
            <w:pPr>
              <w:pStyle w:val="BDOITable"/>
            </w:pPr>
            <w:r>
              <w:rPr>
                <w:sz w:val="16"/>
              </w:rPr>
              <w:t>F02; DM1-B</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841"/>
            <w:tcMar>
              <w:top w:w="50" w:type="dxa"/>
              <w:bottom w:w="50" w:type="dxa"/>
              <w:left w:w="90" w:type="dxa"/>
              <w:right w:w="90" w:type="dxa"/>
            </w:tcMar>
          </w:tcPr>
          <w:p>
            <w:pPr>
              <w:pStyle w:val="BDOITable"/>
            </w:pPr>
            <w:r>
              <w:rPr>
                <w:b/>
                <w:sz w:val="16"/>
              </w:rPr>
              <w:t>DMQ15</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UPP matching references</w:t>
            </w:r>
          </w:p>
        </w:tc>
        <w:tc>
          <w:tcPr>
            <w:tcW w:type="dxa" w:w="2403"/>
            <w:tcMar>
              <w:top w:w="50" w:type="dxa"/>
              <w:bottom w:w="50" w:type="dxa"/>
              <w:left w:w="90" w:type="dxa"/>
              <w:right w:w="90" w:type="dxa"/>
            </w:tcMar>
          </w:tcPr>
          <w:p>
            <w:pPr>
              <w:pStyle w:val="BDOITable"/>
            </w:pPr>
            <w:r>
              <w:rPr>
                <w:sz w:val="16"/>
              </w:rPr>
              <w:t>F02 ref_ columns</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Operations - Financial Transactions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DMQ16</w:t>
            </w:r>
          </w:p>
        </w:tc>
        <w:tc>
          <w:tcPr>
            <w:tcW w:type="dxa" w:w="1081"/>
            <w:tcMar>
              <w:top w:w="50" w:type="dxa"/>
              <w:bottom w:w="50" w:type="dxa"/>
              <w:left w:w="90" w:type="dxa"/>
              <w:right w:w="90" w:type="dxa"/>
            </w:tcMar>
            <w:shd w:val="clear" w:color="auto" w:fill="E5F5FF"/>
          </w:tcPr>
          <w:p>
            <w:pPr>
              <w:pStyle w:val="BDOITable"/>
            </w:pPr>
            <w:r>
              <w:rPr>
                <w:sz w:val="16"/>
              </w:rPr>
              <w:t>DCR-198, DCR-205</w:t>
            </w:r>
          </w:p>
        </w:tc>
        <w:tc>
          <w:tcPr>
            <w:tcW w:type="dxa" w:w="2163"/>
            <w:tcMar>
              <w:top w:w="50" w:type="dxa"/>
              <w:bottom w:w="50" w:type="dxa"/>
              <w:left w:w="90" w:type="dxa"/>
              <w:right w:w="90" w:type="dxa"/>
            </w:tcMar>
            <w:shd w:val="clear" w:color="auto" w:fill="E5F5FF"/>
          </w:tcPr>
          <w:p>
            <w:pPr>
              <w:pStyle w:val="BDOITable"/>
            </w:pPr>
            <w:r>
              <w:rPr>
                <w:sz w:val="16"/>
              </w:rPr>
              <w:t>Reclassification to income</w:t>
            </w:r>
          </w:p>
        </w:tc>
        <w:tc>
          <w:tcPr>
            <w:tcW w:type="dxa" w:w="2403"/>
            <w:tcMar>
              <w:top w:w="50" w:type="dxa"/>
              <w:bottom w:w="50" w:type="dxa"/>
              <w:left w:w="90" w:type="dxa"/>
              <w:right w:w="90" w:type="dxa"/>
            </w:tcMar>
            <w:shd w:val="clear" w:color="auto" w:fill="E5F5FF"/>
          </w:tcPr>
          <w:p>
            <w:pPr>
              <w:pStyle w:val="BDOITable"/>
            </w:pPr>
            <w:r>
              <w:rPr>
                <w:sz w:val="16"/>
              </w:rPr>
              <w:t>FR-DM-055 configuration</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841"/>
            <w:tcMar>
              <w:top w:w="50" w:type="dxa"/>
              <w:bottom w:w="50" w:type="dxa"/>
              <w:left w:w="90" w:type="dxa"/>
              <w:right w:w="90" w:type="dxa"/>
            </w:tcMar>
          </w:tcPr>
          <w:p>
            <w:pPr>
              <w:pStyle w:val="BDOITable"/>
            </w:pPr>
            <w:r>
              <w:rPr>
                <w:b/>
                <w:sz w:val="16"/>
              </w:rPr>
              <w:t>DMQ17</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Legacy UPP refunds</w:t>
            </w:r>
          </w:p>
        </w:tc>
        <w:tc>
          <w:tcPr>
            <w:tcW w:type="dxa" w:w="2403"/>
            <w:tcMar>
              <w:top w:w="50" w:type="dxa"/>
              <w:bottom w:w="50" w:type="dxa"/>
              <w:left w:w="90" w:type="dxa"/>
              <w:right w:w="90" w:type="dxa"/>
            </w:tcMar>
          </w:tcPr>
          <w:p>
            <w:pPr>
              <w:pStyle w:val="BDOITable"/>
            </w:pPr>
            <w:r>
              <w:rPr>
                <w:sz w:val="16"/>
              </w:rPr>
              <w:t>FR-DM-054 configuration</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Operations - Financial Transactions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DMQ18</w:t>
            </w:r>
          </w:p>
        </w:tc>
        <w:tc>
          <w:tcPr>
            <w:tcW w:type="dxa" w:w="1081"/>
            <w:tcMar>
              <w:top w:w="50" w:type="dxa"/>
              <w:bottom w:w="50" w:type="dxa"/>
              <w:left w:w="90" w:type="dxa"/>
              <w:right w:w="90" w:type="dxa"/>
            </w:tcMar>
            <w:shd w:val="clear" w:color="auto" w:fill="E5F5FF"/>
          </w:tcPr>
          <w:p>
            <w:pPr>
              <w:pStyle w:val="BDOITable"/>
            </w:pPr>
            <w:r>
              <w:rPr>
                <w:sz w:val="16"/>
              </w:rPr>
              <w:t>DCR-197</w:t>
            </w:r>
          </w:p>
        </w:tc>
        <w:tc>
          <w:tcPr>
            <w:tcW w:type="dxa" w:w="2163"/>
            <w:tcMar>
              <w:top w:w="50" w:type="dxa"/>
              <w:bottom w:w="50" w:type="dxa"/>
              <w:left w:w="90" w:type="dxa"/>
              <w:right w:w="90" w:type="dxa"/>
            </w:tcMar>
            <w:shd w:val="clear" w:color="auto" w:fill="E5F5FF"/>
          </w:tcPr>
          <w:p>
            <w:pPr>
              <w:pStyle w:val="BDOITable"/>
            </w:pPr>
            <w:r>
              <w:rPr>
                <w:sz w:val="16"/>
              </w:rPr>
              <w:t>Legacy sub-ledgers and GL</w:t>
            </w:r>
          </w:p>
        </w:tc>
        <w:tc>
          <w:tcPr>
            <w:tcW w:type="dxa" w:w="2403"/>
            <w:tcMar>
              <w:top w:w="50" w:type="dxa"/>
              <w:bottom w:w="50" w:type="dxa"/>
              <w:left w:w="90" w:type="dxa"/>
              <w:right w:w="90" w:type="dxa"/>
            </w:tcMar>
            <w:shd w:val="clear" w:color="auto" w:fill="E5F5FF"/>
          </w:tcPr>
          <w:p>
            <w:pPr>
              <w:pStyle w:val="BDOITable"/>
            </w:pPr>
            <w:r>
              <w:rPr>
                <w:sz w:val="16"/>
              </w:rPr>
              <w:t>R08, G01; DM1-A; accounting rules</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841"/>
            <w:tcMar>
              <w:top w:w="50" w:type="dxa"/>
              <w:bottom w:w="50" w:type="dxa"/>
              <w:left w:w="90" w:type="dxa"/>
              <w:right w:w="90" w:type="dxa"/>
            </w:tcMar>
          </w:tcPr>
          <w:p>
            <w:pPr>
              <w:pStyle w:val="BDOITable"/>
            </w:pPr>
            <w:r>
              <w:rPr>
                <w:b/>
                <w:sz w:val="16"/>
              </w:rPr>
              <w:t>DMQ19</w:t>
            </w:r>
          </w:p>
        </w:tc>
        <w:tc>
          <w:tcPr>
            <w:tcW w:type="dxa" w:w="1081"/>
            <w:tcMar>
              <w:top w:w="50" w:type="dxa"/>
              <w:bottom w:w="50" w:type="dxa"/>
              <w:left w:w="90" w:type="dxa"/>
              <w:right w:w="90" w:type="dxa"/>
            </w:tcMar>
          </w:tcPr>
          <w:p>
            <w:pPr>
              <w:pStyle w:val="BDOITable"/>
            </w:pPr>
            <w:r>
              <w:rPr>
                <w:sz w:val="16"/>
              </w:rPr>
              <w:t>DCR-198, DCR-206</w:t>
            </w:r>
          </w:p>
        </w:tc>
        <w:tc>
          <w:tcPr>
            <w:tcW w:type="dxa" w:w="2163"/>
            <w:tcMar>
              <w:top w:w="50" w:type="dxa"/>
              <w:bottom w:w="50" w:type="dxa"/>
              <w:left w:w="90" w:type="dxa"/>
              <w:right w:w="90" w:type="dxa"/>
            </w:tcMar>
          </w:tcPr>
          <w:p>
            <w:pPr>
              <w:pStyle w:val="BDOITable"/>
            </w:pPr>
            <w:r>
              <w:rPr>
                <w:sz w:val="16"/>
              </w:rPr>
              <w:t>DPPR</w:t>
            </w:r>
          </w:p>
        </w:tc>
        <w:tc>
          <w:tcPr>
            <w:tcW w:type="dxa" w:w="2403"/>
            <w:tcMar>
              <w:top w:w="50" w:type="dxa"/>
              <w:bottom w:w="50" w:type="dxa"/>
              <w:left w:w="90" w:type="dxa"/>
              <w:right w:w="90" w:type="dxa"/>
            </w:tcMar>
          </w:tcPr>
          <w:p>
            <w:pPr>
              <w:pStyle w:val="BDOITable"/>
            </w:pPr>
            <w:r>
              <w:rPr>
                <w:sz w:val="16"/>
              </w:rPr>
              <w:t>FR-DM-070 rules</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Head, Comptrollership</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DMQ20</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63"/>
            <w:tcMar>
              <w:top w:w="50" w:type="dxa"/>
              <w:bottom w:w="50" w:type="dxa"/>
              <w:left w:w="90" w:type="dxa"/>
              <w:right w:w="90" w:type="dxa"/>
            </w:tcMar>
            <w:shd w:val="clear" w:color="auto" w:fill="E5F5FF"/>
          </w:tcPr>
          <w:p>
            <w:pPr>
              <w:pStyle w:val="BDOITable"/>
            </w:pPr>
            <w:r>
              <w:rPr>
                <w:sz w:val="16"/>
              </w:rPr>
              <w:t>PR2307 reversal</w:t>
            </w:r>
          </w:p>
        </w:tc>
        <w:tc>
          <w:tcPr>
            <w:tcW w:type="dxa" w:w="2403"/>
            <w:tcMar>
              <w:top w:w="50" w:type="dxa"/>
              <w:bottom w:w="50" w:type="dxa"/>
              <w:left w:w="90" w:type="dxa"/>
              <w:right w:w="90" w:type="dxa"/>
            </w:tcMar>
            <w:shd w:val="clear" w:color="auto" w:fill="E5F5FF"/>
          </w:tcPr>
          <w:p>
            <w:pPr>
              <w:pStyle w:val="BDOITable"/>
            </w:pPr>
            <w:r>
              <w:rPr>
                <w:sz w:val="16"/>
              </w:rPr>
              <w:t>FR-DM-071 rules</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841"/>
            <w:tcMar>
              <w:top w:w="50" w:type="dxa"/>
              <w:bottom w:w="50" w:type="dxa"/>
              <w:left w:w="90" w:type="dxa"/>
              <w:right w:w="90" w:type="dxa"/>
            </w:tcMar>
          </w:tcPr>
          <w:p>
            <w:pPr>
              <w:pStyle w:val="BDOITable"/>
            </w:pPr>
            <w:r>
              <w:rPr>
                <w:b/>
                <w:sz w:val="16"/>
              </w:rPr>
              <w:t>DMQ21</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Remittance positions</w:t>
            </w:r>
          </w:p>
        </w:tc>
        <w:tc>
          <w:tcPr>
            <w:tcW w:type="dxa" w:w="2403"/>
            <w:tcMar>
              <w:top w:w="50" w:type="dxa"/>
              <w:bottom w:w="50" w:type="dxa"/>
              <w:left w:w="90" w:type="dxa"/>
              <w:right w:w="90" w:type="dxa"/>
            </w:tcMar>
          </w:tcPr>
          <w:p>
            <w:pPr>
              <w:pStyle w:val="BDOITable"/>
            </w:pPr>
            <w:r>
              <w:rPr>
                <w:sz w:val="16"/>
              </w:rPr>
              <w:t>F04 decision</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Operations - Remittance</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DMQ22</w:t>
            </w:r>
          </w:p>
        </w:tc>
        <w:tc>
          <w:tcPr>
            <w:tcW w:type="dxa" w:w="1081"/>
            <w:tcMar>
              <w:top w:w="50" w:type="dxa"/>
              <w:bottom w:w="50" w:type="dxa"/>
              <w:left w:w="90" w:type="dxa"/>
              <w:right w:w="90" w:type="dxa"/>
            </w:tcMar>
            <w:shd w:val="clear" w:color="auto" w:fill="E5F5FF"/>
          </w:tcPr>
          <w:p>
            <w:pPr>
              <w:pStyle w:val="BDOITable"/>
            </w:pPr>
            <w:r>
              <w:rPr>
                <w:sz w:val="16"/>
              </w:rPr>
              <w:t>DCR-194</w:t>
            </w:r>
          </w:p>
        </w:tc>
        <w:tc>
          <w:tcPr>
            <w:tcW w:type="dxa" w:w="2163"/>
            <w:tcMar>
              <w:top w:w="50" w:type="dxa"/>
              <w:bottom w:w="50" w:type="dxa"/>
              <w:left w:w="90" w:type="dxa"/>
              <w:right w:w="90" w:type="dxa"/>
            </w:tcMar>
            <w:shd w:val="clear" w:color="auto" w:fill="E5F5FF"/>
          </w:tcPr>
          <w:p>
            <w:pPr>
              <w:pStyle w:val="BDOITable"/>
            </w:pPr>
            <w:r>
              <w:rPr>
                <w:sz w:val="16"/>
              </w:rPr>
              <w:t>Endorsement coexistence</w:t>
            </w:r>
          </w:p>
        </w:tc>
        <w:tc>
          <w:tcPr>
            <w:tcW w:type="dxa" w:w="2403"/>
            <w:tcMar>
              <w:top w:w="50" w:type="dxa"/>
              <w:bottom w:w="50" w:type="dxa"/>
              <w:left w:w="90" w:type="dxa"/>
              <w:right w:w="90" w:type="dxa"/>
            </w:tcMar>
            <w:shd w:val="clear" w:color="auto" w:fill="E5F5FF"/>
          </w:tcPr>
          <w:p>
            <w:pPr>
              <w:pStyle w:val="BDOITable"/>
            </w:pPr>
            <w:r>
              <w:rPr>
                <w:sz w:val="16"/>
              </w:rPr>
              <w:t>P01 condition; DM2-A</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Head, Operations</w:t>
            </w:r>
          </w:p>
        </w:tc>
      </w:tr>
      <w:tr>
        <w:trPr>
          <w:cantSplit w:val="true"/>
        </w:trPr>
        <w:tc>
          <w:tcPr>
            <w:tcW w:type="dxa" w:w="841"/>
            <w:tcMar>
              <w:top w:w="50" w:type="dxa"/>
              <w:bottom w:w="50" w:type="dxa"/>
              <w:left w:w="90" w:type="dxa"/>
              <w:right w:w="90" w:type="dxa"/>
            </w:tcMar>
          </w:tcPr>
          <w:p>
            <w:pPr>
              <w:pStyle w:val="BDOITable"/>
            </w:pPr>
            <w:r>
              <w:rPr>
                <w:b/>
                <w:sz w:val="16"/>
              </w:rPr>
              <w:t>DMQ23</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Legacy change report</w:t>
            </w:r>
          </w:p>
        </w:tc>
        <w:tc>
          <w:tcPr>
            <w:tcW w:type="dxa" w:w="2403"/>
            <w:tcMar>
              <w:top w:w="50" w:type="dxa"/>
              <w:bottom w:w="50" w:type="dxa"/>
              <w:left w:w="90" w:type="dxa"/>
              <w:right w:w="90" w:type="dxa"/>
            </w:tcMar>
          </w:tcPr>
          <w:p>
            <w:pPr>
              <w:pStyle w:val="BDOITable"/>
            </w:pPr>
            <w:r>
              <w:rPr>
                <w:sz w:val="16"/>
              </w:rPr>
              <w:t>FR-DM-100 report</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Operations - Prod Recon</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DMQ24</w:t>
            </w:r>
          </w:p>
        </w:tc>
        <w:tc>
          <w:tcPr>
            <w:tcW w:type="dxa" w:w="1081"/>
            <w:tcMar>
              <w:top w:w="50" w:type="dxa"/>
              <w:bottom w:w="50" w:type="dxa"/>
              <w:left w:w="90" w:type="dxa"/>
              <w:right w:w="90" w:type="dxa"/>
            </w:tcMar>
            <w:shd w:val="clear" w:color="auto" w:fill="E5F5FF"/>
          </w:tcPr>
          <w:p>
            <w:pPr>
              <w:pStyle w:val="BDOITable"/>
            </w:pPr>
            <w:r>
              <w:rPr>
                <w:sz w:val="16"/>
              </w:rPr>
              <w:t>DCR-209</w:t>
            </w:r>
          </w:p>
        </w:tc>
        <w:tc>
          <w:tcPr>
            <w:tcW w:type="dxa" w:w="2163"/>
            <w:tcMar>
              <w:top w:w="50" w:type="dxa"/>
              <w:bottom w:w="50" w:type="dxa"/>
              <w:left w:w="90" w:type="dxa"/>
              <w:right w:w="90" w:type="dxa"/>
            </w:tcMar>
            <w:shd w:val="clear" w:color="auto" w:fill="E5F5FF"/>
          </w:tcPr>
          <w:p>
            <w:pPr>
              <w:pStyle w:val="BDOITable"/>
            </w:pPr>
            <w:r>
              <w:rPr>
                <w:sz w:val="16"/>
              </w:rPr>
              <w:t>Read-only legacy or archive</w:t>
            </w:r>
          </w:p>
        </w:tc>
        <w:tc>
          <w:tcPr>
            <w:tcW w:type="dxa" w:w="2403"/>
            <w:tcMar>
              <w:top w:w="50" w:type="dxa"/>
              <w:bottom w:w="50" w:type="dxa"/>
              <w:left w:w="90" w:type="dxa"/>
              <w:right w:w="90" w:type="dxa"/>
            </w:tcMar>
            <w:shd w:val="clear" w:color="auto" w:fill="E5F5FF"/>
          </w:tcPr>
          <w:p>
            <w:pPr>
              <w:pStyle w:val="BDOITable"/>
            </w:pPr>
            <w:r>
              <w:rPr>
                <w:sz w:val="16"/>
              </w:rPr>
              <w:t>H01, H02, C04; DM2-B</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Audit / Compliance; BDOI IT</w:t>
            </w:r>
          </w:p>
        </w:tc>
      </w:tr>
      <w:tr>
        <w:trPr>
          <w:cantSplit w:val="true"/>
        </w:trPr>
        <w:tc>
          <w:tcPr>
            <w:tcW w:type="dxa" w:w="841"/>
            <w:tcMar>
              <w:top w:w="50" w:type="dxa"/>
              <w:bottom w:w="50" w:type="dxa"/>
              <w:left w:w="90" w:type="dxa"/>
              <w:right w:w="90" w:type="dxa"/>
            </w:tcMar>
          </w:tcPr>
          <w:p>
            <w:pPr>
              <w:pStyle w:val="BDOITable"/>
            </w:pPr>
            <w:r>
              <w:rPr>
                <w:b/>
                <w:sz w:val="16"/>
              </w:rPr>
              <w:t>DMQ25</w:t>
            </w:r>
          </w:p>
        </w:tc>
        <w:tc>
          <w:tcPr>
            <w:tcW w:type="dxa" w:w="1081"/>
            <w:tcMar>
              <w:top w:w="50" w:type="dxa"/>
              <w:bottom w:w="50" w:type="dxa"/>
              <w:left w:w="90" w:type="dxa"/>
              <w:right w:w="90" w:type="dxa"/>
            </w:tcMar>
          </w:tcPr>
          <w:p>
            <w:pPr>
              <w:pStyle w:val="BDOITable"/>
            </w:pPr>
            <w:r>
              <w:rPr>
                <w:sz w:val="16"/>
              </w:rPr>
              <w:t>DCR-200</w:t>
            </w:r>
          </w:p>
        </w:tc>
        <w:tc>
          <w:tcPr>
            <w:tcW w:type="dxa" w:w="2163"/>
            <w:tcMar>
              <w:top w:w="50" w:type="dxa"/>
              <w:bottom w:w="50" w:type="dxa"/>
              <w:left w:w="90" w:type="dxa"/>
              <w:right w:w="90" w:type="dxa"/>
            </w:tcMar>
          </w:tcPr>
          <w:p>
            <w:pPr>
              <w:pStyle w:val="BDOITable"/>
            </w:pPr>
            <w:r>
              <w:rPr>
                <w:sz w:val="16"/>
              </w:rPr>
              <w:t>Cutover date and window</w:t>
            </w:r>
          </w:p>
        </w:tc>
        <w:tc>
          <w:tcPr>
            <w:tcW w:type="dxa" w:w="2403"/>
            <w:tcMar>
              <w:top w:w="50" w:type="dxa"/>
              <w:bottom w:w="50" w:type="dxa"/>
              <w:left w:w="90" w:type="dxa"/>
              <w:right w:w="90" w:type="dxa"/>
            </w:tcMar>
          </w:tcPr>
          <w:p>
            <w:pPr>
              <w:pStyle w:val="BDOITable"/>
            </w:pPr>
            <w:r>
              <w:rPr>
                <w:sz w:val="16"/>
              </w:rPr>
              <w:t>Whole calendar; runbook</w:t>
            </w:r>
          </w:p>
        </w:tc>
        <w:tc>
          <w:tcPr>
            <w:tcW w:type="dxa" w:w="1862"/>
            <w:tcMar>
              <w:top w:w="50" w:type="dxa"/>
              <w:bottom w:w="50" w:type="dxa"/>
              <w:left w:w="90" w:type="dxa"/>
              <w:right w:w="90" w:type="dxa"/>
            </w:tcMar>
          </w:tcPr>
          <w:p>
            <w:pPr>
              <w:pStyle w:val="BDOITable"/>
            </w:pPr>
            <w:r>
              <w:rPr>
                <w:sz w:val="16"/>
              </w:rPr>
              <w:t>M1 (16 Oct 2026) (month), M6 (T-6 weeks) (date)</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DMQ26</w:t>
            </w:r>
          </w:p>
        </w:tc>
        <w:tc>
          <w:tcPr>
            <w:tcW w:type="dxa" w:w="1081"/>
            <w:tcMar>
              <w:top w:w="50" w:type="dxa"/>
              <w:bottom w:w="50" w:type="dxa"/>
              <w:left w:w="90" w:type="dxa"/>
              <w:right w:w="90" w:type="dxa"/>
            </w:tcMar>
            <w:shd w:val="clear" w:color="auto" w:fill="E5F5FF"/>
          </w:tcPr>
          <w:p>
            <w:pPr>
              <w:pStyle w:val="BDOITable"/>
            </w:pPr>
            <w:r>
              <w:rPr>
                <w:sz w:val="16"/>
              </w:rPr>
              <w:t>DCR-199</w:t>
            </w:r>
          </w:p>
        </w:tc>
        <w:tc>
          <w:tcPr>
            <w:tcW w:type="dxa" w:w="2163"/>
            <w:tcMar>
              <w:top w:w="50" w:type="dxa"/>
              <w:bottom w:w="50" w:type="dxa"/>
              <w:left w:w="90" w:type="dxa"/>
              <w:right w:w="90" w:type="dxa"/>
            </w:tcMar>
            <w:shd w:val="clear" w:color="auto" w:fill="E5F5FF"/>
          </w:tcPr>
          <w:p>
            <w:pPr>
              <w:pStyle w:val="BDOITable"/>
            </w:pPr>
            <w:r>
              <w:rPr>
                <w:sz w:val="16"/>
              </w:rPr>
              <w:t>RMEL transition</w:t>
            </w:r>
          </w:p>
        </w:tc>
        <w:tc>
          <w:tcPr>
            <w:tcW w:type="dxa" w:w="2403"/>
            <w:tcMar>
              <w:top w:w="50" w:type="dxa"/>
              <w:bottom w:w="50" w:type="dxa"/>
              <w:left w:w="90" w:type="dxa"/>
              <w:right w:w="90" w:type="dxa"/>
            </w:tcMar>
            <w:shd w:val="clear" w:color="auto" w:fill="E5F5FF"/>
          </w:tcPr>
          <w:p>
            <w:pPr>
              <w:pStyle w:val="BDOITable"/>
            </w:pPr>
            <w:r>
              <w:rPr>
                <w:sz w:val="16"/>
              </w:rPr>
              <w:t>P03; Renewal build</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Heads, Retail and Corporate Marketing</w:t>
            </w:r>
          </w:p>
        </w:tc>
      </w:tr>
      <w:tr>
        <w:trPr>
          <w:cantSplit w:val="true"/>
        </w:trPr>
        <w:tc>
          <w:tcPr>
            <w:tcW w:type="dxa" w:w="841"/>
            <w:tcMar>
              <w:top w:w="50" w:type="dxa"/>
              <w:bottom w:w="50" w:type="dxa"/>
              <w:left w:w="90" w:type="dxa"/>
              <w:right w:w="90" w:type="dxa"/>
            </w:tcMar>
          </w:tcPr>
          <w:p>
            <w:pPr>
              <w:pStyle w:val="BDOITable"/>
            </w:pPr>
            <w:r>
              <w:rPr>
                <w:b/>
                <w:sz w:val="16"/>
              </w:rPr>
              <w:t>DMQ27</w:t>
            </w:r>
          </w:p>
        </w:tc>
        <w:tc>
          <w:tcPr>
            <w:tcW w:type="dxa" w:w="1081"/>
            <w:tcMar>
              <w:top w:w="50" w:type="dxa"/>
              <w:bottom w:w="50" w:type="dxa"/>
              <w:left w:w="90" w:type="dxa"/>
              <w:right w:w="90" w:type="dxa"/>
            </w:tcMar>
          </w:tcPr>
          <w:p>
            <w:pPr>
              <w:pStyle w:val="BDOITable"/>
            </w:pPr>
            <w:r>
              <w:rPr>
                <w:sz w:val="16"/>
              </w:rPr>
              <w:t>-</w:t>
            </w:r>
          </w:p>
        </w:tc>
        <w:tc>
          <w:tcPr>
            <w:tcW w:type="dxa" w:w="2163"/>
            <w:tcMar>
              <w:top w:w="50" w:type="dxa"/>
              <w:bottom w:w="50" w:type="dxa"/>
              <w:left w:w="90" w:type="dxa"/>
              <w:right w:w="90" w:type="dxa"/>
            </w:tcMar>
          </w:tcPr>
          <w:p>
            <w:pPr>
              <w:pStyle w:val="BDOITable"/>
            </w:pPr>
            <w:r>
              <w:rPr>
                <w:sz w:val="16"/>
              </w:rPr>
              <w:t>Decommissioning criteria</w:t>
            </w:r>
          </w:p>
        </w:tc>
        <w:tc>
          <w:tcPr>
            <w:tcW w:type="dxa" w:w="2403"/>
            <w:tcMar>
              <w:top w:w="50" w:type="dxa"/>
              <w:bottom w:w="50" w:type="dxa"/>
              <w:left w:w="90" w:type="dxa"/>
              <w:right w:w="90" w:type="dxa"/>
            </w:tcMar>
          </w:tcPr>
          <w:p>
            <w:pPr>
              <w:pStyle w:val="BDOITable"/>
            </w:pPr>
            <w:r>
              <w:rPr>
                <w:sz w:val="16"/>
              </w:rPr>
              <w:t>Decommissioning checklists</w:t>
            </w:r>
          </w:p>
        </w:tc>
        <w:tc>
          <w:tcPr>
            <w:tcW w:type="dxa" w:w="1862"/>
            <w:tcMar>
              <w:top w:w="50" w:type="dxa"/>
              <w:bottom w:w="50" w:type="dxa"/>
              <w:left w:w="90" w:type="dxa"/>
              <w:right w:w="90" w:type="dxa"/>
            </w:tcMar>
          </w:tcPr>
          <w:p>
            <w:pPr>
              <w:pStyle w:val="BDOITable"/>
            </w:pPr>
            <w:r>
              <w:rPr>
                <w:sz w:val="16"/>
              </w:rPr>
              <w:t>M6 (T-6 weeks)</w:t>
            </w:r>
          </w:p>
        </w:tc>
        <w:tc>
          <w:tcPr>
            <w:tcW w:type="dxa" w:w="1622"/>
            <w:tcMar>
              <w:top w:w="50" w:type="dxa"/>
              <w:bottom w:w="50" w:type="dxa"/>
              <w:left w:w="90" w:type="dxa"/>
              <w:right w:w="90" w:type="dxa"/>
            </w:tcMar>
          </w:tcPr>
          <w:p>
            <w:pPr>
              <w:pStyle w:val="BDOITable"/>
            </w:pPr>
            <w:r>
              <w:rPr>
                <w:sz w:val="16"/>
              </w:rPr>
              <w:t>Program Manager; BDOI IT</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DMQ28</w:t>
            </w:r>
          </w:p>
        </w:tc>
        <w:tc>
          <w:tcPr>
            <w:tcW w:type="dxa" w:w="1081"/>
            <w:tcMar>
              <w:top w:w="50" w:type="dxa"/>
              <w:bottom w:w="50" w:type="dxa"/>
              <w:left w:w="90" w:type="dxa"/>
              <w:right w:w="90" w:type="dxa"/>
            </w:tcMar>
            <w:shd w:val="clear" w:color="auto" w:fill="E5F5FF"/>
          </w:tcPr>
          <w:p>
            <w:pPr>
              <w:pStyle w:val="BDOITable"/>
            </w:pPr>
            <w:r>
              <w:rPr>
                <w:sz w:val="16"/>
              </w:rPr>
              <w:t>DCR-193</w:t>
            </w:r>
          </w:p>
        </w:tc>
        <w:tc>
          <w:tcPr>
            <w:tcW w:type="dxa" w:w="2163"/>
            <w:tcMar>
              <w:top w:w="50" w:type="dxa"/>
              <w:bottom w:w="50" w:type="dxa"/>
              <w:left w:w="90" w:type="dxa"/>
              <w:right w:w="90" w:type="dxa"/>
            </w:tcMar>
            <w:shd w:val="clear" w:color="auto" w:fill="E5F5FF"/>
          </w:tcPr>
          <w:p>
            <w:pPr>
              <w:pStyle w:val="BDOITable"/>
            </w:pPr>
            <w:r>
              <w:rPr>
                <w:sz w:val="16"/>
              </w:rPr>
              <w:t>Volumes and quality</w:t>
            </w:r>
          </w:p>
        </w:tc>
        <w:tc>
          <w:tcPr>
            <w:tcW w:type="dxa" w:w="2403"/>
            <w:tcMar>
              <w:top w:w="50" w:type="dxa"/>
              <w:bottom w:w="50" w:type="dxa"/>
              <w:left w:w="90" w:type="dxa"/>
              <w:right w:w="90" w:type="dxa"/>
            </w:tcMar>
            <w:shd w:val="clear" w:color="auto" w:fill="E5F5FF"/>
          </w:tcPr>
          <w:p>
            <w:pPr>
              <w:pStyle w:val="BDOITable"/>
            </w:pPr>
            <w:r>
              <w:rPr>
                <w:sz w:val="16"/>
              </w:rPr>
              <w:t>Register volumes; performance test</w:t>
            </w:r>
          </w:p>
        </w:tc>
        <w:tc>
          <w:tcPr>
            <w:tcW w:type="dxa" w:w="1862"/>
            <w:tcMar>
              <w:top w:w="50" w:type="dxa"/>
              <w:bottom w:w="50" w:type="dxa"/>
              <w:left w:w="90" w:type="dxa"/>
              <w:right w:w="90" w:type="dxa"/>
            </w:tcMar>
            <w:shd w:val="clear" w:color="auto" w:fill="E5F5FF"/>
          </w:tcPr>
          <w:p>
            <w:pPr>
              <w:pStyle w:val="BDOITable"/>
            </w:pPr>
            <w:r>
              <w:rPr>
                <w:sz w:val="16"/>
              </w:rPr>
              <w:t>M4 (T-14 weeks)</w:t>
            </w:r>
          </w:p>
        </w:tc>
        <w:tc>
          <w:tcPr>
            <w:tcW w:type="dxa" w:w="1622"/>
            <w:tcMar>
              <w:top w:w="50" w:type="dxa"/>
              <w:bottom w:w="50" w:type="dxa"/>
              <w:left w:w="90" w:type="dxa"/>
              <w:right w:w="90" w:type="dxa"/>
            </w:tcMar>
            <w:shd w:val="clear" w:color="auto" w:fill="E5F5FF"/>
          </w:tcPr>
          <w:p>
            <w:pPr>
              <w:pStyle w:val="BDOITable"/>
            </w:pPr>
            <w:r>
              <w:rPr>
                <w:sz w:val="16"/>
              </w:rPr>
              <w:t>BDOI IT</w:t>
            </w:r>
          </w:p>
        </w:tc>
      </w:tr>
      <w:tr>
        <w:trPr>
          <w:cantSplit w:val="true"/>
        </w:trPr>
        <w:tc>
          <w:tcPr>
            <w:tcW w:type="dxa" w:w="841"/>
            <w:tcMar>
              <w:top w:w="50" w:type="dxa"/>
              <w:bottom w:w="50" w:type="dxa"/>
              <w:left w:w="90" w:type="dxa"/>
              <w:right w:w="90" w:type="dxa"/>
            </w:tcMar>
          </w:tcPr>
          <w:p>
            <w:pPr>
              <w:pStyle w:val="BDOITable"/>
            </w:pPr>
            <w:r>
              <w:rPr>
                <w:b/>
                <w:sz w:val="16"/>
              </w:rPr>
              <w:t>DMQ29</w:t>
            </w:r>
          </w:p>
        </w:tc>
        <w:tc>
          <w:tcPr>
            <w:tcW w:type="dxa" w:w="1081"/>
            <w:tcMar>
              <w:top w:w="50" w:type="dxa"/>
              <w:bottom w:w="50" w:type="dxa"/>
              <w:left w:w="90" w:type="dxa"/>
              <w:right w:w="90" w:type="dxa"/>
            </w:tcMar>
          </w:tcPr>
          <w:p>
            <w:pPr>
              <w:pStyle w:val="BDOITable"/>
            </w:pPr>
            <w:r>
              <w:rPr>
                <w:sz w:val="16"/>
              </w:rPr>
              <w:t>DCR-193</w:t>
            </w:r>
          </w:p>
        </w:tc>
        <w:tc>
          <w:tcPr>
            <w:tcW w:type="dxa" w:w="2163"/>
            <w:tcMar>
              <w:top w:w="50" w:type="dxa"/>
              <w:bottom w:w="50" w:type="dxa"/>
              <w:left w:w="90" w:type="dxa"/>
              <w:right w:w="90" w:type="dxa"/>
            </w:tcMar>
          </w:tcPr>
          <w:p>
            <w:pPr>
              <w:pStyle w:val="BDOITable"/>
            </w:pPr>
            <w:r>
              <w:rPr>
                <w:sz w:val="16"/>
              </w:rPr>
              <w:t>Consolidated NFR</w:t>
            </w:r>
          </w:p>
        </w:tc>
        <w:tc>
          <w:tcPr>
            <w:tcW w:type="dxa" w:w="2403"/>
            <w:tcMar>
              <w:top w:w="50" w:type="dxa"/>
              <w:bottom w:w="50" w:type="dxa"/>
              <w:left w:w="90" w:type="dxa"/>
              <w:right w:w="90" w:type="dxa"/>
            </w:tcMar>
          </w:tcPr>
          <w:p>
            <w:pPr>
              <w:pStyle w:val="BDOITable"/>
            </w:pPr>
            <w:r>
              <w:rPr>
                <w:sz w:val="16"/>
              </w:rPr>
              <w:t>NFR targets</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Program Manager</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DMQ30</w:t>
            </w:r>
          </w:p>
        </w:tc>
        <w:tc>
          <w:tcPr>
            <w:tcW w:type="dxa" w:w="1081"/>
            <w:tcMar>
              <w:top w:w="50" w:type="dxa"/>
              <w:bottom w:w="50" w:type="dxa"/>
              <w:left w:w="90" w:type="dxa"/>
              <w:right w:w="90" w:type="dxa"/>
            </w:tcMar>
            <w:shd w:val="clear" w:color="auto" w:fill="E5F5FF"/>
          </w:tcPr>
          <w:p>
            <w:pPr>
              <w:pStyle w:val="BDOITable"/>
            </w:pPr>
            <w:r>
              <w:rPr>
                <w:sz w:val="16"/>
              </w:rPr>
              <w:t>DCR-196</w:t>
            </w:r>
          </w:p>
        </w:tc>
        <w:tc>
          <w:tcPr>
            <w:tcW w:type="dxa" w:w="2163"/>
            <w:tcMar>
              <w:top w:w="50" w:type="dxa"/>
              <w:bottom w:w="50" w:type="dxa"/>
              <w:left w:w="90" w:type="dxa"/>
              <w:right w:w="90" w:type="dxa"/>
            </w:tcMar>
            <w:shd w:val="clear" w:color="auto" w:fill="E5F5FF"/>
          </w:tcPr>
          <w:p>
            <w:pPr>
              <w:pStyle w:val="BDOITable"/>
            </w:pPr>
            <w:r>
              <w:rPr>
                <w:sz w:val="16"/>
              </w:rPr>
              <w:t>Objects not in the BRD</w:t>
            </w:r>
          </w:p>
        </w:tc>
        <w:tc>
          <w:tcPr>
            <w:tcW w:type="dxa" w:w="2403"/>
            <w:tcMar>
              <w:top w:w="50" w:type="dxa"/>
              <w:bottom w:w="50" w:type="dxa"/>
              <w:left w:w="90" w:type="dxa"/>
              <w:right w:w="90" w:type="dxa"/>
            </w:tcMar>
            <w:shd w:val="clear" w:color="auto" w:fill="E5F5FF"/>
          </w:tcPr>
          <w:p>
            <w:pPr>
              <w:pStyle w:val="BDOITable"/>
            </w:pPr>
            <w:r>
              <w:rPr>
                <w:sz w:val="16"/>
              </w:rPr>
              <w:t>R09, P04, P05, F06, F07</w:t>
            </w:r>
          </w:p>
        </w:tc>
        <w:tc>
          <w:tcPr>
            <w:tcW w:type="dxa" w:w="1862"/>
            <w:tcMar>
              <w:top w:w="50" w:type="dxa"/>
              <w:bottom w:w="50" w:type="dxa"/>
              <w:left w:w="90" w:type="dxa"/>
              <w:right w:w="90" w:type="dxa"/>
            </w:tcMar>
            <w:shd w:val="clear" w:color="auto" w:fill="E5F5FF"/>
          </w:tcPr>
          <w:p>
            <w:pPr>
              <w:pStyle w:val="BDOITable"/>
            </w:pPr>
            <w:r>
              <w:rPr>
                <w:sz w:val="16"/>
              </w:rPr>
              <w:t>M1 (16 Oct 2026)</w:t>
            </w:r>
          </w:p>
        </w:tc>
        <w:tc>
          <w:tcPr>
            <w:tcW w:type="dxa" w:w="1622"/>
            <w:tcMar>
              <w:top w:w="50" w:type="dxa"/>
              <w:bottom w:w="50" w:type="dxa"/>
              <w:left w:w="90" w:type="dxa"/>
              <w:right w:w="90" w:type="dxa"/>
            </w:tcMar>
            <w:shd w:val="clear" w:color="auto" w:fill="E5F5FF"/>
          </w:tcPr>
          <w:p>
            <w:pPr>
              <w:pStyle w:val="BDOITable"/>
            </w:pPr>
            <w:r>
              <w:rPr>
                <w:sz w:val="16"/>
              </w:rPr>
              <w:t>Program Manager</w:t>
            </w:r>
          </w:p>
        </w:tc>
      </w:tr>
      <w:tr>
        <w:trPr>
          <w:cantSplit w:val="true"/>
        </w:trPr>
        <w:tc>
          <w:tcPr>
            <w:tcW w:type="dxa" w:w="841"/>
            <w:tcMar>
              <w:top w:w="50" w:type="dxa"/>
              <w:bottom w:w="50" w:type="dxa"/>
              <w:left w:w="90" w:type="dxa"/>
              <w:right w:w="90" w:type="dxa"/>
            </w:tcMar>
          </w:tcPr>
          <w:p>
            <w:pPr>
              <w:pStyle w:val="BDOITable"/>
            </w:pPr>
            <w:r>
              <w:rPr>
                <w:b/>
                <w:sz w:val="16"/>
              </w:rPr>
              <w:t>DMQ31</w:t>
            </w:r>
          </w:p>
        </w:tc>
        <w:tc>
          <w:tcPr>
            <w:tcW w:type="dxa" w:w="1081"/>
            <w:tcMar>
              <w:top w:w="50" w:type="dxa"/>
              <w:bottom w:w="50" w:type="dxa"/>
              <w:left w:w="90" w:type="dxa"/>
              <w:right w:w="90" w:type="dxa"/>
            </w:tcMar>
          </w:tcPr>
          <w:p>
            <w:pPr>
              <w:pStyle w:val="BDOITable"/>
            </w:pPr>
            <w:r>
              <w:rPr>
                <w:sz w:val="16"/>
              </w:rPr>
              <w:t>DCR-200</w:t>
            </w:r>
          </w:p>
        </w:tc>
        <w:tc>
          <w:tcPr>
            <w:tcW w:type="dxa" w:w="2163"/>
            <w:tcMar>
              <w:top w:w="50" w:type="dxa"/>
              <w:bottom w:w="50" w:type="dxa"/>
              <w:left w:w="90" w:type="dxa"/>
              <w:right w:w="90" w:type="dxa"/>
            </w:tcMar>
          </w:tcPr>
          <w:p>
            <w:pPr>
              <w:pStyle w:val="BDOITable"/>
            </w:pPr>
            <w:r>
              <w:rPr>
                <w:sz w:val="16"/>
              </w:rPr>
              <w:t>Rehearsals and test data</w:t>
            </w:r>
          </w:p>
        </w:tc>
        <w:tc>
          <w:tcPr>
            <w:tcW w:type="dxa" w:w="2403"/>
            <w:tcMar>
              <w:top w:w="50" w:type="dxa"/>
              <w:bottom w:w="50" w:type="dxa"/>
              <w:left w:w="90" w:type="dxa"/>
              <w:right w:w="90" w:type="dxa"/>
            </w:tcMar>
          </w:tcPr>
          <w:p>
            <w:pPr>
              <w:pStyle w:val="BDOITable"/>
            </w:pPr>
            <w:r>
              <w:rPr>
                <w:sz w:val="16"/>
              </w:rPr>
              <w:t>Migration cycles</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Program Manager; Compliance</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DMQ32</w:t>
            </w:r>
          </w:p>
        </w:tc>
        <w:tc>
          <w:tcPr>
            <w:tcW w:type="dxa" w:w="1081"/>
            <w:tcMar>
              <w:top w:w="50" w:type="dxa"/>
              <w:bottom w:w="50" w:type="dxa"/>
              <w:left w:w="90" w:type="dxa"/>
              <w:right w:w="90" w:type="dxa"/>
            </w:tcMar>
            <w:shd w:val="clear" w:color="auto" w:fill="E5F5FF"/>
          </w:tcPr>
          <w:p>
            <w:pPr>
              <w:pStyle w:val="BDOITable"/>
            </w:pPr>
            <w:r>
              <w:rPr>
                <w:sz w:val="16"/>
              </w:rPr>
              <w:t>DCR-200</w:t>
            </w:r>
          </w:p>
        </w:tc>
        <w:tc>
          <w:tcPr>
            <w:tcW w:type="dxa" w:w="2163"/>
            <w:tcMar>
              <w:top w:w="50" w:type="dxa"/>
              <w:bottom w:w="50" w:type="dxa"/>
              <w:left w:w="90" w:type="dxa"/>
              <w:right w:w="90" w:type="dxa"/>
            </w:tcMar>
            <w:shd w:val="clear" w:color="auto" w:fill="E5F5FF"/>
          </w:tcPr>
          <w:p>
            <w:pPr>
              <w:pStyle w:val="BDOITable"/>
            </w:pPr>
            <w:r>
              <w:rPr>
                <w:sz w:val="16"/>
              </w:rPr>
              <w:t>Fallback</w:t>
            </w:r>
          </w:p>
        </w:tc>
        <w:tc>
          <w:tcPr>
            <w:tcW w:type="dxa" w:w="2403"/>
            <w:tcMar>
              <w:top w:w="50" w:type="dxa"/>
              <w:bottom w:w="50" w:type="dxa"/>
              <w:left w:w="90" w:type="dxa"/>
              <w:right w:w="90" w:type="dxa"/>
            </w:tcMar>
            <w:shd w:val="clear" w:color="auto" w:fill="E5F5FF"/>
          </w:tcPr>
          <w:p>
            <w:pPr>
              <w:pStyle w:val="BDOITable"/>
            </w:pPr>
            <w:r>
              <w:rPr>
                <w:sz w:val="16"/>
              </w:rPr>
              <w:t>Runbook rollback</w:t>
            </w:r>
          </w:p>
        </w:tc>
        <w:tc>
          <w:tcPr>
            <w:tcW w:type="dxa" w:w="1862"/>
            <w:tcMar>
              <w:top w:w="50" w:type="dxa"/>
              <w:bottom w:w="50" w:type="dxa"/>
              <w:left w:w="90" w:type="dxa"/>
              <w:right w:w="90" w:type="dxa"/>
            </w:tcMar>
            <w:shd w:val="clear" w:color="auto" w:fill="E5F5FF"/>
          </w:tcPr>
          <w:p>
            <w:pPr>
              <w:pStyle w:val="BDOITable"/>
            </w:pPr>
            <w:r>
              <w:rPr>
                <w:sz w:val="16"/>
              </w:rPr>
              <w:t>M6 (T-6 weeks)</w:t>
            </w:r>
          </w:p>
        </w:tc>
        <w:tc>
          <w:tcPr>
            <w:tcW w:type="dxa" w:w="1622"/>
            <w:tcMar>
              <w:top w:w="50" w:type="dxa"/>
              <w:bottom w:w="50" w:type="dxa"/>
              <w:left w:w="90" w:type="dxa"/>
              <w:right w:w="90" w:type="dxa"/>
            </w:tcMar>
            <w:shd w:val="clear" w:color="auto" w:fill="E5F5FF"/>
          </w:tcPr>
          <w:p>
            <w:pPr>
              <w:pStyle w:val="BDOITable"/>
            </w:pPr>
            <w:r>
              <w:rPr>
                <w:sz w:val="16"/>
              </w:rPr>
              <w:t>Program Manager</w:t>
            </w:r>
          </w:p>
        </w:tc>
      </w:tr>
      <w:tr>
        <w:trPr>
          <w:cantSplit w:val="true"/>
        </w:trPr>
        <w:tc>
          <w:tcPr>
            <w:tcW w:type="dxa" w:w="841"/>
            <w:tcMar>
              <w:top w:w="50" w:type="dxa"/>
              <w:bottom w:w="50" w:type="dxa"/>
              <w:left w:w="90" w:type="dxa"/>
              <w:right w:w="90" w:type="dxa"/>
            </w:tcMar>
          </w:tcPr>
          <w:p>
            <w:pPr>
              <w:pStyle w:val="BDOITable"/>
            </w:pPr>
            <w:r>
              <w:rPr>
                <w:b/>
                <w:sz w:val="16"/>
              </w:rPr>
              <w:t>DMQ33</w:t>
            </w:r>
          </w:p>
        </w:tc>
        <w:tc>
          <w:tcPr>
            <w:tcW w:type="dxa" w:w="1081"/>
            <w:tcMar>
              <w:top w:w="50" w:type="dxa"/>
              <w:bottom w:w="50" w:type="dxa"/>
              <w:left w:w="90" w:type="dxa"/>
              <w:right w:w="90" w:type="dxa"/>
            </w:tcMar>
          </w:tcPr>
          <w:p>
            <w:pPr>
              <w:pStyle w:val="BDOITable"/>
            </w:pPr>
            <w:r>
              <w:rPr>
                <w:sz w:val="16"/>
              </w:rPr>
              <w:t>DCR-200</w:t>
            </w:r>
          </w:p>
        </w:tc>
        <w:tc>
          <w:tcPr>
            <w:tcW w:type="dxa" w:w="2163"/>
            <w:tcMar>
              <w:top w:w="50" w:type="dxa"/>
              <w:bottom w:w="50" w:type="dxa"/>
              <w:left w:w="90" w:type="dxa"/>
              <w:right w:w="90" w:type="dxa"/>
            </w:tcMar>
          </w:tcPr>
          <w:p>
            <w:pPr>
              <w:pStyle w:val="BDOITable"/>
            </w:pPr>
            <w:r>
              <w:rPr>
                <w:sz w:val="16"/>
              </w:rPr>
              <w:t>In-flight items at the freeze</w:t>
            </w:r>
          </w:p>
        </w:tc>
        <w:tc>
          <w:tcPr>
            <w:tcW w:type="dxa" w:w="2403"/>
            <w:tcMar>
              <w:top w:w="50" w:type="dxa"/>
              <w:bottom w:w="50" w:type="dxa"/>
              <w:left w:w="90" w:type="dxa"/>
              <w:right w:w="90" w:type="dxa"/>
            </w:tcMar>
          </w:tcPr>
          <w:p>
            <w:pPr>
              <w:pStyle w:val="BDOITable"/>
            </w:pPr>
            <w:r>
              <w:rPr>
                <w:sz w:val="16"/>
              </w:rPr>
              <w:t>F06; freeze plan</w:t>
            </w:r>
          </w:p>
        </w:tc>
        <w:tc>
          <w:tcPr>
            <w:tcW w:type="dxa" w:w="1862"/>
            <w:tcMar>
              <w:top w:w="50" w:type="dxa"/>
              <w:bottom w:w="50" w:type="dxa"/>
              <w:left w:w="90" w:type="dxa"/>
              <w:right w:w="90" w:type="dxa"/>
            </w:tcMar>
          </w:tcPr>
          <w:p>
            <w:pPr>
              <w:pStyle w:val="BDOITable"/>
            </w:pPr>
            <w:r>
              <w:rPr>
                <w:sz w:val="16"/>
              </w:rPr>
              <w:t>M2 (6 Nov 2026)</w:t>
            </w:r>
          </w:p>
        </w:tc>
        <w:tc>
          <w:tcPr>
            <w:tcW w:type="dxa" w:w="1622"/>
            <w:tcMar>
              <w:top w:w="50" w:type="dxa"/>
              <w:bottom w:w="50" w:type="dxa"/>
              <w:left w:w="90" w:type="dxa"/>
              <w:right w:w="90" w:type="dxa"/>
            </w:tcMar>
          </w:tcPr>
          <w:p>
            <w:pPr>
              <w:pStyle w:val="BDOITable"/>
            </w:pPr>
            <w:r>
              <w:rPr>
                <w:sz w:val="16"/>
              </w:rPr>
              <w:t>Head, Operations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DMQ34</w:t>
            </w:r>
          </w:p>
        </w:tc>
        <w:tc>
          <w:tcPr>
            <w:tcW w:type="dxa" w:w="1081"/>
            <w:tcMar>
              <w:top w:w="50" w:type="dxa"/>
              <w:bottom w:w="50" w:type="dxa"/>
              <w:left w:w="90" w:type="dxa"/>
              <w:right w:w="90" w:type="dxa"/>
            </w:tcMar>
            <w:shd w:val="clear" w:color="auto" w:fill="E5F5FF"/>
          </w:tcPr>
          <w:p>
            <w:pPr>
              <w:pStyle w:val="BDOITable"/>
            </w:pPr>
            <w:r>
              <w:rPr>
                <w:sz w:val="16"/>
              </w:rPr>
              <w:t>DCR-203</w:t>
            </w:r>
          </w:p>
        </w:tc>
        <w:tc>
          <w:tcPr>
            <w:tcW w:type="dxa" w:w="2163"/>
            <w:tcMar>
              <w:top w:w="50" w:type="dxa"/>
              <w:bottom w:w="50" w:type="dxa"/>
              <w:left w:w="90" w:type="dxa"/>
              <w:right w:w="90" w:type="dxa"/>
            </w:tcMar>
            <w:shd w:val="clear" w:color="auto" w:fill="E5F5FF"/>
          </w:tcPr>
          <w:p>
            <w:pPr>
              <w:pStyle w:val="BDOITable"/>
            </w:pPr>
            <w:r>
              <w:rPr>
                <w:sz w:val="16"/>
              </w:rPr>
              <w:t>Collection history</w:t>
            </w:r>
          </w:p>
        </w:tc>
        <w:tc>
          <w:tcPr>
            <w:tcW w:type="dxa" w:w="2403"/>
            <w:tcMar>
              <w:top w:w="50" w:type="dxa"/>
              <w:bottom w:w="50" w:type="dxa"/>
              <w:left w:w="90" w:type="dxa"/>
              <w:right w:w="90" w:type="dxa"/>
            </w:tcMar>
            <w:shd w:val="clear" w:color="auto" w:fill="E5F5FF"/>
          </w:tcPr>
          <w:p>
            <w:pPr>
              <w:pStyle w:val="BDOITable"/>
            </w:pPr>
            <w:r>
              <w:rPr>
                <w:sz w:val="16"/>
              </w:rPr>
              <w:t>F03</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Head, Operations (Collections)</w:t>
            </w:r>
          </w:p>
        </w:tc>
      </w:tr>
      <w:tr>
        <w:trPr>
          <w:cantSplit w:val="true"/>
        </w:trPr>
        <w:tc>
          <w:tcPr>
            <w:tcW w:type="dxa" w:w="841"/>
            <w:tcMar>
              <w:top w:w="50" w:type="dxa"/>
              <w:bottom w:w="50" w:type="dxa"/>
              <w:left w:w="90" w:type="dxa"/>
              <w:right w:w="90" w:type="dxa"/>
            </w:tcMar>
          </w:tcPr>
          <w:p>
            <w:pPr>
              <w:pStyle w:val="BDOITable"/>
            </w:pPr>
            <w:r>
              <w:rPr>
                <w:b/>
                <w:sz w:val="16"/>
              </w:rPr>
              <w:t>DCR-202</w:t>
            </w:r>
          </w:p>
        </w:tc>
        <w:tc>
          <w:tcPr>
            <w:tcW w:type="dxa" w:w="1081"/>
            <w:tcMar>
              <w:top w:w="50" w:type="dxa"/>
              <w:bottom w:w="50" w:type="dxa"/>
              <w:left w:w="90" w:type="dxa"/>
              <w:right w:w="90" w:type="dxa"/>
            </w:tcMar>
          </w:tcPr>
          <w:p>
            <w:pPr>
              <w:pStyle w:val="BDOITable"/>
            </w:pPr>
            <w:r>
              <w:rPr>
                <w:sz w:val="16"/>
              </w:rPr>
              <w:t>DCR-202</w:t>
            </w:r>
          </w:p>
        </w:tc>
        <w:tc>
          <w:tcPr>
            <w:tcW w:type="dxa" w:w="2163"/>
            <w:tcMar>
              <w:top w:w="50" w:type="dxa"/>
              <w:bottom w:w="50" w:type="dxa"/>
              <w:left w:w="90" w:type="dxa"/>
              <w:right w:w="90" w:type="dxa"/>
            </w:tcMar>
          </w:tcPr>
          <w:p>
            <w:pPr>
              <w:pStyle w:val="BDOITable"/>
            </w:pPr>
            <w:r>
              <w:rPr>
                <w:sz w:val="16"/>
              </w:rPr>
              <w:t>Write-back to legacy</w:t>
            </w:r>
          </w:p>
        </w:tc>
        <w:tc>
          <w:tcPr>
            <w:tcW w:type="dxa" w:w="2403"/>
            <w:tcMar>
              <w:top w:w="50" w:type="dxa"/>
              <w:bottom w:w="50" w:type="dxa"/>
              <w:left w:w="90" w:type="dxa"/>
              <w:right w:w="90" w:type="dxa"/>
            </w:tcMar>
          </w:tcPr>
          <w:p>
            <w:pPr>
              <w:pStyle w:val="BDOITable"/>
            </w:pPr>
            <w:r>
              <w:rPr>
                <w:sz w:val="16"/>
              </w:rPr>
              <w:t>C01 deltas; CSF ContactSyncGateway</w:t>
            </w:r>
          </w:p>
        </w:tc>
        <w:tc>
          <w:tcPr>
            <w:tcW w:type="dxa" w:w="1862"/>
            <w:tcMar>
              <w:top w:w="50" w:type="dxa"/>
              <w:bottom w:w="50" w:type="dxa"/>
              <w:left w:w="90" w:type="dxa"/>
              <w:right w:w="90" w:type="dxa"/>
            </w:tcMar>
          </w:tcPr>
          <w:p>
            <w:pPr>
              <w:pStyle w:val="BDOITable"/>
            </w:pPr>
            <w:r>
              <w:rPr>
                <w:sz w:val="16"/>
              </w:rPr>
              <w:t>M1 (16 Oct 2026)</w:t>
            </w:r>
          </w:p>
        </w:tc>
        <w:tc>
          <w:tcPr>
            <w:tcW w:type="dxa" w:w="1622"/>
            <w:tcMar>
              <w:top w:w="50" w:type="dxa"/>
              <w:bottom w:w="50" w:type="dxa"/>
              <w:left w:w="90" w:type="dxa"/>
              <w:right w:w="90" w:type="dxa"/>
            </w:tcMar>
          </w:tcPr>
          <w:p>
            <w:pPr>
              <w:pStyle w:val="BDOITable"/>
            </w:pPr>
            <w:r>
              <w:rPr>
                <w:sz w:val="16"/>
              </w:rPr>
              <w:t>Product Owner, MBS</w:t>
            </w:r>
          </w:p>
        </w:tc>
      </w:tr>
      <w:tr>
        <w:trPr>
          <w:cantSplit w:val="true"/>
        </w:trPr>
        <w:tc>
          <w:tcPr>
            <w:tcW w:type="dxa" w:w="841"/>
            <w:tcMar>
              <w:top w:w="50" w:type="dxa"/>
              <w:bottom w:w="50" w:type="dxa"/>
              <w:left w:w="90" w:type="dxa"/>
              <w:right w:w="90" w:type="dxa"/>
            </w:tcMar>
            <w:shd w:val="clear" w:color="auto" w:fill="E5F5FF"/>
          </w:tcPr>
          <w:p>
            <w:pPr>
              <w:pStyle w:val="BDOITable"/>
            </w:pPr>
            <w:r>
              <w:rPr>
                <w:b/>
                <w:sz w:val="16"/>
              </w:rPr>
              <w:t>DMQ35</w:t>
            </w:r>
          </w:p>
        </w:tc>
        <w:tc>
          <w:tcPr>
            <w:tcW w:type="dxa" w:w="1081"/>
            <w:tcMar>
              <w:top w:w="50" w:type="dxa"/>
              <w:bottom w:w="50" w:type="dxa"/>
              <w:left w:w="90" w:type="dxa"/>
              <w:right w:w="90" w:type="dxa"/>
            </w:tcMar>
            <w:shd w:val="clear" w:color="auto" w:fill="E5F5FF"/>
          </w:tcPr>
          <w:p>
            <w:pPr>
              <w:pStyle w:val="BDOITable"/>
            </w:pPr>
            <w:r>
              <w:rPr>
                <w:sz w:val="16"/>
              </w:rPr>
              <w:t>-</w:t>
            </w:r>
          </w:p>
        </w:tc>
        <w:tc>
          <w:tcPr>
            <w:tcW w:type="dxa" w:w="2163"/>
            <w:tcMar>
              <w:top w:w="50" w:type="dxa"/>
              <w:bottom w:w="50" w:type="dxa"/>
              <w:left w:w="90" w:type="dxa"/>
              <w:right w:w="90" w:type="dxa"/>
            </w:tcMar>
            <w:shd w:val="clear" w:color="auto" w:fill="E5F5FF"/>
          </w:tcPr>
          <w:p>
            <w:pPr>
              <w:pStyle w:val="BDOITable"/>
            </w:pPr>
            <w:r>
              <w:rPr>
                <w:sz w:val="16"/>
              </w:rPr>
              <w:t>Foreign currency</w:t>
            </w:r>
          </w:p>
        </w:tc>
        <w:tc>
          <w:tcPr>
            <w:tcW w:type="dxa" w:w="2403"/>
            <w:tcMar>
              <w:top w:w="50" w:type="dxa"/>
              <w:bottom w:w="50" w:type="dxa"/>
              <w:left w:w="90" w:type="dxa"/>
              <w:right w:w="90" w:type="dxa"/>
            </w:tcMar>
            <w:shd w:val="clear" w:color="auto" w:fill="E5F5FF"/>
          </w:tcPr>
          <w:p>
            <w:pPr>
              <w:pStyle w:val="BDOITable"/>
            </w:pPr>
            <w:r>
              <w:rPr>
                <w:sz w:val="16"/>
              </w:rPr>
              <w:t>F01, F02, G01</w:t>
            </w:r>
          </w:p>
        </w:tc>
        <w:tc>
          <w:tcPr>
            <w:tcW w:type="dxa" w:w="1862"/>
            <w:tcMar>
              <w:top w:w="50" w:type="dxa"/>
              <w:bottom w:w="50" w:type="dxa"/>
              <w:left w:w="90" w:type="dxa"/>
              <w:right w:w="90" w:type="dxa"/>
            </w:tcMar>
            <w:shd w:val="clear" w:color="auto" w:fill="E5F5FF"/>
          </w:tcPr>
          <w:p>
            <w:pPr>
              <w:pStyle w:val="BDOITable"/>
            </w:pPr>
            <w:r>
              <w:rPr>
                <w:sz w:val="16"/>
              </w:rPr>
              <w:t>M2 (6 Nov 2026)</w:t>
            </w:r>
          </w:p>
        </w:tc>
        <w:tc>
          <w:tcPr>
            <w:tcW w:type="dxa" w:w="1622"/>
            <w:tcMar>
              <w:top w:w="50" w:type="dxa"/>
              <w:bottom w:w="50" w:type="dxa"/>
              <w:left w:w="90" w:type="dxa"/>
              <w:right w:w="90" w:type="dxa"/>
            </w:tcMar>
            <w:shd w:val="clear" w:color="auto" w:fill="E5F5FF"/>
          </w:tcPr>
          <w:p>
            <w:pPr>
              <w:pStyle w:val="BDOITable"/>
            </w:pPr>
            <w:r>
              <w:rPr>
                <w:sz w:val="16"/>
              </w:rPr>
              <w:t>Head, Comptrollership</w:t>
            </w:r>
          </w:p>
        </w:tc>
      </w:tr>
    </w:tbl>
    <w:p>
      <w:pPr>
        <w:pStyle w:val="BDOISpacer"/>
      </w:pPr>
    </w:p>
    <w:p>
      <w:pPr>
        <w:pStyle w:val="Heading1"/>
        <w:pageBreakBefore/>
        <w:pBdr>
          <w:bottom w:val="single" w:sz="4" w:space="4" w:color="99C1E7"/>
        </w:pBdr>
      </w:pPr>
      <w:bookmarkStart w:id="164" w:name="_Toc000164"/>
      <w:r>
        <w:rPr/>
        <w:t>16 Timeline</w:t>
      </w:r>
      <w:bookmarkEnd w:id="164"/>
    </w:p>
    <w:p>
      <w:pPr>
        <w:pStyle w:val="Heading2"/>
      </w:pPr>
      <w:bookmarkStart w:id="165" w:name="_Toc000165"/>
      <w:r>
        <w:rPr/>
        <w:t>16.1 Alignment with the build and the UAT readiness programme</w:t>
      </w:r>
      <w:bookmarkEnd w:id="165"/>
    </w:p>
    <w:p>
      <w:r>
        <w:rPr/>
        <w:t>The migration timeline is set relative to go-live (T), which BDOI confirms (DMQ25). It ties into the build of the migration module and into the UAT readiness programme (R7) as follows.</w:t>
      </w:r>
    </w:p>
    <w:p>
      <w:pPr>
        <w:pStyle w:val="Caption"/>
        <w:keepNext/>
        <w:spacing w:after="60"/>
      </w:pPr>
      <w:r>
        <w:rPr>
          <w:b/>
          <w:i w:val="0"/>
        </w:rPr>
        <w:t xml:space="preserve">Table 35: </w:t>
      </w:r>
      <w:r>
        <w:rPr/>
        <w:t>Migration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763"/>
        <w:gridCol w:w="528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Migration step</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7"/>
              </w:rPr>
              <w:t>Link to build and UAT readiness</w:t>
            </w:r>
          </w:p>
        </w:tc>
      </w:tr>
      <w:tr>
        <w:trPr>
          <w:cantSplit w:val="true"/>
        </w:trPr>
        <w:tc>
          <w:tcPr>
            <w:tcW w:type="dxa" w:w="1922"/>
            <w:tcMar>
              <w:top w:w="50" w:type="dxa"/>
              <w:bottom w:w="50" w:type="dxa"/>
              <w:left w:w="90" w:type="dxa"/>
              <w:right w:w="90" w:type="dxa"/>
            </w:tcMar>
          </w:tcPr>
          <w:p>
            <w:pPr>
              <w:pStyle w:val="BDOITable"/>
            </w:pPr>
            <w:r>
              <w:rPr>
                <w:sz w:val="17"/>
              </w:rPr>
              <w:t>26 Sep 2026 (M0)</w:t>
            </w:r>
          </w:p>
        </w:tc>
        <w:tc>
          <w:tcPr>
            <w:tcW w:type="dxa" w:w="2763"/>
            <w:tcMar>
              <w:top w:w="50" w:type="dxa"/>
              <w:bottom w:w="50" w:type="dxa"/>
              <w:left w:w="90" w:type="dxa"/>
              <w:right w:w="90" w:type="dxa"/>
            </w:tcMar>
          </w:tcPr>
          <w:p>
            <w:pPr>
              <w:pStyle w:val="BDOITable"/>
            </w:pPr>
            <w:r>
              <w:rPr>
                <w:sz w:val="17"/>
              </w:rPr>
              <w:t>This document set issued</w:t>
            </w:r>
          </w:p>
        </w:tc>
        <w:tc>
          <w:tcPr>
            <w:tcW w:type="dxa" w:w="5286"/>
            <w:tcMar>
              <w:top w:w="50" w:type="dxa"/>
              <w:bottom w:w="50" w:type="dxa"/>
              <w:left w:w="90" w:type="dxa"/>
              <w:right w:w="90" w:type="dxa"/>
            </w:tcMar>
          </w:tcPr>
          <w:p>
            <w:pPr>
              <w:pStyle w:val="BDOITable"/>
            </w:pPr>
            <w:r>
              <w:rPr>
                <w:sz w:val="17"/>
              </w:rPr>
              <w:t>FRS BRD-13 v1.0 under review</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16 Oct 2026 (M1)</w:t>
            </w:r>
          </w:p>
        </w:tc>
        <w:tc>
          <w:tcPr>
            <w:tcW w:type="dxa" w:w="2763"/>
            <w:tcMar>
              <w:top w:w="50" w:type="dxa"/>
              <w:bottom w:w="50" w:type="dxa"/>
              <w:left w:w="90" w:type="dxa"/>
              <w:right w:w="90" w:type="dxa"/>
            </w:tcMar>
            <w:shd w:val="clear" w:color="auto" w:fill="E5F5FF"/>
          </w:tcPr>
          <w:p>
            <w:pPr>
              <w:pStyle w:val="BDOITable"/>
            </w:pPr>
            <w:r>
              <w:rPr>
                <w:sz w:val="17"/>
              </w:rPr>
              <w:t>Build-shaping decisions answered</w:t>
            </w:r>
          </w:p>
        </w:tc>
        <w:tc>
          <w:tcPr>
            <w:tcW w:type="dxa" w:w="5286"/>
            <w:tcMar>
              <w:top w:w="50" w:type="dxa"/>
              <w:bottom w:w="50" w:type="dxa"/>
              <w:left w:w="90" w:type="dxa"/>
              <w:right w:w="90" w:type="dxa"/>
            </w:tcMar>
            <w:shd w:val="clear" w:color="auto" w:fill="E5F5FF"/>
          </w:tcPr>
          <w:p>
            <w:pPr>
              <w:pStyle w:val="BDOITable"/>
            </w:pPr>
            <w:r>
              <w:rPr>
                <w:sz w:val="17"/>
              </w:rPr>
              <w:t>Needed before build waves DM1-A to DM2-A start</w:t>
            </w:r>
          </w:p>
        </w:tc>
      </w:tr>
      <w:tr>
        <w:trPr>
          <w:cantSplit w:val="true"/>
        </w:trPr>
        <w:tc>
          <w:tcPr>
            <w:tcW w:type="dxa" w:w="1922"/>
            <w:tcMar>
              <w:top w:w="50" w:type="dxa"/>
              <w:bottom w:w="50" w:type="dxa"/>
              <w:left w:w="90" w:type="dxa"/>
              <w:right w:w="90" w:type="dxa"/>
            </w:tcMar>
          </w:tcPr>
          <w:p>
            <w:pPr>
              <w:pStyle w:val="BDOITable"/>
            </w:pPr>
            <w:r>
              <w:rPr>
                <w:sz w:val="17"/>
              </w:rPr>
              <w:t>6 Nov 2026 (M2)</w:t>
            </w:r>
          </w:p>
        </w:tc>
        <w:tc>
          <w:tcPr>
            <w:tcW w:type="dxa" w:w="2763"/>
            <w:tcMar>
              <w:top w:w="50" w:type="dxa"/>
              <w:bottom w:w="50" w:type="dxa"/>
              <w:left w:w="90" w:type="dxa"/>
              <w:right w:w="90" w:type="dxa"/>
            </w:tcMar>
          </w:tcPr>
          <w:p>
            <w:pPr>
              <w:pStyle w:val="BDOITable"/>
            </w:pPr>
            <w:r>
              <w:rPr>
                <w:sz w:val="17"/>
              </w:rPr>
              <w:t>Owners, stewards, keys, remaining rules</w:t>
            </w:r>
          </w:p>
        </w:tc>
        <w:tc>
          <w:tcPr>
            <w:tcW w:type="dxa" w:w="5286"/>
            <w:tcMar>
              <w:top w:w="50" w:type="dxa"/>
              <w:bottom w:w="50" w:type="dxa"/>
              <w:left w:w="90" w:type="dxa"/>
              <w:right w:w="90" w:type="dxa"/>
            </w:tcMar>
          </w:tcPr>
          <w:p>
            <w:pPr>
              <w:pStyle w:val="BDOITable"/>
            </w:pPr>
            <w:r>
              <w:rPr>
                <w:sz w:val="17"/>
              </w:rPr>
              <w:t>Configuration of the build waves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T-16 weeks (M3)</w:t>
            </w:r>
          </w:p>
        </w:tc>
        <w:tc>
          <w:tcPr>
            <w:tcW w:type="dxa" w:w="2763"/>
            <w:tcMar>
              <w:top w:w="50" w:type="dxa"/>
              <w:bottom w:w="50" w:type="dxa"/>
              <w:left w:w="90" w:type="dxa"/>
              <w:right w:w="90" w:type="dxa"/>
            </w:tcMar>
            <w:shd w:val="clear" w:color="auto" w:fill="E5F5FF"/>
          </w:tcPr>
          <w:p>
            <w:pPr>
              <w:pStyle w:val="BDOITable"/>
            </w:pPr>
            <w:r>
              <w:rPr>
                <w:sz w:val="17"/>
              </w:rPr>
              <w:t>Object decisions signed (G1); layouts frozen</w:t>
            </w:r>
          </w:p>
        </w:tc>
        <w:tc>
          <w:tcPr>
            <w:tcW w:type="dxa" w:w="5286"/>
            <w:tcMar>
              <w:top w:w="50" w:type="dxa"/>
              <w:bottom w:w="50" w:type="dxa"/>
              <w:left w:w="90" w:type="dxa"/>
              <w:right w:w="90" w:type="dxa"/>
            </w:tcMar>
            <w:shd w:val="clear" w:color="auto" w:fill="E5F5FF"/>
          </w:tcPr>
          <w:p>
            <w:pPr>
              <w:pStyle w:val="BDOITable"/>
            </w:pPr>
            <w:r>
              <w:rPr>
                <w:sz w:val="17"/>
              </w:rPr>
              <w:t>Migration test plan cases finalised</w:t>
            </w:r>
          </w:p>
        </w:tc>
      </w:tr>
      <w:tr>
        <w:trPr>
          <w:cantSplit w:val="true"/>
        </w:trPr>
        <w:tc>
          <w:tcPr>
            <w:tcW w:type="dxa" w:w="1922"/>
            <w:tcMar>
              <w:top w:w="50" w:type="dxa"/>
              <w:bottom w:w="50" w:type="dxa"/>
              <w:left w:w="90" w:type="dxa"/>
              <w:right w:w="90" w:type="dxa"/>
            </w:tcMar>
          </w:tcPr>
          <w:p>
            <w:pPr>
              <w:pStyle w:val="BDOITable"/>
            </w:pPr>
            <w:r>
              <w:rPr>
                <w:sz w:val="17"/>
              </w:rPr>
              <w:t>T-14 weeks (M4)</w:t>
            </w:r>
          </w:p>
        </w:tc>
        <w:tc>
          <w:tcPr>
            <w:tcW w:type="dxa" w:w="2763"/>
            <w:tcMar>
              <w:top w:w="50" w:type="dxa"/>
              <w:bottom w:w="50" w:type="dxa"/>
              <w:left w:w="90" w:type="dxa"/>
              <w:right w:w="90" w:type="dxa"/>
            </w:tcMar>
          </w:tcPr>
          <w:p>
            <w:pPr>
              <w:pStyle w:val="BDOITable"/>
            </w:pPr>
            <w:r>
              <w:rPr>
                <w:sz w:val="17"/>
              </w:rPr>
              <w:t>First full extracts with volumes; profiling</w:t>
            </w:r>
          </w:p>
        </w:tc>
        <w:tc>
          <w:tcPr>
            <w:tcW w:type="dxa" w:w="5286"/>
            <w:tcMar>
              <w:top w:w="50" w:type="dxa"/>
              <w:bottom w:w="50" w:type="dxa"/>
              <w:left w:w="90" w:type="dxa"/>
              <w:right w:w="90" w:type="dxa"/>
            </w:tcMar>
          </w:tcPr>
          <w:p>
            <w:pPr>
              <w:pStyle w:val="BDOITable"/>
            </w:pPr>
            <w:r>
              <w:rPr>
                <w:sz w:val="17"/>
              </w:rPr>
              <w:t>Build wave DM3 performance harness sized from the volumes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T-12 weeks</w:t>
            </w:r>
          </w:p>
        </w:tc>
        <w:tc>
          <w:tcPr>
            <w:tcW w:type="dxa" w:w="2763"/>
            <w:tcMar>
              <w:top w:w="50" w:type="dxa"/>
              <w:bottom w:w="50" w:type="dxa"/>
              <w:left w:w="90" w:type="dxa"/>
              <w:right w:w="90" w:type="dxa"/>
            </w:tcMar>
            <w:shd w:val="clear" w:color="auto" w:fill="E5F5FF"/>
          </w:tcPr>
          <w:p>
            <w:pPr>
              <w:pStyle w:val="BDOITable"/>
            </w:pPr>
            <w:r>
              <w:rPr>
                <w:sz w:val="17"/>
              </w:rPr>
              <w:t>Mock 1 on SIT</w:t>
            </w:r>
          </w:p>
        </w:tc>
        <w:tc>
          <w:tcPr>
            <w:tcW w:type="dxa" w:w="5286"/>
            <w:tcMar>
              <w:top w:w="50" w:type="dxa"/>
              <w:bottom w:w="50" w:type="dxa"/>
              <w:left w:w="90" w:type="dxa"/>
              <w:right w:w="90" w:type="dxa"/>
            </w:tcMar>
            <w:shd w:val="clear" w:color="auto" w:fill="E5F5FF"/>
          </w:tcPr>
          <w:p>
            <w:pPr>
              <w:pStyle w:val="BDOITable"/>
            </w:pPr>
            <w:r>
              <w:rPr>
                <w:sz w:val="17"/>
              </w:rPr>
              <w:t>Needs DM0 and DM1-C deployed</w:t>
            </w:r>
          </w:p>
        </w:tc>
      </w:tr>
      <w:tr>
        <w:trPr>
          <w:cantSplit w:val="true"/>
        </w:trPr>
        <w:tc>
          <w:tcPr>
            <w:tcW w:type="dxa" w:w="1922"/>
            <w:tcMar>
              <w:top w:w="50" w:type="dxa"/>
              <w:bottom w:w="50" w:type="dxa"/>
              <w:left w:w="90" w:type="dxa"/>
              <w:right w:w="90" w:type="dxa"/>
            </w:tcMar>
          </w:tcPr>
          <w:p>
            <w:pPr>
              <w:pStyle w:val="BDOITable"/>
            </w:pPr>
            <w:r>
              <w:rPr>
                <w:sz w:val="17"/>
              </w:rPr>
              <w:t>T-10 weeks (M5)</w:t>
            </w:r>
          </w:p>
        </w:tc>
        <w:tc>
          <w:tcPr>
            <w:tcW w:type="dxa" w:w="2763"/>
            <w:tcMar>
              <w:top w:w="50" w:type="dxa"/>
              <w:bottom w:w="50" w:type="dxa"/>
              <w:left w:w="90" w:type="dxa"/>
              <w:right w:w="90" w:type="dxa"/>
            </w:tcMar>
          </w:tcPr>
          <w:p>
            <w:pPr>
              <w:pStyle w:val="BDOITable"/>
            </w:pPr>
            <w:r>
              <w:rPr>
                <w:sz w:val="17"/>
              </w:rPr>
              <w:t>Code maps approved</w:t>
            </w:r>
          </w:p>
        </w:tc>
        <w:tc>
          <w:tcPr>
            <w:tcW w:type="dxa" w:w="5286"/>
            <w:tcMar>
              <w:top w:w="50" w:type="dxa"/>
              <w:bottom w:w="50" w:type="dxa"/>
              <w:left w:w="90" w:type="dxa"/>
              <w:right w:w="90" w:type="dxa"/>
            </w:tcMar>
          </w:tcPr>
          <w:p>
            <w:pPr>
              <w:pStyle w:val="BDOITable"/>
            </w:pPr>
            <w:r>
              <w:rPr>
                <w:sz w:val="17"/>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T-9 weeks</w:t>
            </w:r>
          </w:p>
        </w:tc>
        <w:tc>
          <w:tcPr>
            <w:tcW w:type="dxa" w:w="2763"/>
            <w:tcMar>
              <w:top w:w="50" w:type="dxa"/>
              <w:bottom w:w="50" w:type="dxa"/>
              <w:left w:w="90" w:type="dxa"/>
              <w:right w:w="90" w:type="dxa"/>
            </w:tcMar>
            <w:shd w:val="clear" w:color="auto" w:fill="E5F5FF"/>
          </w:tcPr>
          <w:p>
            <w:pPr>
              <w:pStyle w:val="BDOITable"/>
            </w:pPr>
            <w:r>
              <w:rPr>
                <w:sz w:val="17"/>
              </w:rPr>
              <w:t>Mock 2 on SIT, all objects, L1-L5</w:t>
            </w:r>
          </w:p>
        </w:tc>
        <w:tc>
          <w:tcPr>
            <w:tcW w:type="dxa" w:w="5286"/>
            <w:tcMar>
              <w:top w:w="50" w:type="dxa"/>
              <w:bottom w:w="50" w:type="dxa"/>
              <w:left w:w="90" w:type="dxa"/>
              <w:right w:w="90" w:type="dxa"/>
            </w:tcMar>
            <w:shd w:val="clear" w:color="auto" w:fill="E5F5FF"/>
          </w:tcPr>
          <w:p>
            <w:pPr>
              <w:pStyle w:val="BDOITable"/>
            </w:pPr>
            <w:r>
              <w:rPr>
                <w:sz w:val="17"/>
              </w:rPr>
              <w:t>Needs all build waves except DM2-B; provides the "data migration dry run with reconciliation" of UAT readiness item 11</w:t>
            </w:r>
          </w:p>
        </w:tc>
      </w:tr>
      <w:tr>
        <w:trPr>
          <w:cantSplit w:val="true"/>
        </w:trPr>
        <w:tc>
          <w:tcPr>
            <w:tcW w:type="dxa" w:w="1922"/>
            <w:tcMar>
              <w:top w:w="50" w:type="dxa"/>
              <w:bottom w:w="50" w:type="dxa"/>
              <w:left w:w="90" w:type="dxa"/>
              <w:right w:w="90" w:type="dxa"/>
            </w:tcMar>
          </w:tcPr>
          <w:p>
            <w:pPr>
              <w:pStyle w:val="BDOITable"/>
            </w:pPr>
            <w:r>
              <w:rPr>
                <w:sz w:val="17"/>
              </w:rPr>
              <w:t>T-6 weeks (M6)</w:t>
            </w:r>
          </w:p>
        </w:tc>
        <w:tc>
          <w:tcPr>
            <w:tcW w:type="dxa" w:w="2763"/>
            <w:tcMar>
              <w:top w:w="50" w:type="dxa"/>
              <w:bottom w:w="50" w:type="dxa"/>
              <w:left w:w="90" w:type="dxa"/>
              <w:right w:w="90" w:type="dxa"/>
            </w:tcMar>
          </w:tcPr>
          <w:p>
            <w:pPr>
              <w:pStyle w:val="BDOITable"/>
            </w:pPr>
            <w:r>
              <w:rPr>
                <w:sz w:val="17"/>
              </w:rPr>
              <w:t>Mock 3 = UAT load; cutover calendar, fallback and decommissioning criteria agreed</w:t>
            </w:r>
          </w:p>
        </w:tc>
        <w:tc>
          <w:tcPr>
            <w:tcW w:type="dxa" w:w="5286"/>
            <w:tcMar>
              <w:top w:w="50" w:type="dxa"/>
              <w:bottom w:w="50" w:type="dxa"/>
              <w:left w:w="90" w:type="dxa"/>
              <w:right w:w="90" w:type="dxa"/>
            </w:tcMar>
          </w:tcPr>
          <w:p>
            <w:pPr>
              <w:pStyle w:val="BDOITable"/>
            </w:pPr>
            <w:r>
              <w:rPr>
                <w:sz w:val="17"/>
              </w:rPr>
              <w:t>UAT readiness statement issued; UAT runs on migrated data</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T-6 to T-3 weeks</w:t>
            </w:r>
          </w:p>
        </w:tc>
        <w:tc>
          <w:tcPr>
            <w:tcW w:type="dxa" w:w="2763"/>
            <w:tcMar>
              <w:top w:w="50" w:type="dxa"/>
              <w:bottom w:w="50" w:type="dxa"/>
              <w:left w:w="90" w:type="dxa"/>
              <w:right w:w="90" w:type="dxa"/>
            </w:tcMar>
            <w:shd w:val="clear" w:color="auto" w:fill="E5F5FF"/>
          </w:tcPr>
          <w:p>
            <w:pPr>
              <w:pStyle w:val="BDOITable"/>
            </w:pPr>
            <w:r>
              <w:rPr>
                <w:sz w:val="17"/>
              </w:rPr>
              <w:t>UAT</w:t>
            </w:r>
          </w:p>
        </w:tc>
        <w:tc>
          <w:tcPr>
            <w:tcW w:type="dxa" w:w="5286"/>
            <w:tcMar>
              <w:top w:w="50" w:type="dxa"/>
              <w:bottom w:w="50" w:type="dxa"/>
              <w:left w:w="90" w:type="dxa"/>
              <w:right w:w="90" w:type="dxa"/>
            </w:tcMar>
            <w:shd w:val="clear" w:color="auto" w:fill="E5F5FF"/>
          </w:tcPr>
          <w:p>
            <w:pPr>
              <w:pStyle w:val="BDOITable"/>
            </w:pPr>
            <w:r>
              <w:rPr>
                <w:sz w:val="17"/>
              </w:rPr>
              <w:t>Business owners verify migrated data during UAT</w:t>
            </w:r>
          </w:p>
        </w:tc>
      </w:tr>
      <w:tr>
        <w:trPr>
          <w:cantSplit w:val="true"/>
        </w:trPr>
        <w:tc>
          <w:tcPr>
            <w:tcW w:type="dxa" w:w="1922"/>
            <w:tcMar>
              <w:top w:w="50" w:type="dxa"/>
              <w:bottom w:w="50" w:type="dxa"/>
              <w:left w:w="90" w:type="dxa"/>
              <w:right w:w="90" w:type="dxa"/>
            </w:tcMar>
          </w:tcPr>
          <w:p>
            <w:pPr>
              <w:pStyle w:val="BDOITable"/>
            </w:pPr>
            <w:r>
              <w:rPr>
                <w:sz w:val="17"/>
              </w:rPr>
              <w:t>T-3 weeks</w:t>
            </w:r>
          </w:p>
        </w:tc>
        <w:tc>
          <w:tcPr>
            <w:tcW w:type="dxa" w:w="2763"/>
            <w:tcMar>
              <w:top w:w="50" w:type="dxa"/>
              <w:bottom w:w="50" w:type="dxa"/>
              <w:left w:w="90" w:type="dxa"/>
              <w:right w:w="90" w:type="dxa"/>
            </w:tcMar>
          </w:tcPr>
          <w:p>
            <w:pPr>
              <w:pStyle w:val="BDOITable"/>
            </w:pPr>
            <w:r>
              <w:rPr>
                <w:sz w:val="17"/>
              </w:rPr>
              <w:t>Dress rehearsal</w:t>
            </w:r>
          </w:p>
        </w:tc>
        <w:tc>
          <w:tcPr>
            <w:tcW w:type="dxa" w:w="5286"/>
            <w:tcMar>
              <w:top w:w="50" w:type="dxa"/>
              <w:bottom w:w="50" w:type="dxa"/>
              <w:left w:w="90" w:type="dxa"/>
              <w:right w:w="90" w:type="dxa"/>
            </w:tcMar>
          </w:tcPr>
          <w:p>
            <w:pPr>
              <w:pStyle w:val="BDOITable"/>
            </w:pPr>
            <w:r>
              <w:rPr>
                <w:sz w:val="17"/>
              </w:rPr>
              <w:t>Needs DM2-B; UAT exit</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T-30 days to T</w:t>
            </w:r>
          </w:p>
        </w:tc>
        <w:tc>
          <w:tcPr>
            <w:tcW w:type="dxa" w:w="2763"/>
            <w:tcMar>
              <w:top w:w="50" w:type="dxa"/>
              <w:bottom w:w="50" w:type="dxa"/>
              <w:left w:w="90" w:type="dxa"/>
              <w:right w:w="90" w:type="dxa"/>
            </w:tcMar>
            <w:shd w:val="clear" w:color="auto" w:fill="E5F5FF"/>
          </w:tcPr>
          <w:p>
            <w:pPr>
              <w:pStyle w:val="BDOITable"/>
            </w:pPr>
            <w:r>
              <w:rPr>
                <w:sz w:val="17"/>
              </w:rPr>
              <w:t>Production cutover (Cutover Runbook)</w:t>
            </w:r>
          </w:p>
        </w:tc>
        <w:tc>
          <w:tcPr>
            <w:tcW w:type="dxa" w:w="5286"/>
            <w:tcMar>
              <w:top w:w="50" w:type="dxa"/>
              <w:bottom w:w="50" w:type="dxa"/>
              <w:left w:w="90" w:type="dxa"/>
              <w:right w:w="90" w:type="dxa"/>
            </w:tcMar>
            <w:shd w:val="clear" w:color="auto" w:fill="E5F5FF"/>
          </w:tcPr>
          <w:p>
            <w:pPr>
              <w:pStyle w:val="BDOITable"/>
            </w:pPr>
            <w:r>
              <w:rPr>
                <w:sz w:val="17"/>
              </w:rPr>
              <w:t>Production release frozen from T-7</w:t>
            </w:r>
          </w:p>
        </w:tc>
      </w:tr>
      <w:tr>
        <w:trPr>
          <w:cantSplit w:val="true"/>
        </w:trPr>
        <w:tc>
          <w:tcPr>
            <w:tcW w:type="dxa" w:w="1922"/>
            <w:tcMar>
              <w:top w:w="50" w:type="dxa"/>
              <w:bottom w:w="50" w:type="dxa"/>
              <w:left w:w="90" w:type="dxa"/>
              <w:right w:w="90" w:type="dxa"/>
            </w:tcMar>
          </w:tcPr>
          <w:p>
            <w:pPr>
              <w:pStyle w:val="BDOITable"/>
            </w:pPr>
            <w:r>
              <w:rPr>
                <w:sz w:val="17"/>
              </w:rPr>
              <w:t>T to first month-end</w:t>
            </w:r>
          </w:p>
        </w:tc>
        <w:tc>
          <w:tcPr>
            <w:tcW w:type="dxa" w:w="2763"/>
            <w:tcMar>
              <w:top w:w="50" w:type="dxa"/>
              <w:bottom w:w="50" w:type="dxa"/>
              <w:left w:w="90" w:type="dxa"/>
              <w:right w:w="90" w:type="dxa"/>
            </w:tcMar>
          </w:tcPr>
          <w:p>
            <w:pPr>
              <w:pStyle w:val="BDOITable"/>
            </w:pPr>
            <w:r>
              <w:rPr>
                <w:sz w:val="17"/>
              </w:rPr>
              <w:t>Hypercare</w:t>
            </w:r>
          </w:p>
        </w:tc>
        <w:tc>
          <w:tcPr>
            <w:tcW w:type="dxa" w:w="5286"/>
            <w:tcMar>
              <w:top w:w="50" w:type="dxa"/>
              <w:bottom w:w="50" w:type="dxa"/>
              <w:left w:w="90" w:type="dxa"/>
              <w:right w:w="90" w:type="dxa"/>
            </w:tcMar>
          </w:tcPr>
          <w:p>
            <w:pPr>
              <w:pStyle w:val="BDOITable"/>
            </w:pPr>
            <w:r>
              <w:rPr>
                <w:sz w:val="17"/>
              </w:rPr>
              <w:t>Production support runbook (deliverable 24)</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Run-off (about 12-15 months)</w:t>
            </w:r>
          </w:p>
        </w:tc>
        <w:tc>
          <w:tcPr>
            <w:tcW w:type="dxa" w:w="2763"/>
            <w:tcMar>
              <w:top w:w="50" w:type="dxa"/>
              <w:bottom w:w="50" w:type="dxa"/>
              <w:left w:w="90" w:type="dxa"/>
              <w:right w:w="90" w:type="dxa"/>
            </w:tcMar>
            <w:shd w:val="clear" w:color="auto" w:fill="E5F5FF"/>
          </w:tcPr>
          <w:p>
            <w:pPr>
              <w:pStyle w:val="BDOITable"/>
            </w:pPr>
            <w:r>
              <w:rPr>
                <w:sz w:val="17"/>
              </w:rPr>
              <w:t>Monthly run-off tracking; archive loads; decommissioning</w:t>
            </w:r>
          </w:p>
        </w:tc>
        <w:tc>
          <w:tcPr>
            <w:tcW w:type="dxa" w:w="5286"/>
            <w:tcMar>
              <w:top w:w="50" w:type="dxa"/>
              <w:bottom w:w="50" w:type="dxa"/>
              <w:left w:w="90" w:type="dxa"/>
              <w:right w:w="90" w:type="dxa"/>
            </w:tcMar>
            <w:shd w:val="clear" w:color="auto" w:fill="E5F5FF"/>
          </w:tcPr>
          <w:p>
            <w:pPr>
              <w:pStyle w:val="BDOITable"/>
            </w:pPr>
            <w:r>
              <w:rPr>
                <w:sz w:val="17"/>
              </w:rPr>
              <w:t>-</w:t>
            </w:r>
          </w:p>
        </w:tc>
      </w:tr>
    </w:tbl>
    <w:p>
      <w:pPr>
        <w:pStyle w:val="BDOISpacer"/>
      </w:pPr>
    </w:p>
    <w:p>
      <w:r>
        <w:rPr/>
        <w:t>The earliest go-live date is therefore at least 12 weeks after build waves DM0 and DM1-C are deployed on SIT and at least 9 weeks after the remaining waves (except DM2-B) are deployed.</w:t>
      </w:r>
    </w:p>
    <w:p>
      <w:pPr>
        <w:pStyle w:val="Heading1"/>
        <w:pageBreakBefore/>
        <w:pBdr>
          <w:bottom w:val="single" w:sz="4" w:space="4" w:color="99C1E7"/>
        </w:pBdr>
      </w:pPr>
      <w:bookmarkStart w:id="166" w:name="_Toc000166"/>
      <w:r>
        <w:rPr/>
        <w:t>Glossary</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searched in Legacy Inquiry (BRID 11.1)</w:t>
            </w:r>
          </w:p>
        </w:tc>
      </w:tr>
      <w:tr>
        <w:trPr>
          <w:cantSplit w:val="true"/>
        </w:trPr>
        <w:tc>
          <w:tcPr>
            <w:tcW w:type="dxa" w:w="2040"/>
            <w:tcMar>
              <w:top w:w="50" w:type="dxa"/>
              <w:bottom w:w="50" w:type="dxa"/>
              <w:left w:w="90" w:type="dxa"/>
              <w:right w:w="90" w:type="dxa"/>
            </w:tcMar>
          </w:tcPr>
          <w:p>
            <w:pPr>
              <w:pStyle w:val="BDOITable"/>
            </w:pPr>
            <w:r>
              <w:rPr>
                <w:b/>
                <w:sz w:val="18"/>
              </w:rPr>
              <w:t>Carry forward</w:t>
            </w:r>
          </w:p>
        </w:tc>
        <w:tc>
          <w:tcPr>
            <w:tcW w:type="dxa" w:w="7932"/>
            <w:tcMar>
              <w:top w:w="50" w:type="dxa"/>
              <w:bottom w:w="50" w:type="dxa"/>
              <w:left w:w="90" w:type="dxa"/>
              <w:right w:w="90" w:type="dxa"/>
            </w:tcMar>
          </w:tcPr>
          <w:p>
            <w:pPr>
              <w:pStyle w:val="BDOITable"/>
            </w:pPr>
            <w:r>
              <w:rPr>
                <w:sz w:val="18"/>
              </w:rPr>
              <w:t>Treatment of an open operational or financial item that continues to be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CMS</w:t>
            </w:r>
          </w:p>
        </w:tc>
        <w:tc>
          <w:tcPr>
            <w:tcW w:type="dxa" w:w="7932"/>
            <w:tcMar>
              <w:top w:w="50" w:type="dxa"/>
              <w:bottom w:w="50" w:type="dxa"/>
              <w:left w:w="90" w:type="dxa"/>
              <w:right w:w="90" w:type="dxa"/>
            </w:tcMar>
            <w:shd w:val="clear" w:color="auto" w:fill="E5F5FF"/>
          </w:tcPr>
          <w:p>
            <w:pPr>
              <w:pStyle w:val="BDOITable"/>
            </w:pPr>
            <w:r>
              <w:rPr>
                <w:sz w:val="18"/>
              </w:rPr>
              <w:t>Collection Management System (legacy)</w:t>
            </w:r>
          </w:p>
        </w:tc>
      </w:tr>
      <w:tr>
        <w:trPr>
          <w:cantSplit w:val="true"/>
        </w:trPr>
        <w:tc>
          <w:tcPr>
            <w:tcW w:type="dxa" w:w="2040"/>
            <w:tcMar>
              <w:top w:w="50" w:type="dxa"/>
              <w:bottom w:w="50" w:type="dxa"/>
              <w:left w:w="90" w:type="dxa"/>
              <w:right w:w="90" w:type="dxa"/>
            </w:tcMar>
          </w:tcPr>
          <w:p>
            <w:pPr>
              <w:pStyle w:val="BDOITable"/>
            </w:pPr>
            <w:r>
              <w:rPr>
                <w:b/>
                <w:sz w:val="18"/>
              </w:rPr>
              <w:t>Code map</w:t>
            </w:r>
          </w:p>
        </w:tc>
        <w:tc>
          <w:tcPr>
            <w:tcW w:type="dxa" w:w="7932"/>
            <w:tcMar>
              <w:top w:w="50" w:type="dxa"/>
              <w:bottom w:w="50" w:type="dxa"/>
              <w:left w:w="90" w:type="dxa"/>
              <w:right w:w="90" w:type="dxa"/>
            </w:tcMar>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Cohort</w:t>
            </w:r>
          </w:p>
        </w:tc>
        <w:tc>
          <w:tcPr>
            <w:tcW w:type="dxa" w:w="7932"/>
            <w:tcMar>
              <w:top w:w="50" w:type="dxa"/>
              <w:bottom w:w="50" w:type="dxa"/>
              <w:left w:w="90" w:type="dxa"/>
              <w:right w:w="90" w:type="dxa"/>
            </w:tcMar>
            <w:shd w:val="clear" w:color="auto" w:fill="E5F5FF"/>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tcPr>
          <w:p>
            <w:pPr>
              <w:pStyle w:val="BDOITable"/>
            </w:pPr>
            <w:r>
              <w:rPr>
                <w:b/>
                <w:sz w:val="18"/>
              </w:rPr>
              <w:t>Control file</w:t>
            </w:r>
          </w:p>
        </w:tc>
        <w:tc>
          <w:tcPr>
            <w:tcW w:type="dxa" w:w="7932"/>
            <w:tcMar>
              <w:top w:w="50" w:type="dxa"/>
              <w:bottom w:w="50" w:type="dxa"/>
              <w:left w:w="90" w:type="dxa"/>
              <w:right w:w="90" w:type="dxa"/>
            </w:tcMar>
          </w:tcPr>
          <w:p>
            <w:pPr>
              <w:pStyle w:val="BDOITable"/>
            </w:pPr>
            <w:r>
              <w:rPr>
                <w:sz w:val="18"/>
              </w:rPr>
              <w:t>File sent with each extract with its row count, hash total, amount totals and SHA-256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receivables and accounting system</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(T-3 22:00)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G1-G7</w:t>
            </w:r>
          </w:p>
        </w:tc>
        <w:tc>
          <w:tcPr>
            <w:tcW w:type="dxa" w:w="7932"/>
            <w:tcMar>
              <w:top w:w="50" w:type="dxa"/>
              <w:bottom w:w="50" w:type="dxa"/>
              <w:left w:w="90" w:type="dxa"/>
              <w:right w:w="90" w:type="dxa"/>
            </w:tcMar>
            <w:shd w:val="clear" w:color="auto" w:fill="E5F5FF"/>
          </w:tcPr>
          <w:p>
            <w:pPr>
              <w:pStyle w:val="BDOITable"/>
            </w:pPr>
            <w:r>
              <w:rPr>
                <w:sz w:val="18"/>
              </w:rPr>
              <w:t>Sign-off gates of a data object - decision, mapping, validation, load, reconciliation, acceptance, go-live</w:t>
            </w:r>
          </w:p>
        </w:tc>
      </w:tr>
      <w:tr>
        <w:trPr>
          <w:cantSplit w:val="true"/>
        </w:trPr>
        <w:tc>
          <w:tcPr>
            <w:tcW w:type="dxa" w:w="2040"/>
            <w:tcMar>
              <w:top w:w="50" w:type="dxa"/>
              <w:bottom w:w="50" w:type="dxa"/>
              <w:left w:w="90" w:type="dxa"/>
              <w:right w:w="90" w:type="dxa"/>
            </w:tcMar>
          </w:tcPr>
          <w:p>
            <w:pPr>
              <w:pStyle w:val="BDOITable"/>
            </w:pPr>
            <w:r>
              <w:rPr>
                <w:b/>
                <w:sz w:val="18"/>
              </w:rPr>
              <w:t>Go / no-go</w:t>
            </w:r>
          </w:p>
        </w:tc>
        <w:tc>
          <w:tcPr>
            <w:tcW w:type="dxa" w:w="7932"/>
            <w:tcMar>
              <w:top w:w="50" w:type="dxa"/>
              <w:bottom w:w="50" w:type="dxa"/>
              <w:left w:w="90" w:type="dxa"/>
              <w:right w:w="90" w:type="dxa"/>
            </w:tcMar>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ISYS</w:t>
            </w:r>
          </w:p>
        </w:tc>
        <w:tc>
          <w:tcPr>
            <w:tcW w:type="dxa" w:w="7932"/>
            <w:tcMar>
              <w:top w:w="50" w:type="dxa"/>
              <w:bottom w:w="50" w:type="dxa"/>
              <w:left w:w="90" w:type="dxa"/>
              <w:right w:w="90" w:type="dxa"/>
            </w:tcMar>
            <w:shd w:val="clear" w:color="auto" w:fill="E5F5FF"/>
          </w:tcPr>
          <w:p>
            <w:pPr>
              <w:pStyle w:val="BDOITable"/>
            </w:pPr>
            <w:r>
              <w:rPr>
                <w:sz w:val="18"/>
              </w:rPr>
              <w:t>Legacy reporting system (claims and ACSL reports, Marketing Diary)</w:t>
            </w:r>
          </w:p>
        </w:tc>
      </w:tr>
      <w:tr>
        <w:trPr>
          <w:cantSplit w:val="true"/>
        </w:trPr>
        <w:tc>
          <w:tcPr>
            <w:tcW w:type="dxa" w:w="2040"/>
            <w:tcMar>
              <w:top w:w="50" w:type="dxa"/>
              <w:bottom w:w="50" w:type="dxa"/>
              <w:left w:w="90" w:type="dxa"/>
              <w:right w:w="90" w:type="dxa"/>
            </w:tcMar>
          </w:tcPr>
          <w:p>
            <w:pPr>
              <w:pStyle w:val="BDOITable"/>
            </w:pPr>
            <w:r>
              <w:rPr>
                <w:b/>
                <w:sz w:val="18"/>
              </w:rPr>
              <w:t>Layout</w:t>
            </w:r>
          </w:p>
        </w:tc>
        <w:tc>
          <w:tcPr>
            <w:tcW w:type="dxa" w:w="7932"/>
            <w:tcMar>
              <w:top w:w="50" w:type="dxa"/>
              <w:bottom w:w="50" w:type="dxa"/>
              <w:left w:w="90" w:type="dxa"/>
              <w:right w:w="90" w:type="dxa"/>
            </w:tcMar>
          </w:tcPr>
          <w:p>
            <w:pPr>
              <w:pStyle w:val="BDOITable"/>
            </w:pPr>
            <w:r>
              <w:rPr>
                <w:sz w:val="18"/>
              </w:rPr>
              <w:t>The field list of one extract file (a sheet of the workbook and a CSV template)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invoice</w:t>
            </w:r>
          </w:p>
        </w:tc>
        <w:tc>
          <w:tcPr>
            <w:tcW w:type="dxa" w:w="7932"/>
            <w:tcMar>
              <w:top w:w="50" w:type="dxa"/>
              <w:bottom w:w="50" w:type="dxa"/>
              <w:left w:w="90" w:type="dxa"/>
              <w:right w:w="90" w:type="dxa"/>
            </w:tcMar>
            <w:shd w:val="clear" w:color="auto" w:fill="E5F5FF"/>
          </w:tcPr>
          <w:p>
            <w:pPr>
              <w:pStyle w:val="BDOITable"/>
            </w:pPr>
            <w:r>
              <w:rPr>
                <w:sz w:val="18"/>
              </w:rPr>
              <w:t>Invoice booked in EBIX or QPS before go-live and still open at the freeze, processed in BIBS</w:t>
            </w:r>
          </w:p>
        </w:tc>
      </w:tr>
      <w:tr>
        <w:trPr>
          <w:cantSplit w:val="true"/>
        </w:trPr>
        <w:tc>
          <w:tcPr>
            <w:tcW w:type="dxa" w:w="2040"/>
            <w:tcMar>
              <w:top w:w="50" w:type="dxa"/>
              <w:bottom w:w="50" w:type="dxa"/>
              <w:left w:w="90" w:type="dxa"/>
              <w:right w:w="90" w:type="dxa"/>
            </w:tcMar>
          </w:tcPr>
          <w:p>
            <w:pPr>
              <w:pStyle w:val="BDOITable"/>
            </w:pPr>
            <w:r>
              <w:rPr>
                <w:b/>
                <w:sz w:val="18"/>
              </w:rPr>
              <w:t>Legacy sub-ledger</w:t>
            </w:r>
          </w:p>
        </w:tc>
        <w:tc>
          <w:tcPr>
            <w:tcW w:type="dxa" w:w="7932"/>
            <w:tcMar>
              <w:top w:w="50" w:type="dxa"/>
              <w:bottom w:w="50" w:type="dxa"/>
              <w:left w:w="90" w:type="dxa"/>
              <w:right w:w="90" w:type="dxa"/>
            </w:tcMar>
          </w:tcPr>
          <w:p>
            <w:pPr>
              <w:pStyle w:val="BDOITable"/>
            </w:pPr>
            <w:r>
              <w:rPr>
                <w:sz w:val="18"/>
              </w:rPr>
              <w:t>Legacy control accounts and ledger items that hold the legacy positions apart from the new ones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Migration Clearing</w:t>
            </w:r>
          </w:p>
        </w:tc>
        <w:tc>
          <w:tcPr>
            <w:tcW w:type="dxa" w:w="7932"/>
            <w:tcMar>
              <w:top w:w="50" w:type="dxa"/>
              <w:bottom w:w="50" w:type="dxa"/>
              <w:left w:w="90" w:type="dxa"/>
              <w:right w:w="90" w:type="dxa"/>
            </w:tcMar>
            <w:shd w:val="clear" w:color="auto" w:fill="E5F5FF"/>
          </w:tcPr>
          <w:p>
            <w:pPr>
              <w:pStyle w:val="BDOITable"/>
            </w:pPr>
            <w:r>
              <w:rPr>
                <w:sz w:val="18"/>
              </w:rPr>
              <w:t>GL account that takes the offset of every opening entry; must net to 0.00</w:t>
            </w:r>
          </w:p>
        </w:tc>
      </w:tr>
      <w:tr>
        <w:trPr>
          <w:cantSplit w:val="true"/>
        </w:trPr>
        <w:tc>
          <w:tcPr>
            <w:tcW w:type="dxa" w:w="2040"/>
            <w:tcMar>
              <w:top w:w="50" w:type="dxa"/>
              <w:bottom w:w="50" w:type="dxa"/>
              <w:left w:w="90" w:type="dxa"/>
              <w:right w:w="90" w:type="dxa"/>
            </w:tcMar>
          </w:tcPr>
          <w:p>
            <w:pPr>
              <w:pStyle w:val="BDOITable"/>
            </w:pPr>
            <w:r>
              <w:rPr>
                <w:b/>
                <w:sz w:val="18"/>
              </w:rPr>
              <w:t>Mock</w:t>
            </w:r>
          </w:p>
        </w:tc>
        <w:tc>
          <w:tcPr>
            <w:tcW w:type="dxa" w:w="7932"/>
            <w:tcMar>
              <w:top w:w="50" w:type="dxa"/>
              <w:bottom w:w="50" w:type="dxa"/>
              <w:left w:w="90" w:type="dxa"/>
              <w:right w:w="90" w:type="dxa"/>
            </w:tcMar>
          </w:tcPr>
          <w:p>
            <w:pPr>
              <w:pStyle w:val="BDOITable"/>
            </w:pPr>
            <w:r>
              <w:rPr>
                <w:sz w:val="18"/>
              </w:rPr>
              <w:t>Rehearsal of the migration on a test environment with masked data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Over-the-counter payment</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Premium receivable covered by the client's BIR Form 2307</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Legacy quotation, client and policy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Renewal Master Expiry List</w:t>
            </w:r>
          </w:p>
        </w:tc>
      </w:tr>
      <w:tr>
        <w:trPr>
          <w:cantSplit w:val="true"/>
        </w:trPr>
        <w:tc>
          <w:tcPr>
            <w:tcW w:type="dxa" w:w="2040"/>
            <w:tcMar>
              <w:top w:w="50" w:type="dxa"/>
              <w:bottom w:w="50" w:type="dxa"/>
              <w:left w:w="90" w:type="dxa"/>
              <w:right w:w="90" w:type="dxa"/>
            </w:tcMar>
          </w:tcPr>
          <w:p>
            <w:pPr>
              <w:pStyle w:val="BDOITable"/>
            </w:pPr>
            <w:r>
              <w:rPr>
                <w:b/>
                <w:sz w:val="18"/>
              </w:rPr>
              <w:t>Run-off</w:t>
            </w:r>
          </w:p>
        </w:tc>
        <w:tc>
          <w:tcPr>
            <w:tcW w:type="dxa" w:w="7932"/>
            <w:tcMar>
              <w:top w:w="50" w:type="dxa"/>
              <w:bottom w:w="50" w:type="dxa"/>
              <w:left w:w="90" w:type="dxa"/>
              <w:right w:w="90" w:type="dxa"/>
            </w:tcMar>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Staging</w:t>
            </w:r>
          </w:p>
        </w:tc>
        <w:tc>
          <w:tcPr>
            <w:tcW w:type="dxa" w:w="7932"/>
            <w:tcMar>
              <w:top w:w="50" w:type="dxa"/>
              <w:bottom w:w="50" w:type="dxa"/>
              <w:left w:w="90" w:type="dxa"/>
              <w:right w:w="90" w:type="dxa"/>
            </w:tcMar>
            <w:shd w:val="clear" w:color="auto" w:fill="E5F5FF"/>
          </w:tcPr>
          <w:p>
            <w:pPr>
              <w:pStyle w:val="BDOITable"/>
            </w:pPr>
            <w:r>
              <w:rPr>
                <w:sz w:val="18"/>
              </w:rPr>
              <w:t>Temporary area in BIBS where extract rows are checked, mapped and validated before load</w:t>
            </w:r>
          </w:p>
        </w:tc>
      </w:tr>
      <w:tr>
        <w:trPr>
          <w:cantSplit w:val="true"/>
        </w:trPr>
        <w:tc>
          <w:tcPr>
            <w:tcW w:type="dxa" w:w="2040"/>
            <w:tcMar>
              <w:top w:w="50" w:type="dxa"/>
              <w:bottom w:w="50" w:type="dxa"/>
              <w:left w:w="90" w:type="dxa"/>
              <w:right w:w="90" w:type="dxa"/>
            </w:tcMar>
          </w:tcPr>
          <w:p>
            <w:pPr>
              <w:pStyle w:val="BDOITable"/>
            </w:pPr>
            <w:r>
              <w:rPr>
                <w:b/>
                <w:sz w:val="18"/>
              </w:rPr>
              <w:t>T</w:t>
            </w:r>
          </w:p>
        </w:tc>
        <w:tc>
          <w:tcPr>
            <w:tcW w:type="dxa" w:w="7932"/>
            <w:tcMar>
              <w:top w:w="50" w:type="dxa"/>
              <w:bottom w:w="50" w:type="dxa"/>
              <w:left w:w="90" w:type="dxa"/>
              <w:right w:w="90" w:type="dxa"/>
            </w:tcMar>
          </w:tcPr>
          <w:p>
            <w:pPr>
              <w:pStyle w:val="BDOITable"/>
            </w:pPr>
            <w:r>
              <w:rPr>
                <w:sz w:val="18"/>
              </w:rPr>
              <w:t>Go-live date (first business day of the go-live month)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Xref</w:t>
            </w:r>
          </w:p>
        </w:tc>
        <w:tc>
          <w:tcPr>
            <w:tcW w:type="dxa" w:w="7932"/>
            <w:tcMar>
              <w:top w:w="50" w:type="dxa"/>
              <w:bottom w:w="50" w:type="dxa"/>
              <w:left w:w="90" w:type="dxa"/>
              <w:right w:w="90" w:type="dxa"/>
            </w:tcMar>
          </w:tcPr>
          <w:p>
            <w:pPr>
              <w:pStyle w:val="BDOITable"/>
            </w:pPr>
            <w:r>
              <w:rPr>
                <w:sz w:val="18"/>
              </w:rPr>
              <w:t>Key cross-reference from a legacy key to the BIBS record created from it</w:t>
            </w:r>
          </w:p>
        </w:tc>
      </w:tr>
    </w:tbl>
    <w:p>
      <w:pPr>
        <w:pStyle w:val="BDOISpacer"/>
      </w:pPr>
    </w:p>
    <w:p>
      <w:pPr>
        <w:pStyle w:val="Heading1"/>
        <w:pageBreakBefore/>
        <w:pBdr>
          <w:bottom w:val="single" w:sz="4" w:space="4" w:color="99C1E7"/>
        </w:pBdr>
      </w:pPr>
      <w:bookmarkStart w:id="167" w:name="_Toc000167"/>
      <w:r>
        <w:rPr/>
        <w:t>Sign-off</w:t>
      </w:r>
      <w:bookmarkEnd w:id="167"/>
    </w:p>
    <w:p>
      <w:r>
        <w:rPr/>
        <w:t>By signing, BDOI approves the approach of this document and the proposed decisions per data object, subject to the open decisions of chapter 15, whose answers are applied through the object register, the code maps and the configuration.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Strategy and Approach</w:t>
    </w:r>
    <w:r>
      <w:rPr>
        <w:color w:val="656565"/>
        <w:sz w:val="16"/>
      </w:rPr>
      <w:t xml:space="preserve">   Strategy and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and Approach Data Migration Strategy and Approach</dc:title>
  <dc:subject>BIBS – BDOI Broker System</dc:subject>
  <dc:creator>iorta TechNXT</dc:creator>
  <cp:keywords>Migration, BRD-13,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