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BRD-05 Accounting, Disbursement and ACSL Sign-off Pack,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BRD-5 Accounting, Disbursement and ACSL business sign-off pack (replaces the cover note of the two FRS volumes)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Re-based on the WS Addendum v04152026 (minutes of 4-May-2026); user-story view and storyboard index added to the FRS; CPC2 by the incentive tag of the booked transaction; granularity of the incentive service invoice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Ronald Allan E. De Leon, VP, Head -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Iris S. Marquez (FRBS and ACSL), Rodrigo R. Dela Cruz (Disbursement), Perjelyn Joy R. Gutierrez (Comptrollership and Operations), Shellah Marie C. Miranda (Marketing, Processing and Collections), Roderick L. Lim (Institutional Banking, SM and BDO Accounts)</w:t>
            </w:r>
          </w:p>
        </w:tc>
        <w:tc>
          <w:tcPr>
            <w:tcW w:type="dxa" w:w="2266"/>
            <w:tcMar>
              <w:top w:w="50" w:type="dxa"/>
              <w:bottom w:w="50" w:type="dxa"/>
              <w:left w:w="90" w:type="dxa"/>
              <w:right w:w="90" w:type="dxa"/>
            </w:tcMar>
            <w:shd w:val="clear" w:color="auto" w:fill="E5F5FF"/>
          </w:tcPr>
          <w:p>
            <w:pPr>
              <w:pStyle w:val="BDOITable"/>
            </w:pPr>
            <w:r>
              <w:rPr>
                <w:sz w:val="18"/>
              </w:rPr>
              <w:t>Approvers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Sign-off of the rows of their units</w:t>
            </w:r>
          </w:p>
        </w:tc>
      </w:tr>
      <w:tr>
        <w:trPr>
          <w:cantSplit w:val="true"/>
        </w:trPr>
        <w:tc>
          <w:tcPr>
            <w:tcW w:type="dxa" w:w="2606"/>
            <w:tcMar>
              <w:top w:w="50" w:type="dxa"/>
              <w:bottom w:w="50" w:type="dxa"/>
              <w:left w:w="90" w:type="dxa"/>
              <w:right w:w="90" w:type="dxa"/>
            </w:tcMar>
          </w:tcPr>
          <w:p>
            <w:pPr>
              <w:pStyle w:val="BDOITable"/>
            </w:pPr>
            <w:r>
              <w:rPr>
                <w:sz w:val="18"/>
              </w:rPr>
              <w:t>Freddie A. Atanque and Jennifer T. Lugtu, Product Owners - Comptrollership - ACSL</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ACSL, Disbursement and Accounting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(Ma. Fides Rivera, Ruby Evangelista, Darryl Castillo, Rhommel Mark Galler)</w:t>
            </w:r>
          </w:p>
        </w:tc>
        <w:tc>
          <w:tcPr>
            <w:tcW w:type="dxa" w:w="2266"/>
            <w:tcMar>
              <w:top w:w="50" w:type="dxa"/>
              <w:bottom w:w="50" w:type="dxa"/>
              <w:left w:w="90" w:type="dxa"/>
              <w:right w:w="90" w:type="dxa"/>
            </w:tcMar>
            <w:shd w:val="clear" w:color="auto" w:fill="E5F5FF"/>
          </w:tcPr>
          <w:p>
            <w:pPr>
              <w:pStyle w:val="BDOITable"/>
            </w:pPr>
            <w:r>
              <w:rPr>
                <w:sz w:val="18"/>
              </w:rPr>
              <w:t>Input providers and 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Marketing request screens and of the non-functional requirements</w:t>
            </w:r>
          </w:p>
        </w:tc>
      </w:tr>
      <w:tr>
        <w:trPr>
          <w:cantSplit w:val="true"/>
        </w:trPr>
        <w:tc>
          <w:tcPr>
            <w:tcW w:type="dxa" w:w="2606"/>
            <w:tcMar>
              <w:top w:w="50" w:type="dxa"/>
              <w:bottom w:w="50" w:type="dxa"/>
              <w:left w:w="90" w:type="dxa"/>
              <w:right w:w="90" w:type="dxa"/>
            </w:tcMar>
          </w:tcPr>
          <w:p>
            <w:pPr>
              <w:pStyle w:val="BDOITable"/>
            </w:pPr>
            <w:r>
              <w:rPr>
                <w:sz w:val="18"/>
              </w:rPr>
              <w:t>GL team, Disbursement, ACSL, Marketing requesters and approvers, Human Resources, Cashiering and Remittance</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Technology Group</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Scheduled runs, files, bank files and forms, access; the Technical Specification</w:t>
            </w:r>
          </w:p>
        </w:tc>
      </w:tr>
      <w:tr>
        <w:trPr>
          <w:cantSplit w:val="true"/>
        </w:trPr>
        <w:tc>
          <w:tcPr>
            <w:tcW w:type="dxa" w:w="2606"/>
            <w:tcMar>
              <w:top w:w="50" w:type="dxa"/>
              <w:bottom w:w="50" w:type="dxa"/>
              <w:left w:w="90" w:type="dxa"/>
              <w:right w:w="90" w:type="dxa"/>
            </w:tcMar>
          </w:tcPr>
          <w:p>
            <w:pPr>
              <w:pStyle w:val="BDOITable"/>
            </w:pPr>
            <w:r>
              <w:rPr>
                <w:sz w:val="18"/>
              </w:rPr>
              <w:t>Dan Ace R. Cauton, Roda Lyn D. Gallardo, Zean C. Ibay and Jane Tagle, ESG -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5</w:t>
        </w:r>
      </w:hyperlink>
    </w:p>
    <w:p>
      <w:pPr>
        <w:pStyle w:val="toc1"/>
      </w:pPr>
      <w:hyperlink w:anchor="_Toc000102" w:history="1">
        <w:r>
          <w:t xml:space="preserve">2 The pack at a glance</w:t>
        </w:r>
        <w:r>
          <w:t xml:space="preserve">	</w:t>
        </w:r>
        <w:r>
          <w:t xml:space="preserve">5</w:t>
        </w:r>
      </w:hyperlink>
    </w:p>
    <w:p>
      <w:pPr>
        <w:pStyle w:val="toc1"/>
      </w:pPr>
      <w:hyperlink w:anchor="_Toc000103" w:history="1">
        <w:r>
          <w:t xml:space="preserve">3 Where to start</w:t>
        </w:r>
        <w:r>
          <w:t xml:space="preserve">	</w:t>
        </w:r>
        <w:r>
          <w:t xml:space="preserve">6</w:t>
        </w:r>
      </w:hyperlink>
    </w:p>
    <w:p>
      <w:pPr>
        <w:pStyle w:val="toc1"/>
      </w:pPr>
      <w:hyperlink w:anchor="_Toc000104" w:history="1">
        <w:r>
          <w:t xml:space="preserve">4 Steps up to closure</w:t>
        </w:r>
        <w:r>
          <w:t xml:space="preserve">	</w:t>
        </w:r>
        <w:r>
          <w:t xml:space="preserve">7</w:t>
        </w:r>
      </w:hyperlink>
    </w:p>
    <w:p>
      <w:pPr>
        <w:pStyle w:val="toc1"/>
      </w:pPr>
      <w:hyperlink w:anchor="_Toc000105" w:history="1">
        <w:r>
          <w:t xml:space="preserve">5 Who signs what</w:t>
        </w:r>
        <w:r>
          <w:t xml:space="preserve">	</w:t>
        </w:r>
        <w:r>
          <w:t xml:space="preserve">8</w:t>
        </w:r>
      </w:hyperlink>
    </w:p>
    <w:p>
      <w:pPr>
        <w:pStyle w:val="toc1"/>
      </w:pPr>
      <w:hyperlink w:anchor="_Toc000106" w:history="1">
        <w:r>
          <w:t xml:space="preserve">6 Change control after sign-off</w:t>
        </w:r>
        <w:r>
          <w:t xml:space="preserve">	</w:t>
        </w:r>
        <w:r>
          <w:t xml:space="preserve">10</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BRD-5 Accounting, Disbursement and ACSL of BIBS, screen by screen, so that Comptrollership (the GL team of FRBS, Disbursement and ACSL), Marketing and Human Resources can confirm what they will get and sign it off: the journals, the chart of accounts and the rates, the month-end and year-end closing, the bank reconciliation, the report pack, the account schedules, the service fee and the BIR outputs; the payees, the payment requests and the disbursement vouchers with their entries and instruments, the end of day, the account funding, the bank accounts and checks; the Marketing refund, cash-advance and check-cancellation requests; the insurer statements of account, the GL-SL reconciliation, the ACSL cases and the correction entries. The two volumes of the FRS of version 1.0 are combined into one FRS. Signing freezes the content, the screens and the navigation of the set; a later change goes through the Change Management Register with its mandays. The screenshots use fictitious seed data only.</w:t>
      </w:r>
    </w:p>
    <w:p>
      <w:r>
        <w:rPr>
          <w:b/>
        </w:rPr>
        <w:t>What changed in v2.1.</w:t>
      </w:r>
      <w:r>
        <w:rPr/>
        <w:t xml:space="preserve"> BDOI issued the BRD-5 pack again on 8 October 2026 with the minutes of the walkthrough of the Workshop Addendum with IT on 4 May 2026 in front of the unchanged BRD. This version applies them: the CPC2 incentive and its report follow the incentive tag stored on the booked transaction; the early-incentive service invoice is issued per remittance batch with one line per qualified transaction, and BDOI is asked to confirm the granularity and the trigger (CLR-DS-17); every BRD page cited moves by one page. The FRS now ends with a user-story view of every BRD requirement and a storyboard index of the walkthrough frames. Chapter 21 lists the new points for confirmation, CLR-DS-16 to CLR-DS-18.</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BRD-05_Accounting_Disbursement_ACSL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00_BIBS_StartHere_BRD-05_Accounting_Disbursement_ACSL_v2.1.docx</w:t>
            </w:r>
          </w:p>
        </w:tc>
        <w:tc>
          <w:tcPr>
            <w:tcW w:type="dxa" w:w="3626"/>
            <w:tcMar>
              <w:top w:w="50" w:type="dxa"/>
              <w:bottom w:w="50" w:type="dxa"/>
              <w:left w:w="90" w:type="dxa"/>
              <w:right w:w="90" w:type="dxa"/>
            </w:tcMar>
          </w:tcPr>
          <w:p>
            <w:pPr>
              <w:pStyle w:val="BDOITable"/>
            </w:pPr>
            <w:r>
              <w:rPr>
                <w:sz w:val="15"/>
              </w:rPr>
              <w:t>Start Here: the map of the pack, who reads what, who signs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01_BIBS_GuideDeck_BRD-05_Accounting_Disbursement_ACSL_v2.1.pptx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and impacts on other modules,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Head of Comptrollership, the product owners of FRBS, Disbursement, ACSL and Marketing;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02_BIBS_FRS_BRD-05_Accounting_Disbursement_ACSL_v2.1.docx</w:t>
            </w:r>
          </w:p>
        </w:tc>
        <w:tc>
          <w:tcPr>
            <w:tcW w:type="dxa" w:w="3626"/>
            <w:tcMar>
              <w:top w:w="50" w:type="dxa"/>
              <w:bottom w:w="50" w:type="dxa"/>
              <w:left w:w="90" w:type="dxa"/>
              <w:right w:w="90" w:type="dxa"/>
            </w:tcMar>
          </w:tcPr>
          <w:p>
            <w:pPr>
              <w:pStyle w:val="BDOITable"/>
            </w:pPr>
            <w:r>
              <w:rPr>
                <w:sz w:val="15"/>
              </w:rPr>
              <w:t>Functional Requirements Specification v2.1: requirements of the two former volumes in one document, re-based on the BRD with the minutes of 4-May-2026, with a user-story view and a storyboard index, navigation, 51 screen specifications with screenshots, five walkthroughs, messages, notifications, documents, upload templates, cross-BRD contract</w:t>
            </w:r>
          </w:p>
        </w:tc>
        <w:tc>
          <w:tcPr>
            <w:tcW w:type="dxa" w:w="1926"/>
            <w:tcMar>
              <w:top w:w="50" w:type="dxa"/>
              <w:bottom w:w="50" w:type="dxa"/>
              <w:left w:w="90" w:type="dxa"/>
              <w:right w:w="90" w:type="dxa"/>
            </w:tcMar>
          </w:tcPr>
          <w:p>
            <w:pPr>
              <w:pStyle w:val="BDOITable"/>
            </w:pPr>
            <w:r>
              <w:rPr>
                <w:sz w:val="15"/>
              </w:rPr>
              <w:t>The GL team, Disbursement, ACSL and the Marketing requesters for their sections; Operations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03_BIBS_Signoff_BRD-05_Accounting_Disbursement_ACSL_v2.1.xlsx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approvers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04_BIBS_TestPlan_BRD-05_Accounting_Disbursement_ACSL_v2.1.xlsx</w:t>
            </w:r>
          </w:p>
        </w:tc>
        <w:tc>
          <w:tcPr>
            <w:tcW w:type="dxa" w:w="3626"/>
            <w:tcMar>
              <w:top w:w="50" w:type="dxa"/>
              <w:bottom w:w="50" w:type="dxa"/>
              <w:left w:w="90" w:type="dxa"/>
              <w:right w:w="90" w:type="dxa"/>
            </w:tcMar>
          </w:tcPr>
          <w:p>
            <w:pPr>
              <w:pStyle w:val="BDOITable"/>
            </w:pPr>
            <w:r>
              <w:rPr>
                <w:sz w:val="15"/>
              </w:rPr>
              <w:t>Test plan workbook: the test cases of both former volumes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05_BIBS_TestPlan_BRD-05_Accounting_Disbursement_ACSL_Summary_v2.1.docx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Product owners,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07_BIBS_UXDeck_BRD-05_Accounting_Disbursement_ACSL_v2.1.pptx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walkthrough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08_BIBS_UXScreens_BRD-05_Accounting_Disbursement_ACSL_v2.1.xlsx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walkthrough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09_BIBS_UXScreens_BRD-05_Accounting_Disbursement_ACSL_v2.1.zip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Approvers (Head of Comptrollership; product owners of FRBS and ACSL, Disbursement, Comptrollership and Operations, Marketing)</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GL team (GL Officers, GL Team Lead, GL Section Head)</w:t>
            </w:r>
          </w:p>
        </w:tc>
        <w:tc>
          <w:tcPr>
            <w:tcW w:type="dxa" w:w="7592"/>
            <w:tcMar>
              <w:top w:w="50" w:type="dxa"/>
              <w:bottom w:w="50" w:type="dxa"/>
              <w:left w:w="90" w:type="dxa"/>
              <w:right w:w="90" w:type="dxa"/>
            </w:tcMar>
            <w:shd w:val="clear" w:color="auto" w:fill="E5F5FF"/>
          </w:tcPr>
          <w:p>
            <w:pPr>
              <w:pStyle w:val="BDOITable"/>
            </w:pPr>
            <w:r>
              <w:rPr>
                <w:sz w:val="16"/>
              </w:rPr>
              <w:t>FRS sections 4.1 to 4.10; the screens SCR-AC-01 to 24 of chapter 13; walkthroughs A and D; messages in chapter 15; configuration in chapter 9</w:t>
            </w:r>
          </w:p>
        </w:tc>
      </w:tr>
      <w:tr>
        <w:tc>
          <w:tcPr>
            <w:tcW w:type="dxa" w:w="2380"/>
            <w:tcMar>
              <w:top w:w="50" w:type="dxa"/>
              <w:bottom w:w="50" w:type="dxa"/>
              <w:left w:w="90" w:type="dxa"/>
              <w:right w:w="90" w:type="dxa"/>
            </w:tcMar>
          </w:tcPr>
          <w:p>
            <w:pPr>
              <w:pStyle w:val="BDOITable"/>
            </w:pPr>
            <w:r>
              <w:rPr>
                <w:b/>
                <w:sz w:val="16"/>
              </w:rPr>
              <w:t>Disbursement (Processors, Team Leaders, Approvers)</w:t>
            </w:r>
          </w:p>
        </w:tc>
        <w:tc>
          <w:tcPr>
            <w:tcW w:type="dxa" w:w="7592"/>
            <w:tcMar>
              <w:top w:w="50" w:type="dxa"/>
              <w:bottom w:w="50" w:type="dxa"/>
              <w:left w:w="90" w:type="dxa"/>
              <w:right w:w="90" w:type="dxa"/>
            </w:tcMar>
          </w:tcPr>
          <w:p>
            <w:pPr>
              <w:pStyle w:val="BDOITable"/>
            </w:pPr>
            <w:r>
              <w:rPr>
                <w:sz w:val="16"/>
              </w:rPr>
              <w:t>FRS section 4.11; the screens SCR-AC-25 to 38; walkthroughs B and E; the documents DO-01 to DO-03 and DO-05 in chapter 17; the upload templates in chapter 18</w:t>
            </w:r>
          </w:p>
        </w:tc>
      </w:tr>
      <w:tr>
        <w:tc>
          <w:tcPr>
            <w:tcW w:type="dxa" w:w="2380"/>
            <w:tcMar>
              <w:top w:w="50" w:type="dxa"/>
              <w:bottom w:w="50" w:type="dxa"/>
              <w:left w:w="90" w:type="dxa"/>
              <w:right w:w="90" w:type="dxa"/>
            </w:tcMar>
            <w:shd w:val="clear" w:color="auto" w:fill="E5F5FF"/>
          </w:tcPr>
          <w:p>
            <w:pPr>
              <w:pStyle w:val="BDOITable"/>
            </w:pPr>
            <w:r>
              <w:rPr>
                <w:b/>
                <w:sz w:val="16"/>
              </w:rPr>
              <w:t>Marketing (Processors, Reviewers, Approvers) and Human Resources</w:t>
            </w:r>
          </w:p>
        </w:tc>
        <w:tc>
          <w:tcPr>
            <w:tcW w:type="dxa" w:w="7592"/>
            <w:tcMar>
              <w:top w:w="50" w:type="dxa"/>
              <w:bottom w:w="50" w:type="dxa"/>
              <w:left w:w="90" w:type="dxa"/>
              <w:right w:w="90" w:type="dxa"/>
            </w:tcMar>
            <w:shd w:val="clear" w:color="auto" w:fill="E5F5FF"/>
          </w:tcPr>
          <w:p>
            <w:pPr>
              <w:pStyle w:val="BDOITable"/>
            </w:pPr>
            <w:r>
              <w:rPr>
                <w:sz w:val="16"/>
              </w:rPr>
              <w:t>FRS section 4.12; the screens SCR-AC-39 to 44; walkthrough B (steps 1 to 4 and 8) and E; the Refund Request Form DO-04</w:t>
            </w:r>
          </w:p>
        </w:tc>
      </w:tr>
      <w:tr>
        <w:tc>
          <w:tcPr>
            <w:tcW w:type="dxa" w:w="2380"/>
            <w:tcMar>
              <w:top w:w="50" w:type="dxa"/>
              <w:bottom w:w="50" w:type="dxa"/>
              <w:left w:w="90" w:type="dxa"/>
              <w:right w:w="90" w:type="dxa"/>
            </w:tcMar>
          </w:tcPr>
          <w:p>
            <w:pPr>
              <w:pStyle w:val="BDOITable"/>
            </w:pPr>
            <w:r>
              <w:rPr>
                <w:b/>
                <w:sz w:val="16"/>
              </w:rPr>
              <w:t>ACSL (Processors, Team Leader, Head)</w:t>
            </w:r>
          </w:p>
        </w:tc>
        <w:tc>
          <w:tcPr>
            <w:tcW w:type="dxa" w:w="7592"/>
            <w:tcMar>
              <w:top w:w="50" w:type="dxa"/>
              <w:bottom w:w="50" w:type="dxa"/>
              <w:left w:w="90" w:type="dxa"/>
              <w:right w:w="90" w:type="dxa"/>
            </w:tcMar>
          </w:tcPr>
          <w:p>
            <w:pPr>
              <w:pStyle w:val="BDOITable"/>
            </w:pPr>
            <w:r>
              <w:rPr>
                <w:sz w:val="16"/>
              </w:rPr>
              <w:t>FRS section 4.13; the screens SCR-AC-45 to 51; walkthrough C; the reconciliation report DO-06</w:t>
            </w:r>
          </w:p>
        </w:tc>
      </w:tr>
      <w:tr>
        <w:tc>
          <w:tcPr>
            <w:tcW w:type="dxa" w:w="2380"/>
            <w:tcMar>
              <w:top w:w="50" w:type="dxa"/>
              <w:bottom w:w="50" w:type="dxa"/>
              <w:left w:w="90" w:type="dxa"/>
              <w:right w:w="90" w:type="dxa"/>
            </w:tcMar>
            <w:shd w:val="clear" w:color="auto" w:fill="E5F5FF"/>
          </w:tcPr>
          <w:p>
            <w:pPr>
              <w:pStyle w:val="BDOITable"/>
            </w:pPr>
            <w:r>
              <w:rPr>
                <w:b/>
                <w:sz w:val="16"/>
              </w:rPr>
              <w:t>Operations (Cashiering and Remittance, BRD-2)</w:t>
            </w:r>
          </w:p>
        </w:tc>
        <w:tc>
          <w:tcPr>
            <w:tcW w:type="dxa" w:w="7592"/>
            <w:tcMar>
              <w:top w:w="50" w:type="dxa"/>
              <w:bottom w:w="50" w:type="dxa"/>
              <w:left w:w="90" w:type="dxa"/>
              <w:right w:w="90" w:type="dxa"/>
            </w:tcMar>
            <w:shd w:val="clear" w:color="auto" w:fill="E5F5FF"/>
          </w:tcPr>
          <w:p>
            <w:pPr>
              <w:pStyle w:val="BDOITable"/>
            </w:pPr>
            <w:r>
              <w:rPr>
                <w:sz w:val="16"/>
              </w:rPr>
              <w:t>The hand-offs of chapter 19 (remittance payments, refund validations, payment reversals, remittance deductions); walkthrough B; FRS sections 4.11 and 4.13</w:t>
            </w:r>
          </w:p>
        </w:tc>
      </w:tr>
      <w:tr>
        <w:tc>
          <w:tcPr>
            <w:tcW w:type="dxa" w:w="2380"/>
            <w:tcMar>
              <w:top w:w="50" w:type="dxa"/>
              <w:bottom w:w="50" w:type="dxa"/>
              <w:left w:w="90" w:type="dxa"/>
              <w:right w:w="90" w:type="dxa"/>
            </w:tcMar>
          </w:tcPr>
          <w:p>
            <w:pPr>
              <w:pStyle w:val="BDOITable"/>
            </w:pPr>
            <w:r>
              <w:rPr>
                <w:b/>
                <w:sz w:val="16"/>
              </w:rPr>
              <w:t>Business and System Administrators</w:t>
            </w:r>
          </w:p>
        </w:tc>
        <w:tc>
          <w:tcPr>
            <w:tcW w:type="dxa" w:w="7592"/>
            <w:tcMar>
              <w:top w:w="50" w:type="dxa"/>
              <w:bottom w:w="50" w:type="dxa"/>
              <w:left w:w="90" w:type="dxa"/>
              <w:right w:w="90" w:type="dxa"/>
            </w:tcMar>
          </w:tcPr>
          <w:p>
            <w:pPr>
              <w:pStyle w:val="BDOITable"/>
            </w:pPr>
            <w:r>
              <w:rPr>
                <w:sz w:val="16"/>
              </w:rPr>
              <w:t>FRS section 4.10 (administration) and configuration in chapter 9; the lists of values and access screens of the BRD-1 and BRD-11 sets; Menu by persona in chapter 12</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configuration and jobs (chapter 9), cross-BRD contract (chapter 19), the bank files of chapter 17; the Technical Specification, reviewed by BDOI IT</w:t>
            </w:r>
          </w:p>
        </w:tc>
      </w:tr>
      <w:tr>
        <w:tc>
          <w:tcPr>
            <w:tcW w:type="dxa" w:w="2380"/>
            <w:tcMar>
              <w:top w:w="50" w:type="dxa"/>
              <w:bottom w:w="50" w:type="dxa"/>
              <w:left w:w="90" w:type="dxa"/>
              <w:right w:w="90" w:type="dxa"/>
            </w:tcMar>
          </w:tcPr>
          <w:p>
            <w:pPr>
              <w:pStyle w:val="BDOITable"/>
            </w:pPr>
            <w:r>
              <w:rPr>
                <w:b/>
                <w:sz w:val="16"/>
              </w:rPr>
              <w:t>BDOI UX Design team</w:t>
            </w:r>
          </w:p>
        </w:tc>
        <w:tc>
          <w:tcPr>
            <w:tcW w:type="dxa" w:w="7592"/>
            <w:tcMar>
              <w:top w:w="50" w:type="dxa"/>
              <w:bottom w:w="50" w:type="dxa"/>
              <w:left w:w="90" w:type="dxa"/>
              <w:right w:w="90" w:type="dxa"/>
            </w:tcMar>
          </w:tcPr>
          <w:p>
            <w:pPr>
              <w:pStyle w:val="BDOITable"/>
            </w:pPr>
            <w:r>
              <w:rPr>
                <w:sz w:val="16"/>
              </w:rPr>
              <w:t>07 UX Screen Deck: design foundation and navigation first, then the personas, walkthroughs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glofficer (GL Officer), gltl (GL Team Lead), glhead (GL Section Head), accountant (Accountant), fmanager (Comptrollership administrator), disb (Disbursement Processor), disbtl and disbtl2 (Disbursement Team Leaders), disbappr and disbappr2 (Disbursement Approvers), mktao (Marketing Processor), mktrev (Marketing Reviewer), mktappr (Marketing Approver), hrappr (Human Resources), acsl (ACSL Processor), acsltl (ACSL Team Leader), acslhead (ACSL Head), comptrol (Comptrollership), badmin (Business Administrator), admin (System Administrator) and auditor.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v2.1 in the BRD-05 folder; invitations to the sessions</w:t>
            </w:r>
          </w:p>
        </w:tc>
        <w:tc>
          <w:tcPr>
            <w:tcW w:type="dxa" w:w="1926"/>
            <w:tcMar>
              <w:top w:w="50" w:type="dxa"/>
              <w:bottom w:w="50" w:type="dxa"/>
              <w:left w:w="90" w:type="dxa"/>
              <w:right w:w="90" w:type="dxa"/>
            </w:tcMar>
          </w:tcPr>
          <w:p>
            <w:pPr>
              <w:pStyle w:val="BDOITable"/>
            </w:pPr>
            <w:r>
              <w:rPr>
                <w:sz w:val="15"/>
              </w:rPr>
              <w:t>Day 0 (Thu 8-Oct-2026); sessions scheduled after the BRD-4 Collections walkthroughs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Head of Comptrollership; C: product owners of FRBS, ACSL, Disbursement and Marketing; I: Operations, BDOI IT</w:t>
            </w:r>
          </w:p>
        </w:tc>
        <w:tc>
          <w:tcPr>
            <w:tcW w:type="dxa" w:w="2946"/>
            <w:tcMar>
              <w:top w:w="50" w:type="dxa"/>
              <w:bottom w:w="50" w:type="dxa"/>
              <w:left w:w="90" w:type="dxa"/>
              <w:right w:w="90" w:type="dxa"/>
            </w:tcMar>
            <w:shd w:val="clear" w:color="auto" w:fill="E5F5FF"/>
          </w:tcPr>
          <w:p>
            <w:pPr>
              <w:pStyle w:val="BDOITable"/>
            </w:pPr>
            <w:r>
              <w:rPr>
                <w:sz w:val="15"/>
              </w:rPr>
              <w:t>Screens shown live (general ledger and closing, reports and service fee, Disbursement, the Marketing requests, ACSL);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5 sessions, 25-Nov to 1-Dec-2026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GL team, Disbursement, ACSL and Marketing reviewers; A: the product owners;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Mon 14-Dec-2026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Head of Comptrollership;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2 working days, Q&amp;A on Wed 16-Dec-2026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(v2.2)</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v2.2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v2.2 on Fri 18-Dec-2026; check by the reviewers until Tue 22-Dec-2026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Head of Comptrollership; C: the product owners, BDOI IT, Business Project Services</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Wed 23-Dec-2026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Head of Comptrollership;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28-Dec-2026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Head of Comptrollership;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unit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 Chapter 21 of the FRS lists the proposed rules and clarifications on which BDOI is asked to decide.</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25-Nov-2026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journals, the chart of accounts and the rates, the manual accrual from entry to posting (walkthrough A, walkthrough E step 1)</w:t>
            </w:r>
          </w:p>
        </w:tc>
        <w:tc>
          <w:tcPr>
            <w:tcW w:type="dxa" w:w="2493"/>
            <w:tcMar>
              <w:top w:w="50" w:type="dxa"/>
              <w:bottom w:w="50" w:type="dxa"/>
              <w:left w:w="90" w:type="dxa"/>
              <w:right w:w="90" w:type="dxa"/>
            </w:tcMar>
          </w:tcPr>
          <w:p>
            <w:pPr>
              <w:pStyle w:val="BDOITable"/>
            </w:pPr>
            <w:r>
              <w:rPr>
                <w:sz w:val="18"/>
              </w:rPr>
              <w:t>GL team,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26-Nov-2026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Month end: the revaluation rate and the revaluation, the GL close and the broking books, the year-end close, the bank reconciliation; the report pack, the account schedules, the service fee and the BIR outputs (walkthrough D)</w:t>
            </w:r>
          </w:p>
        </w:tc>
        <w:tc>
          <w:tcPr>
            <w:tcW w:type="dxa" w:w="2493"/>
            <w:tcMar>
              <w:top w:w="50" w:type="dxa"/>
              <w:bottom w:w="50" w:type="dxa"/>
              <w:left w:w="90" w:type="dxa"/>
              <w:right w:w="90" w:type="dxa"/>
            </w:tcMar>
            <w:shd w:val="clear" w:color="auto" w:fill="E5F5FF"/>
          </w:tcPr>
          <w:p>
            <w:pPr>
              <w:pStyle w:val="BDOITable"/>
            </w:pPr>
            <w:r>
              <w:rPr>
                <w:sz w:val="18"/>
              </w:rPr>
              <w:t>GL team, Comptrollership, BDOI IT</w:t>
            </w:r>
          </w:p>
        </w:tc>
      </w:tr>
      <w:tr>
        <w:trPr>
          <w:cantSplit w:val="true"/>
        </w:trPr>
        <w:tc>
          <w:tcPr>
            <w:tcW w:type="dxa" w:w="2040"/>
            <w:tcMar>
              <w:top w:w="50" w:type="dxa"/>
              <w:bottom w:w="50" w:type="dxa"/>
              <w:left w:w="90" w:type="dxa"/>
              <w:right w:w="90" w:type="dxa"/>
            </w:tcMar>
          </w:tcPr>
          <w:p>
            <w:pPr>
              <w:pStyle w:val="BDOITable"/>
            </w:pPr>
            <w:r>
              <w:rPr>
                <w:sz w:val="18"/>
              </w:rPr>
              <w:t>Fri 27-Nov-2026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Disbursement: payees, the workbench, the voucher with its entry and instrument, the end of day, the fundings, the bank accounts and checks, the uploads and the reports (walkthrough B steps 5 to 7, walkthrough E step 4)</w:t>
            </w:r>
          </w:p>
        </w:tc>
        <w:tc>
          <w:tcPr>
            <w:tcW w:type="dxa" w:w="2493"/>
            <w:tcMar>
              <w:top w:w="50" w:type="dxa"/>
              <w:bottom w:w="50" w:type="dxa"/>
              <w:left w:w="90" w:type="dxa"/>
              <w:right w:w="90" w:type="dxa"/>
            </w:tcMar>
          </w:tcPr>
          <w:p>
            <w:pPr>
              <w:pStyle w:val="BDOITable"/>
            </w:pPr>
            <w:r>
              <w:rPr>
                <w:sz w:val="18"/>
              </w:rPr>
              <w:t>Disbursement, Operations (Remittance, Cashiering), BDOI IT</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Mon 30-Nov-2026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The Marketing refund, cash-advance and check-cancellation requests (walkthrough B steps 1 to 4 and 8, walkthrough E step 2)</w:t>
            </w:r>
          </w:p>
        </w:tc>
        <w:tc>
          <w:tcPr>
            <w:tcW w:type="dxa" w:w="2493"/>
            <w:tcMar>
              <w:top w:w="50" w:type="dxa"/>
              <w:bottom w:w="50" w:type="dxa"/>
              <w:left w:w="90" w:type="dxa"/>
              <w:right w:w="90" w:type="dxa"/>
            </w:tcMar>
            <w:shd w:val="clear" w:color="auto" w:fill="E5F5FF"/>
          </w:tcPr>
          <w:p>
            <w:pPr>
              <w:pStyle w:val="BDOITable"/>
            </w:pPr>
            <w:r>
              <w:rPr>
                <w:sz w:val="18"/>
              </w:rPr>
              <w:t>Marketing, Human Resources, Disbursement</w:t>
            </w:r>
          </w:p>
        </w:tc>
      </w:tr>
      <w:tr>
        <w:trPr>
          <w:cantSplit w:val="true"/>
        </w:trPr>
        <w:tc>
          <w:tcPr>
            <w:tcW w:type="dxa" w:w="2040"/>
            <w:tcMar>
              <w:top w:w="50" w:type="dxa"/>
              <w:bottom w:w="50" w:type="dxa"/>
              <w:left w:w="90" w:type="dxa"/>
              <w:right w:w="90" w:type="dxa"/>
            </w:tcMar>
          </w:tcPr>
          <w:p>
            <w:pPr>
              <w:pStyle w:val="BDOITable"/>
            </w:pPr>
            <w:r>
              <w:rPr>
                <w:sz w:val="18"/>
              </w:rPr>
              <w:t>Tue 1-Dec-2026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ACSL: the insurer statements of account, the GL-SL reconciliation, the cases and the correction entries; the remittance deductions with Operations (walkthrough C, walkthrough E step 3)</w:t>
            </w:r>
          </w:p>
        </w:tc>
        <w:tc>
          <w:tcPr>
            <w:tcW w:type="dxa" w:w="2493"/>
            <w:tcMar>
              <w:top w:w="50" w:type="dxa"/>
              <w:bottom w:w="50" w:type="dxa"/>
              <w:left w:w="90" w:type="dxa"/>
              <w:right w:w="90" w:type="dxa"/>
            </w:tcMar>
          </w:tcPr>
          <w:p>
            <w:pPr>
              <w:pStyle w:val="BDOITable"/>
            </w:pPr>
            <w:r>
              <w:rPr>
                <w:sz w:val="18"/>
              </w:rPr>
              <w:t>ACSL, Operations (Remittance)</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files and templates that the user sees or fills in, the validations, business rules, messages, notifications, documents, walkthroughs and files. The business users sign that content. Technical content (the interfaces between systems, data storage, security set-up) is not part of the set: it is in the Technical Specification, a separate document reviewed by BDOI IT. The roles are those of the approval sheets of the BRD-5 documents: iorta TechNXT and the Business Analysts of Business Project Services prepare the set, Marketing Business Services and System Support provide the input, the Program Manager of Business Project Services, the ACSL product owners, BDOI IT and MBS review it, and the product owners of Disbursement, FRBS and ACSL, Comptrollership and Operations, Marketing, the Head of Institutional Banking and the Head of Comptrollership approve it.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General ledger, closing, bank reconciliation and report screens (FRS sections 4.1-4.10, screens SCR-AC-01 to 24)</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w:t>
            </w:r>
          </w:p>
        </w:tc>
        <w:tc>
          <w:tcPr>
            <w:tcW w:type="dxa" w:w="1700"/>
            <w:tcMar>
              <w:top w:w="50" w:type="dxa"/>
              <w:bottom w:w="50" w:type="dxa"/>
              <w:left w:w="90" w:type="dxa"/>
              <w:right w:w="90" w:type="dxa"/>
            </w:tcMar>
          </w:tcPr>
          <w:p>
            <w:pPr>
              <w:pStyle w:val="BDOITable"/>
            </w:pPr>
            <w:r>
              <w:rPr>
                <w:sz w:val="15"/>
              </w:rPr>
              <w:t>Program Manager (BPS), ACSL product owners</w:t>
            </w:r>
          </w:p>
        </w:tc>
        <w:tc>
          <w:tcPr>
            <w:tcW w:type="dxa" w:w="2153"/>
            <w:tcMar>
              <w:top w:w="50" w:type="dxa"/>
              <w:bottom w:w="50" w:type="dxa"/>
              <w:left w:w="90" w:type="dxa"/>
              <w:right w:w="90" w:type="dxa"/>
            </w:tcMar>
          </w:tcPr>
          <w:p>
            <w:pPr>
              <w:pStyle w:val="BDOITable"/>
            </w:pPr>
            <w:r>
              <w:rPr>
                <w:sz w:val="15"/>
              </w:rPr>
              <w:t>FRBS and ACSL PO, Head - Comptrollership</w:t>
            </w:r>
          </w:p>
        </w:tc>
      </w:tr>
      <w:tr>
        <w:tc>
          <w:tcPr>
            <w:tcW w:type="dxa" w:w="2946"/>
            <w:tcMar>
              <w:top w:w="50" w:type="dxa"/>
              <w:bottom w:w="50" w:type="dxa"/>
              <w:left w:w="90" w:type="dxa"/>
              <w:right w:w="90" w:type="dxa"/>
            </w:tcMar>
            <w:shd w:val="clear" w:color="auto" w:fill="E5F5FF"/>
          </w:tcPr>
          <w:p>
            <w:pPr>
              <w:pStyle w:val="BDOITable"/>
            </w:pPr>
            <w:r>
              <w:rPr>
                <w:b/>
                <w:sz w:val="15"/>
              </w:rPr>
              <w:t>Disbursement screens, fields, documents and bank files (FRS section 4.11, screens SCR-AC-25 to 38)</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Disbursement PO, Head - Comptrollership</w:t>
            </w:r>
          </w:p>
        </w:tc>
      </w:tr>
      <w:tr>
        <w:tc>
          <w:tcPr>
            <w:tcW w:type="dxa" w:w="2946"/>
            <w:tcMar>
              <w:top w:w="50" w:type="dxa"/>
              <w:bottom w:w="50" w:type="dxa"/>
              <w:left w:w="90" w:type="dxa"/>
              <w:right w:w="90" w:type="dxa"/>
            </w:tcMar>
          </w:tcPr>
          <w:p>
            <w:pPr>
              <w:pStyle w:val="BDOITable"/>
            </w:pPr>
            <w:r>
              <w:rPr>
                <w:b/>
                <w:sz w:val="15"/>
              </w:rPr>
              <w:t>Marketing refund and cash-advance requests (FRS section 4.12, screens SCR-AC-39 to 44)</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input</w:t>
            </w:r>
          </w:p>
        </w:tc>
        <w:tc>
          <w:tcPr>
            <w:tcW w:type="dxa" w:w="1700"/>
            <w:tcMar>
              <w:top w:w="50" w:type="dxa"/>
              <w:bottom w:w="50" w:type="dxa"/>
              <w:left w:w="90" w:type="dxa"/>
              <w:right w:w="90" w:type="dxa"/>
            </w:tcMar>
          </w:tcPr>
          <w:p>
            <w:pPr>
              <w:pStyle w:val="BDOITable"/>
            </w:pPr>
            <w:r>
              <w:rPr>
                <w:sz w:val="15"/>
              </w:rPr>
              <w:t>Program Manager (BPS), MBS review</w:t>
            </w:r>
          </w:p>
        </w:tc>
        <w:tc>
          <w:tcPr>
            <w:tcW w:type="dxa" w:w="2153"/>
            <w:tcMar>
              <w:top w:w="50" w:type="dxa"/>
              <w:bottom w:w="50" w:type="dxa"/>
              <w:left w:w="90" w:type="dxa"/>
              <w:right w:w="90" w:type="dxa"/>
            </w:tcMar>
          </w:tcPr>
          <w:p>
            <w:pPr>
              <w:pStyle w:val="BDOITable"/>
            </w:pPr>
            <w:r>
              <w:rPr>
                <w:sz w:val="15"/>
              </w:rPr>
              <w:t>Product Owner (Marketing), Marketing head</w:t>
            </w:r>
          </w:p>
        </w:tc>
      </w:tr>
      <w:tr>
        <w:tc>
          <w:tcPr>
            <w:tcW w:type="dxa" w:w="2946"/>
            <w:tcMar>
              <w:top w:w="50" w:type="dxa"/>
              <w:bottom w:w="50" w:type="dxa"/>
              <w:left w:w="90" w:type="dxa"/>
              <w:right w:w="90" w:type="dxa"/>
            </w:tcMar>
            <w:shd w:val="clear" w:color="auto" w:fill="E5F5FF"/>
          </w:tcPr>
          <w:p>
            <w:pPr>
              <w:pStyle w:val="BDOITable"/>
            </w:pPr>
            <w:r>
              <w:rPr>
                <w:b/>
                <w:sz w:val="15"/>
              </w:rPr>
              <w:t>ACSL screens, reconciliations, cases and corrections (FRS section 4.13, screens SCR-AC-45 to 51)</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w:t>
            </w:r>
          </w:p>
        </w:tc>
        <w:tc>
          <w:tcPr>
            <w:tcW w:type="dxa" w:w="1700"/>
            <w:tcMar>
              <w:top w:w="50" w:type="dxa"/>
              <w:bottom w:w="50" w:type="dxa"/>
              <w:left w:w="90" w:type="dxa"/>
              <w:right w:w="90" w:type="dxa"/>
            </w:tcMar>
            <w:shd w:val="clear" w:color="auto" w:fill="E5F5FF"/>
          </w:tcPr>
          <w:p>
            <w:pPr>
              <w:pStyle w:val="BDOITable"/>
            </w:pPr>
            <w:r>
              <w:rPr>
                <w:sz w:val="15"/>
              </w:rPr>
              <w:t>Program Manager (BPS), ACSL product owners</w:t>
            </w:r>
          </w:p>
        </w:tc>
        <w:tc>
          <w:tcPr>
            <w:tcW w:type="dxa" w:w="2153"/>
            <w:tcMar>
              <w:top w:w="50" w:type="dxa"/>
              <w:bottom w:w="50" w:type="dxa"/>
              <w:left w:w="90" w:type="dxa"/>
              <w:right w:w="90" w:type="dxa"/>
            </w:tcMar>
            <w:shd w:val="clear" w:color="auto" w:fill="E5F5FF"/>
          </w:tcPr>
          <w:p>
            <w:pPr>
              <w:pStyle w:val="BDOITable"/>
            </w:pPr>
            <w:r>
              <w:rPr>
                <w:sz w:val="15"/>
              </w:rPr>
              <w:t>FRBS and ACSL PO, Head - Comptrollership</w:t>
            </w:r>
          </w:p>
        </w:tc>
      </w:tr>
      <w:tr>
        <w:tc>
          <w:tcPr>
            <w:tcW w:type="dxa" w:w="2946"/>
            <w:tcMar>
              <w:top w:w="50" w:type="dxa"/>
              <w:bottom w:w="50" w:type="dxa"/>
              <w:left w:w="90" w:type="dxa"/>
              <w:right w:w="90" w:type="dxa"/>
            </w:tcMar>
          </w:tcPr>
          <w:p>
            <w:pPr>
              <w:pStyle w:val="BDOITable"/>
            </w:pPr>
            <w:r>
              <w:rPr>
                <w:b/>
                <w:sz w:val="15"/>
              </w:rPr>
              <w:t>Business rules, validations and the accounting entries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 MBS input</w:t>
            </w:r>
          </w:p>
        </w:tc>
        <w:tc>
          <w:tcPr>
            <w:tcW w:type="dxa" w:w="1700"/>
            <w:tcMar>
              <w:top w:w="50" w:type="dxa"/>
              <w:bottom w:w="50" w:type="dxa"/>
              <w:left w:w="90" w:type="dxa"/>
              <w:right w:w="90" w:type="dxa"/>
            </w:tcMar>
          </w:tcPr>
          <w:p>
            <w:pPr>
              <w:pStyle w:val="BDOITable"/>
            </w:pPr>
            <w:r>
              <w:rPr>
                <w:sz w:val="15"/>
              </w:rPr>
              <w:t>Program Manager (BPS), ACSL product owners</w:t>
            </w:r>
          </w:p>
        </w:tc>
        <w:tc>
          <w:tcPr>
            <w:tcW w:type="dxa" w:w="2153"/>
            <w:tcMar>
              <w:top w:w="50" w:type="dxa"/>
              <w:bottom w:w="50" w:type="dxa"/>
              <w:left w:w="90" w:type="dxa"/>
              <w:right w:w="90" w:type="dxa"/>
            </w:tcMar>
          </w:tcPr>
          <w:p>
            <w:pPr>
              <w:pStyle w:val="BDOITable"/>
            </w:pPr>
            <w:r>
              <w:rPr>
                <w:sz w:val="15"/>
              </w:rPr>
              <w:t>Head - Comptrollership, FRBS and ACSL PO, Disbursement PO</w:t>
            </w:r>
          </w:p>
        </w:tc>
      </w:tr>
      <w:tr>
        <w:tc>
          <w:tcPr>
            <w:tcW w:type="dxa" w:w="2946"/>
            <w:tcMar>
              <w:top w:w="50" w:type="dxa"/>
              <w:bottom w:w="50" w:type="dxa"/>
              <w:left w:w="90" w:type="dxa"/>
              <w:right w:w="90" w:type="dxa"/>
            </w:tcMar>
            <w:shd w:val="clear" w:color="auto" w:fill="E5F5FF"/>
          </w:tcPr>
          <w:p>
            <w:pPr>
              <w:pStyle w:val="BDOITable"/>
            </w:pPr>
            <w:r>
              <w:rPr>
                <w:b/>
                <w:sz w:val="15"/>
              </w:rPr>
              <w:t>Messages and notifications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input</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Head - Comptrollership</w:t>
            </w:r>
          </w:p>
        </w:tc>
      </w:tr>
      <w:tr>
        <w:tc>
          <w:tcPr>
            <w:tcW w:type="dxa" w:w="2946"/>
            <w:tcMar>
              <w:top w:w="50" w:type="dxa"/>
              <w:bottom w:w="50" w:type="dxa"/>
              <w:left w:w="90" w:type="dxa"/>
              <w:right w:w="90" w:type="dxa"/>
            </w:tcMar>
          </w:tcPr>
          <w:p>
            <w:pPr>
              <w:pStyle w:val="BDOITable"/>
            </w:pPr>
            <w:r>
              <w:rPr>
                <w:b/>
                <w:sz w:val="15"/>
              </w:rPr>
              <w:t>Hand-offs with Operations (remittance payments, refund validations, payment reversals, remittance deductions)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w:t>
            </w:r>
          </w:p>
        </w:tc>
        <w:tc>
          <w:tcPr>
            <w:tcW w:type="dxa" w:w="1700"/>
            <w:tcMar>
              <w:top w:w="50" w:type="dxa"/>
              <w:bottom w:w="50" w:type="dxa"/>
              <w:left w:w="90" w:type="dxa"/>
              <w:right w:w="90" w:type="dxa"/>
            </w:tcMar>
          </w:tcPr>
          <w:p>
            <w:pPr>
              <w:pStyle w:val="BDOITable"/>
            </w:pPr>
            <w:r>
              <w:rPr>
                <w:sz w:val="15"/>
              </w:rPr>
              <w:t>Program Manager (BPS), ACSL product owners</w:t>
            </w:r>
          </w:p>
        </w:tc>
        <w:tc>
          <w:tcPr>
            <w:tcW w:type="dxa" w:w="2153"/>
            <w:tcMar>
              <w:top w:w="50" w:type="dxa"/>
              <w:bottom w:w="50" w:type="dxa"/>
              <w:left w:w="90" w:type="dxa"/>
              <w:right w:w="90" w:type="dxa"/>
            </w:tcMar>
          </w:tcPr>
          <w:p>
            <w:pPr>
              <w:pStyle w:val="BDOITable"/>
            </w:pPr>
            <w:r>
              <w:rPr>
                <w:sz w:val="15"/>
              </w:rPr>
              <w:t>Comptrollership and Operations PO, Head - Comptrollership</w:t>
            </w:r>
          </w:p>
        </w:tc>
      </w:tr>
      <w:tr>
        <w:tc>
          <w:tcPr>
            <w:tcW w:type="dxa" w:w="2946"/>
            <w:tcMar>
              <w:top w:w="50" w:type="dxa"/>
              <w:bottom w:w="50" w:type="dxa"/>
              <w:left w:w="90" w:type="dxa"/>
              <w:right w:w="90" w:type="dxa"/>
            </w:tcMar>
            <w:shd w:val="clear" w:color="auto" w:fill="E5F5FF"/>
          </w:tcPr>
          <w:p>
            <w:pPr>
              <w:pStyle w:val="BDOITable"/>
            </w:pPr>
            <w:r>
              <w:rPr>
                <w:b/>
                <w:sz w:val="15"/>
              </w:rPr>
              <w:t>Walkthroughs (end-to-end, screen by screen)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input</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Head - Comptrollership</w:t>
            </w:r>
          </w:p>
        </w:tc>
      </w:tr>
      <w:tr>
        <w:tc>
          <w:tcPr>
            <w:tcW w:type="dxa" w:w="2946"/>
            <w:tcMar>
              <w:top w:w="50" w:type="dxa"/>
              <w:bottom w:w="50" w:type="dxa"/>
              <w:left w:w="90" w:type="dxa"/>
              <w:right w:w="90" w:type="dxa"/>
            </w:tcMar>
          </w:tcPr>
          <w:p>
            <w:pPr>
              <w:pStyle w:val="BDOITable"/>
            </w:pPr>
            <w:r>
              <w:rPr>
                <w:b/>
                <w:sz w:val="15"/>
              </w:rPr>
              <w:t>Proposed business rules and clarifications for confirmation</w:t>
            </w:r>
          </w:p>
        </w:tc>
        <w:tc>
          <w:tcPr>
            <w:tcW w:type="dxa" w:w="1360"/>
            <w:tcMar>
              <w:top w:w="50" w:type="dxa"/>
              <w:bottom w:w="50" w:type="dxa"/>
              <w:left w:w="90" w:type="dxa"/>
              <w:right w:w="90" w:type="dxa"/>
            </w:tcMar>
          </w:tcPr>
          <w:p>
            <w:pPr>
              <w:pStyle w:val="BDOITable"/>
            </w:pPr>
            <w:r>
              <w:rPr>
                <w:sz w:val="15"/>
              </w:rPr>
              <w:t>iorta TechNXT, BA (BPS)</w:t>
            </w:r>
          </w:p>
        </w:tc>
        <w:tc>
          <w:tcPr>
            <w:tcW w:type="dxa" w:w="1813"/>
            <w:tcMar>
              <w:top w:w="50" w:type="dxa"/>
              <w:bottom w:w="50" w:type="dxa"/>
              <w:left w:w="90" w:type="dxa"/>
              <w:right w:w="90" w:type="dxa"/>
            </w:tcMar>
          </w:tcPr>
          <w:p>
            <w:pPr>
              <w:pStyle w:val="BDOITable"/>
            </w:pPr>
            <w:r>
              <w:rPr>
                <w:sz w:val="15"/>
              </w:rPr>
              <w:t>MBS input</w:t>
            </w:r>
          </w:p>
        </w:tc>
        <w:tc>
          <w:tcPr>
            <w:tcW w:type="dxa" w:w="1700"/>
            <w:tcMar>
              <w:top w:w="50" w:type="dxa"/>
              <w:bottom w:w="50" w:type="dxa"/>
              <w:left w:w="90" w:type="dxa"/>
              <w:right w:w="90" w:type="dxa"/>
            </w:tcMar>
          </w:tcPr>
          <w:p>
            <w:pPr>
              <w:pStyle w:val="BDOITable"/>
            </w:pPr>
            <w:r>
              <w:rPr>
                <w:sz w:val="15"/>
              </w:rPr>
              <w:t>Program Manager (BPS), ACSL product owners</w:t>
            </w:r>
          </w:p>
        </w:tc>
        <w:tc>
          <w:tcPr>
            <w:tcW w:type="dxa" w:w="2153"/>
            <w:tcMar>
              <w:top w:w="50" w:type="dxa"/>
              <w:bottom w:w="50" w:type="dxa"/>
              <w:left w:w="90" w:type="dxa"/>
              <w:right w:w="90" w:type="dxa"/>
            </w:tcMar>
          </w:tcPr>
          <w:p>
            <w:pPr>
              <w:pStyle w:val="BDOITable"/>
            </w:pPr>
            <w:r>
              <w:rPr>
                <w:sz w:val="15"/>
              </w:rPr>
              <w:t>Head - Comptrollership, FRBS and ACSL PO, Disbursement PO, Product Owner (Marketing)</w:t>
            </w:r>
          </w:p>
        </w:tc>
      </w:tr>
      <w:tr>
        <w:tc>
          <w:tcPr>
            <w:tcW w:type="dxa" w:w="2946"/>
            <w:tcMar>
              <w:top w:w="50" w:type="dxa"/>
              <w:bottom w:w="50" w:type="dxa"/>
              <w:left w:w="90" w:type="dxa"/>
              <w:right w:w="90" w:type="dxa"/>
            </w:tcMar>
            <w:shd w:val="clear" w:color="auto" w:fill="E5F5FF"/>
          </w:tcPr>
          <w:p>
            <w:pPr>
              <w:pStyle w:val="BDOITable"/>
            </w:pPr>
            <w:r>
              <w:rPr>
                <w:b/>
                <w:sz w:val="15"/>
              </w:rPr>
              <w:t>Scheduled runs and files, bank files and forms, user access and menus by persona</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input</w:t>
            </w:r>
          </w:p>
        </w:tc>
        <w:tc>
          <w:tcPr>
            <w:tcW w:type="dxa" w:w="1700"/>
            <w:tcMar>
              <w:top w:w="50" w:type="dxa"/>
              <w:bottom w:w="50" w:type="dxa"/>
              <w:left w:w="90" w:type="dxa"/>
              <w:right w:w="90" w:type="dxa"/>
            </w:tcMar>
            <w:shd w:val="clear" w:color="auto" w:fill="E5F5FF"/>
          </w:tcPr>
          <w:p>
            <w:pPr>
              <w:pStyle w:val="BDOITable"/>
            </w:pPr>
            <w:r>
              <w:rPr>
                <w:sz w:val="15"/>
              </w:rPr>
              <w:t>BDOI IT, Program Manager (BPS)</w:t>
            </w:r>
          </w:p>
        </w:tc>
        <w:tc>
          <w:tcPr>
            <w:tcW w:type="dxa" w:w="2153"/>
            <w:tcMar>
              <w:top w:w="50" w:type="dxa"/>
              <w:bottom w:w="50" w:type="dxa"/>
              <w:left w:w="90" w:type="dxa"/>
              <w:right w:w="90" w:type="dxa"/>
            </w:tcMar>
            <w:shd w:val="clear" w:color="auto" w:fill="E5F5FF"/>
          </w:tcPr>
          <w:p>
            <w:pPr>
              <w:pStyle w:val="BDOITable"/>
            </w:pPr>
            <w:r>
              <w:rPr>
                <w:sz w:val="15"/>
              </w:rPr>
              <w:t>Head - Comptrollership</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input</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Head - Comptrollership</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input</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Head - Comptrollership</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(BRD-5 approval sheets: main BRD p.141-142 (Prepared, Input Provided, Reviewed, Approved by), Addendum 1 p.39-40 and the Workshop Addendum p.15-16)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Analysts, Enterprise Services Group - Business Project Services (BPS) (Roda Lyn D. Gallardo; Zean C. Ibay and Jane Tagle for the Workshop Addendum)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(p.141, p.39, p.15)</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Marketing Business Services and System Support (MBS Team) (Ma. Fides Rivera; Ruby Evangelista and Darryl Castillo for the Workshop Addendum) (BDOI)</w:t>
            </w:r>
          </w:p>
        </w:tc>
        <w:tc>
          <w:tcPr>
            <w:tcW w:type="dxa" w:w="3853"/>
            <w:tcMar>
              <w:top w:w="50" w:type="dxa"/>
              <w:bottom w:w="50" w:type="dxa"/>
              <w:left w:w="90" w:type="dxa"/>
              <w:right w:w="90" w:type="dxa"/>
            </w:tcMar>
          </w:tcPr>
          <w:p>
            <w:pPr>
              <w:pStyle w:val="BDOITable"/>
            </w:pPr>
            <w:r>
              <w:rPr>
                <w:sz w:val="15"/>
              </w:rPr>
              <w:t>The non-functional requirements and the Marketing refund and cash-advance request screens, fields, rules and messages match the business input</w:t>
            </w:r>
          </w:p>
        </w:tc>
        <w:tc>
          <w:tcPr>
            <w:tcW w:type="dxa" w:w="2040"/>
            <w:tcMar>
              <w:top w:w="50" w:type="dxa"/>
              <w:bottom w:w="50" w:type="dxa"/>
              <w:left w:w="90" w:type="dxa"/>
              <w:right w:w="90" w:type="dxa"/>
            </w:tcMar>
          </w:tcPr>
          <w:p>
            <w:pPr>
              <w:pStyle w:val="BDOITable"/>
            </w:pPr>
            <w:r>
              <w:rPr>
                <w:sz w:val="15"/>
              </w:rPr>
              <w:t>Input Provided by (p.141, p.39, p.15)</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Program Manager, Enterprise Services Group - Business Project Services (BPS) (Dan Ace R. Cauton) (BDO Unibank ESG)</w:t>
            </w:r>
          </w:p>
        </w:tc>
        <w:tc>
          <w:tcPr>
            <w:tcW w:type="dxa" w:w="3853"/>
            <w:tcMar>
              <w:top w:w="50" w:type="dxa"/>
              <w:bottom w:w="50" w:type="dxa"/>
              <w:left w:w="90" w:type="dxa"/>
              <w:right w:w="90" w:type="dxa"/>
            </w:tcMar>
            <w:shd w:val="clear" w:color="auto" w:fill="E5F5FF"/>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shd w:val="clear" w:color="auto" w:fill="E5F5FF"/>
          </w:tcPr>
          <w:p>
            <w:pPr>
              <w:pStyle w:val="BDOITable"/>
            </w:pPr>
            <w:r>
              <w:rPr>
                <w:sz w:val="15"/>
              </w:rPr>
              <w:t>Reviewed by (p.141, p.39, p.16)</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Product Owners - Comptrollership - ACSL (Freddie A. Atanque, Jennifer T. Lugtu) (BDOI)</w:t>
            </w:r>
          </w:p>
        </w:tc>
        <w:tc>
          <w:tcPr>
            <w:tcW w:type="dxa" w:w="3853"/>
            <w:tcMar>
              <w:top w:w="50" w:type="dxa"/>
              <w:bottom w:w="50" w:type="dxa"/>
              <w:left w:w="90" w:type="dxa"/>
              <w:right w:w="90" w:type="dxa"/>
            </w:tcMar>
          </w:tcPr>
          <w:p>
            <w:pPr>
              <w:pStyle w:val="BDOITable"/>
            </w:pPr>
            <w:r>
              <w:rPr>
                <w:sz w:val="15"/>
              </w:rPr>
              <w:t>The ACSL screens, the reconciliations, cases, corrections and remittance deductions, and the accounting entries they post</w:t>
            </w:r>
          </w:p>
        </w:tc>
        <w:tc>
          <w:tcPr>
            <w:tcW w:type="dxa" w:w="2040"/>
            <w:tcMar>
              <w:top w:w="50" w:type="dxa"/>
              <w:bottom w:w="50" w:type="dxa"/>
              <w:left w:w="90" w:type="dxa"/>
              <w:right w:w="90" w:type="dxa"/>
            </w:tcMar>
          </w:tcPr>
          <w:p>
            <w:pPr>
              <w:pStyle w:val="BDOITable"/>
            </w:pPr>
            <w:r>
              <w:rPr>
                <w:sz w:val="15"/>
              </w:rPr>
              <w:t>Reviewed by (p.141, p.40); Input Provided by (p.15)</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(Carmela A. Morfe, Yonille D. Guy, Abegail R. Panghulan, Nelda R. Ranchez) (BDOI)</w:t>
            </w:r>
          </w:p>
        </w:tc>
        <w:tc>
          <w:tcPr>
            <w:tcW w:type="dxa" w:w="3853"/>
            <w:tcMar>
              <w:top w:w="50" w:type="dxa"/>
              <w:bottom w:w="50" w:type="dxa"/>
              <w:left w:w="90" w:type="dxa"/>
              <w:right w:w="90" w:type="dxa"/>
            </w:tcMar>
            <w:shd w:val="clear" w:color="auto" w:fill="E5F5FF"/>
          </w:tcPr>
          <w:p>
            <w:pPr>
              <w:pStyle w:val="BDOITable"/>
            </w:pPr>
            <w:r>
              <w:rPr>
                <w:sz w:val="15"/>
              </w:rPr>
              <w:t>Scheduled runs and files, the bank files and forms, user access and menus, the hand-offs inside BIBS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Reviewed by (p.39)</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Marketing Business Services and System Support (Rhommel Mark Galler) (BDOI)</w:t>
            </w:r>
          </w:p>
        </w:tc>
        <w:tc>
          <w:tcPr>
            <w:tcW w:type="dxa" w:w="3853"/>
            <w:tcMar>
              <w:top w:w="50" w:type="dxa"/>
              <w:bottom w:w="50" w:type="dxa"/>
              <w:left w:w="90" w:type="dxa"/>
              <w:right w:w="90" w:type="dxa"/>
            </w:tcMar>
          </w:tcPr>
          <w:p>
            <w:pPr>
              <w:pStyle w:val="BDOITable"/>
            </w:pPr>
            <w:r>
              <w:rPr>
                <w:sz w:val="15"/>
              </w:rPr>
              <w:t>The Workshop Addendum functions for Marketing: the cost centres of the payments and the incentives</w:t>
            </w:r>
          </w:p>
        </w:tc>
        <w:tc>
          <w:tcPr>
            <w:tcW w:type="dxa" w:w="2040"/>
            <w:tcMar>
              <w:top w:w="50" w:type="dxa"/>
              <w:bottom w:w="50" w:type="dxa"/>
              <w:left w:w="90" w:type="dxa"/>
              <w:right w:w="90" w:type="dxa"/>
            </w:tcMar>
          </w:tcPr>
          <w:p>
            <w:pPr>
              <w:pStyle w:val="BDOITable"/>
            </w:pPr>
            <w:r>
              <w:rPr>
                <w:sz w:val="15"/>
              </w:rPr>
              <w:t>Reviewed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 Comptrollership - Disbursement (Rodrigo R. Dela Cruz) (BDOI)</w:t>
            </w:r>
          </w:p>
        </w:tc>
        <w:tc>
          <w:tcPr>
            <w:tcW w:type="dxa" w:w="3853"/>
            <w:tcMar>
              <w:top w:w="50" w:type="dxa"/>
              <w:bottom w:w="50" w:type="dxa"/>
              <w:left w:w="90" w:type="dxa"/>
              <w:right w:w="90" w:type="dxa"/>
            </w:tcMar>
            <w:shd w:val="clear" w:color="auto" w:fill="E5F5FF"/>
          </w:tcPr>
          <w:p>
            <w:pPr>
              <w:pStyle w:val="BDOITable"/>
            </w:pPr>
            <w:r>
              <w:rPr>
                <w:sz w:val="15"/>
              </w:rPr>
              <w:t>The Disbursement screens, fields, rules, messages, documents and bank files</w:t>
            </w:r>
          </w:p>
        </w:tc>
        <w:tc>
          <w:tcPr>
            <w:tcW w:type="dxa" w:w="2040"/>
            <w:tcMar>
              <w:top w:w="50" w:type="dxa"/>
              <w:bottom w:w="50" w:type="dxa"/>
              <w:left w:w="90" w:type="dxa"/>
              <w:right w:w="90" w:type="dxa"/>
            </w:tcMar>
            <w:shd w:val="clear" w:color="auto" w:fill="E5F5FF"/>
          </w:tcPr>
          <w:p>
            <w:pPr>
              <w:pStyle w:val="BDOITable"/>
            </w:pPr>
            <w:r>
              <w:rPr>
                <w:sz w:val="15"/>
              </w:rPr>
              <w:t>Approved by (p.141, p.40); Input Provided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 Comptrollership - FRBS and ACSL (Iris S. Marquez) (BDOI)</w:t>
            </w:r>
          </w:p>
        </w:tc>
        <w:tc>
          <w:tcPr>
            <w:tcW w:type="dxa" w:w="3853"/>
            <w:tcMar>
              <w:top w:w="50" w:type="dxa"/>
              <w:bottom w:w="50" w:type="dxa"/>
              <w:left w:w="90" w:type="dxa"/>
              <w:right w:w="90" w:type="dxa"/>
            </w:tcMar>
          </w:tcPr>
          <w:p>
            <w:pPr>
              <w:pStyle w:val="BDOITable"/>
            </w:pPr>
            <w:r>
              <w:rPr>
                <w:sz w:val="15"/>
              </w:rPr>
              <w:t>The general ledger, closing, bank reconciliation, report pack, service fee and ACSL screens, rules and messages</w:t>
            </w:r>
          </w:p>
        </w:tc>
        <w:tc>
          <w:tcPr>
            <w:tcW w:type="dxa" w:w="2040"/>
            <w:tcMar>
              <w:top w:w="50" w:type="dxa"/>
              <w:bottom w:w="50" w:type="dxa"/>
              <w:left w:w="90" w:type="dxa"/>
              <w:right w:w="90" w:type="dxa"/>
            </w:tcMar>
          </w:tcPr>
          <w:p>
            <w:pPr>
              <w:pStyle w:val="BDOITable"/>
            </w:pPr>
            <w:r>
              <w:rPr>
                <w:sz w:val="15"/>
              </w:rPr>
              <w:t>Approved by (p.141, p.40); Input Provided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 Comptrollership and Operations (Perjelyn Joy R. Gutierrez) (BDOI)</w:t>
            </w:r>
          </w:p>
        </w:tc>
        <w:tc>
          <w:tcPr>
            <w:tcW w:type="dxa" w:w="3853"/>
            <w:tcMar>
              <w:top w:w="50" w:type="dxa"/>
              <w:bottom w:w="50" w:type="dxa"/>
              <w:left w:w="90" w:type="dxa"/>
              <w:right w:w="90" w:type="dxa"/>
            </w:tcMar>
            <w:shd w:val="clear" w:color="auto" w:fill="E5F5FF"/>
          </w:tcPr>
          <w:p>
            <w:pPr>
              <w:pStyle w:val="BDOITable"/>
            </w:pPr>
            <w:r>
              <w:rPr>
                <w:sz w:val="15"/>
              </w:rPr>
              <w:t>The hand-offs with Operations: remittance payments, refund validations, payment reversals, remittance deductions and the regularisation of cancelled vouchers</w:t>
            </w:r>
          </w:p>
        </w:tc>
        <w:tc>
          <w:tcPr>
            <w:tcW w:type="dxa" w:w="2040"/>
            <w:tcMar>
              <w:top w:w="50" w:type="dxa"/>
              <w:bottom w:w="50" w:type="dxa"/>
              <w:left w:w="90" w:type="dxa"/>
              <w:right w:w="90" w:type="dxa"/>
            </w:tcMar>
            <w:shd w:val="clear" w:color="auto" w:fill="E5F5FF"/>
          </w:tcPr>
          <w:p>
            <w:pPr>
              <w:pStyle w:val="BDOITable"/>
            </w:pPr>
            <w:r>
              <w:rPr>
                <w:sz w:val="15"/>
              </w:rPr>
              <w:t>Approved by (p.142)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 Marketing, Processing and Collections, AVP (Shellah Marie C. Miranda) (BDOI)</w:t>
            </w:r>
          </w:p>
        </w:tc>
        <w:tc>
          <w:tcPr>
            <w:tcW w:type="dxa" w:w="3853"/>
            <w:tcMar>
              <w:top w:w="50" w:type="dxa"/>
              <w:bottom w:w="50" w:type="dxa"/>
              <w:left w:w="90" w:type="dxa"/>
              <w:right w:w="90" w:type="dxa"/>
            </w:tcMar>
          </w:tcPr>
          <w:p>
            <w:pPr>
              <w:pStyle w:val="BDOITable"/>
            </w:pPr>
            <w:r>
              <w:rPr>
                <w:sz w:val="15"/>
              </w:rPr>
              <w:t>The Marketing refund, cash-advance and check-cancellation requests</w:t>
            </w:r>
          </w:p>
        </w:tc>
        <w:tc>
          <w:tcPr>
            <w:tcW w:type="dxa" w:w="2040"/>
            <w:tcMar>
              <w:top w:w="50" w:type="dxa"/>
              <w:bottom w:w="50" w:type="dxa"/>
              <w:left w:w="90" w:type="dxa"/>
              <w:right w:w="90" w:type="dxa"/>
            </w:tcMar>
          </w:tcPr>
          <w:p>
            <w:pPr>
              <w:pStyle w:val="BDOITable"/>
            </w:pPr>
            <w:r>
              <w:rPr>
                <w:sz w:val="15"/>
              </w:rPr>
              <w:t>Approved by (p.142, p.40,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Comptrollership, VP (Ronald Allan E. De Leon) (BDOI)</w:t>
            </w:r>
          </w:p>
        </w:tc>
        <w:tc>
          <w:tcPr>
            <w:tcW w:type="dxa" w:w="3853"/>
            <w:tcMar>
              <w:top w:w="50" w:type="dxa"/>
              <w:bottom w:w="50" w:type="dxa"/>
              <w:left w:w="90" w:type="dxa"/>
              <w:right w:w="90" w:type="dxa"/>
            </w:tcMar>
            <w:shd w:val="clear" w:color="auto" w:fill="E5F5FF"/>
          </w:tcPr>
          <w:p>
            <w:pPr>
              <w:pStyle w:val="BDOITable"/>
            </w:pPr>
            <w:r>
              <w:rPr>
                <w:sz w:val="15"/>
              </w:rPr>
              <w:t>Owns the set for Comptrollership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(p.142, p.40,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Institutional Banking, SM and BDO Accounts, FVP (Roderick L. Lim; Head - Retail Marketing on the Workshop Addendum) (BDOI)</w:t>
            </w:r>
          </w:p>
        </w:tc>
        <w:tc>
          <w:tcPr>
            <w:tcW w:type="dxa" w:w="3853"/>
            <w:tcMar>
              <w:top w:w="50" w:type="dxa"/>
              <w:bottom w:w="50" w:type="dxa"/>
              <w:left w:w="90" w:type="dxa"/>
              <w:right w:w="90" w:type="dxa"/>
            </w:tcMar>
          </w:tcPr>
          <w:p>
            <w:pPr>
              <w:pStyle w:val="BDOITable"/>
            </w:pPr>
            <w:r>
              <w:rPr>
                <w:sz w:val="15"/>
              </w:rPr>
              <w:t>The Marketing requests and the service fee of the referrers</w:t>
            </w:r>
          </w:p>
        </w:tc>
        <w:tc>
          <w:tcPr>
            <w:tcW w:type="dxa" w:w="2040"/>
            <w:tcMar>
              <w:top w:w="50" w:type="dxa"/>
              <w:bottom w:w="50" w:type="dxa"/>
              <w:left w:w="90" w:type="dxa"/>
              <w:right w:w="90" w:type="dxa"/>
            </w:tcMar>
          </w:tcPr>
          <w:p>
            <w:pPr>
              <w:pStyle w:val="BDOITable"/>
            </w:pPr>
            <w:r>
              <w:rPr>
                <w:sz w:val="15"/>
              </w:rPr>
              <w:t>Approved by (p.142, p.40, p.16)</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freezes the screens, fields, navigation, actions, business rules, messages, notifications, documents and files, the upload templates and the cross-BRD contract of Accounting, Disbursement, the Marketing requests and ACSL as specified. Configuration values marked "default" (accounting and cost-centre rules, rates, parameters, check series, list entries, report and schedule layouts, form and file layouts, service-fee rates) are not frozen. A change to anything frozen is raised in the Change Management Register with the screen, field, rule or message concerned, assessed with its mandays and its effect on the other BRDs (Disbursement pays the requests of Operations and Marketing and reports back, and ACSL corrects the postings of every module),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BRD-5 Accounting, Disbursement and ACSL</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BRD-05,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