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1238" cy="576000"/>
            <wp:docPr id="1" name="Picture 1"/>
            <wp:cNvGraphicFramePr>
              <a:graphicFrameLocks noChangeAspect="1"/>
            </wp:cNvGraphicFramePr>
            <a:graphic>
              <a:graphicData uri="http://schemas.openxmlformats.org/drawingml/2006/picture">
                <pic:pic>
                  <pic:nvPicPr>
                    <pic:cNvPr id="0" name="iorta-logo.png"/>
                    <pic:cNvPicPr/>
                  </pic:nvPicPr>
                  <pic:blipFill>
                    <a:blip r:embed="rId11"/>
                    <a:stretch>
                      <a:fillRect/>
                    </a:stretch>
                  </pic:blipFill>
                  <pic:spPr>
                    <a:xfrm>
                      <a:off x="0" y="0"/>
                      <a:ext cx="1871238" cy="576000"/>
                    </a:xfrm>
                    <a:prstGeom prst="rect"/>
                  </pic:spPr>
                </pic:pic>
              </a:graphicData>
            </a:graphic>
          </wp:inline>
        </w:drawing>
      </w:r>
    </w:p>
    <w:p>
      <w:r>
        <w:drawing>
          <wp:inline xmlns:a="http://schemas.openxmlformats.org/drawingml/2006/main" xmlns:pic="http://schemas.openxmlformats.org/drawingml/2006/picture">
            <wp:extent cx="6120000" cy="214200"/>
            <wp:docPr id="2" name="Picture 2"/>
            <wp:cNvGraphicFramePr>
              <a:graphicFrameLocks noChangeAspect="1"/>
            </wp:cNvGraphicFramePr>
            <a:graphic>
              <a:graphicData uri="http://schemas.openxmlformats.org/drawingml/2006/picture">
                <pic:pic>
                  <pic:nvPicPr>
                    <pic:cNvPr id="0" name="cover-band.png"/>
                    <pic:cNvPicPr/>
                  </pic:nvPicPr>
                  <pic:blipFill>
                    <a:blip r:embed="rId12"/>
                    <a:stretch>
                      <a:fillRect/>
                    </a:stretch>
                  </pic:blipFill>
                  <pic:spPr>
                    <a:xfrm>
                      <a:off x="0" y="0"/>
                      <a:ext cx="6120000" cy="214200"/>
                    </a:xfrm>
                    <a:prstGeom prst="rect"/>
                  </pic:spPr>
                </pic:pic>
              </a:graphicData>
            </a:graphic>
          </wp:inline>
        </w:drawing>
      </w:r>
    </w:p>
    <w:p>
      <w:pPr>
        <w:spacing w:after="0" w:before="0"/>
      </w:pPr>
      <w:r>
        <w:rPr>
          <w:sz w:val="36"/>
        </w:rPr>
      </w:r>
    </w:p>
    <w:p>
      <w:pPr>
        <w:keepNext w:val="0"/>
        <w:spacing w:after="200"/>
      </w:pPr>
      <w:r>
        <w:rPr>
          <w:b/>
          <w:i w:val="0"/>
          <w:color w:val="E1058C"/>
          <w:sz w:val="52"/>
        </w:rPr>
        <w:t>SalesVerse 2.0</w:t>
        <w:br/>
        <w:t>Security Assessment Report</w:t>
      </w:r>
    </w:p>
    <w:p>
      <w:pPr>
        <w:keepNext w:val="0"/>
        <w:spacing w:after="720"/>
      </w:pPr>
      <w:r>
        <w:rPr>
          <w:b/>
          <w:i w:val="0"/>
          <w:color w:val="F58220"/>
          <w:sz w:val="26"/>
        </w:rPr>
        <w:t>Internal pre-implementation assessment: automated checks, configuration and code review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Prepared for</w:t>
            </w:r>
          </w:p>
        </w:tc>
        <w:tc>
          <w:tcPr>
            <w:tcW w:type="dxa" w:w="6803"/>
          </w:tcPr>
          <w:p>
            <w:pPr>
              <w:spacing w:after="20"/>
            </w:pPr>
            <w:r>
              <w:rPr>
                <w:b w:val="0"/>
                <w:i w:val="0"/>
                <w:sz w:val="18"/>
              </w:rPr>
              <w:t>Insurans Islam Family Takaful Sendirian Berhad</w:t>
            </w:r>
          </w:p>
        </w:tc>
      </w:tr>
      <w:tr>
        <w:trPr>
          <w:cantSplit/>
        </w:trPr>
        <w:tc>
          <w:tcPr>
            <w:tcW w:type="dxa" w:w="2835"/>
            <w:shd w:val="clear" w:color="auto" w:fill="FDF0F7"/>
          </w:tcPr>
          <w:p>
            <w:pPr>
              <w:spacing w:after="20"/>
            </w:pPr>
            <w:r>
              <w:rPr>
                <w:b/>
                <w:i w:val="0"/>
                <w:sz w:val="18"/>
              </w:rPr>
              <w:t>Solution</w:t>
            </w:r>
          </w:p>
        </w:tc>
        <w:tc>
          <w:tcPr>
            <w:tcW w:type="dxa" w:w="6803"/>
          </w:tcPr>
          <w:p>
            <w:pPr>
              <w:spacing w:after="20"/>
            </w:pPr>
            <w:r>
              <w:rPr>
                <w:b w:val="0"/>
                <w:i w:val="0"/>
                <w:sz w:val="18"/>
              </w:rPr>
              <w:t>IIFT Agent/Banca Portal &amp; Back-office</w:t>
            </w:r>
          </w:p>
        </w:tc>
      </w:tr>
      <w:tr>
        <w:trPr>
          <w:cantSplit/>
        </w:trPr>
        <w:tc>
          <w:tcPr>
            <w:tcW w:type="dxa" w:w="2835"/>
            <w:shd w:val="clear" w:color="auto" w:fill="FDF0F7"/>
          </w:tcPr>
          <w:p>
            <w:pPr>
              <w:spacing w:after="20"/>
            </w:pPr>
            <w:r>
              <w:rPr>
                <w:b/>
                <w:i w:val="0"/>
                <w:sz w:val="18"/>
              </w:rPr>
              <w:t>Build assessed</w:t>
            </w:r>
          </w:p>
        </w:tc>
        <w:tc>
          <w:tcPr>
            <w:tcW w:type="dxa" w:w="6803"/>
          </w:tcPr>
          <w:p>
            <w:pPr>
              <w:spacing w:after="20"/>
            </w:pPr>
            <w:r>
              <w:rPr>
                <w:b w:val="0"/>
                <w:i w:val="0"/>
                <w:sz w:val="18"/>
              </w:rPr>
              <w:t>Commit d161514</w:t>
            </w:r>
          </w:p>
        </w:tc>
      </w:tr>
      <w:tr>
        <w:trPr>
          <w:cantSplit/>
        </w:trPr>
        <w:tc>
          <w:tcPr>
            <w:tcW w:type="dxa" w:w="2835"/>
            <w:shd w:val="clear" w:color="auto" w:fill="FDF0F7"/>
          </w:tcPr>
          <w:p>
            <w:pPr>
              <w:spacing w:after="20"/>
            </w:pPr>
            <w:r>
              <w:rPr>
                <w:b/>
                <w:i w:val="0"/>
                <w:sz w:val="18"/>
              </w:rPr>
              <w:t>Checks run</w:t>
            </w:r>
          </w:p>
        </w:tc>
        <w:tc>
          <w:tcPr>
            <w:tcW w:type="dxa" w:w="6803"/>
          </w:tcPr>
          <w:p>
            <w:pPr>
              <w:spacing w:after="20"/>
            </w:pPr>
            <w:r>
              <w:rPr>
                <w:b w:val="0"/>
                <w:i w:val="0"/>
                <w:sz w:val="18"/>
              </w:rPr>
              <w:t>2 October 2026, 14:57 UTC</w:t>
            </w:r>
          </w:p>
        </w:tc>
      </w:tr>
      <w:tr>
        <w:trPr>
          <w:cantSplit/>
        </w:trPr>
        <w:tc>
          <w:tcPr>
            <w:tcW w:type="dxa" w:w="2835"/>
            <w:shd w:val="clear" w:color="auto" w:fill="FDF0F7"/>
          </w:tcPr>
          <w:p>
            <w:pPr>
              <w:spacing w:after="20"/>
            </w:pPr>
            <w:r>
              <w:rPr>
                <w:b/>
                <w:i w:val="0"/>
                <w:sz w:val="18"/>
              </w:rPr>
              <w:t>Assessment type</w:t>
            </w:r>
          </w:p>
        </w:tc>
        <w:tc>
          <w:tcPr>
            <w:tcW w:type="dxa" w:w="6803"/>
          </w:tcPr>
          <w:p>
            <w:pPr>
              <w:spacing w:after="20"/>
            </w:pPr>
            <w:r>
              <w:rPr>
                <w:b w:val="0"/>
                <w:i w:val="0"/>
                <w:sz w:val="18"/>
              </w:rPr>
              <w:t>Internal (iorta TechNXT); not an independent penetration test</w:t>
            </w:r>
          </w:p>
        </w:tc>
      </w:tr>
      <w:tr>
        <w:trPr>
          <w:cantSplit/>
        </w:trPr>
        <w:tc>
          <w:tcPr>
            <w:tcW w:type="dxa" w:w="2835"/>
            <w:shd w:val="clear" w:color="auto" w:fill="FDF0F7"/>
          </w:tcPr>
          <w:p>
            <w:pPr>
              <w:spacing w:after="20"/>
            </w:pPr>
            <w:r>
              <w:rPr>
                <w:b/>
                <w:i w:val="0"/>
                <w:sz w:val="18"/>
              </w:rPr>
              <w:t>Document 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8"/>
        </w:rPr>
      </w:r>
    </w:p>
    <w:p>
      <w:pPr>
        <w:keepNext w:val="0"/>
      </w:pPr>
      <w:r>
        <w:rPr>
          <w:b w:val="0"/>
          <w:i/>
          <w:color w:val="6B6B6B"/>
          <w:sz w:val="16"/>
        </w:rPr>
        <w:t>Commercial-in-Confidence. Prepared by iorta TechNXT for Insurans Islam Family Takaful Sendirian Berhad as part of the proposal for the Agent/Banca Portal and Back-office Solution.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Nature of this assessment</w:t>
            </w:r>
          </w:p>
          <w:p>
            <w:pPr>
              <w:spacing w:after="40"/>
            </w:pPr>
            <w:r>
              <w:rPr>
                <w:b w:val="0"/>
                <w:i w:val="0"/>
                <w:sz w:val="19"/>
              </w:rPr>
              <w:t xml:space="preserve">This is iorta TechNXT's </w:t>
            </w:r>
            <w:r>
              <w:rPr>
                <w:b/>
                <w:i w:val="0"/>
                <w:sz w:val="19"/>
              </w:rPr>
              <w:t>internal</w:t>
            </w:r>
            <w:r>
              <w:rPr>
                <w:b w:val="0"/>
                <w:i w:val="0"/>
                <w:sz w:val="19"/>
              </w:rPr>
              <w:t xml:space="preserve"> assessment of the current build: automated application security checks, plus configuration and code review, in a test environment with demonstration data.</w:t>
            </w:r>
          </w:p>
          <w:p>
            <w:pPr>
              <w:spacing w:after="40"/>
            </w:pPr>
            <w:r>
              <w:rPr>
                <w:b w:val="0"/>
                <w:i w:val="0"/>
                <w:sz w:val="19"/>
              </w:rPr>
              <w:t xml:space="preserve">It is </w:t>
            </w:r>
            <w:r>
              <w:rPr>
                <w:b/>
                <w:i w:val="0"/>
                <w:sz w:val="19"/>
              </w:rPr>
              <w:t>not</w:t>
            </w:r>
            <w:r>
              <w:rPr>
                <w:b w:val="0"/>
                <w:i w:val="0"/>
                <w:sz w:val="19"/>
              </w:rPr>
              <w:t xml:space="preserve"> an independent penetration test. An independent third-party VAPT on IIFT's UAT or production-like environment is scheduled before go-live (DEL-17), followed by remediation and re-test. Section 10 sets out that plan.</w:t>
            </w:r>
          </w:p>
        </w:tc>
      </w:tr>
    </w:tbl>
    <w:p>
      <w:pPr>
        <w:spacing w:after="0" w:before="0"/>
      </w:pPr>
      <w:r>
        <w:rPr>
          <w:sz w:val="12"/>
        </w:rPr>
      </w:r>
    </w:p>
    <w:p>
      <w:pPr>
        <w:pStyle w:val="Heading1"/>
        <w:pageBreakBefore/>
        <w:pBdr>
          <w:bottom w:val="single" w:sz="12" w:space="4" w:color="F58220"/>
        </w:pBdr>
      </w:pPr>
      <w:r>
        <w:t>1. Scope and environment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7371"/>
      </w:tblGrid>
      <w:tr>
        <w:trPr>
          <w:cantSplit/>
          <w:tblHeader/>
        </w:trPr>
        <w:tc>
          <w:tcPr>
            <w:tcW w:type="dxa" w:w="2268"/>
            <w:shd w:val="clear" w:color="auto" w:fill="E1058C"/>
            <w:vAlign w:val="center"/>
          </w:tcPr>
          <w:p>
            <w:pPr>
              <w:spacing w:after="0"/>
            </w:pPr>
            <w:r>
              <w:rPr>
                <w:b/>
                <w:i w:val="0"/>
                <w:color w:val="FFFFFF"/>
                <w:sz w:val="17"/>
              </w:rPr>
              <w:t>Item</w:t>
            </w:r>
          </w:p>
        </w:tc>
        <w:tc>
          <w:tcPr>
            <w:tcW w:type="dxa" w:w="7370"/>
            <w:shd w:val="clear" w:color="auto" w:fill="E1058C"/>
            <w:vAlign w:val="center"/>
          </w:tcPr>
          <w:p>
            <w:pPr>
              <w:spacing w:after="0"/>
            </w:pPr>
            <w:r>
              <w:rPr>
                <w:b/>
                <w:i w:val="0"/>
                <w:color w:val="FFFFFF"/>
                <w:sz w:val="17"/>
              </w:rPr>
              <w:t>Detail</w:t>
            </w:r>
          </w:p>
        </w:tc>
      </w:tr>
      <w:tr>
        <w:trPr>
          <w:cantSplit/>
        </w:trPr>
        <w:tc>
          <w:tcPr>
            <w:tcW w:type="dxa" w:w="2268"/>
            <w:vAlign w:val="top"/>
          </w:tcPr>
          <w:p>
            <w:pPr>
              <w:spacing w:after="20" w:line="252" w:lineRule="auto"/>
            </w:pPr>
            <w:r>
              <w:rPr>
                <w:b/>
                <w:i w:val="0"/>
                <w:sz w:val="17"/>
              </w:rPr>
              <w:t>Build assessed</w:t>
            </w:r>
          </w:p>
        </w:tc>
        <w:tc>
          <w:tcPr>
            <w:tcW w:type="dxa" w:w="7370"/>
            <w:vAlign w:val="top"/>
          </w:tcPr>
          <w:p>
            <w:pPr>
              <w:spacing w:after="20" w:line="252" w:lineRule="auto"/>
            </w:pPr>
            <w:r>
              <w:rPr>
                <w:b w:val="0"/>
                <w:i w:val="0"/>
                <w:sz w:val="17"/>
              </w:rPr>
              <w:t>SalesVerse 2.0, commit d161514</w:t>
            </w:r>
          </w:p>
        </w:tc>
      </w:tr>
      <w:tr>
        <w:trPr>
          <w:cantSplit/>
        </w:trPr>
        <w:tc>
          <w:tcPr>
            <w:tcW w:type="dxa" w:w="2268"/>
            <w:vAlign w:val="top"/>
            <w:shd w:val="clear" w:color="auto" w:fill="FDF0F7"/>
          </w:tcPr>
          <w:p>
            <w:pPr>
              <w:spacing w:after="20" w:line="252" w:lineRule="auto"/>
            </w:pPr>
            <w:r>
              <w:rPr>
                <w:b/>
                <w:i w:val="0"/>
                <w:sz w:val="17"/>
              </w:rPr>
              <w:t>Environment</w:t>
            </w:r>
          </w:p>
        </w:tc>
        <w:tc>
          <w:tcPr>
            <w:tcW w:type="dxa" w:w="7370"/>
            <w:vAlign w:val="top"/>
            <w:shd w:val="clear" w:color="auto" w:fill="FDF0F7"/>
          </w:tcPr>
          <w:p>
            <w:pPr>
              <w:spacing w:after="20" w:line="252" w:lineRule="auto"/>
            </w:pPr>
            <w:r>
              <w:rPr>
                <w:b w:val="0"/>
                <w:i w:val="0"/>
                <w:sz w:val="17"/>
              </w:rPr>
              <w:t>Test environment at http://localhost:3001 with demonstration data; not production</w:t>
            </w:r>
          </w:p>
        </w:tc>
      </w:tr>
      <w:tr>
        <w:trPr>
          <w:cantSplit/>
        </w:trPr>
        <w:tc>
          <w:tcPr>
            <w:tcW w:type="dxa" w:w="2268"/>
            <w:vAlign w:val="top"/>
          </w:tcPr>
          <w:p>
            <w:pPr>
              <w:spacing w:after="20" w:line="252" w:lineRule="auto"/>
            </w:pPr>
            <w:r>
              <w:rPr>
                <w:b/>
                <w:i w:val="0"/>
                <w:sz w:val="17"/>
              </w:rPr>
              <w:t>Automated checks run</w:t>
            </w:r>
          </w:p>
        </w:tc>
        <w:tc>
          <w:tcPr>
            <w:tcW w:type="dxa" w:w="7370"/>
            <w:vAlign w:val="top"/>
          </w:tcPr>
          <w:p>
            <w:pPr>
              <w:spacing w:after="20" w:line="252" w:lineRule="auto"/>
            </w:pPr>
            <w:r>
              <w:rPr>
                <w:b w:val="0"/>
                <w:i w:val="0"/>
                <w:sz w:val="17"/>
              </w:rPr>
              <w:t>2 October 2026, 14:57 UTC</w:t>
            </w:r>
          </w:p>
        </w:tc>
      </w:tr>
      <w:tr>
        <w:trPr>
          <w:cantSplit/>
        </w:trPr>
        <w:tc>
          <w:tcPr>
            <w:tcW w:type="dxa" w:w="2268"/>
            <w:vAlign w:val="top"/>
            <w:shd w:val="clear" w:color="auto" w:fill="FDF0F7"/>
          </w:tcPr>
          <w:p>
            <w:pPr>
              <w:spacing w:after="20" w:line="252" w:lineRule="auto"/>
            </w:pPr>
            <w:r>
              <w:rPr>
                <w:b/>
                <w:i w:val="0"/>
                <w:sz w:val="17"/>
              </w:rPr>
              <w:t>In scope</w:t>
            </w:r>
          </w:p>
        </w:tc>
        <w:tc>
          <w:tcPr>
            <w:tcW w:type="dxa" w:w="7370"/>
            <w:vAlign w:val="top"/>
            <w:shd w:val="clear" w:color="auto" w:fill="FDF0F7"/>
          </w:tcPr>
          <w:p>
            <w:pPr>
              <w:spacing w:after="20" w:line="252" w:lineRule="auto"/>
            </w:pPr>
            <w:r>
              <w:rPr>
                <w:b w:val="0"/>
                <w:i w:val="0"/>
                <w:sz w:val="17"/>
              </w:rPr>
              <w:t>API (NestJS) and its HTTP pipeline, authentication and sessions, authorisation and data scoping, uploads and document storage, field encryption, audit trail, web-tier configuration (nginx), container images, CI pipeline, dependencies</w:t>
            </w:r>
          </w:p>
        </w:tc>
      </w:tr>
      <w:tr>
        <w:trPr>
          <w:cantSplit/>
        </w:trPr>
        <w:tc>
          <w:tcPr>
            <w:tcW w:type="dxa" w:w="2268"/>
            <w:vAlign w:val="top"/>
          </w:tcPr>
          <w:p>
            <w:pPr>
              <w:spacing w:after="20" w:line="252" w:lineRule="auto"/>
            </w:pPr>
            <w:r>
              <w:rPr>
                <w:b/>
                <w:i w:val="0"/>
                <w:sz w:val="17"/>
              </w:rPr>
              <w:t>Out of scope</w:t>
            </w:r>
          </w:p>
        </w:tc>
        <w:tc>
          <w:tcPr>
            <w:tcW w:type="dxa" w:w="7370"/>
            <w:vAlign w:val="top"/>
          </w:tcPr>
          <w:p>
            <w:pPr>
              <w:spacing w:after="20" w:line="252" w:lineRule="auto"/>
            </w:pPr>
            <w:r>
              <w:rPr>
                <w:b w:val="0"/>
                <w:i w:val="0"/>
                <w:sz w:val="17"/>
              </w:rPr>
              <w:t>The hosting infrastructure and network (IIFT/IITH data centre under Option A; the cloud estate operated by iorta's managed services under Option B), IIFT systems behind the integration adapters, denial-of-service, social engineering, physical security; these belong to the independent VAPT and to the infrastructure owner's own controls</w:t>
            </w:r>
          </w:p>
        </w:tc>
      </w:tr>
    </w:tbl>
    <w:p>
      <w:pPr>
        <w:pStyle w:val="Caption"/>
        <w:jc w:val="center"/>
      </w:pPr>
      <w:r>
        <w:rPr>
          <w:b w:val="0"/>
          <w:i w:val="0"/>
        </w:rPr>
        <w:t>Table 1: Scope</w:t>
      </w:r>
    </w:p>
    <w:p>
      <w:pPr>
        <w:pStyle w:val="Heading1"/>
        <w:pageBreakBefore/>
        <w:pBdr>
          <w:bottom w:val="single" w:sz="12" w:space="4" w:color="F58220"/>
        </w:pBdr>
      </w:pPr>
      <w:r>
        <w:t>2. Method</w:t>
      </w:r>
    </w:p>
    <w:p>
      <w:pPr>
        <w:keepNext w:val="0"/>
      </w:pPr>
      <w:r>
        <w:rPr>
          <w:b w:val="0"/>
          <w:i w:val="0"/>
        </w:rPr>
        <w:t>The assessment follows the OWASP Top 10 (2021) and the OWASP Application Security Verification Standard (ASVS) Level 2 areas for authentication, session management, access control, input validation, cryptography at rest, error handling and logging, data protection, file handling and configuration.</w:t>
      </w:r>
    </w:p>
    <w:p>
      <w:pPr>
        <w:keepNext w:val="0"/>
      </w:pPr>
      <w:r>
        <w:rPr>
          <w:b w:val="0"/>
          <w:i w:val="0"/>
        </w:rPr>
        <w:t>Automated checks are run by tools/security/security-checks.mjs against a freshly built, non-production instance loaded with demonstration data. Each check signs in as the relevant demonstration user, sends a crafted request (wrong credentials, another agency's identifiers, injection payloads, executable uploads, missing CSRF tokens and so on) and records what was sent, what was expected and what came back. Because the script changes data and triggers lockouts and rate limits, it must never run against production.</w:t>
      </w:r>
    </w:p>
    <w:p>
      <w:pPr>
        <w:keepNext w:val="0"/>
      </w:pPr>
      <w:r>
        <w:rPr>
          <w:b w:val="0"/>
          <w:i w:val="0"/>
        </w:rPr>
        <w:t>Code and configuration review covered: the HTTP pipeline (app.setup.ts), the authentication module and guards, the security helpers in common/security, field encryption, the file inspector and document storage, the audit trigger in the database migration, start-up configuration and production guards, the web-tier nginx configuration, both Dockerfiles, the compose deployment and the CI pipeline.</w:t>
      </w:r>
    </w:p>
    <w:p>
      <w:pPr>
        <w:pStyle w:val="Heading1"/>
        <w:pageBreakBefore/>
        <w:pBdr>
          <w:bottom w:val="single" w:sz="12" w:space="4" w:color="F58220"/>
        </w:pBdr>
      </w:pPr>
      <w:r>
        <w:t>3. Summary of results</w:t>
      </w:r>
    </w:p>
    <w:p>
      <w:pPr>
        <w:keepNext w:val="0"/>
      </w:pPr>
      <w:r>
        <w:rPr>
          <w:b w:val="0"/>
          <w:i w:val="0"/>
        </w:rPr>
        <w:t>29 of 29 automated checks passed. npm audit reports 0 known vulnerabilities. No Critical or High finding is open from this assessment. The residual risks in section 8 are improvements to be made during implementation, mostly in the hosting environment, together with the independent VAPT.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793"/>
        <w:gridCol w:w="850"/>
        <w:gridCol w:w="1474"/>
        <w:gridCol w:w="3912"/>
      </w:tblGrid>
      <w:tr>
        <w:trPr>
          <w:cantSplit/>
          <w:tblHeader/>
        </w:trPr>
        <w:tc>
          <w:tcPr>
            <w:tcW w:type="dxa" w:w="2608"/>
            <w:shd w:val="clear" w:color="auto" w:fill="E1058C"/>
            <w:vAlign w:val="center"/>
          </w:tcPr>
          <w:p>
            <w:pPr>
              <w:spacing w:after="0"/>
            </w:pPr>
            <w:r>
              <w:rPr>
                <w:b/>
                <w:i w:val="0"/>
                <w:color w:val="FFFFFF"/>
                <w:sz w:val="16"/>
              </w:rPr>
              <w:t>OWASP Top 10 2021</w:t>
            </w:r>
          </w:p>
        </w:tc>
        <w:tc>
          <w:tcPr>
            <w:tcW w:type="dxa" w:w="794"/>
            <w:shd w:val="clear" w:color="auto" w:fill="E1058C"/>
            <w:vAlign w:val="center"/>
          </w:tcPr>
          <w:p>
            <w:pPr>
              <w:spacing w:after="0"/>
            </w:pPr>
            <w:r>
              <w:rPr>
                <w:b/>
                <w:i w:val="0"/>
                <w:color w:val="FFFFFF"/>
                <w:sz w:val="16"/>
              </w:rPr>
              <w:t>Checks</w:t>
            </w:r>
          </w:p>
        </w:tc>
        <w:tc>
          <w:tcPr>
            <w:tcW w:type="dxa" w:w="850"/>
            <w:shd w:val="clear" w:color="auto" w:fill="E1058C"/>
            <w:vAlign w:val="center"/>
          </w:tcPr>
          <w:p>
            <w:pPr>
              <w:spacing w:after="0"/>
            </w:pPr>
            <w:r>
              <w:rPr>
                <w:b/>
                <w:i w:val="0"/>
                <w:color w:val="FFFFFF"/>
                <w:sz w:val="16"/>
              </w:rPr>
              <w:t>Passed</w:t>
            </w:r>
          </w:p>
        </w:tc>
        <w:tc>
          <w:tcPr>
            <w:tcW w:type="dxa" w:w="1474"/>
            <w:shd w:val="clear" w:color="auto" w:fill="E1058C"/>
            <w:vAlign w:val="center"/>
          </w:tcPr>
          <w:p>
            <w:pPr>
              <w:spacing w:after="0"/>
            </w:pPr>
            <w:r>
              <w:rPr>
                <w:b/>
                <w:i w:val="0"/>
                <w:color w:val="FFFFFF"/>
                <w:sz w:val="16"/>
              </w:rPr>
              <w:t>Result</w:t>
            </w:r>
          </w:p>
        </w:tc>
        <w:tc>
          <w:tcPr>
            <w:tcW w:type="dxa" w:w="3912"/>
            <w:shd w:val="clear" w:color="auto" w:fill="E1058C"/>
            <w:vAlign w:val="center"/>
          </w:tcPr>
          <w:p>
            <w:pPr>
              <w:spacing w:after="0"/>
            </w:pPr>
            <w:r>
              <w:rPr>
                <w:b/>
                <w:i w:val="0"/>
                <w:color w:val="FFFFFF"/>
                <w:sz w:val="16"/>
              </w:rPr>
              <w:t>Other evidence</w:t>
            </w:r>
          </w:p>
        </w:tc>
      </w:tr>
      <w:tr>
        <w:trPr>
          <w:cantSplit/>
        </w:trPr>
        <w:tc>
          <w:tcPr>
            <w:tcW w:type="dxa" w:w="2608"/>
            <w:vAlign w:val="top"/>
          </w:tcPr>
          <w:p>
            <w:pPr>
              <w:spacing w:after="20" w:line="252" w:lineRule="auto"/>
            </w:pPr>
            <w:r>
              <w:rPr>
                <w:b/>
                <w:i w:val="0"/>
                <w:sz w:val="16"/>
              </w:rPr>
              <w:t>A01 Broken Access Control</w:t>
            </w:r>
          </w:p>
        </w:tc>
        <w:tc>
          <w:tcPr>
            <w:tcW w:type="dxa" w:w="794"/>
            <w:vAlign w:val="top"/>
          </w:tcPr>
          <w:p>
            <w:pPr>
              <w:spacing w:after="20" w:line="252" w:lineRule="auto"/>
              <w:jc w:val="center"/>
            </w:pPr>
            <w:r>
              <w:rPr>
                <w:b w:val="0"/>
                <w:i w:val="0"/>
                <w:sz w:val="16"/>
              </w:rPr>
              <w:t>8</w:t>
            </w:r>
          </w:p>
        </w:tc>
        <w:tc>
          <w:tcPr>
            <w:tcW w:type="dxa" w:w="850"/>
            <w:vAlign w:val="top"/>
          </w:tcPr>
          <w:p>
            <w:pPr>
              <w:spacing w:after="20" w:line="252" w:lineRule="auto"/>
              <w:jc w:val="center"/>
            </w:pPr>
            <w:r>
              <w:rPr>
                <w:b w:val="0"/>
                <w:i w:val="0"/>
                <w:sz w:val="16"/>
              </w:rPr>
              <w:t>8</w:t>
            </w:r>
          </w:p>
        </w:tc>
        <w:tc>
          <w:tcPr>
            <w:tcW w:type="dxa" w:w="1474"/>
            <w:vAlign w:val="top"/>
          </w:tcPr>
          <w:p>
            <w:pPr>
              <w:spacing w:after="20" w:line="252" w:lineRule="auto"/>
            </w:pPr>
            <w:r>
              <w:rPr>
                <w:b w:val="0"/>
                <w:i w:val="0"/>
                <w:sz w:val="16"/>
              </w:rPr>
              <w:t>Pass</w:t>
            </w:r>
          </w:p>
        </w:tc>
        <w:tc>
          <w:tcPr>
            <w:tcW w:type="dxa" w:w="3912"/>
            <w:vAlign w:val="top"/>
          </w:tcPr>
          <w:p>
            <w:pPr>
              <w:spacing w:after="20" w:line="252" w:lineRule="auto"/>
            </w:pPr>
          </w:p>
        </w:tc>
      </w:tr>
      <w:tr>
        <w:trPr>
          <w:cantSplit/>
        </w:trPr>
        <w:tc>
          <w:tcPr>
            <w:tcW w:type="dxa" w:w="2608"/>
            <w:vAlign w:val="top"/>
            <w:shd w:val="clear" w:color="auto" w:fill="FDF0F7"/>
          </w:tcPr>
          <w:p>
            <w:pPr>
              <w:spacing w:after="20" w:line="252" w:lineRule="auto"/>
            </w:pPr>
            <w:r>
              <w:rPr>
                <w:b/>
                <w:i w:val="0"/>
                <w:sz w:val="16"/>
              </w:rPr>
              <w:t>A02 Cryptographic Failures</w:t>
            </w:r>
          </w:p>
        </w:tc>
        <w:tc>
          <w:tcPr>
            <w:tcW w:type="dxa" w:w="794"/>
            <w:vAlign w:val="top"/>
            <w:shd w:val="clear" w:color="auto" w:fill="FDF0F7"/>
          </w:tcPr>
          <w:p>
            <w:pPr>
              <w:spacing w:after="20" w:line="252" w:lineRule="auto"/>
              <w:jc w:val="center"/>
            </w:pPr>
            <w:r>
              <w:rPr>
                <w:b w:val="0"/>
                <w:i w:val="0"/>
                <w:sz w:val="16"/>
              </w:rPr>
              <w:t>2</w:t>
            </w:r>
          </w:p>
        </w:tc>
        <w:tc>
          <w:tcPr>
            <w:tcW w:type="dxa" w:w="850"/>
            <w:vAlign w:val="top"/>
            <w:shd w:val="clear" w:color="auto" w:fill="FDF0F7"/>
          </w:tcPr>
          <w:p>
            <w:pPr>
              <w:spacing w:after="20" w:line="252" w:lineRule="auto"/>
              <w:jc w:val="center"/>
            </w:pPr>
            <w:r>
              <w:rPr>
                <w:b w:val="0"/>
                <w:i w:val="0"/>
                <w:sz w:val="16"/>
              </w:rPr>
              <w:t>2</w:t>
            </w:r>
          </w:p>
        </w:tc>
        <w:tc>
          <w:tcPr>
            <w:tcW w:type="dxa" w:w="1474"/>
            <w:vAlign w:val="top"/>
            <w:shd w:val="clear" w:color="auto" w:fill="FDF0F7"/>
          </w:tcPr>
          <w:p>
            <w:pPr>
              <w:spacing w:after="20" w:line="252" w:lineRule="auto"/>
            </w:pPr>
            <w:r>
              <w:rPr>
                <w:b w:val="0"/>
                <w:i w:val="0"/>
                <w:sz w:val="16"/>
              </w:rPr>
              <w:t>Pass</w:t>
            </w:r>
          </w:p>
        </w:tc>
        <w:tc>
          <w:tcPr>
            <w:tcW w:type="dxa" w:w="3912"/>
            <w:vAlign w:val="top"/>
            <w:shd w:val="clear" w:color="auto" w:fill="FDF0F7"/>
          </w:tcPr>
          <w:p>
            <w:pPr>
              <w:spacing w:after="20" w:line="252" w:lineRule="auto"/>
            </w:pPr>
            <w:r>
              <w:rPr>
                <w:b w:val="0"/>
                <w:i w:val="0"/>
                <w:sz w:val="16"/>
              </w:rPr>
              <w:t>Code review: AES-256-GCM field and document encryption; Argon2id password hashing</w:t>
            </w:r>
          </w:p>
        </w:tc>
      </w:tr>
      <w:tr>
        <w:trPr>
          <w:cantSplit/>
        </w:trPr>
        <w:tc>
          <w:tcPr>
            <w:tcW w:type="dxa" w:w="2608"/>
            <w:vAlign w:val="top"/>
          </w:tcPr>
          <w:p>
            <w:pPr>
              <w:spacing w:after="20" w:line="252" w:lineRule="auto"/>
            </w:pPr>
            <w:r>
              <w:rPr>
                <w:b/>
                <w:i w:val="0"/>
                <w:sz w:val="16"/>
              </w:rPr>
              <w:t>A03 Injection</w:t>
            </w:r>
          </w:p>
        </w:tc>
        <w:tc>
          <w:tcPr>
            <w:tcW w:type="dxa" w:w="794"/>
            <w:vAlign w:val="top"/>
          </w:tcPr>
          <w:p>
            <w:pPr>
              <w:spacing w:after="20" w:line="252" w:lineRule="auto"/>
              <w:jc w:val="center"/>
            </w:pPr>
            <w:r>
              <w:rPr>
                <w:b w:val="0"/>
                <w:i w:val="0"/>
                <w:sz w:val="16"/>
              </w:rPr>
              <w:t>3</w:t>
            </w:r>
          </w:p>
        </w:tc>
        <w:tc>
          <w:tcPr>
            <w:tcW w:type="dxa" w:w="850"/>
            <w:vAlign w:val="top"/>
          </w:tcPr>
          <w:p>
            <w:pPr>
              <w:spacing w:after="20" w:line="252" w:lineRule="auto"/>
              <w:jc w:val="center"/>
            </w:pPr>
            <w:r>
              <w:rPr>
                <w:b w:val="0"/>
                <w:i w:val="0"/>
                <w:sz w:val="16"/>
              </w:rPr>
              <w:t>3</w:t>
            </w:r>
          </w:p>
        </w:tc>
        <w:tc>
          <w:tcPr>
            <w:tcW w:type="dxa" w:w="1474"/>
            <w:vAlign w:val="top"/>
          </w:tcPr>
          <w:p>
            <w:pPr>
              <w:spacing w:after="20" w:line="252" w:lineRule="auto"/>
            </w:pPr>
            <w:r>
              <w:rPr>
                <w:b w:val="0"/>
                <w:i w:val="0"/>
                <w:sz w:val="16"/>
              </w:rPr>
              <w:t>Pass</w:t>
            </w:r>
          </w:p>
        </w:tc>
        <w:tc>
          <w:tcPr>
            <w:tcW w:type="dxa" w:w="3912"/>
            <w:vAlign w:val="top"/>
          </w:tcPr>
          <w:p>
            <w:pPr>
              <w:spacing w:after="20" w:line="252" w:lineRule="auto"/>
            </w:pPr>
          </w:p>
        </w:tc>
      </w:tr>
      <w:tr>
        <w:trPr>
          <w:cantSplit/>
        </w:trPr>
        <w:tc>
          <w:tcPr>
            <w:tcW w:type="dxa" w:w="2608"/>
            <w:vAlign w:val="top"/>
            <w:shd w:val="clear" w:color="auto" w:fill="FDF0F7"/>
          </w:tcPr>
          <w:p>
            <w:pPr>
              <w:spacing w:after="20" w:line="252" w:lineRule="auto"/>
            </w:pPr>
            <w:r>
              <w:rPr>
                <w:b/>
                <w:i w:val="0"/>
                <w:sz w:val="16"/>
              </w:rPr>
              <w:t>A04 Insecure Design</w:t>
            </w:r>
          </w:p>
        </w:tc>
        <w:tc>
          <w:tcPr>
            <w:tcW w:type="dxa" w:w="794"/>
            <w:vAlign w:val="top"/>
            <w:shd w:val="clear" w:color="auto" w:fill="FDF0F7"/>
          </w:tcPr>
          <w:p>
            <w:pPr>
              <w:spacing w:after="20" w:line="252" w:lineRule="auto"/>
              <w:jc w:val="center"/>
            </w:pPr>
            <w:r>
              <w:rPr>
                <w:b w:val="0"/>
                <w:i w:val="0"/>
                <w:sz w:val="16"/>
              </w:rPr>
              <w:t>2</w:t>
            </w:r>
          </w:p>
        </w:tc>
        <w:tc>
          <w:tcPr>
            <w:tcW w:type="dxa" w:w="850"/>
            <w:vAlign w:val="top"/>
            <w:shd w:val="clear" w:color="auto" w:fill="FDF0F7"/>
          </w:tcPr>
          <w:p>
            <w:pPr>
              <w:spacing w:after="20" w:line="252" w:lineRule="auto"/>
              <w:jc w:val="center"/>
            </w:pPr>
            <w:r>
              <w:rPr>
                <w:b w:val="0"/>
                <w:i w:val="0"/>
                <w:sz w:val="16"/>
              </w:rPr>
              <w:t>2</w:t>
            </w:r>
          </w:p>
        </w:tc>
        <w:tc>
          <w:tcPr>
            <w:tcW w:type="dxa" w:w="1474"/>
            <w:vAlign w:val="top"/>
            <w:shd w:val="clear" w:color="auto" w:fill="FDF0F7"/>
          </w:tcPr>
          <w:p>
            <w:pPr>
              <w:spacing w:after="20" w:line="252" w:lineRule="auto"/>
            </w:pPr>
            <w:r>
              <w:rPr>
                <w:b w:val="0"/>
                <w:i w:val="0"/>
                <w:sz w:val="16"/>
              </w:rPr>
              <w:t>Pass</w:t>
            </w:r>
          </w:p>
        </w:tc>
        <w:tc>
          <w:tcPr>
            <w:tcW w:type="dxa" w:w="3912"/>
            <w:vAlign w:val="top"/>
            <w:shd w:val="clear" w:color="auto" w:fill="FDF0F7"/>
          </w:tcPr>
          <w:p>
            <w:pPr>
              <w:spacing w:after="20" w:line="252" w:lineRule="auto"/>
            </w:pPr>
            <w:r>
              <w:rPr>
                <w:b w:val="0"/>
                <w:i w:val="0"/>
                <w:sz w:val="16"/>
              </w:rPr>
              <w:t>Design review: maker-checker enforced by the API; server-side business rules</w:t>
            </w:r>
          </w:p>
        </w:tc>
      </w:tr>
      <w:tr>
        <w:trPr>
          <w:cantSplit/>
        </w:trPr>
        <w:tc>
          <w:tcPr>
            <w:tcW w:type="dxa" w:w="2608"/>
            <w:vAlign w:val="top"/>
          </w:tcPr>
          <w:p>
            <w:pPr>
              <w:spacing w:after="20" w:line="252" w:lineRule="auto"/>
            </w:pPr>
            <w:r>
              <w:rPr>
                <w:b/>
                <w:i w:val="0"/>
                <w:sz w:val="16"/>
              </w:rPr>
              <w:t>A05 Security Misconfiguration</w:t>
            </w:r>
          </w:p>
        </w:tc>
        <w:tc>
          <w:tcPr>
            <w:tcW w:type="dxa" w:w="794"/>
            <w:vAlign w:val="top"/>
          </w:tcPr>
          <w:p>
            <w:pPr>
              <w:spacing w:after="20" w:line="252" w:lineRule="auto"/>
              <w:jc w:val="center"/>
            </w:pPr>
            <w:r>
              <w:rPr>
                <w:b w:val="0"/>
                <w:i w:val="0"/>
                <w:sz w:val="16"/>
              </w:rPr>
              <w:t>3</w:t>
            </w:r>
          </w:p>
        </w:tc>
        <w:tc>
          <w:tcPr>
            <w:tcW w:type="dxa" w:w="850"/>
            <w:vAlign w:val="top"/>
          </w:tcPr>
          <w:p>
            <w:pPr>
              <w:spacing w:after="20" w:line="252" w:lineRule="auto"/>
              <w:jc w:val="center"/>
            </w:pPr>
            <w:r>
              <w:rPr>
                <w:b w:val="0"/>
                <w:i w:val="0"/>
                <w:sz w:val="16"/>
              </w:rPr>
              <w:t>3</w:t>
            </w:r>
          </w:p>
        </w:tc>
        <w:tc>
          <w:tcPr>
            <w:tcW w:type="dxa" w:w="1474"/>
            <w:vAlign w:val="top"/>
          </w:tcPr>
          <w:p>
            <w:pPr>
              <w:spacing w:after="20" w:line="252" w:lineRule="auto"/>
            </w:pPr>
            <w:r>
              <w:rPr>
                <w:b w:val="0"/>
                <w:i w:val="0"/>
                <w:sz w:val="16"/>
              </w:rPr>
              <w:t>Pass</w:t>
            </w:r>
          </w:p>
        </w:tc>
        <w:tc>
          <w:tcPr>
            <w:tcW w:type="dxa" w:w="3912"/>
            <w:vAlign w:val="top"/>
          </w:tcPr>
          <w:p>
            <w:pPr>
              <w:spacing w:after="20" w:line="252" w:lineRule="auto"/>
            </w:pPr>
            <w:r>
              <w:rPr>
                <w:b w:val="0"/>
                <w:i w:val="0"/>
                <w:sz w:val="16"/>
              </w:rPr>
              <w:t>Configuration review: production guards, web-tier headers, non-root containers</w:t>
            </w:r>
          </w:p>
        </w:tc>
      </w:tr>
      <w:tr>
        <w:trPr>
          <w:cantSplit/>
        </w:trPr>
        <w:tc>
          <w:tcPr>
            <w:tcW w:type="dxa" w:w="2608"/>
            <w:vAlign w:val="top"/>
            <w:shd w:val="clear" w:color="auto" w:fill="FDF0F7"/>
          </w:tcPr>
          <w:p>
            <w:pPr>
              <w:spacing w:after="20" w:line="252" w:lineRule="auto"/>
            </w:pPr>
            <w:r>
              <w:rPr>
                <w:b/>
                <w:i w:val="0"/>
                <w:sz w:val="16"/>
              </w:rPr>
              <w:t>A06 Vulnerable and Outdated Components</w:t>
            </w:r>
          </w:p>
        </w:tc>
        <w:tc>
          <w:tcPr>
            <w:tcW w:type="dxa" w:w="794"/>
            <w:vAlign w:val="top"/>
            <w:shd w:val="clear" w:color="auto" w:fill="FDF0F7"/>
          </w:tcPr>
          <w:p>
            <w:pPr>
              <w:spacing w:after="20" w:line="252" w:lineRule="auto"/>
              <w:jc w:val="center"/>
            </w:pPr>
            <w:r>
              <w:rPr>
                <w:b w:val="0"/>
                <w:i w:val="0"/>
                <w:sz w:val="16"/>
              </w:rPr>
              <w:t>0</w:t>
            </w:r>
          </w:p>
        </w:tc>
        <w:tc>
          <w:tcPr>
            <w:tcW w:type="dxa" w:w="850"/>
            <w:vAlign w:val="top"/>
            <w:shd w:val="clear" w:color="auto" w:fill="FDF0F7"/>
          </w:tcPr>
          <w:p>
            <w:pPr>
              <w:spacing w:after="20" w:line="252" w:lineRule="auto"/>
              <w:jc w:val="center"/>
            </w:pPr>
            <w:r>
              <w:rPr>
                <w:b w:val="0"/>
                <w:i w:val="0"/>
                <w:sz w:val="16"/>
              </w:rPr>
              <w:t>0</w:t>
            </w:r>
          </w:p>
        </w:tc>
        <w:tc>
          <w:tcPr>
            <w:tcW w:type="dxa" w:w="1474"/>
            <w:vAlign w:val="top"/>
            <w:shd w:val="clear" w:color="auto" w:fill="FDF0F7"/>
          </w:tcPr>
          <w:p>
            <w:pPr>
              <w:spacing w:after="20" w:line="252" w:lineRule="auto"/>
            </w:pPr>
            <w:r>
              <w:rPr>
                <w:b w:val="0"/>
                <w:i w:val="0"/>
                <w:sz w:val="16"/>
              </w:rPr>
              <w:t>No automated check</w:t>
            </w:r>
          </w:p>
        </w:tc>
        <w:tc>
          <w:tcPr>
            <w:tcW w:type="dxa" w:w="3912"/>
            <w:vAlign w:val="top"/>
            <w:shd w:val="clear" w:color="auto" w:fill="FDF0F7"/>
          </w:tcPr>
          <w:p>
            <w:pPr>
              <w:spacing w:after="20" w:line="252" w:lineRule="auto"/>
            </w:pPr>
            <w:r>
              <w:rPr>
                <w:b w:val="0"/>
                <w:i w:val="0"/>
                <w:sz w:val="16"/>
              </w:rPr>
              <w:t>npm audit (0 findings); container image scan and CycloneDX SBOM in CI</w:t>
            </w:r>
          </w:p>
        </w:tc>
      </w:tr>
      <w:tr>
        <w:trPr>
          <w:cantSplit/>
        </w:trPr>
        <w:tc>
          <w:tcPr>
            <w:tcW w:type="dxa" w:w="2608"/>
            <w:vAlign w:val="top"/>
          </w:tcPr>
          <w:p>
            <w:pPr>
              <w:spacing w:after="20" w:line="252" w:lineRule="auto"/>
            </w:pPr>
            <w:r>
              <w:rPr>
                <w:b/>
                <w:i w:val="0"/>
                <w:sz w:val="16"/>
              </w:rPr>
              <w:t>A07 Identification and Authentication Failures</w:t>
            </w:r>
          </w:p>
        </w:tc>
        <w:tc>
          <w:tcPr>
            <w:tcW w:type="dxa" w:w="794"/>
            <w:vAlign w:val="top"/>
          </w:tcPr>
          <w:p>
            <w:pPr>
              <w:spacing w:after="20" w:line="252" w:lineRule="auto"/>
              <w:jc w:val="center"/>
            </w:pPr>
            <w:r>
              <w:rPr>
                <w:b w:val="0"/>
                <w:i w:val="0"/>
                <w:sz w:val="16"/>
              </w:rPr>
              <w:t>6</w:t>
            </w:r>
          </w:p>
        </w:tc>
        <w:tc>
          <w:tcPr>
            <w:tcW w:type="dxa" w:w="850"/>
            <w:vAlign w:val="top"/>
          </w:tcPr>
          <w:p>
            <w:pPr>
              <w:spacing w:after="20" w:line="252" w:lineRule="auto"/>
              <w:jc w:val="center"/>
            </w:pPr>
            <w:r>
              <w:rPr>
                <w:b w:val="0"/>
                <w:i w:val="0"/>
                <w:sz w:val="16"/>
              </w:rPr>
              <w:t>6</w:t>
            </w:r>
          </w:p>
        </w:tc>
        <w:tc>
          <w:tcPr>
            <w:tcW w:type="dxa" w:w="1474"/>
            <w:vAlign w:val="top"/>
          </w:tcPr>
          <w:p>
            <w:pPr>
              <w:spacing w:after="20" w:line="252" w:lineRule="auto"/>
            </w:pPr>
            <w:r>
              <w:rPr>
                <w:b w:val="0"/>
                <w:i w:val="0"/>
                <w:sz w:val="16"/>
              </w:rPr>
              <w:t>Pass</w:t>
            </w:r>
          </w:p>
        </w:tc>
        <w:tc>
          <w:tcPr>
            <w:tcW w:type="dxa" w:w="3912"/>
            <w:vAlign w:val="top"/>
          </w:tcPr>
          <w:p>
            <w:pPr>
              <w:spacing w:after="20" w:line="252" w:lineRule="auto"/>
            </w:pPr>
          </w:p>
        </w:tc>
      </w:tr>
      <w:tr>
        <w:trPr>
          <w:cantSplit/>
        </w:trPr>
        <w:tc>
          <w:tcPr>
            <w:tcW w:type="dxa" w:w="2608"/>
            <w:vAlign w:val="top"/>
            <w:shd w:val="clear" w:color="auto" w:fill="FDF0F7"/>
          </w:tcPr>
          <w:p>
            <w:pPr>
              <w:spacing w:after="20" w:line="252" w:lineRule="auto"/>
            </w:pPr>
            <w:r>
              <w:rPr>
                <w:b/>
                <w:i w:val="0"/>
                <w:sz w:val="16"/>
              </w:rPr>
              <w:t>A08 Software and Data Integrity Failures</w:t>
            </w:r>
          </w:p>
        </w:tc>
        <w:tc>
          <w:tcPr>
            <w:tcW w:type="dxa" w:w="794"/>
            <w:vAlign w:val="top"/>
            <w:shd w:val="clear" w:color="auto" w:fill="FDF0F7"/>
          </w:tcPr>
          <w:p>
            <w:pPr>
              <w:spacing w:after="20" w:line="252" w:lineRule="auto"/>
              <w:jc w:val="center"/>
            </w:pPr>
            <w:r>
              <w:rPr>
                <w:b w:val="0"/>
                <w:i w:val="0"/>
                <w:sz w:val="16"/>
              </w:rPr>
              <w:t>3</w:t>
            </w:r>
          </w:p>
        </w:tc>
        <w:tc>
          <w:tcPr>
            <w:tcW w:type="dxa" w:w="850"/>
            <w:vAlign w:val="top"/>
            <w:shd w:val="clear" w:color="auto" w:fill="FDF0F7"/>
          </w:tcPr>
          <w:p>
            <w:pPr>
              <w:spacing w:after="20" w:line="252" w:lineRule="auto"/>
              <w:jc w:val="center"/>
            </w:pPr>
            <w:r>
              <w:rPr>
                <w:b w:val="0"/>
                <w:i w:val="0"/>
                <w:sz w:val="16"/>
              </w:rPr>
              <w:t>3</w:t>
            </w:r>
          </w:p>
        </w:tc>
        <w:tc>
          <w:tcPr>
            <w:tcW w:type="dxa" w:w="1474"/>
            <w:vAlign w:val="top"/>
            <w:shd w:val="clear" w:color="auto" w:fill="FDF0F7"/>
          </w:tcPr>
          <w:p>
            <w:pPr>
              <w:spacing w:after="20" w:line="252" w:lineRule="auto"/>
            </w:pPr>
            <w:r>
              <w:rPr>
                <w:b w:val="0"/>
                <w:i w:val="0"/>
                <w:sz w:val="16"/>
              </w:rPr>
              <w:t>Pass</w:t>
            </w:r>
          </w:p>
        </w:tc>
        <w:tc>
          <w:tcPr>
            <w:tcW w:type="dxa" w:w="3912"/>
            <w:vAlign w:val="top"/>
            <w:shd w:val="clear" w:color="auto" w:fill="FDF0F7"/>
          </w:tcPr>
          <w:p>
            <w:pPr>
              <w:spacing w:after="20" w:line="252" w:lineRule="auto"/>
            </w:pPr>
            <w:r>
              <w:rPr>
                <w:b w:val="0"/>
                <w:i w:val="0"/>
                <w:sz w:val="16"/>
              </w:rPr>
              <w:t>CI pipeline with locked dependencies (npm ci), CodeQL and secret scanning; signed release images planned</w:t>
            </w:r>
          </w:p>
        </w:tc>
      </w:tr>
      <w:tr>
        <w:trPr>
          <w:cantSplit/>
        </w:trPr>
        <w:tc>
          <w:tcPr>
            <w:tcW w:type="dxa" w:w="2608"/>
            <w:vAlign w:val="top"/>
          </w:tcPr>
          <w:p>
            <w:pPr>
              <w:spacing w:after="20" w:line="252" w:lineRule="auto"/>
            </w:pPr>
            <w:r>
              <w:rPr>
                <w:b/>
                <w:i w:val="0"/>
                <w:sz w:val="16"/>
              </w:rPr>
              <w:t>A09 Security Logging and Monitoring Failures</w:t>
            </w:r>
          </w:p>
        </w:tc>
        <w:tc>
          <w:tcPr>
            <w:tcW w:type="dxa" w:w="794"/>
            <w:vAlign w:val="top"/>
          </w:tcPr>
          <w:p>
            <w:pPr>
              <w:spacing w:after="20" w:line="252" w:lineRule="auto"/>
              <w:jc w:val="center"/>
            </w:pPr>
            <w:r>
              <w:rPr>
                <w:b w:val="0"/>
                <w:i w:val="0"/>
                <w:sz w:val="16"/>
              </w:rPr>
              <w:t>2</w:t>
            </w:r>
          </w:p>
        </w:tc>
        <w:tc>
          <w:tcPr>
            <w:tcW w:type="dxa" w:w="850"/>
            <w:vAlign w:val="top"/>
          </w:tcPr>
          <w:p>
            <w:pPr>
              <w:spacing w:after="20" w:line="252" w:lineRule="auto"/>
              <w:jc w:val="center"/>
            </w:pPr>
            <w:r>
              <w:rPr>
                <w:b w:val="0"/>
                <w:i w:val="0"/>
                <w:sz w:val="16"/>
              </w:rPr>
              <w:t>2</w:t>
            </w:r>
          </w:p>
        </w:tc>
        <w:tc>
          <w:tcPr>
            <w:tcW w:type="dxa" w:w="1474"/>
            <w:vAlign w:val="top"/>
          </w:tcPr>
          <w:p>
            <w:pPr>
              <w:spacing w:after="20" w:line="252" w:lineRule="auto"/>
            </w:pPr>
            <w:r>
              <w:rPr>
                <w:b w:val="0"/>
                <w:i w:val="0"/>
                <w:sz w:val="16"/>
              </w:rPr>
              <w:t>Pass</w:t>
            </w:r>
          </w:p>
        </w:tc>
        <w:tc>
          <w:tcPr>
            <w:tcW w:type="dxa" w:w="3912"/>
            <w:vAlign w:val="top"/>
          </w:tcPr>
          <w:p>
            <w:pPr>
              <w:spacing w:after="20" w:line="252" w:lineRule="auto"/>
            </w:pPr>
            <w:r>
              <w:rPr>
                <w:b w:val="0"/>
                <w:i w:val="0"/>
                <w:sz w:val="16"/>
              </w:rPr>
              <w:t>Code review: structured logs with correlation id and header redaction; audit table append-only</w:t>
            </w:r>
          </w:p>
        </w:tc>
      </w:tr>
      <w:tr>
        <w:trPr>
          <w:cantSplit/>
        </w:trPr>
        <w:tc>
          <w:tcPr>
            <w:tcW w:type="dxa" w:w="2608"/>
            <w:vAlign w:val="top"/>
            <w:shd w:val="clear" w:color="auto" w:fill="FDF0F7"/>
          </w:tcPr>
          <w:p>
            <w:pPr>
              <w:spacing w:after="20" w:line="252" w:lineRule="auto"/>
            </w:pPr>
            <w:r>
              <w:rPr>
                <w:b/>
                <w:i w:val="0"/>
                <w:sz w:val="16"/>
              </w:rPr>
              <w:t>A10 Server-Side Request Forgery</w:t>
            </w:r>
          </w:p>
        </w:tc>
        <w:tc>
          <w:tcPr>
            <w:tcW w:type="dxa" w:w="794"/>
            <w:vAlign w:val="top"/>
            <w:shd w:val="clear" w:color="auto" w:fill="FDF0F7"/>
          </w:tcPr>
          <w:p>
            <w:pPr>
              <w:spacing w:after="20" w:line="252" w:lineRule="auto"/>
              <w:jc w:val="center"/>
            </w:pPr>
            <w:r>
              <w:rPr>
                <w:b w:val="0"/>
                <w:i w:val="0"/>
                <w:sz w:val="16"/>
              </w:rPr>
              <w:t>0</w:t>
            </w:r>
          </w:p>
        </w:tc>
        <w:tc>
          <w:tcPr>
            <w:tcW w:type="dxa" w:w="850"/>
            <w:vAlign w:val="top"/>
            <w:shd w:val="clear" w:color="auto" w:fill="FDF0F7"/>
          </w:tcPr>
          <w:p>
            <w:pPr>
              <w:spacing w:after="20" w:line="252" w:lineRule="auto"/>
              <w:jc w:val="center"/>
            </w:pPr>
            <w:r>
              <w:rPr>
                <w:b w:val="0"/>
                <w:i w:val="0"/>
                <w:sz w:val="16"/>
              </w:rPr>
              <w:t>0</w:t>
            </w:r>
          </w:p>
        </w:tc>
        <w:tc>
          <w:tcPr>
            <w:tcW w:type="dxa" w:w="1474"/>
            <w:vAlign w:val="top"/>
            <w:shd w:val="clear" w:color="auto" w:fill="FDF0F7"/>
          </w:tcPr>
          <w:p>
            <w:pPr>
              <w:spacing w:after="20" w:line="252" w:lineRule="auto"/>
            </w:pPr>
            <w:r>
              <w:rPr>
                <w:b w:val="0"/>
                <w:i w:val="0"/>
                <w:sz w:val="16"/>
              </w:rPr>
              <w:t>No automated check</w:t>
            </w:r>
          </w:p>
        </w:tc>
        <w:tc>
          <w:tcPr>
            <w:tcW w:type="dxa" w:w="3912"/>
            <w:vAlign w:val="top"/>
            <w:shd w:val="clear" w:color="auto" w:fill="FDF0F7"/>
          </w:tcPr>
          <w:p>
            <w:pPr>
              <w:spacing w:after="20" w:line="252" w:lineRule="auto"/>
            </w:pPr>
            <w:r>
              <w:rPr>
                <w:b w:val="0"/>
                <w:i w:val="0"/>
                <w:sz w:val="16"/>
              </w:rPr>
              <w:t>Code review: outbound calls go only to endpoints set in configuration; no user-supplied URLs are fetched</w:t>
            </w:r>
          </w:p>
        </w:tc>
      </w:tr>
    </w:tbl>
    <w:p>
      <w:pPr>
        <w:pStyle w:val="Caption"/>
        <w:jc w:val="center"/>
      </w:pPr>
      <w:r>
        <w:rPr>
          <w:b w:val="0"/>
          <w:i w:val="0"/>
        </w:rPr>
        <w:t>Table 2: Results by OWASP category</w:t>
      </w:r>
    </w:p>
    <w:p>
      <w:pPr>
        <w:pStyle w:val="Heading1"/>
        <w:pageBreakBefore/>
        <w:pBdr>
          <w:bottom w:val="single" w:sz="12" w:space="4" w:color="F58220"/>
        </w:pBdr>
      </w:pPr>
      <w:r>
        <w:t>4. Detailed results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15" w:type="dxa"/>
          <w:left w:w="90" w:type="dxa"/>
          <w:bottom w:w="15" w:type="dxa"/>
          <w:right w:w="90" w:type="dxa"/>
        </w:tblCellMar>
        <w:tblLayout w:type="fixed"/>
      </w:tblPr>
      <w:tblGrid>
        <w:gridCol w:w="793"/>
        <w:gridCol w:w="737"/>
        <w:gridCol w:w="2268"/>
        <w:gridCol w:w="2211"/>
        <w:gridCol w:w="737"/>
        <w:gridCol w:w="2891"/>
      </w:tblGrid>
      <w:tr>
        <w:trPr>
          <w:cantSplit/>
          <w:tblHeader/>
        </w:trPr>
        <w:tc>
          <w:tcPr>
            <w:tcW w:type="dxa" w:w="794"/>
            <w:shd w:val="clear" w:color="auto" w:fill="E1058C"/>
            <w:vAlign w:val="center"/>
          </w:tcPr>
          <w:p>
            <w:pPr>
              <w:spacing w:after="0"/>
            </w:pPr>
            <w:r>
              <w:rPr>
                <w:b/>
                <w:i w:val="0"/>
                <w:color w:val="FFFFFF"/>
                <w:sz w:val="14"/>
              </w:rPr>
              <w:t>ID</w:t>
            </w:r>
          </w:p>
        </w:tc>
        <w:tc>
          <w:tcPr>
            <w:tcW w:type="dxa" w:w="737"/>
            <w:shd w:val="clear" w:color="auto" w:fill="E1058C"/>
            <w:vAlign w:val="center"/>
          </w:tcPr>
          <w:p>
            <w:pPr>
              <w:spacing w:after="0"/>
            </w:pPr>
            <w:r>
              <w:rPr>
                <w:b/>
                <w:i w:val="0"/>
                <w:color w:val="FFFFFF"/>
                <w:sz w:val="14"/>
              </w:rPr>
              <w:t>OWASP</w:t>
            </w:r>
          </w:p>
        </w:tc>
        <w:tc>
          <w:tcPr>
            <w:tcW w:type="dxa" w:w="2268"/>
            <w:shd w:val="clear" w:color="auto" w:fill="E1058C"/>
            <w:vAlign w:val="center"/>
          </w:tcPr>
          <w:p>
            <w:pPr>
              <w:spacing w:after="0"/>
            </w:pPr>
            <w:r>
              <w:rPr>
                <w:b/>
                <w:i w:val="0"/>
                <w:color w:val="FFFFFF"/>
                <w:sz w:val="14"/>
              </w:rPr>
              <w:t>Check</w:t>
            </w:r>
          </w:p>
        </w:tc>
        <w:tc>
          <w:tcPr>
            <w:tcW w:type="dxa" w:w="2211"/>
            <w:shd w:val="clear" w:color="auto" w:fill="E1058C"/>
            <w:vAlign w:val="center"/>
          </w:tcPr>
          <w:p>
            <w:pPr>
              <w:spacing w:after="0"/>
            </w:pPr>
            <w:r>
              <w:rPr>
                <w:b/>
                <w:i w:val="0"/>
                <w:color w:val="FFFFFF"/>
                <w:sz w:val="14"/>
              </w:rPr>
              <w:t>Expected</w:t>
            </w:r>
          </w:p>
        </w:tc>
        <w:tc>
          <w:tcPr>
            <w:tcW w:type="dxa" w:w="737"/>
            <w:shd w:val="clear" w:color="auto" w:fill="E1058C"/>
            <w:vAlign w:val="center"/>
          </w:tcPr>
          <w:p>
            <w:pPr>
              <w:spacing w:after="0"/>
            </w:pPr>
            <w:r>
              <w:rPr>
                <w:b/>
                <w:i w:val="0"/>
                <w:color w:val="FFFFFF"/>
                <w:sz w:val="14"/>
              </w:rPr>
              <w:t>Result</w:t>
            </w:r>
          </w:p>
        </w:tc>
        <w:tc>
          <w:tcPr>
            <w:tcW w:type="dxa" w:w="2891"/>
            <w:shd w:val="clear" w:color="auto" w:fill="E1058C"/>
            <w:vAlign w:val="center"/>
          </w:tcPr>
          <w:p>
            <w:pPr>
              <w:spacing w:after="0"/>
            </w:pPr>
            <w:r>
              <w:rPr>
                <w:b/>
                <w:i w:val="0"/>
                <w:color w:val="FFFFFF"/>
                <w:sz w:val="14"/>
              </w:rPr>
              <w:t>Evidence summary</w:t>
            </w:r>
          </w:p>
        </w:tc>
      </w:tr>
      <w:tr>
        <w:trPr>
          <w:cantSplit/>
        </w:trPr>
        <w:tc>
          <w:tcPr>
            <w:tcW w:type="dxa" w:w="794"/>
            <w:vAlign w:val="top"/>
          </w:tcPr>
          <w:p>
            <w:pPr>
              <w:spacing w:after="20" w:line="252" w:lineRule="auto"/>
            </w:pPr>
            <w:r>
              <w:rPr>
                <w:b w:val="0"/>
                <w:i w:val="0"/>
                <w:sz w:val="14"/>
              </w:rPr>
              <w:t>SEC-09</w:t>
            </w:r>
          </w:p>
        </w:tc>
        <w:tc>
          <w:tcPr>
            <w:tcW w:type="dxa" w:w="737"/>
            <w:vAlign w:val="top"/>
          </w:tcPr>
          <w:p>
            <w:pPr>
              <w:spacing w:after="20" w:line="252" w:lineRule="auto"/>
              <w:jc w:val="center"/>
            </w:pPr>
            <w:r>
              <w:rPr>
                <w:b w:val="0"/>
                <w:i w:val="0"/>
                <w:sz w:val="14"/>
              </w:rPr>
              <w:t>A01</w:t>
            </w:r>
          </w:p>
        </w:tc>
        <w:tc>
          <w:tcPr>
            <w:tcW w:type="dxa" w:w="2268"/>
            <w:vAlign w:val="top"/>
          </w:tcPr>
          <w:p>
            <w:pPr>
              <w:spacing w:after="20" w:line="252" w:lineRule="auto"/>
            </w:pPr>
            <w:r>
              <w:rPr>
                <w:b w:val="0"/>
                <w:i w:val="0"/>
                <w:sz w:val="14"/>
              </w:rPr>
              <w:t>Protected endpoints require a session</w:t>
            </w:r>
          </w:p>
        </w:tc>
        <w:tc>
          <w:tcPr>
            <w:tcW w:type="dxa" w:w="2211"/>
            <w:vAlign w:val="top"/>
          </w:tcPr>
          <w:p>
            <w:pPr>
              <w:spacing w:after="20" w:line="252" w:lineRule="auto"/>
            </w:pPr>
            <w:r>
              <w:rPr>
                <w:b w:val="0"/>
                <w:i w:val="0"/>
                <w:sz w:val="14"/>
              </w:rPr>
              <w:t>401 without a session</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401</w:t>
            </w:r>
          </w:p>
        </w:tc>
      </w:tr>
      <w:tr>
        <w:trPr>
          <w:cantSplit/>
        </w:trPr>
        <w:tc>
          <w:tcPr>
            <w:tcW w:type="dxa" w:w="794"/>
            <w:vAlign w:val="top"/>
            <w:shd w:val="clear" w:color="auto" w:fill="FDF0F7"/>
          </w:tcPr>
          <w:p>
            <w:pPr>
              <w:spacing w:after="20" w:line="252" w:lineRule="auto"/>
            </w:pPr>
            <w:r>
              <w:rPr>
                <w:b w:val="0"/>
                <w:i w:val="0"/>
                <w:sz w:val="14"/>
              </w:rPr>
              <w:t>SEC-10</w:t>
            </w:r>
          </w:p>
        </w:tc>
        <w:tc>
          <w:tcPr>
            <w:tcW w:type="dxa" w:w="737"/>
            <w:vAlign w:val="top"/>
            <w:shd w:val="clear" w:color="auto" w:fill="FDF0F7"/>
          </w:tcPr>
          <w:p>
            <w:pPr>
              <w:spacing w:after="20" w:line="252" w:lineRule="auto"/>
              <w:jc w:val="center"/>
            </w:pPr>
            <w:r>
              <w:rPr>
                <w:b w:val="0"/>
                <w:i w:val="0"/>
                <w:sz w:val="14"/>
              </w:rPr>
              <w:t>A01</w:t>
            </w:r>
          </w:p>
        </w:tc>
        <w:tc>
          <w:tcPr>
            <w:tcW w:type="dxa" w:w="2268"/>
            <w:vAlign w:val="top"/>
            <w:shd w:val="clear" w:color="auto" w:fill="FDF0F7"/>
          </w:tcPr>
          <w:p>
            <w:pPr>
              <w:spacing w:after="20" w:line="252" w:lineRule="auto"/>
            </w:pPr>
            <w:r>
              <w:rPr>
                <w:b w:val="0"/>
                <w:i w:val="0"/>
                <w:sz w:val="14"/>
              </w:rPr>
              <w:t>Portal users cannot call back-office APIs</w:t>
            </w:r>
          </w:p>
        </w:tc>
        <w:tc>
          <w:tcPr>
            <w:tcW w:type="dxa" w:w="2211"/>
            <w:vAlign w:val="top"/>
            <w:shd w:val="clear" w:color="auto" w:fill="FDF0F7"/>
          </w:tcPr>
          <w:p>
            <w:pPr>
              <w:spacing w:after="20" w:line="252" w:lineRule="auto"/>
            </w:pPr>
            <w:r>
              <w:rPr>
                <w:b w:val="0"/>
                <w:i w:val="0"/>
                <w:sz w:val="14"/>
              </w:rPr>
              <w:t>403 WRONG_AUDIENCE for portal users on back-office routes</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403; code: WRONG_AUDIENCE</w:t>
            </w:r>
          </w:p>
        </w:tc>
      </w:tr>
      <w:tr>
        <w:trPr>
          <w:cantSplit/>
        </w:trPr>
        <w:tc>
          <w:tcPr>
            <w:tcW w:type="dxa" w:w="794"/>
            <w:vAlign w:val="top"/>
          </w:tcPr>
          <w:p>
            <w:pPr>
              <w:spacing w:after="20" w:line="252" w:lineRule="auto"/>
            </w:pPr>
            <w:r>
              <w:rPr>
                <w:b w:val="0"/>
                <w:i w:val="0"/>
                <w:sz w:val="14"/>
              </w:rPr>
              <w:t>SEC-11</w:t>
            </w:r>
          </w:p>
        </w:tc>
        <w:tc>
          <w:tcPr>
            <w:tcW w:type="dxa" w:w="737"/>
            <w:vAlign w:val="top"/>
          </w:tcPr>
          <w:p>
            <w:pPr>
              <w:spacing w:after="20" w:line="252" w:lineRule="auto"/>
              <w:jc w:val="center"/>
            </w:pPr>
            <w:r>
              <w:rPr>
                <w:b w:val="0"/>
                <w:i w:val="0"/>
                <w:sz w:val="14"/>
              </w:rPr>
              <w:t>A01</w:t>
            </w:r>
          </w:p>
        </w:tc>
        <w:tc>
          <w:tcPr>
            <w:tcW w:type="dxa" w:w="2268"/>
            <w:vAlign w:val="top"/>
          </w:tcPr>
          <w:p>
            <w:pPr>
              <w:spacing w:after="20" w:line="252" w:lineRule="auto"/>
            </w:pPr>
            <w:r>
              <w:rPr>
                <w:b w:val="0"/>
                <w:i w:val="0"/>
                <w:sz w:val="14"/>
              </w:rPr>
              <w:t>Another agency's policy cannot be read by changing the identifier (IDOR)</w:t>
            </w:r>
          </w:p>
        </w:tc>
        <w:tc>
          <w:tcPr>
            <w:tcW w:type="dxa" w:w="2211"/>
            <w:vAlign w:val="top"/>
          </w:tcPr>
          <w:p>
            <w:pPr>
              <w:spacing w:after="20" w:line="252" w:lineRule="auto"/>
            </w:pPr>
            <w:r>
              <w:rPr>
                <w:b w:val="0"/>
                <w:i w:val="0"/>
                <w:sz w:val="14"/>
              </w:rPr>
              <w:t>404: record outside the user's agency is not disclosed</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404</w:t>
            </w:r>
          </w:p>
        </w:tc>
      </w:tr>
      <w:tr>
        <w:trPr>
          <w:cantSplit/>
        </w:trPr>
        <w:tc>
          <w:tcPr>
            <w:tcW w:type="dxa" w:w="794"/>
            <w:vAlign w:val="top"/>
            <w:shd w:val="clear" w:color="auto" w:fill="FDF0F7"/>
          </w:tcPr>
          <w:p>
            <w:pPr>
              <w:spacing w:after="20" w:line="252" w:lineRule="auto"/>
            </w:pPr>
            <w:r>
              <w:rPr>
                <w:b w:val="0"/>
                <w:i w:val="0"/>
                <w:sz w:val="14"/>
              </w:rPr>
              <w:t>SEC-12</w:t>
            </w:r>
          </w:p>
        </w:tc>
        <w:tc>
          <w:tcPr>
            <w:tcW w:type="dxa" w:w="737"/>
            <w:vAlign w:val="top"/>
            <w:shd w:val="clear" w:color="auto" w:fill="FDF0F7"/>
          </w:tcPr>
          <w:p>
            <w:pPr>
              <w:spacing w:after="20" w:line="252" w:lineRule="auto"/>
              <w:jc w:val="center"/>
            </w:pPr>
            <w:r>
              <w:rPr>
                <w:b w:val="0"/>
                <w:i w:val="0"/>
                <w:sz w:val="14"/>
              </w:rPr>
              <w:t>A01</w:t>
            </w:r>
          </w:p>
        </w:tc>
        <w:tc>
          <w:tcPr>
            <w:tcW w:type="dxa" w:w="2268"/>
            <w:vAlign w:val="top"/>
            <w:shd w:val="clear" w:color="auto" w:fill="FDF0F7"/>
          </w:tcPr>
          <w:p>
            <w:pPr>
              <w:spacing w:after="20" w:line="252" w:lineRule="auto"/>
            </w:pPr>
            <w:r>
              <w:rPr>
                <w:b w:val="0"/>
                <w:i w:val="0"/>
                <w:sz w:val="14"/>
              </w:rPr>
              <w:t>Another agency's documents cannot be downloaded</w:t>
            </w:r>
          </w:p>
        </w:tc>
        <w:tc>
          <w:tcPr>
            <w:tcW w:type="dxa" w:w="2211"/>
            <w:vAlign w:val="top"/>
            <w:shd w:val="clear" w:color="auto" w:fill="FDF0F7"/>
          </w:tcPr>
          <w:p>
            <w:pPr>
              <w:spacing w:after="20" w:line="252" w:lineRule="auto"/>
            </w:pPr>
            <w:r>
              <w:rPr>
                <w:b w:val="0"/>
                <w:i w:val="0"/>
                <w:sz w:val="14"/>
              </w:rPr>
              <w:t>403 for another agency's document</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403</w:t>
            </w:r>
          </w:p>
        </w:tc>
      </w:tr>
      <w:tr>
        <w:trPr>
          <w:cantSplit/>
        </w:trPr>
        <w:tc>
          <w:tcPr>
            <w:tcW w:type="dxa" w:w="794"/>
            <w:vAlign w:val="top"/>
          </w:tcPr>
          <w:p>
            <w:pPr>
              <w:spacing w:after="20" w:line="252" w:lineRule="auto"/>
            </w:pPr>
            <w:r>
              <w:rPr>
                <w:b w:val="0"/>
                <w:i w:val="0"/>
                <w:sz w:val="14"/>
              </w:rPr>
              <w:t>SEC-13</w:t>
            </w:r>
          </w:p>
        </w:tc>
        <w:tc>
          <w:tcPr>
            <w:tcW w:type="dxa" w:w="737"/>
            <w:vAlign w:val="top"/>
          </w:tcPr>
          <w:p>
            <w:pPr>
              <w:spacing w:after="20" w:line="252" w:lineRule="auto"/>
              <w:jc w:val="center"/>
            </w:pPr>
            <w:r>
              <w:rPr>
                <w:b w:val="0"/>
                <w:i w:val="0"/>
                <w:sz w:val="14"/>
              </w:rPr>
              <w:t>A01</w:t>
            </w:r>
          </w:p>
        </w:tc>
        <w:tc>
          <w:tcPr>
            <w:tcW w:type="dxa" w:w="2268"/>
            <w:vAlign w:val="top"/>
          </w:tcPr>
          <w:p>
            <w:pPr>
              <w:spacing w:after="20" w:line="252" w:lineRule="auto"/>
            </w:pPr>
            <w:r>
              <w:rPr>
                <w:b w:val="0"/>
                <w:i w:val="0"/>
                <w:sz w:val="14"/>
              </w:rPr>
              <w:t>Participant profiles are limited to agencies that hold business with them</w:t>
            </w:r>
          </w:p>
        </w:tc>
        <w:tc>
          <w:tcPr>
            <w:tcW w:type="dxa" w:w="2211"/>
            <w:vAlign w:val="top"/>
          </w:tcPr>
          <w:p>
            <w:pPr>
              <w:spacing w:after="20" w:line="252" w:lineRule="auto"/>
            </w:pPr>
            <w:r>
              <w:rPr>
                <w:b w:val="0"/>
                <w:i w:val="0"/>
                <w:sz w:val="14"/>
              </w:rPr>
              <w:t>403 for participants with no business in the user's agency</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403</w:t>
            </w:r>
          </w:p>
        </w:tc>
      </w:tr>
      <w:tr>
        <w:trPr>
          <w:cantSplit/>
        </w:trPr>
        <w:tc>
          <w:tcPr>
            <w:tcW w:type="dxa" w:w="794"/>
            <w:vAlign w:val="top"/>
            <w:shd w:val="clear" w:color="auto" w:fill="FDF0F7"/>
          </w:tcPr>
          <w:p>
            <w:pPr>
              <w:spacing w:after="20" w:line="252" w:lineRule="auto"/>
            </w:pPr>
            <w:r>
              <w:rPr>
                <w:b w:val="0"/>
                <w:i w:val="0"/>
                <w:sz w:val="14"/>
              </w:rPr>
              <w:t>SEC-14</w:t>
            </w:r>
          </w:p>
        </w:tc>
        <w:tc>
          <w:tcPr>
            <w:tcW w:type="dxa" w:w="737"/>
            <w:vAlign w:val="top"/>
            <w:shd w:val="clear" w:color="auto" w:fill="FDF0F7"/>
          </w:tcPr>
          <w:p>
            <w:pPr>
              <w:spacing w:after="20" w:line="252" w:lineRule="auto"/>
              <w:jc w:val="center"/>
            </w:pPr>
            <w:r>
              <w:rPr>
                <w:b w:val="0"/>
                <w:i w:val="0"/>
                <w:sz w:val="14"/>
              </w:rPr>
              <w:t>A01</w:t>
            </w:r>
          </w:p>
        </w:tc>
        <w:tc>
          <w:tcPr>
            <w:tcW w:type="dxa" w:w="2268"/>
            <w:vAlign w:val="top"/>
            <w:shd w:val="clear" w:color="auto" w:fill="FDF0F7"/>
          </w:tcPr>
          <w:p>
            <w:pPr>
              <w:spacing w:after="20" w:line="252" w:lineRule="auto"/>
            </w:pPr>
            <w:r>
              <w:rPr>
                <w:b w:val="0"/>
                <w:i w:val="0"/>
                <w:sz w:val="14"/>
              </w:rPr>
              <w:t>Users cannot grant themselves permissions they do not hold</w:t>
            </w:r>
          </w:p>
        </w:tc>
        <w:tc>
          <w:tcPr>
            <w:tcW w:type="dxa" w:w="2211"/>
            <w:vAlign w:val="top"/>
            <w:shd w:val="clear" w:color="auto" w:fill="FDF0F7"/>
          </w:tcPr>
          <w:p>
            <w:pPr>
              <w:spacing w:after="20" w:line="252" w:lineRule="auto"/>
            </w:pPr>
            <w:r>
              <w:rPr>
                <w:b w:val="0"/>
                <w:i w:val="0"/>
                <w:sz w:val="14"/>
              </w:rPr>
              <w:t>403 when granting permissions the user does not hold</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403</w:t>
            </w:r>
          </w:p>
        </w:tc>
      </w:tr>
      <w:tr>
        <w:trPr>
          <w:cantSplit/>
        </w:trPr>
        <w:tc>
          <w:tcPr>
            <w:tcW w:type="dxa" w:w="794"/>
            <w:vAlign w:val="top"/>
          </w:tcPr>
          <w:p>
            <w:pPr>
              <w:spacing w:after="20" w:line="252" w:lineRule="auto"/>
            </w:pPr>
            <w:r>
              <w:rPr>
                <w:b w:val="0"/>
                <w:i w:val="0"/>
                <w:sz w:val="14"/>
              </w:rPr>
              <w:t>SEC-15</w:t>
            </w:r>
          </w:p>
        </w:tc>
        <w:tc>
          <w:tcPr>
            <w:tcW w:type="dxa" w:w="737"/>
            <w:vAlign w:val="top"/>
          </w:tcPr>
          <w:p>
            <w:pPr>
              <w:spacing w:after="20" w:line="252" w:lineRule="auto"/>
              <w:jc w:val="center"/>
            </w:pPr>
            <w:r>
              <w:rPr>
                <w:b w:val="0"/>
                <w:i w:val="0"/>
                <w:sz w:val="14"/>
              </w:rPr>
              <w:t>A01</w:t>
            </w:r>
          </w:p>
        </w:tc>
        <w:tc>
          <w:tcPr>
            <w:tcW w:type="dxa" w:w="2268"/>
            <w:vAlign w:val="top"/>
          </w:tcPr>
          <w:p>
            <w:pPr>
              <w:spacing w:after="20" w:line="252" w:lineRule="auto"/>
            </w:pPr>
            <w:r>
              <w:rPr>
                <w:b w:val="0"/>
                <w:i w:val="0"/>
                <w:sz w:val="14"/>
              </w:rPr>
              <w:t>State-changing requests require the session’s own CSRF token</w:t>
            </w:r>
          </w:p>
        </w:tc>
        <w:tc>
          <w:tcPr>
            <w:tcW w:type="dxa" w:w="2211"/>
            <w:vAlign w:val="top"/>
          </w:tcPr>
          <w:p>
            <w:pPr>
              <w:spacing w:after="20" w:line="252" w:lineRule="auto"/>
            </w:pPr>
            <w:r>
              <w:rPr>
                <w:b w:val="0"/>
                <w:i w:val="0"/>
                <w:sz w:val="14"/>
              </w:rPr>
              <w:t>403 without the session's own CSRF token</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missing: 403; otherSessionsToken: 403</w:t>
            </w:r>
          </w:p>
        </w:tc>
      </w:tr>
      <w:tr>
        <w:trPr>
          <w:cantSplit/>
        </w:trPr>
        <w:tc>
          <w:tcPr>
            <w:tcW w:type="dxa" w:w="794"/>
            <w:vAlign w:val="top"/>
            <w:shd w:val="clear" w:color="auto" w:fill="FDF0F7"/>
          </w:tcPr>
          <w:p>
            <w:pPr>
              <w:spacing w:after="20" w:line="252" w:lineRule="auto"/>
            </w:pPr>
            <w:r>
              <w:rPr>
                <w:b w:val="0"/>
                <w:i w:val="0"/>
                <w:sz w:val="14"/>
              </w:rPr>
              <w:t>SEC-29</w:t>
            </w:r>
          </w:p>
        </w:tc>
        <w:tc>
          <w:tcPr>
            <w:tcW w:type="dxa" w:w="737"/>
            <w:vAlign w:val="top"/>
            <w:shd w:val="clear" w:color="auto" w:fill="FDF0F7"/>
          </w:tcPr>
          <w:p>
            <w:pPr>
              <w:spacing w:after="20" w:line="252" w:lineRule="auto"/>
              <w:jc w:val="center"/>
            </w:pPr>
            <w:r>
              <w:rPr>
                <w:b w:val="0"/>
                <w:i w:val="0"/>
                <w:sz w:val="14"/>
              </w:rPr>
              <w:t>A01</w:t>
            </w:r>
          </w:p>
        </w:tc>
        <w:tc>
          <w:tcPr>
            <w:tcW w:type="dxa" w:w="2268"/>
            <w:vAlign w:val="top"/>
            <w:shd w:val="clear" w:color="auto" w:fill="FDF0F7"/>
          </w:tcPr>
          <w:p>
            <w:pPr>
              <w:spacing w:after="20" w:line="252" w:lineRule="auto"/>
            </w:pPr>
            <w:r>
              <w:rPr>
                <w:b w:val="0"/>
                <w:i w:val="0"/>
                <w:sz w:val="14"/>
              </w:rPr>
              <w:t>E-signature links cannot be guessed; invalid tokens reveal nothing</w:t>
            </w:r>
          </w:p>
        </w:tc>
        <w:tc>
          <w:tcPr>
            <w:tcW w:type="dxa" w:w="2211"/>
            <w:vAlign w:val="top"/>
            <w:shd w:val="clear" w:color="auto" w:fill="FDF0F7"/>
          </w:tcPr>
          <w:p>
            <w:pPr>
              <w:spacing w:after="20" w:line="252" w:lineRule="auto"/>
            </w:pPr>
            <w:r>
              <w:rPr>
                <w:b w:val="0"/>
                <w:i w:val="0"/>
                <w:sz w:val="14"/>
              </w:rPr>
              <w:t>Malformed and unknown tokens reveal nothing</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malformed: 404; wellFormedButUnknown: 422</w:t>
            </w:r>
          </w:p>
        </w:tc>
      </w:tr>
      <w:tr>
        <w:trPr>
          <w:cantSplit/>
        </w:trPr>
        <w:tc>
          <w:tcPr>
            <w:tcW w:type="dxa" w:w="794"/>
            <w:vAlign w:val="top"/>
          </w:tcPr>
          <w:p>
            <w:pPr>
              <w:spacing w:after="20" w:line="252" w:lineRule="auto"/>
            </w:pPr>
            <w:r>
              <w:rPr>
                <w:b w:val="0"/>
                <w:i w:val="0"/>
                <w:sz w:val="14"/>
              </w:rPr>
              <w:t>SEC-25</w:t>
            </w:r>
          </w:p>
        </w:tc>
        <w:tc>
          <w:tcPr>
            <w:tcW w:type="dxa" w:w="737"/>
            <w:vAlign w:val="top"/>
          </w:tcPr>
          <w:p>
            <w:pPr>
              <w:spacing w:after="20" w:line="252" w:lineRule="auto"/>
              <w:jc w:val="center"/>
            </w:pPr>
            <w:r>
              <w:rPr>
                <w:b w:val="0"/>
                <w:i w:val="0"/>
                <w:sz w:val="14"/>
              </w:rPr>
              <w:t>A02</w:t>
            </w:r>
          </w:p>
        </w:tc>
        <w:tc>
          <w:tcPr>
            <w:tcW w:type="dxa" w:w="2268"/>
            <w:vAlign w:val="top"/>
          </w:tcPr>
          <w:p>
            <w:pPr>
              <w:spacing w:after="20" w:line="252" w:lineRule="auto"/>
            </w:pPr>
            <w:r>
              <w:rPr>
                <w:b w:val="0"/>
                <w:i w:val="0"/>
                <w:sz w:val="14"/>
              </w:rPr>
              <w:t>Identification numbers are returned masked; ciphertext and hashes are never returned</w:t>
            </w:r>
          </w:p>
        </w:tc>
        <w:tc>
          <w:tcPr>
            <w:tcW w:type="dxa" w:w="2211"/>
            <w:vAlign w:val="top"/>
          </w:tcPr>
          <w:p>
            <w:pPr>
              <w:spacing w:after="20" w:line="252" w:lineRule="auto"/>
            </w:pPr>
            <w:r>
              <w:rPr>
                <w:b w:val="0"/>
                <w:i w:val="0"/>
                <w:sz w:val="14"/>
              </w:rPr>
              <w:t>Identifiers masked; no ciphertext or blind index returned</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 xml:space="preserve">5 identifiers returned masked, e.g. </w:t>
            </w:r>
            <w:r>
              <w:rPr>
                <w:b/>
                <w:i w:val="0"/>
                <w:sz w:val="14"/>
              </w:rPr>
              <w:t>*</w:t>
            </w:r>
            <w:r>
              <w:rPr>
                <w:b w:val="0"/>
                <w:i w:val="0"/>
                <w:sz w:val="14"/>
              </w:rPr>
              <w:t>4658</w:t>
            </w:r>
          </w:p>
        </w:tc>
      </w:tr>
      <w:tr>
        <w:trPr>
          <w:cantSplit/>
        </w:trPr>
        <w:tc>
          <w:tcPr>
            <w:tcW w:type="dxa" w:w="794"/>
            <w:vAlign w:val="top"/>
            <w:shd w:val="clear" w:color="auto" w:fill="FDF0F7"/>
          </w:tcPr>
          <w:p>
            <w:pPr>
              <w:spacing w:after="20" w:line="252" w:lineRule="auto"/>
            </w:pPr>
            <w:r>
              <w:rPr>
                <w:b w:val="0"/>
                <w:i w:val="0"/>
                <w:sz w:val="14"/>
              </w:rPr>
              <w:t>SEC-26</w:t>
            </w:r>
          </w:p>
        </w:tc>
        <w:tc>
          <w:tcPr>
            <w:tcW w:type="dxa" w:w="737"/>
            <w:vAlign w:val="top"/>
            <w:shd w:val="clear" w:color="auto" w:fill="FDF0F7"/>
          </w:tcPr>
          <w:p>
            <w:pPr>
              <w:spacing w:after="20" w:line="252" w:lineRule="auto"/>
              <w:jc w:val="center"/>
            </w:pPr>
            <w:r>
              <w:rPr>
                <w:b w:val="0"/>
                <w:i w:val="0"/>
                <w:sz w:val="14"/>
              </w:rPr>
              <w:t>A02</w:t>
            </w:r>
          </w:p>
        </w:tc>
        <w:tc>
          <w:tcPr>
            <w:tcW w:type="dxa" w:w="2268"/>
            <w:vAlign w:val="top"/>
            <w:shd w:val="clear" w:color="auto" w:fill="FDF0F7"/>
          </w:tcPr>
          <w:p>
            <w:pPr>
              <w:spacing w:after="20" w:line="252" w:lineRule="auto"/>
            </w:pPr>
            <w:r>
              <w:rPr>
                <w:b w:val="0"/>
                <w:i w:val="0"/>
                <w:sz w:val="14"/>
              </w:rPr>
              <w:t>Password hashes are never returned by the API</w:t>
            </w:r>
          </w:p>
        </w:tc>
        <w:tc>
          <w:tcPr>
            <w:tcW w:type="dxa" w:w="2211"/>
            <w:vAlign w:val="top"/>
            <w:shd w:val="clear" w:color="auto" w:fill="FDF0F7"/>
          </w:tcPr>
          <w:p>
            <w:pPr>
              <w:spacing w:after="20" w:line="252" w:lineRule="auto"/>
            </w:pPr>
            <w:r>
              <w:rPr>
                <w:b w:val="0"/>
                <w:i w:val="0"/>
                <w:sz w:val="14"/>
              </w:rPr>
              <w:t>No password hash in any user response</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200</w:t>
            </w:r>
          </w:p>
        </w:tc>
      </w:tr>
      <w:tr>
        <w:trPr>
          <w:cantSplit/>
        </w:trPr>
        <w:tc>
          <w:tcPr>
            <w:tcW w:type="dxa" w:w="794"/>
            <w:vAlign w:val="top"/>
          </w:tcPr>
          <w:p>
            <w:pPr>
              <w:spacing w:after="20" w:line="252" w:lineRule="auto"/>
            </w:pPr>
            <w:r>
              <w:rPr>
                <w:b w:val="0"/>
                <w:i w:val="0"/>
                <w:sz w:val="14"/>
              </w:rPr>
              <w:t>SEC-17</w:t>
            </w:r>
          </w:p>
        </w:tc>
        <w:tc>
          <w:tcPr>
            <w:tcW w:type="dxa" w:w="737"/>
            <w:vAlign w:val="top"/>
          </w:tcPr>
          <w:p>
            <w:pPr>
              <w:spacing w:after="20" w:line="252" w:lineRule="auto"/>
              <w:jc w:val="center"/>
            </w:pPr>
            <w:r>
              <w:rPr>
                <w:b w:val="0"/>
                <w:i w:val="0"/>
                <w:sz w:val="14"/>
              </w:rPr>
              <w:t>A03</w:t>
            </w:r>
          </w:p>
        </w:tc>
        <w:tc>
          <w:tcPr>
            <w:tcW w:type="dxa" w:w="2268"/>
            <w:vAlign w:val="top"/>
          </w:tcPr>
          <w:p>
            <w:pPr>
              <w:spacing w:after="20" w:line="252" w:lineRule="auto"/>
            </w:pPr>
            <w:r>
              <w:rPr>
                <w:b w:val="0"/>
                <w:i w:val="0"/>
                <w:sz w:val="14"/>
              </w:rPr>
              <w:t>SQL/NoSQL/template injection payloads in search are treated as text</w:t>
            </w:r>
          </w:p>
        </w:tc>
        <w:tc>
          <w:tcPr>
            <w:tcW w:type="dxa" w:w="2211"/>
            <w:vAlign w:val="top"/>
          </w:tcPr>
          <w:p>
            <w:pPr>
              <w:spacing w:after="20" w:line="252" w:lineRule="auto"/>
            </w:pPr>
            <w:r>
              <w:rPr>
                <w:b w:val="0"/>
                <w:i w:val="0"/>
                <w:sz w:val="14"/>
              </w:rPr>
              <w:t>Payloads treated as text: no extra records, no errors, no delay</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10 payloads; all HTTP 200; no records leaked (0); slowest 19 ms</w:t>
            </w:r>
          </w:p>
        </w:tc>
      </w:tr>
      <w:tr>
        <w:trPr>
          <w:cantSplit/>
        </w:trPr>
        <w:tc>
          <w:tcPr>
            <w:tcW w:type="dxa" w:w="794"/>
            <w:vAlign w:val="top"/>
            <w:shd w:val="clear" w:color="auto" w:fill="FDF0F7"/>
          </w:tcPr>
          <w:p>
            <w:pPr>
              <w:spacing w:after="20" w:line="252" w:lineRule="auto"/>
            </w:pPr>
            <w:r>
              <w:rPr>
                <w:b w:val="0"/>
                <w:i w:val="0"/>
                <w:sz w:val="14"/>
              </w:rPr>
              <w:t>SEC-18</w:t>
            </w:r>
          </w:p>
        </w:tc>
        <w:tc>
          <w:tcPr>
            <w:tcW w:type="dxa" w:w="737"/>
            <w:vAlign w:val="top"/>
            <w:shd w:val="clear" w:color="auto" w:fill="FDF0F7"/>
          </w:tcPr>
          <w:p>
            <w:pPr>
              <w:spacing w:after="20" w:line="252" w:lineRule="auto"/>
              <w:jc w:val="center"/>
            </w:pPr>
            <w:r>
              <w:rPr>
                <w:b w:val="0"/>
                <w:i w:val="0"/>
                <w:sz w:val="14"/>
              </w:rPr>
              <w:t>A03</w:t>
            </w:r>
          </w:p>
        </w:tc>
        <w:tc>
          <w:tcPr>
            <w:tcW w:type="dxa" w:w="2268"/>
            <w:vAlign w:val="top"/>
            <w:shd w:val="clear" w:color="auto" w:fill="FDF0F7"/>
          </w:tcPr>
          <w:p>
            <w:pPr>
              <w:spacing w:after="20" w:line="252" w:lineRule="auto"/>
            </w:pPr>
            <w:r>
              <w:rPr>
                <w:b w:val="0"/>
                <w:i w:val="0"/>
                <w:sz w:val="14"/>
              </w:rPr>
              <w:t>Injection in sign-in fields is rejected as invalid credentials</w:t>
            </w:r>
          </w:p>
        </w:tc>
        <w:tc>
          <w:tcPr>
            <w:tcW w:type="dxa" w:w="2211"/>
            <w:vAlign w:val="top"/>
            <w:shd w:val="clear" w:color="auto" w:fill="FDF0F7"/>
          </w:tcPr>
          <w:p>
            <w:pPr>
              <w:spacing w:after="20" w:line="252" w:lineRule="auto"/>
            </w:pPr>
            <w:r>
              <w:rPr>
                <w:b w:val="0"/>
                <w:i w:val="0"/>
                <w:sz w:val="14"/>
              </w:rPr>
              <w:t>401 invalid credentials</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401</w:t>
            </w:r>
          </w:p>
        </w:tc>
      </w:tr>
      <w:tr>
        <w:trPr>
          <w:cantSplit/>
        </w:trPr>
        <w:tc>
          <w:tcPr>
            <w:tcW w:type="dxa" w:w="794"/>
            <w:vAlign w:val="top"/>
          </w:tcPr>
          <w:p>
            <w:pPr>
              <w:spacing w:after="20" w:line="252" w:lineRule="auto"/>
            </w:pPr>
            <w:r>
              <w:rPr>
                <w:b w:val="0"/>
                <w:i w:val="0"/>
                <w:sz w:val="14"/>
              </w:rPr>
              <w:t>SEC-19</w:t>
            </w:r>
          </w:p>
        </w:tc>
        <w:tc>
          <w:tcPr>
            <w:tcW w:type="dxa" w:w="737"/>
            <w:vAlign w:val="top"/>
          </w:tcPr>
          <w:p>
            <w:pPr>
              <w:spacing w:after="20" w:line="252" w:lineRule="auto"/>
              <w:jc w:val="center"/>
            </w:pPr>
            <w:r>
              <w:rPr>
                <w:b w:val="0"/>
                <w:i w:val="0"/>
                <w:sz w:val="14"/>
              </w:rPr>
              <w:t>A03</w:t>
            </w:r>
          </w:p>
        </w:tc>
        <w:tc>
          <w:tcPr>
            <w:tcW w:type="dxa" w:w="2268"/>
            <w:vAlign w:val="top"/>
          </w:tcPr>
          <w:p>
            <w:pPr>
              <w:spacing w:after="20" w:line="252" w:lineRule="auto"/>
            </w:pPr>
            <w:r>
              <w:rPr>
                <w:b w:val="0"/>
                <w:i w:val="0"/>
                <w:sz w:val="14"/>
              </w:rPr>
              <w:t>LDAP filter characters in usernames do not alter directory queries</w:t>
            </w:r>
          </w:p>
        </w:tc>
        <w:tc>
          <w:tcPr>
            <w:tcW w:type="dxa" w:w="2211"/>
            <w:vAlign w:val="top"/>
          </w:tcPr>
          <w:p>
            <w:pPr>
              <w:spacing w:after="20" w:line="252" w:lineRule="auto"/>
            </w:pPr>
            <w:r>
              <w:rPr>
                <w:b w:val="0"/>
                <w:i w:val="0"/>
                <w:sz w:val="14"/>
              </w:rPr>
              <w:t>401; LDAP filter characters escaped</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401</w:t>
            </w:r>
          </w:p>
        </w:tc>
      </w:tr>
      <w:tr>
        <w:trPr>
          <w:cantSplit/>
        </w:trPr>
        <w:tc>
          <w:tcPr>
            <w:tcW w:type="dxa" w:w="794"/>
            <w:vAlign w:val="top"/>
            <w:shd w:val="clear" w:color="auto" w:fill="FDF0F7"/>
          </w:tcPr>
          <w:p>
            <w:pPr>
              <w:spacing w:after="20" w:line="252" w:lineRule="auto"/>
            </w:pPr>
            <w:r>
              <w:rPr>
                <w:b w:val="0"/>
                <w:i w:val="0"/>
                <w:sz w:val="14"/>
              </w:rPr>
              <w:t>SEC-20</w:t>
            </w:r>
          </w:p>
        </w:tc>
        <w:tc>
          <w:tcPr>
            <w:tcW w:type="dxa" w:w="737"/>
            <w:vAlign w:val="top"/>
            <w:shd w:val="clear" w:color="auto" w:fill="FDF0F7"/>
          </w:tcPr>
          <w:p>
            <w:pPr>
              <w:spacing w:after="20" w:line="252" w:lineRule="auto"/>
              <w:jc w:val="center"/>
            </w:pPr>
            <w:r>
              <w:rPr>
                <w:b w:val="0"/>
                <w:i w:val="0"/>
                <w:sz w:val="14"/>
              </w:rPr>
              <w:t>A04</w:t>
            </w:r>
          </w:p>
        </w:tc>
        <w:tc>
          <w:tcPr>
            <w:tcW w:type="dxa" w:w="2268"/>
            <w:vAlign w:val="top"/>
            <w:shd w:val="clear" w:color="auto" w:fill="FDF0F7"/>
          </w:tcPr>
          <w:p>
            <w:pPr>
              <w:spacing w:after="20" w:line="252" w:lineRule="auto"/>
            </w:pPr>
            <w:r>
              <w:rPr>
                <w:b w:val="0"/>
                <w:i w:val="0"/>
                <w:sz w:val="14"/>
              </w:rPr>
              <w:t>Negative, future-dated and excessive payments are refused</w:t>
            </w:r>
          </w:p>
        </w:tc>
        <w:tc>
          <w:tcPr>
            <w:tcW w:type="dxa" w:w="2211"/>
            <w:vAlign w:val="top"/>
            <w:shd w:val="clear" w:color="auto" w:fill="FDF0F7"/>
          </w:tcPr>
          <w:p>
            <w:pPr>
              <w:spacing w:after="20" w:line="252" w:lineRule="auto"/>
            </w:pPr>
            <w:r>
              <w:rPr>
                <w:b w:val="0"/>
                <w:i w:val="0"/>
                <w:sz w:val="14"/>
              </w:rPr>
              <w:t>Negative, future-dated and excessive amounts refused</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negative: 400; futureDate: 422; aboveOutstanding: 422</w:t>
            </w:r>
          </w:p>
        </w:tc>
      </w:tr>
      <w:tr>
        <w:trPr>
          <w:cantSplit/>
        </w:trPr>
        <w:tc>
          <w:tcPr>
            <w:tcW w:type="dxa" w:w="794"/>
            <w:vAlign w:val="top"/>
          </w:tcPr>
          <w:p>
            <w:pPr>
              <w:spacing w:after="20" w:line="252" w:lineRule="auto"/>
            </w:pPr>
            <w:r>
              <w:rPr>
                <w:b w:val="0"/>
                <w:i w:val="0"/>
                <w:sz w:val="14"/>
              </w:rPr>
              <w:t>SEC-21</w:t>
            </w:r>
          </w:p>
        </w:tc>
        <w:tc>
          <w:tcPr>
            <w:tcW w:type="dxa" w:w="737"/>
            <w:vAlign w:val="top"/>
          </w:tcPr>
          <w:p>
            <w:pPr>
              <w:spacing w:after="20" w:line="252" w:lineRule="auto"/>
              <w:jc w:val="center"/>
            </w:pPr>
            <w:r>
              <w:rPr>
                <w:b w:val="0"/>
                <w:i w:val="0"/>
                <w:sz w:val="14"/>
              </w:rPr>
              <w:t>A04</w:t>
            </w:r>
          </w:p>
        </w:tc>
        <w:tc>
          <w:tcPr>
            <w:tcW w:type="dxa" w:w="2268"/>
            <w:vAlign w:val="top"/>
          </w:tcPr>
          <w:p>
            <w:pPr>
              <w:spacing w:after="20" w:line="252" w:lineRule="auto"/>
            </w:pPr>
            <w:r>
              <w:rPr>
                <w:b w:val="0"/>
                <w:i w:val="0"/>
                <w:sz w:val="14"/>
              </w:rPr>
              <w:t>Unexpected fields (mass assignment) are rejected</w:t>
            </w:r>
          </w:p>
        </w:tc>
        <w:tc>
          <w:tcPr>
            <w:tcW w:type="dxa" w:w="2211"/>
            <w:vAlign w:val="top"/>
          </w:tcPr>
          <w:p>
            <w:pPr>
              <w:spacing w:after="20" w:line="252" w:lineRule="auto"/>
            </w:pPr>
            <w:r>
              <w:rPr>
                <w:b w:val="0"/>
                <w:i w:val="0"/>
                <w:sz w:val="14"/>
              </w:rPr>
              <w:t>400 listing the unexpected properties</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400; details: property amlStatus should not exist; property createdByAgencyId should not exist</w:t>
            </w:r>
          </w:p>
        </w:tc>
      </w:tr>
      <w:tr>
        <w:trPr>
          <w:cantSplit/>
        </w:trPr>
        <w:tc>
          <w:tcPr>
            <w:tcW w:type="dxa" w:w="794"/>
            <w:vAlign w:val="top"/>
            <w:shd w:val="clear" w:color="auto" w:fill="FDF0F7"/>
          </w:tcPr>
          <w:p>
            <w:pPr>
              <w:spacing w:after="20" w:line="252" w:lineRule="auto"/>
            </w:pPr>
            <w:r>
              <w:rPr>
                <w:b w:val="0"/>
                <w:i w:val="0"/>
                <w:sz w:val="14"/>
              </w:rPr>
              <w:t>SEC-01</w:t>
            </w:r>
          </w:p>
        </w:tc>
        <w:tc>
          <w:tcPr>
            <w:tcW w:type="dxa" w:w="737"/>
            <w:vAlign w:val="top"/>
            <w:shd w:val="clear" w:color="auto" w:fill="FDF0F7"/>
          </w:tcPr>
          <w:p>
            <w:pPr>
              <w:spacing w:after="20" w:line="252" w:lineRule="auto"/>
              <w:jc w:val="center"/>
            </w:pPr>
            <w:r>
              <w:rPr>
                <w:b w:val="0"/>
                <w:i w:val="0"/>
                <w:sz w:val="14"/>
              </w:rPr>
              <w:t>A05</w:t>
            </w:r>
          </w:p>
        </w:tc>
        <w:tc>
          <w:tcPr>
            <w:tcW w:type="dxa" w:w="2268"/>
            <w:vAlign w:val="top"/>
            <w:shd w:val="clear" w:color="auto" w:fill="FDF0F7"/>
          </w:tcPr>
          <w:p>
            <w:pPr>
              <w:spacing w:after="20" w:line="252" w:lineRule="auto"/>
            </w:pPr>
            <w:r>
              <w:rPr>
                <w:b w:val="0"/>
                <w:i w:val="0"/>
                <w:sz w:val="14"/>
              </w:rPr>
              <w:t>Security headers on API responses</w:t>
            </w:r>
          </w:p>
        </w:tc>
        <w:tc>
          <w:tcPr>
            <w:tcW w:type="dxa" w:w="2211"/>
            <w:vAlign w:val="top"/>
            <w:shd w:val="clear" w:color="auto" w:fill="FDF0F7"/>
          </w:tcPr>
          <w:p>
            <w:pPr>
              <w:spacing w:after="20" w:line="252" w:lineRule="auto"/>
            </w:pPr>
            <w:r>
              <w:rPr>
                <w:b w:val="0"/>
                <w:i w:val="0"/>
                <w:sz w:val="14"/>
              </w:rPr>
              <w:t>HSTS, nosniff, frame and content-security headers present; X-Powered-By absent</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Present: strict-transport-security, x-content-type-options, x-frame-options, content-security-policy. Absent: x-powered-by</w:t>
            </w:r>
          </w:p>
        </w:tc>
      </w:tr>
      <w:tr>
        <w:trPr>
          <w:cantSplit/>
        </w:trPr>
        <w:tc>
          <w:tcPr>
            <w:tcW w:type="dxa" w:w="794"/>
            <w:vAlign w:val="top"/>
          </w:tcPr>
          <w:p>
            <w:pPr>
              <w:spacing w:after="20" w:line="252" w:lineRule="auto"/>
            </w:pPr>
            <w:r>
              <w:rPr>
                <w:b w:val="0"/>
                <w:i w:val="0"/>
                <w:sz w:val="14"/>
              </w:rPr>
              <w:t>SEC-02</w:t>
            </w:r>
          </w:p>
        </w:tc>
        <w:tc>
          <w:tcPr>
            <w:tcW w:type="dxa" w:w="737"/>
            <w:vAlign w:val="top"/>
          </w:tcPr>
          <w:p>
            <w:pPr>
              <w:spacing w:after="20" w:line="252" w:lineRule="auto"/>
              <w:jc w:val="center"/>
            </w:pPr>
            <w:r>
              <w:rPr>
                <w:b w:val="0"/>
                <w:i w:val="0"/>
                <w:sz w:val="14"/>
              </w:rPr>
              <w:t>A05</w:t>
            </w:r>
          </w:p>
        </w:tc>
        <w:tc>
          <w:tcPr>
            <w:tcW w:type="dxa" w:w="2268"/>
            <w:vAlign w:val="top"/>
          </w:tcPr>
          <w:p>
            <w:pPr>
              <w:spacing w:after="20" w:line="252" w:lineRule="auto"/>
            </w:pPr>
            <w:r>
              <w:rPr>
                <w:b w:val="0"/>
                <w:i w:val="0"/>
                <w:sz w:val="14"/>
              </w:rPr>
              <w:t>Unknown routes return a generic JSON error without framework details</w:t>
            </w:r>
          </w:p>
        </w:tc>
        <w:tc>
          <w:tcPr>
            <w:tcW w:type="dxa" w:w="2211"/>
            <w:vAlign w:val="top"/>
          </w:tcPr>
          <w:p>
            <w:pPr>
              <w:spacing w:after="20" w:line="252" w:lineRule="auto"/>
            </w:pPr>
            <w:r>
              <w:rPr>
                <w:b w:val="0"/>
                <w:i w:val="0"/>
                <w:sz w:val="14"/>
              </w:rPr>
              <w:t>404 with code and correlation id only; no framework detail</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404; body: statusCode=404, code=NOT_FOUND, message=Cannot GET /api/v1/does-not-exist</w:t>
            </w:r>
          </w:p>
        </w:tc>
      </w:tr>
      <w:tr>
        <w:trPr>
          <w:cantSplit/>
        </w:trPr>
        <w:tc>
          <w:tcPr>
            <w:tcW w:type="dxa" w:w="794"/>
            <w:vAlign w:val="top"/>
            <w:shd w:val="clear" w:color="auto" w:fill="FDF0F7"/>
          </w:tcPr>
          <w:p>
            <w:pPr>
              <w:spacing w:after="20" w:line="252" w:lineRule="auto"/>
            </w:pPr>
            <w:r>
              <w:rPr>
                <w:b w:val="0"/>
                <w:i w:val="0"/>
                <w:sz w:val="14"/>
              </w:rPr>
              <w:t>SEC-03</w:t>
            </w:r>
          </w:p>
        </w:tc>
        <w:tc>
          <w:tcPr>
            <w:tcW w:type="dxa" w:w="737"/>
            <w:vAlign w:val="top"/>
            <w:shd w:val="clear" w:color="auto" w:fill="FDF0F7"/>
          </w:tcPr>
          <w:p>
            <w:pPr>
              <w:spacing w:after="20" w:line="252" w:lineRule="auto"/>
              <w:jc w:val="center"/>
            </w:pPr>
            <w:r>
              <w:rPr>
                <w:b w:val="0"/>
                <w:i w:val="0"/>
                <w:sz w:val="14"/>
              </w:rPr>
              <w:t>A05</w:t>
            </w:r>
          </w:p>
        </w:tc>
        <w:tc>
          <w:tcPr>
            <w:tcW w:type="dxa" w:w="2268"/>
            <w:vAlign w:val="top"/>
            <w:shd w:val="clear" w:color="auto" w:fill="FDF0F7"/>
          </w:tcPr>
          <w:p>
            <w:pPr>
              <w:spacing w:after="20" w:line="252" w:lineRule="auto"/>
            </w:pPr>
            <w:r>
              <w:rPr>
                <w:b w:val="0"/>
                <w:i w:val="0"/>
                <w:sz w:val="14"/>
              </w:rPr>
              <w:t>Malformed JSON is rejected without a stack trace</w:t>
            </w:r>
          </w:p>
        </w:tc>
        <w:tc>
          <w:tcPr>
            <w:tcW w:type="dxa" w:w="2211"/>
            <w:vAlign w:val="top"/>
            <w:shd w:val="clear" w:color="auto" w:fill="FDF0F7"/>
          </w:tcPr>
          <w:p>
            <w:pPr>
              <w:spacing w:after="20" w:line="252" w:lineRule="auto"/>
            </w:pPr>
            <w:r>
              <w:rPr>
                <w:b w:val="0"/>
                <w:i w:val="0"/>
                <w:sz w:val="14"/>
              </w:rPr>
              <w:t>400 without stack trace</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400; body: statusCode=400, code=BAD_REQUEST, message=Unexpected end of JSON input</w:t>
            </w:r>
          </w:p>
        </w:tc>
      </w:tr>
      <w:tr>
        <w:trPr>
          <w:cantSplit/>
        </w:trPr>
        <w:tc>
          <w:tcPr>
            <w:tcW w:type="dxa" w:w="794"/>
            <w:vAlign w:val="top"/>
          </w:tcPr>
          <w:p>
            <w:pPr>
              <w:spacing w:after="20" w:line="252" w:lineRule="auto"/>
            </w:pPr>
            <w:r>
              <w:rPr>
                <w:b w:val="0"/>
                <w:i w:val="0"/>
                <w:sz w:val="14"/>
              </w:rPr>
              <w:t>SEC-04</w:t>
            </w:r>
          </w:p>
        </w:tc>
        <w:tc>
          <w:tcPr>
            <w:tcW w:type="dxa" w:w="737"/>
            <w:vAlign w:val="top"/>
          </w:tcPr>
          <w:p>
            <w:pPr>
              <w:spacing w:after="20" w:line="252" w:lineRule="auto"/>
              <w:jc w:val="center"/>
            </w:pPr>
            <w:r>
              <w:rPr>
                <w:b w:val="0"/>
                <w:i w:val="0"/>
                <w:sz w:val="14"/>
              </w:rPr>
              <w:t>A07</w:t>
            </w:r>
          </w:p>
        </w:tc>
        <w:tc>
          <w:tcPr>
            <w:tcW w:type="dxa" w:w="2268"/>
            <w:vAlign w:val="top"/>
          </w:tcPr>
          <w:p>
            <w:pPr>
              <w:spacing w:after="20" w:line="252" w:lineRule="auto"/>
            </w:pPr>
            <w:r>
              <w:rPr>
                <w:b w:val="0"/>
                <w:i w:val="0"/>
                <w:sz w:val="14"/>
              </w:rPr>
              <w:t>Same response for unknown user and wrong password (no user enumeration)</w:t>
            </w:r>
          </w:p>
        </w:tc>
        <w:tc>
          <w:tcPr>
            <w:tcW w:type="dxa" w:w="2211"/>
            <w:vAlign w:val="top"/>
          </w:tcPr>
          <w:p>
            <w:pPr>
              <w:spacing w:after="20" w:line="252" w:lineRule="auto"/>
            </w:pPr>
            <w:r>
              <w:rPr>
                <w:b w:val="0"/>
                <w:i w:val="0"/>
                <w:sz w:val="14"/>
              </w:rPr>
              <w:t>Identical message for unknown user and wrong password</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unknownUser: Invalid username or password; wrongPassword: Invalid username or password</w:t>
            </w:r>
          </w:p>
        </w:tc>
      </w:tr>
      <w:tr>
        <w:trPr>
          <w:cantSplit/>
        </w:trPr>
        <w:tc>
          <w:tcPr>
            <w:tcW w:type="dxa" w:w="794"/>
            <w:vAlign w:val="top"/>
            <w:shd w:val="clear" w:color="auto" w:fill="FDF0F7"/>
          </w:tcPr>
          <w:p>
            <w:pPr>
              <w:spacing w:after="20" w:line="252" w:lineRule="auto"/>
            </w:pPr>
            <w:r>
              <w:rPr>
                <w:b w:val="0"/>
                <w:i w:val="0"/>
                <w:sz w:val="14"/>
              </w:rPr>
              <w:t>SEC-05</w:t>
            </w:r>
          </w:p>
        </w:tc>
        <w:tc>
          <w:tcPr>
            <w:tcW w:type="dxa" w:w="737"/>
            <w:vAlign w:val="top"/>
            <w:shd w:val="clear" w:color="auto" w:fill="FDF0F7"/>
          </w:tcPr>
          <w:p>
            <w:pPr>
              <w:spacing w:after="20" w:line="252" w:lineRule="auto"/>
              <w:jc w:val="center"/>
            </w:pPr>
            <w:r>
              <w:rPr>
                <w:b w:val="0"/>
                <w:i w:val="0"/>
                <w:sz w:val="14"/>
              </w:rPr>
              <w:t>A07</w:t>
            </w:r>
          </w:p>
        </w:tc>
        <w:tc>
          <w:tcPr>
            <w:tcW w:type="dxa" w:w="2268"/>
            <w:vAlign w:val="top"/>
            <w:shd w:val="clear" w:color="auto" w:fill="FDF0F7"/>
          </w:tcPr>
          <w:p>
            <w:pPr>
              <w:spacing w:after="20" w:line="252" w:lineRule="auto"/>
            </w:pPr>
            <w:r>
              <w:rPr>
                <w:b w:val="0"/>
                <w:i w:val="0"/>
                <w:sz w:val="14"/>
              </w:rPr>
              <w:t>Session cookie is HttpOnly and SameSite=Strict (Secure is enforced in production configuration)</w:t>
            </w:r>
          </w:p>
        </w:tc>
        <w:tc>
          <w:tcPr>
            <w:tcW w:type="dxa" w:w="2211"/>
            <w:vAlign w:val="top"/>
            <w:shd w:val="clear" w:color="auto" w:fill="FDF0F7"/>
          </w:tcPr>
          <w:p>
            <w:pPr>
              <w:spacing w:after="20" w:line="252" w:lineRule="auto"/>
            </w:pPr>
            <w:r>
              <w:rPr>
                <w:b w:val="0"/>
                <w:i w:val="0"/>
                <w:sz w:val="14"/>
              </w:rPr>
              <w:t>HttpOnly and SameSite=Strict; Secure enforced by production configuration</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Set-Cookie: iift.sid=&lt;redacted&gt;; Path=/; HttpOnly; SameSite=Strict</w:t>
            </w:r>
          </w:p>
        </w:tc>
      </w:tr>
      <w:tr>
        <w:trPr>
          <w:cantSplit/>
        </w:trPr>
        <w:tc>
          <w:tcPr>
            <w:tcW w:type="dxa" w:w="794"/>
            <w:vAlign w:val="top"/>
          </w:tcPr>
          <w:p>
            <w:pPr>
              <w:spacing w:after="20" w:line="252" w:lineRule="auto"/>
            </w:pPr>
            <w:r>
              <w:rPr>
                <w:b w:val="0"/>
                <w:i w:val="0"/>
                <w:sz w:val="14"/>
              </w:rPr>
              <w:t>SEC-06</w:t>
            </w:r>
          </w:p>
        </w:tc>
        <w:tc>
          <w:tcPr>
            <w:tcW w:type="dxa" w:w="737"/>
            <w:vAlign w:val="top"/>
          </w:tcPr>
          <w:p>
            <w:pPr>
              <w:spacing w:after="20" w:line="252" w:lineRule="auto"/>
              <w:jc w:val="center"/>
            </w:pPr>
            <w:r>
              <w:rPr>
                <w:b w:val="0"/>
                <w:i w:val="0"/>
                <w:sz w:val="14"/>
              </w:rPr>
              <w:t>A07</w:t>
            </w:r>
          </w:p>
        </w:tc>
        <w:tc>
          <w:tcPr>
            <w:tcW w:type="dxa" w:w="2268"/>
            <w:vAlign w:val="top"/>
          </w:tcPr>
          <w:p>
            <w:pPr>
              <w:spacing w:after="20" w:line="252" w:lineRule="auto"/>
            </w:pPr>
            <w:r>
              <w:rPr>
                <w:b w:val="0"/>
                <w:i w:val="0"/>
                <w:sz w:val="14"/>
              </w:rPr>
              <w:t>Session identifier changes at every sign-in (no session fixation)</w:t>
            </w:r>
          </w:p>
        </w:tc>
        <w:tc>
          <w:tcPr>
            <w:tcW w:type="dxa" w:w="2211"/>
            <w:vAlign w:val="top"/>
          </w:tcPr>
          <w:p>
            <w:pPr>
              <w:spacing w:after="20" w:line="252" w:lineRule="auto"/>
            </w:pPr>
            <w:r>
              <w:rPr>
                <w:b w:val="0"/>
                <w:i w:val="0"/>
                <w:sz w:val="14"/>
              </w:rPr>
              <w:t>New session identifier after sign-in</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changed: True</w:t>
            </w:r>
          </w:p>
        </w:tc>
      </w:tr>
      <w:tr>
        <w:trPr>
          <w:cantSplit/>
        </w:trPr>
        <w:tc>
          <w:tcPr>
            <w:tcW w:type="dxa" w:w="794"/>
            <w:vAlign w:val="top"/>
            <w:shd w:val="clear" w:color="auto" w:fill="FDF0F7"/>
          </w:tcPr>
          <w:p>
            <w:pPr>
              <w:spacing w:after="20" w:line="252" w:lineRule="auto"/>
            </w:pPr>
            <w:r>
              <w:rPr>
                <w:b w:val="0"/>
                <w:i w:val="0"/>
                <w:sz w:val="14"/>
              </w:rPr>
              <w:t>SEC-07</w:t>
            </w:r>
          </w:p>
        </w:tc>
        <w:tc>
          <w:tcPr>
            <w:tcW w:type="dxa" w:w="737"/>
            <w:vAlign w:val="top"/>
            <w:shd w:val="clear" w:color="auto" w:fill="FDF0F7"/>
          </w:tcPr>
          <w:p>
            <w:pPr>
              <w:spacing w:after="20" w:line="252" w:lineRule="auto"/>
              <w:jc w:val="center"/>
            </w:pPr>
            <w:r>
              <w:rPr>
                <w:b w:val="0"/>
                <w:i w:val="0"/>
                <w:sz w:val="14"/>
              </w:rPr>
              <w:t>A07</w:t>
            </w:r>
          </w:p>
        </w:tc>
        <w:tc>
          <w:tcPr>
            <w:tcW w:type="dxa" w:w="2268"/>
            <w:vAlign w:val="top"/>
            <w:shd w:val="clear" w:color="auto" w:fill="FDF0F7"/>
          </w:tcPr>
          <w:p>
            <w:pPr>
              <w:spacing w:after="20" w:line="252" w:lineRule="auto"/>
            </w:pPr>
            <w:r>
              <w:rPr>
                <w:b w:val="0"/>
                <w:i w:val="0"/>
                <w:sz w:val="14"/>
              </w:rPr>
              <w:t>A session cookie cannot be reused after logout (server-side revocation)</w:t>
            </w:r>
          </w:p>
        </w:tc>
        <w:tc>
          <w:tcPr>
            <w:tcW w:type="dxa" w:w="2211"/>
            <w:vAlign w:val="top"/>
            <w:shd w:val="clear" w:color="auto" w:fill="FDF0F7"/>
          </w:tcPr>
          <w:p>
            <w:pPr>
              <w:spacing w:after="20" w:line="252" w:lineRule="auto"/>
            </w:pPr>
            <w:r>
              <w:rPr>
                <w:b w:val="0"/>
                <w:i w:val="0"/>
                <w:sz w:val="14"/>
              </w:rPr>
              <w:t>Old cookie rejected (401) after logout</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401</w:t>
            </w:r>
          </w:p>
        </w:tc>
      </w:tr>
      <w:tr>
        <w:trPr>
          <w:cantSplit/>
        </w:trPr>
        <w:tc>
          <w:tcPr>
            <w:tcW w:type="dxa" w:w="794"/>
            <w:vAlign w:val="top"/>
          </w:tcPr>
          <w:p>
            <w:pPr>
              <w:spacing w:after="20" w:line="252" w:lineRule="auto"/>
            </w:pPr>
            <w:r>
              <w:rPr>
                <w:b w:val="0"/>
                <w:i w:val="0"/>
                <w:sz w:val="14"/>
              </w:rPr>
              <w:t>SEC-08</w:t>
            </w:r>
          </w:p>
        </w:tc>
        <w:tc>
          <w:tcPr>
            <w:tcW w:type="dxa" w:w="737"/>
            <w:vAlign w:val="top"/>
          </w:tcPr>
          <w:p>
            <w:pPr>
              <w:spacing w:after="20" w:line="252" w:lineRule="auto"/>
              <w:jc w:val="center"/>
            </w:pPr>
            <w:r>
              <w:rPr>
                <w:b w:val="0"/>
                <w:i w:val="0"/>
                <w:sz w:val="14"/>
              </w:rPr>
              <w:t>A07</w:t>
            </w:r>
          </w:p>
        </w:tc>
        <w:tc>
          <w:tcPr>
            <w:tcW w:type="dxa" w:w="2268"/>
            <w:vAlign w:val="top"/>
          </w:tcPr>
          <w:p>
            <w:pPr>
              <w:spacing w:after="20" w:line="252" w:lineRule="auto"/>
            </w:pPr>
            <w:r>
              <w:rPr>
                <w:b w:val="0"/>
                <w:i w:val="0"/>
                <w:sz w:val="14"/>
              </w:rPr>
              <w:t>Sign-in attempts are rate limited per client (HTTP 429)</w:t>
            </w:r>
          </w:p>
        </w:tc>
        <w:tc>
          <w:tcPr>
            <w:tcW w:type="dxa" w:w="2211"/>
            <w:vAlign w:val="top"/>
          </w:tcPr>
          <w:p>
            <w:pPr>
              <w:spacing w:after="20" w:line="252" w:lineRule="auto"/>
            </w:pPr>
            <w:r>
              <w:rPr>
                <w:b w:val="0"/>
                <w:i w:val="0"/>
                <w:sz w:val="14"/>
              </w:rPr>
              <w:t>HTTP 429 once the per-client sign-in limit is reached</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12 of 12 attempts after the limit returned 429</w:t>
            </w:r>
          </w:p>
        </w:tc>
      </w:tr>
      <w:tr>
        <w:trPr>
          <w:cantSplit/>
        </w:trPr>
        <w:tc>
          <w:tcPr>
            <w:tcW w:type="dxa" w:w="794"/>
            <w:vAlign w:val="top"/>
            <w:shd w:val="clear" w:color="auto" w:fill="FDF0F7"/>
          </w:tcPr>
          <w:p>
            <w:pPr>
              <w:spacing w:after="20" w:line="252" w:lineRule="auto"/>
            </w:pPr>
            <w:r>
              <w:rPr>
                <w:b w:val="0"/>
                <w:i w:val="0"/>
                <w:sz w:val="14"/>
              </w:rPr>
              <w:t>SEC-30</w:t>
            </w:r>
          </w:p>
        </w:tc>
        <w:tc>
          <w:tcPr>
            <w:tcW w:type="dxa" w:w="737"/>
            <w:vAlign w:val="top"/>
            <w:shd w:val="clear" w:color="auto" w:fill="FDF0F7"/>
          </w:tcPr>
          <w:p>
            <w:pPr>
              <w:spacing w:after="20" w:line="252" w:lineRule="auto"/>
              <w:jc w:val="center"/>
            </w:pPr>
            <w:r>
              <w:rPr>
                <w:b w:val="0"/>
                <w:i w:val="0"/>
                <w:sz w:val="14"/>
              </w:rPr>
              <w:t>A07</w:t>
            </w:r>
          </w:p>
        </w:tc>
        <w:tc>
          <w:tcPr>
            <w:tcW w:type="dxa" w:w="2268"/>
            <w:vAlign w:val="top"/>
            <w:shd w:val="clear" w:color="auto" w:fill="FDF0F7"/>
          </w:tcPr>
          <w:p>
            <w:pPr>
              <w:spacing w:after="20" w:line="252" w:lineRule="auto"/>
            </w:pPr>
            <w:r>
              <w:rPr>
                <w:b w:val="0"/>
                <w:i w:val="0"/>
                <w:sz w:val="14"/>
              </w:rPr>
              <w:t>System-to-system APIs require a valid API key</w:t>
            </w:r>
          </w:p>
        </w:tc>
        <w:tc>
          <w:tcPr>
            <w:tcW w:type="dxa" w:w="2211"/>
            <w:vAlign w:val="top"/>
            <w:shd w:val="clear" w:color="auto" w:fill="FDF0F7"/>
          </w:tcPr>
          <w:p>
            <w:pPr>
              <w:spacing w:after="20" w:line="252" w:lineRule="auto"/>
            </w:pPr>
            <w:r>
              <w:rPr>
                <w:b w:val="0"/>
                <w:i w:val="0"/>
                <w:sz w:val="14"/>
              </w:rPr>
              <w:t>401 without a key and with a wrong key; valid key accepted</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withoutKey: 401; wrongKey: 401; validKey: 200</w:t>
            </w:r>
          </w:p>
        </w:tc>
      </w:tr>
      <w:tr>
        <w:trPr>
          <w:cantSplit/>
        </w:trPr>
        <w:tc>
          <w:tcPr>
            <w:tcW w:type="dxa" w:w="794"/>
            <w:vAlign w:val="top"/>
          </w:tcPr>
          <w:p>
            <w:pPr>
              <w:spacing w:after="20" w:line="252" w:lineRule="auto"/>
            </w:pPr>
            <w:r>
              <w:rPr>
                <w:b w:val="0"/>
                <w:i w:val="0"/>
                <w:sz w:val="14"/>
              </w:rPr>
              <w:t>SEC-22</w:t>
            </w:r>
          </w:p>
        </w:tc>
        <w:tc>
          <w:tcPr>
            <w:tcW w:type="dxa" w:w="737"/>
            <w:vAlign w:val="top"/>
          </w:tcPr>
          <w:p>
            <w:pPr>
              <w:spacing w:after="20" w:line="252" w:lineRule="auto"/>
              <w:jc w:val="center"/>
            </w:pPr>
            <w:r>
              <w:rPr>
                <w:b w:val="0"/>
                <w:i w:val="0"/>
                <w:sz w:val="14"/>
              </w:rPr>
              <w:t>A08</w:t>
            </w:r>
          </w:p>
        </w:tc>
        <w:tc>
          <w:tcPr>
            <w:tcW w:type="dxa" w:w="2268"/>
            <w:vAlign w:val="top"/>
          </w:tcPr>
          <w:p>
            <w:pPr>
              <w:spacing w:after="20" w:line="252" w:lineRule="auto"/>
            </w:pPr>
            <w:r>
              <w:rPr>
                <w:b w:val="0"/>
                <w:i w:val="0"/>
                <w:sz w:val="14"/>
              </w:rPr>
              <w:t>Uploads are checked by content: executables, HTML and SVG are refused</w:t>
            </w:r>
          </w:p>
        </w:tc>
        <w:tc>
          <w:tcPr>
            <w:tcW w:type="dxa" w:w="2211"/>
            <w:vAlign w:val="top"/>
          </w:tcPr>
          <w:p>
            <w:pPr>
              <w:spacing w:after="20" w:line="252" w:lineRule="auto"/>
            </w:pPr>
            <w:r>
              <w:rPr>
                <w:b w:val="0"/>
                <w:i w:val="0"/>
                <w:sz w:val="14"/>
              </w:rPr>
              <w:t>422 for executable, HTML and SVG content</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exe: 422; html: 422; svg: 422</w:t>
            </w:r>
          </w:p>
        </w:tc>
      </w:tr>
      <w:tr>
        <w:trPr>
          <w:cantSplit/>
        </w:trPr>
        <w:tc>
          <w:tcPr>
            <w:tcW w:type="dxa" w:w="794"/>
            <w:vAlign w:val="top"/>
            <w:shd w:val="clear" w:color="auto" w:fill="FDF0F7"/>
          </w:tcPr>
          <w:p>
            <w:pPr>
              <w:spacing w:after="20" w:line="252" w:lineRule="auto"/>
            </w:pPr>
            <w:r>
              <w:rPr>
                <w:b w:val="0"/>
                <w:i w:val="0"/>
                <w:sz w:val="14"/>
              </w:rPr>
              <w:t>SEC-23</w:t>
            </w:r>
          </w:p>
        </w:tc>
        <w:tc>
          <w:tcPr>
            <w:tcW w:type="dxa" w:w="737"/>
            <w:vAlign w:val="top"/>
            <w:shd w:val="clear" w:color="auto" w:fill="FDF0F7"/>
          </w:tcPr>
          <w:p>
            <w:pPr>
              <w:spacing w:after="20" w:line="252" w:lineRule="auto"/>
              <w:jc w:val="center"/>
            </w:pPr>
            <w:r>
              <w:rPr>
                <w:b w:val="0"/>
                <w:i w:val="0"/>
                <w:sz w:val="14"/>
              </w:rPr>
              <w:t>A08</w:t>
            </w:r>
          </w:p>
        </w:tc>
        <w:tc>
          <w:tcPr>
            <w:tcW w:type="dxa" w:w="2268"/>
            <w:vAlign w:val="top"/>
            <w:shd w:val="clear" w:color="auto" w:fill="FDF0F7"/>
          </w:tcPr>
          <w:p>
            <w:pPr>
              <w:spacing w:after="20" w:line="252" w:lineRule="auto"/>
            </w:pPr>
            <w:r>
              <w:rPr>
                <w:b w:val="0"/>
                <w:i w:val="0"/>
                <w:sz w:val="14"/>
              </w:rPr>
              <w:t>Uploads above the size limit are refused</w:t>
            </w:r>
          </w:p>
        </w:tc>
        <w:tc>
          <w:tcPr>
            <w:tcW w:type="dxa" w:w="2211"/>
            <w:vAlign w:val="top"/>
            <w:shd w:val="clear" w:color="auto" w:fill="FDF0F7"/>
          </w:tcPr>
          <w:p>
            <w:pPr>
              <w:spacing w:after="20" w:line="252" w:lineRule="auto"/>
            </w:pPr>
            <w:r>
              <w:rPr>
                <w:b w:val="0"/>
                <w:i w:val="0"/>
                <w:sz w:val="14"/>
              </w:rPr>
              <w:t>422 FILE_TOO_LARGE</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status: 422; code: FILE_TOO_LARGE</w:t>
            </w:r>
          </w:p>
        </w:tc>
      </w:tr>
      <w:tr>
        <w:trPr>
          <w:cantSplit/>
        </w:trPr>
        <w:tc>
          <w:tcPr>
            <w:tcW w:type="dxa" w:w="794"/>
            <w:vAlign w:val="top"/>
          </w:tcPr>
          <w:p>
            <w:pPr>
              <w:spacing w:after="20" w:line="252" w:lineRule="auto"/>
            </w:pPr>
            <w:r>
              <w:rPr>
                <w:b w:val="0"/>
                <w:i w:val="0"/>
                <w:sz w:val="14"/>
              </w:rPr>
              <w:t>SEC-24</w:t>
            </w:r>
          </w:p>
        </w:tc>
        <w:tc>
          <w:tcPr>
            <w:tcW w:type="dxa" w:w="737"/>
            <w:vAlign w:val="top"/>
          </w:tcPr>
          <w:p>
            <w:pPr>
              <w:spacing w:after="20" w:line="252" w:lineRule="auto"/>
              <w:jc w:val="center"/>
            </w:pPr>
            <w:r>
              <w:rPr>
                <w:b w:val="0"/>
                <w:i w:val="0"/>
                <w:sz w:val="14"/>
              </w:rPr>
              <w:t>A08</w:t>
            </w:r>
          </w:p>
        </w:tc>
        <w:tc>
          <w:tcPr>
            <w:tcW w:type="dxa" w:w="2268"/>
            <w:vAlign w:val="top"/>
          </w:tcPr>
          <w:p>
            <w:pPr>
              <w:spacing w:after="20" w:line="252" w:lineRule="auto"/>
            </w:pPr>
            <w:r>
              <w:rPr>
                <w:b w:val="0"/>
                <w:i w:val="0"/>
                <w:sz w:val="14"/>
              </w:rPr>
              <w:t>Path elements in file names are removed</w:t>
            </w:r>
          </w:p>
        </w:tc>
        <w:tc>
          <w:tcPr>
            <w:tcW w:type="dxa" w:w="2211"/>
            <w:vAlign w:val="top"/>
          </w:tcPr>
          <w:p>
            <w:pPr>
              <w:spacing w:after="20" w:line="252" w:lineRule="auto"/>
            </w:pPr>
            <w:r>
              <w:rPr>
                <w:b w:val="0"/>
                <w:i w:val="0"/>
                <w:sz w:val="14"/>
              </w:rPr>
              <w:t>Stored name stripped of path elements</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status: 201; storedName: passwd.pdf</w:t>
            </w:r>
          </w:p>
        </w:tc>
      </w:tr>
      <w:tr>
        <w:trPr>
          <w:cantSplit/>
        </w:trPr>
        <w:tc>
          <w:tcPr>
            <w:tcW w:type="dxa" w:w="794"/>
            <w:vAlign w:val="top"/>
            <w:shd w:val="clear" w:color="auto" w:fill="FDF0F7"/>
          </w:tcPr>
          <w:p>
            <w:pPr>
              <w:spacing w:after="20" w:line="252" w:lineRule="auto"/>
            </w:pPr>
            <w:r>
              <w:rPr>
                <w:b w:val="0"/>
                <w:i w:val="0"/>
                <w:sz w:val="14"/>
              </w:rPr>
              <w:t>SEC-27</w:t>
            </w:r>
          </w:p>
        </w:tc>
        <w:tc>
          <w:tcPr>
            <w:tcW w:type="dxa" w:w="737"/>
            <w:vAlign w:val="top"/>
            <w:shd w:val="clear" w:color="auto" w:fill="FDF0F7"/>
          </w:tcPr>
          <w:p>
            <w:pPr>
              <w:spacing w:after="20" w:line="252" w:lineRule="auto"/>
              <w:jc w:val="center"/>
            </w:pPr>
            <w:r>
              <w:rPr>
                <w:b w:val="0"/>
                <w:i w:val="0"/>
                <w:sz w:val="14"/>
              </w:rPr>
              <w:t>A09</w:t>
            </w:r>
          </w:p>
        </w:tc>
        <w:tc>
          <w:tcPr>
            <w:tcW w:type="dxa" w:w="2268"/>
            <w:vAlign w:val="top"/>
            <w:shd w:val="clear" w:color="auto" w:fill="FDF0F7"/>
          </w:tcPr>
          <w:p>
            <w:pPr>
              <w:spacing w:after="20" w:line="252" w:lineRule="auto"/>
            </w:pPr>
            <w:r>
              <w:rPr>
                <w:b w:val="0"/>
                <w:i w:val="0"/>
                <w:sz w:val="14"/>
              </w:rPr>
              <w:t>Failed sign-ins are recorded in the audit trail with IP address</w:t>
            </w:r>
          </w:p>
        </w:tc>
        <w:tc>
          <w:tcPr>
            <w:tcW w:type="dxa" w:w="2211"/>
            <w:vAlign w:val="top"/>
            <w:shd w:val="clear" w:color="auto" w:fill="FDF0F7"/>
          </w:tcPr>
          <w:p>
            <w:pPr>
              <w:spacing w:after="20" w:line="252" w:lineRule="auto"/>
            </w:pPr>
            <w:r>
              <w:rPr>
                <w:b w:val="0"/>
                <w:i w:val="0"/>
                <w:sz w:val="14"/>
              </w:rPr>
              <w:t>LOGIN_FAILED events with IP address in the audit trail</w:t>
            </w:r>
          </w:p>
        </w:tc>
        <w:tc>
          <w:tcPr>
            <w:tcW w:type="dxa" w:w="737"/>
            <w:vAlign w:val="top"/>
            <w:shd w:val="clear" w:color="auto" w:fill="FDF0F7"/>
          </w:tcPr>
          <w:p>
            <w:pPr>
              <w:spacing w:after="20" w:line="252" w:lineRule="auto"/>
              <w:jc w:val="center"/>
            </w:pPr>
            <w:r>
              <w:rPr>
                <w:b w:val="0"/>
                <w:i w:val="0"/>
                <w:sz w:val="14"/>
              </w:rPr>
              <w:t>Pass</w:t>
            </w:r>
          </w:p>
        </w:tc>
        <w:tc>
          <w:tcPr>
            <w:tcW w:type="dxa" w:w="2891"/>
            <w:vAlign w:val="top"/>
            <w:shd w:val="clear" w:color="auto" w:fill="FDF0F7"/>
          </w:tcPr>
          <w:p>
            <w:pPr>
              <w:spacing w:after="20" w:line="252" w:lineRule="auto"/>
            </w:pPr>
            <w:r>
              <w:rPr>
                <w:b w:val="0"/>
                <w:i w:val="0"/>
                <w:sz w:val="14"/>
              </w:rPr>
              <w:t>4 failure events; sample LOGIN_FAILED from 127.0.0.1</w:t>
            </w:r>
          </w:p>
        </w:tc>
      </w:tr>
      <w:tr>
        <w:trPr>
          <w:cantSplit/>
        </w:trPr>
        <w:tc>
          <w:tcPr>
            <w:tcW w:type="dxa" w:w="794"/>
            <w:vAlign w:val="top"/>
          </w:tcPr>
          <w:p>
            <w:pPr>
              <w:spacing w:after="20" w:line="252" w:lineRule="auto"/>
            </w:pPr>
            <w:r>
              <w:rPr>
                <w:b w:val="0"/>
                <w:i w:val="0"/>
                <w:sz w:val="14"/>
              </w:rPr>
              <w:t>SEC-28</w:t>
            </w:r>
          </w:p>
        </w:tc>
        <w:tc>
          <w:tcPr>
            <w:tcW w:type="dxa" w:w="737"/>
            <w:vAlign w:val="top"/>
          </w:tcPr>
          <w:p>
            <w:pPr>
              <w:spacing w:after="20" w:line="252" w:lineRule="auto"/>
              <w:jc w:val="center"/>
            </w:pPr>
            <w:r>
              <w:rPr>
                <w:b w:val="0"/>
                <w:i w:val="0"/>
                <w:sz w:val="14"/>
              </w:rPr>
              <w:t>A09</w:t>
            </w:r>
          </w:p>
        </w:tc>
        <w:tc>
          <w:tcPr>
            <w:tcW w:type="dxa" w:w="2268"/>
            <w:vAlign w:val="top"/>
          </w:tcPr>
          <w:p>
            <w:pPr>
              <w:spacing w:after="20" w:line="252" w:lineRule="auto"/>
            </w:pPr>
            <w:r>
              <w:rPr>
                <w:b w:val="0"/>
                <w:i w:val="0"/>
                <w:sz w:val="14"/>
              </w:rPr>
              <w:t>Every response carries a correlation id for tracing</w:t>
            </w:r>
          </w:p>
        </w:tc>
        <w:tc>
          <w:tcPr>
            <w:tcW w:type="dxa" w:w="2211"/>
            <w:vAlign w:val="top"/>
          </w:tcPr>
          <w:p>
            <w:pPr>
              <w:spacing w:after="20" w:line="252" w:lineRule="auto"/>
            </w:pPr>
            <w:r>
              <w:rPr>
                <w:b w:val="0"/>
                <w:i w:val="0"/>
                <w:sz w:val="14"/>
              </w:rPr>
              <w:t>X-Request-Id on every response</w:t>
            </w:r>
          </w:p>
        </w:tc>
        <w:tc>
          <w:tcPr>
            <w:tcW w:type="dxa" w:w="737"/>
            <w:vAlign w:val="top"/>
          </w:tcPr>
          <w:p>
            <w:pPr>
              <w:spacing w:after="20" w:line="252" w:lineRule="auto"/>
              <w:jc w:val="center"/>
            </w:pPr>
            <w:r>
              <w:rPr>
                <w:b w:val="0"/>
                <w:i w:val="0"/>
                <w:sz w:val="14"/>
              </w:rPr>
              <w:t>Pass</w:t>
            </w:r>
          </w:p>
        </w:tc>
        <w:tc>
          <w:tcPr>
            <w:tcW w:type="dxa" w:w="2891"/>
            <w:vAlign w:val="top"/>
          </w:tcPr>
          <w:p>
            <w:pPr>
              <w:spacing w:after="20" w:line="252" w:lineRule="auto"/>
            </w:pPr>
            <w:r>
              <w:rPr>
                <w:b w:val="0"/>
                <w:i w:val="0"/>
                <w:sz w:val="14"/>
              </w:rPr>
              <w:t>x-request-id: 4f6c99d9-b908-4f7e-8546-e28814373c4a</w:t>
            </w:r>
          </w:p>
        </w:tc>
      </w:tr>
    </w:tbl>
    <w:p>
      <w:pPr>
        <w:pStyle w:val="Caption"/>
        <w:jc w:val="center"/>
      </w:pPr>
      <w:r>
        <w:rPr>
          <w:b w:val="0"/>
          <w:i w:val="0"/>
        </w:rPr>
        <w:t>Table 3: Automated security checks</w:t>
      </w:r>
    </w:p>
    <w:p>
      <w:pPr>
        <w:keepNext w:val="0"/>
      </w:pPr>
      <w:r>
        <w:rPr>
          <w:b w:val="0"/>
          <w:i w:val="0"/>
        </w:rPr>
        <w:t>Check IDs follow the script's numbering; the gap at SEC-16 is intentional. Cookie values are redacted in the evidence.</w:t>
      </w:r>
    </w:p>
    <w:p>
      <w:pPr>
        <w:pStyle w:val="Heading1"/>
        <w:pageBreakBefore/>
        <w:pBdr>
          <w:bottom w:val="single" w:sz="12" w:space="4" w:color="F58220"/>
        </w:pBdr>
      </w:pPr>
      <w:r>
        <w:t>5. Security controls implemented</w:t>
      </w:r>
    </w:p>
    <w:p>
      <w:pPr>
        <w:keepNext w:val="0"/>
      </w:pPr>
      <w:r>
        <w:rPr>
          <w:b w:val="0"/>
          <w:i w:val="0"/>
        </w:rPr>
        <w:t>The controls below are in the current build. Default values are read from the platform's settings definitions and can be changed by IIFT administrators in the back-office; every change is audited.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6237"/>
        <w:gridCol w:w="1701"/>
      </w:tblGrid>
      <w:tr>
        <w:trPr>
          <w:cantSplit/>
          <w:tblHeader/>
        </w:trPr>
        <w:tc>
          <w:tcPr>
            <w:tcW w:type="dxa" w:w="1701"/>
            <w:shd w:val="clear" w:color="auto" w:fill="E1058C"/>
            <w:vAlign w:val="center"/>
          </w:tcPr>
          <w:p>
            <w:pPr>
              <w:spacing w:after="0"/>
            </w:pPr>
            <w:r>
              <w:rPr>
                <w:b/>
                <w:i w:val="0"/>
                <w:color w:val="FFFFFF"/>
                <w:sz w:val="16"/>
              </w:rPr>
              <w:t>Control</w:t>
            </w:r>
          </w:p>
        </w:tc>
        <w:tc>
          <w:tcPr>
            <w:tcW w:type="dxa" w:w="6236"/>
            <w:shd w:val="clear" w:color="auto" w:fill="E1058C"/>
            <w:vAlign w:val="center"/>
          </w:tcPr>
          <w:p>
            <w:pPr>
              <w:spacing w:after="0"/>
            </w:pPr>
            <w:r>
              <w:rPr>
                <w:b/>
                <w:i w:val="0"/>
                <w:color w:val="FFFFFF"/>
                <w:sz w:val="16"/>
              </w:rPr>
              <w:t>Implementation</w:t>
            </w:r>
          </w:p>
        </w:tc>
        <w:tc>
          <w:tcPr>
            <w:tcW w:type="dxa" w:w="1701"/>
            <w:shd w:val="clear" w:color="auto" w:fill="E1058C"/>
            <w:vAlign w:val="center"/>
          </w:tcPr>
          <w:p>
            <w:pPr>
              <w:spacing w:after="0"/>
            </w:pPr>
            <w:r>
              <w:rPr>
                <w:b/>
                <w:i w:val="0"/>
                <w:color w:val="FFFFFF"/>
                <w:sz w:val="16"/>
              </w:rPr>
              <w:t>RFP reference</w:t>
            </w:r>
          </w:p>
        </w:tc>
      </w:tr>
      <w:tr>
        <w:trPr>
          <w:cantSplit/>
        </w:trPr>
        <w:tc>
          <w:tcPr>
            <w:tcW w:type="dxa" w:w="1701"/>
            <w:vAlign w:val="top"/>
          </w:tcPr>
          <w:p>
            <w:pPr>
              <w:spacing w:after="20" w:line="252" w:lineRule="auto"/>
            </w:pPr>
            <w:r>
              <w:rPr>
                <w:b/>
                <w:i w:val="0"/>
                <w:sz w:val="16"/>
              </w:rPr>
              <w:t>Authentication</w:t>
            </w:r>
          </w:p>
        </w:tc>
        <w:tc>
          <w:tcPr>
            <w:tcW w:type="dxa" w:w="6236"/>
            <w:vAlign w:val="top"/>
          </w:tcPr>
          <w:p>
            <w:pPr>
              <w:spacing w:after="20" w:line="252" w:lineRule="auto"/>
            </w:pPr>
            <w:r>
              <w:rPr>
                <w:b w:val="0"/>
                <w:i w:val="0"/>
                <w:sz w:val="16"/>
              </w:rPr>
              <w:t>Argon2id password hashing (OWASP parameters); identical message for unknown user and wrong password; Active Directory sign-on for back-office users with escaped LDAP filters</w:t>
            </w:r>
          </w:p>
        </w:tc>
        <w:tc>
          <w:tcPr>
            <w:tcW w:type="dxa" w:w="1701"/>
            <w:vAlign w:val="top"/>
          </w:tcPr>
          <w:p>
            <w:pPr>
              <w:spacing w:after="20" w:line="252" w:lineRule="auto"/>
            </w:pPr>
            <w:r>
              <w:rPr>
                <w:b w:val="0"/>
                <w:i w:val="0"/>
                <w:sz w:val="16"/>
              </w:rPr>
              <w:t>AP-01, NFR-09, INT-06</w:t>
            </w:r>
          </w:p>
        </w:tc>
      </w:tr>
      <w:tr>
        <w:trPr>
          <w:cantSplit/>
        </w:trPr>
        <w:tc>
          <w:tcPr>
            <w:tcW w:type="dxa" w:w="1701"/>
            <w:vAlign w:val="top"/>
            <w:shd w:val="clear" w:color="auto" w:fill="FDF0F7"/>
          </w:tcPr>
          <w:p>
            <w:pPr>
              <w:spacing w:after="20" w:line="252" w:lineRule="auto"/>
            </w:pPr>
            <w:r>
              <w:rPr>
                <w:b/>
                <w:i w:val="0"/>
                <w:sz w:val="16"/>
              </w:rPr>
              <w:t>Password policy</w:t>
            </w:r>
          </w:p>
        </w:tc>
        <w:tc>
          <w:tcPr>
            <w:tcW w:type="dxa" w:w="6236"/>
            <w:vAlign w:val="top"/>
            <w:shd w:val="clear" w:color="auto" w:fill="FDF0F7"/>
          </w:tcPr>
          <w:p>
            <w:pPr>
              <w:spacing w:after="20" w:line="252" w:lineRule="auto"/>
            </w:pPr>
            <w:r>
              <w:rPr>
                <w:b w:val="0"/>
                <w:i w:val="0"/>
                <w:sz w:val="16"/>
              </w:rPr>
              <w:t>At least 12 characters with upper case, lower case, digit and symbol; last 5 passwords blocked; expiry 90 days; username not allowed; all configurable</w:t>
            </w:r>
          </w:p>
        </w:tc>
        <w:tc>
          <w:tcPr>
            <w:tcW w:type="dxa" w:w="1701"/>
            <w:vAlign w:val="top"/>
            <w:shd w:val="clear" w:color="auto" w:fill="FDF0F7"/>
          </w:tcPr>
          <w:p>
            <w:pPr>
              <w:spacing w:after="20" w:line="252" w:lineRule="auto"/>
            </w:pPr>
            <w:r>
              <w:rPr>
                <w:b w:val="0"/>
                <w:i w:val="0"/>
                <w:sz w:val="16"/>
              </w:rPr>
              <w:t>AP-02</w:t>
            </w:r>
          </w:p>
        </w:tc>
      </w:tr>
      <w:tr>
        <w:trPr>
          <w:cantSplit/>
        </w:trPr>
        <w:tc>
          <w:tcPr>
            <w:tcW w:type="dxa" w:w="1701"/>
            <w:vAlign w:val="top"/>
          </w:tcPr>
          <w:p>
            <w:pPr>
              <w:spacing w:after="20" w:line="252" w:lineRule="auto"/>
            </w:pPr>
            <w:r>
              <w:rPr>
                <w:b/>
                <w:i w:val="0"/>
                <w:sz w:val="16"/>
              </w:rPr>
              <w:t>Sessions</w:t>
            </w:r>
          </w:p>
        </w:tc>
        <w:tc>
          <w:tcPr>
            <w:tcW w:type="dxa" w:w="6236"/>
            <w:vAlign w:val="top"/>
          </w:tcPr>
          <w:p>
            <w:pPr>
              <w:spacing w:after="20" w:line="252" w:lineRule="auto"/>
            </w:pPr>
            <w:r>
              <w:rPr>
                <w:b w:val="0"/>
                <w:i w:val="0"/>
                <w:sz w:val="16"/>
              </w:rPr>
              <w:t>Server-side sessions in PostgreSQL; new session id at sign-in; HttpOnly, SameSite=Strict cookie, Secure in production; 15-minute idle and 8-hour absolute timeout; single active session on; revocation at logout and on password change</w:t>
            </w:r>
          </w:p>
        </w:tc>
        <w:tc>
          <w:tcPr>
            <w:tcW w:type="dxa" w:w="1701"/>
            <w:vAlign w:val="top"/>
          </w:tcPr>
          <w:p>
            <w:pPr>
              <w:spacing w:after="20" w:line="252" w:lineRule="auto"/>
            </w:pPr>
            <w:r>
              <w:rPr>
                <w:b w:val="0"/>
                <w:i w:val="0"/>
                <w:sz w:val="16"/>
              </w:rPr>
              <w:t>AP-03</w:t>
            </w:r>
          </w:p>
        </w:tc>
      </w:tr>
      <w:tr>
        <w:trPr>
          <w:cantSplit/>
        </w:trPr>
        <w:tc>
          <w:tcPr>
            <w:tcW w:type="dxa" w:w="1701"/>
            <w:vAlign w:val="top"/>
            <w:shd w:val="clear" w:color="auto" w:fill="FDF0F7"/>
          </w:tcPr>
          <w:p>
            <w:pPr>
              <w:spacing w:after="20" w:line="252" w:lineRule="auto"/>
            </w:pPr>
            <w:r>
              <w:rPr>
                <w:b/>
                <w:i w:val="0"/>
                <w:sz w:val="16"/>
              </w:rPr>
              <w:t>Lockout and rate limits</w:t>
            </w:r>
          </w:p>
        </w:tc>
        <w:tc>
          <w:tcPr>
            <w:tcW w:type="dxa" w:w="6236"/>
            <w:vAlign w:val="top"/>
            <w:shd w:val="clear" w:color="auto" w:fill="FDF0F7"/>
          </w:tcPr>
          <w:p>
            <w:pPr>
              <w:spacing w:after="20" w:line="252" w:lineRule="auto"/>
            </w:pPr>
            <w:r>
              <w:rPr>
                <w:b w:val="0"/>
                <w:i w:val="0"/>
                <w:sz w:val="16"/>
              </w:rPr>
              <w:t>Account locked for 30 minutes after 5 failed attempts; sign-in limited per client address (HTTP 429); global request limit; web-tier request limit</w:t>
            </w:r>
          </w:p>
        </w:tc>
        <w:tc>
          <w:tcPr>
            <w:tcW w:type="dxa" w:w="1701"/>
            <w:vAlign w:val="top"/>
            <w:shd w:val="clear" w:color="auto" w:fill="FDF0F7"/>
          </w:tcPr>
          <w:p>
            <w:pPr>
              <w:spacing w:after="20" w:line="252" w:lineRule="auto"/>
            </w:pPr>
            <w:r>
              <w:rPr>
                <w:b w:val="0"/>
                <w:i w:val="0"/>
                <w:sz w:val="16"/>
              </w:rPr>
              <w:t>AP-04, NFR-09</w:t>
            </w:r>
          </w:p>
        </w:tc>
      </w:tr>
      <w:tr>
        <w:trPr>
          <w:cantSplit/>
        </w:trPr>
        <w:tc>
          <w:tcPr>
            <w:tcW w:type="dxa" w:w="1701"/>
            <w:vAlign w:val="top"/>
          </w:tcPr>
          <w:p>
            <w:pPr>
              <w:spacing w:after="20" w:line="252" w:lineRule="auto"/>
            </w:pPr>
            <w:r>
              <w:rPr>
                <w:b/>
                <w:i w:val="0"/>
                <w:sz w:val="16"/>
              </w:rPr>
              <w:t>Authorisation</w:t>
            </w:r>
          </w:p>
        </w:tc>
        <w:tc>
          <w:tcPr>
            <w:tcW w:type="dxa" w:w="6236"/>
            <w:vAlign w:val="top"/>
          </w:tcPr>
          <w:p>
            <w:pPr>
              <w:spacing w:after="20" w:line="252" w:lineRule="auto"/>
            </w:pPr>
            <w:r>
              <w:rPr>
                <w:b w:val="0"/>
                <w:i w:val="0"/>
                <w:sz w:val="16"/>
              </w:rPr>
              <w:t>Permission guard on every route; separate portal and back-office audiences; data scoping by agency and hierarchy; users cannot grant permissions they lack</w:t>
            </w:r>
          </w:p>
        </w:tc>
        <w:tc>
          <w:tcPr>
            <w:tcW w:type="dxa" w:w="1701"/>
            <w:vAlign w:val="top"/>
          </w:tcPr>
          <w:p>
            <w:pPr>
              <w:spacing w:after="20" w:line="252" w:lineRule="auto"/>
            </w:pPr>
            <w:r>
              <w:rPr>
                <w:b w:val="0"/>
                <w:i w:val="0"/>
                <w:sz w:val="16"/>
              </w:rPr>
              <w:t>COM-02, NFR-10</w:t>
            </w:r>
          </w:p>
        </w:tc>
      </w:tr>
      <w:tr>
        <w:trPr>
          <w:cantSplit/>
        </w:trPr>
        <w:tc>
          <w:tcPr>
            <w:tcW w:type="dxa" w:w="1701"/>
            <w:vAlign w:val="top"/>
            <w:shd w:val="clear" w:color="auto" w:fill="FDF0F7"/>
          </w:tcPr>
          <w:p>
            <w:pPr>
              <w:spacing w:after="20" w:line="252" w:lineRule="auto"/>
            </w:pPr>
            <w:r>
              <w:rPr>
                <w:b/>
                <w:i w:val="0"/>
                <w:sz w:val="16"/>
              </w:rPr>
              <w:t>CSRF</w:t>
            </w:r>
          </w:p>
        </w:tc>
        <w:tc>
          <w:tcPr>
            <w:tcW w:type="dxa" w:w="6236"/>
            <w:vAlign w:val="top"/>
            <w:shd w:val="clear" w:color="auto" w:fill="FDF0F7"/>
          </w:tcPr>
          <w:p>
            <w:pPr>
              <w:spacing w:after="20" w:line="252" w:lineRule="auto"/>
            </w:pPr>
            <w:r>
              <w:rPr>
                <w:b w:val="0"/>
                <w:i w:val="0"/>
                <w:sz w:val="16"/>
              </w:rPr>
              <w:t>Synchroniser token issued at sign-in, checked in constant time on every state-changing request</w:t>
            </w:r>
          </w:p>
        </w:tc>
        <w:tc>
          <w:tcPr>
            <w:tcW w:type="dxa" w:w="1701"/>
            <w:vAlign w:val="top"/>
            <w:shd w:val="clear" w:color="auto" w:fill="FDF0F7"/>
          </w:tcPr>
          <w:p>
            <w:pPr>
              <w:spacing w:after="20" w:line="252" w:lineRule="auto"/>
            </w:pPr>
            <w:r>
              <w:rPr>
                <w:b w:val="0"/>
                <w:i w:val="0"/>
                <w:sz w:val="16"/>
              </w:rPr>
              <w:t>NFR-14</w:t>
            </w:r>
          </w:p>
        </w:tc>
      </w:tr>
      <w:tr>
        <w:trPr>
          <w:cantSplit/>
        </w:trPr>
        <w:tc>
          <w:tcPr>
            <w:tcW w:type="dxa" w:w="1701"/>
            <w:vAlign w:val="top"/>
          </w:tcPr>
          <w:p>
            <w:pPr>
              <w:spacing w:after="20" w:line="252" w:lineRule="auto"/>
            </w:pPr>
            <w:r>
              <w:rPr>
                <w:b/>
                <w:i w:val="0"/>
                <w:sz w:val="16"/>
              </w:rPr>
              <w:t>Encryption in transit</w:t>
            </w:r>
          </w:p>
        </w:tc>
        <w:tc>
          <w:tcPr>
            <w:tcW w:type="dxa" w:w="6236"/>
            <w:vAlign w:val="top"/>
          </w:tcPr>
          <w:p>
            <w:pPr>
              <w:spacing w:after="20" w:line="252" w:lineRule="auto"/>
            </w:pPr>
            <w:r>
              <w:rPr>
                <w:b w:val="0"/>
                <w:i w:val="0"/>
                <w:sz w:val="16"/>
              </w:rPr>
              <w:t>HSTS on API and web tier; TLS terminated at the web tier or load balancer</w:t>
            </w:r>
          </w:p>
        </w:tc>
        <w:tc>
          <w:tcPr>
            <w:tcW w:type="dxa" w:w="1701"/>
            <w:vAlign w:val="top"/>
          </w:tcPr>
          <w:p>
            <w:pPr>
              <w:spacing w:after="20" w:line="252" w:lineRule="auto"/>
            </w:pPr>
            <w:r>
              <w:rPr>
                <w:b w:val="0"/>
                <w:i w:val="0"/>
                <w:sz w:val="16"/>
              </w:rPr>
              <w:t>COM-10, NFR-08</w:t>
            </w:r>
          </w:p>
        </w:tc>
      </w:tr>
      <w:tr>
        <w:trPr>
          <w:cantSplit/>
        </w:trPr>
        <w:tc>
          <w:tcPr>
            <w:tcW w:type="dxa" w:w="1701"/>
            <w:vAlign w:val="top"/>
            <w:shd w:val="clear" w:color="auto" w:fill="FDF0F7"/>
          </w:tcPr>
          <w:p>
            <w:pPr>
              <w:spacing w:after="20" w:line="252" w:lineRule="auto"/>
            </w:pPr>
            <w:r>
              <w:rPr>
                <w:b/>
                <w:i w:val="0"/>
                <w:sz w:val="16"/>
              </w:rPr>
              <w:t>Encryption at rest</w:t>
            </w:r>
          </w:p>
        </w:tc>
        <w:tc>
          <w:tcPr>
            <w:tcW w:type="dxa" w:w="6236"/>
            <w:vAlign w:val="top"/>
            <w:shd w:val="clear" w:color="auto" w:fill="FDF0F7"/>
          </w:tcPr>
          <w:p>
            <w:pPr>
              <w:spacing w:after="20" w:line="252" w:lineRule="auto"/>
            </w:pPr>
            <w:r>
              <w:rPr>
                <w:b w:val="0"/>
                <w:i w:val="0"/>
                <w:sz w:val="16"/>
              </w:rPr>
              <w:t>IC and passport numbers encrypted with AES-256-GCM (random IV, authentication tag, key version prefix) and an HMAC-SHA256 blind index; documents encrypted with AES-256-GCM and stored with mode 0600; ciphertext is never returned, and approval request views drop encrypted payload values</w:t>
            </w:r>
          </w:p>
        </w:tc>
        <w:tc>
          <w:tcPr>
            <w:tcW w:type="dxa" w:w="1701"/>
            <w:vAlign w:val="top"/>
            <w:shd w:val="clear" w:color="auto" w:fill="FDF0F7"/>
          </w:tcPr>
          <w:p>
            <w:pPr>
              <w:spacing w:after="20" w:line="252" w:lineRule="auto"/>
            </w:pPr>
            <w:r>
              <w:rPr>
                <w:b w:val="0"/>
                <w:i w:val="0"/>
                <w:sz w:val="16"/>
              </w:rPr>
              <w:t>COM-01, COM-10, NFR-08</w:t>
            </w:r>
          </w:p>
        </w:tc>
      </w:tr>
      <w:tr>
        <w:trPr>
          <w:cantSplit/>
        </w:trPr>
        <w:tc>
          <w:tcPr>
            <w:tcW w:type="dxa" w:w="1701"/>
            <w:vAlign w:val="top"/>
          </w:tcPr>
          <w:p>
            <w:pPr>
              <w:spacing w:after="20" w:line="252" w:lineRule="auto"/>
            </w:pPr>
            <w:r>
              <w:rPr>
                <w:b/>
                <w:i w:val="0"/>
                <w:sz w:val="16"/>
              </w:rPr>
              <w:t>Input validation</w:t>
            </w:r>
          </w:p>
        </w:tc>
        <w:tc>
          <w:tcPr>
            <w:tcW w:type="dxa" w:w="6236"/>
            <w:vAlign w:val="top"/>
          </w:tcPr>
          <w:p>
            <w:pPr>
              <w:spacing w:after="20" w:line="252" w:lineRule="auto"/>
            </w:pPr>
            <w:r>
              <w:rPr>
                <w:b w:val="0"/>
                <w:i w:val="0"/>
                <w:sz w:val="16"/>
              </w:rPr>
              <w:t>DTO whitelist with forbidNonWhitelisted; 2 MB JSON limit; parameterised database access</w:t>
            </w:r>
          </w:p>
        </w:tc>
        <w:tc>
          <w:tcPr>
            <w:tcW w:type="dxa" w:w="1701"/>
            <w:vAlign w:val="top"/>
          </w:tcPr>
          <w:p>
            <w:pPr>
              <w:spacing w:after="20" w:line="252" w:lineRule="auto"/>
            </w:pPr>
            <w:r>
              <w:rPr>
                <w:b w:val="0"/>
                <w:i w:val="0"/>
                <w:sz w:val="16"/>
              </w:rPr>
              <w:t>NFR-14, NFR-30</w:t>
            </w:r>
          </w:p>
        </w:tc>
      </w:tr>
      <w:tr>
        <w:trPr>
          <w:cantSplit/>
        </w:trPr>
        <w:tc>
          <w:tcPr>
            <w:tcW w:type="dxa" w:w="1701"/>
            <w:vAlign w:val="top"/>
            <w:shd w:val="clear" w:color="auto" w:fill="FDF0F7"/>
          </w:tcPr>
          <w:p>
            <w:pPr>
              <w:spacing w:after="20" w:line="252" w:lineRule="auto"/>
            </w:pPr>
            <w:r>
              <w:rPr>
                <w:b/>
                <w:i w:val="0"/>
                <w:sz w:val="16"/>
              </w:rPr>
              <w:t>File uploads</w:t>
            </w:r>
          </w:p>
        </w:tc>
        <w:tc>
          <w:tcPr>
            <w:tcW w:type="dxa" w:w="6236"/>
            <w:vAlign w:val="top"/>
            <w:shd w:val="clear" w:color="auto" w:fill="FDF0F7"/>
          </w:tcPr>
          <w:p>
            <w:pPr>
              <w:spacing w:after="20" w:line="252" w:lineRule="auto"/>
            </w:pPr>
            <w:r>
              <w:rPr>
                <w:b w:val="0"/>
                <w:i w:val="0"/>
                <w:sz w:val="16"/>
              </w:rPr>
              <w:t>Type detected from content (PDF, PNG, JPEG only); extension forced to match; size limit; path elements removed; SHA-256 recorded; ClamAV scan, mandatory in production (the API does not start without CLAMAV_HOST)</w:t>
            </w:r>
          </w:p>
        </w:tc>
        <w:tc>
          <w:tcPr>
            <w:tcW w:type="dxa" w:w="1701"/>
            <w:vAlign w:val="top"/>
            <w:shd w:val="clear" w:color="auto" w:fill="FDF0F7"/>
          </w:tcPr>
          <w:p>
            <w:pPr>
              <w:spacing w:after="20" w:line="252" w:lineRule="auto"/>
            </w:pPr>
            <w:r>
              <w:rPr>
                <w:b w:val="0"/>
                <w:i w:val="0"/>
                <w:sz w:val="16"/>
              </w:rPr>
              <w:t>AP-46, COM-06</w:t>
            </w:r>
          </w:p>
        </w:tc>
      </w:tr>
      <w:tr>
        <w:trPr>
          <w:cantSplit/>
        </w:trPr>
        <w:tc>
          <w:tcPr>
            <w:tcW w:type="dxa" w:w="1701"/>
            <w:vAlign w:val="top"/>
          </w:tcPr>
          <w:p>
            <w:pPr>
              <w:spacing w:after="20" w:line="252" w:lineRule="auto"/>
            </w:pPr>
            <w:r>
              <w:rPr>
                <w:b/>
                <w:i w:val="0"/>
                <w:sz w:val="16"/>
              </w:rPr>
              <w:t>Audit trail</w:t>
            </w:r>
          </w:p>
        </w:tc>
        <w:tc>
          <w:tcPr>
            <w:tcW w:type="dxa" w:w="6236"/>
            <w:vAlign w:val="top"/>
          </w:tcPr>
          <w:p>
            <w:pPr>
              <w:spacing w:after="20" w:line="252" w:lineRule="auto"/>
            </w:pPr>
            <w:r>
              <w:rPr>
                <w:b w:val="0"/>
                <w:i w:val="0"/>
                <w:sz w:val="16"/>
              </w:rPr>
              <w:t>Append-only audit_log: a database trigger rejects UPDATE and DELETE; failed and successful sign-ins, lockouts and changes recorded with user, time and IP; sensitive fields redacted</w:t>
            </w:r>
          </w:p>
        </w:tc>
        <w:tc>
          <w:tcPr>
            <w:tcW w:type="dxa" w:w="1701"/>
            <w:vAlign w:val="top"/>
          </w:tcPr>
          <w:p>
            <w:pPr>
              <w:spacing w:after="20" w:line="252" w:lineRule="auto"/>
            </w:pPr>
            <w:r>
              <w:rPr>
                <w:b w:val="0"/>
                <w:i w:val="0"/>
                <w:sz w:val="16"/>
              </w:rPr>
              <w:t>NFR-11, COM-03</w:t>
            </w:r>
          </w:p>
        </w:tc>
      </w:tr>
      <w:tr>
        <w:trPr>
          <w:cantSplit/>
        </w:trPr>
        <w:tc>
          <w:tcPr>
            <w:tcW w:type="dxa" w:w="1701"/>
            <w:vAlign w:val="top"/>
            <w:shd w:val="clear" w:color="auto" w:fill="FDF0F7"/>
          </w:tcPr>
          <w:p>
            <w:pPr>
              <w:spacing w:after="20" w:line="252" w:lineRule="auto"/>
            </w:pPr>
            <w:r>
              <w:rPr>
                <w:b/>
                <w:i w:val="0"/>
                <w:sz w:val="16"/>
              </w:rPr>
              <w:t>Error handling</w:t>
            </w:r>
          </w:p>
        </w:tc>
        <w:tc>
          <w:tcPr>
            <w:tcW w:type="dxa" w:w="6236"/>
            <w:vAlign w:val="top"/>
            <w:shd w:val="clear" w:color="auto" w:fill="FDF0F7"/>
          </w:tcPr>
          <w:p>
            <w:pPr>
              <w:spacing w:after="20" w:line="252" w:lineRule="auto"/>
            </w:pPr>
            <w:r>
              <w:rPr>
                <w:b w:val="0"/>
                <w:i w:val="0"/>
                <w:sz w:val="16"/>
              </w:rPr>
              <w:t>One global filter returns status, code, message and correlation id; details logged on the server only</w:t>
            </w:r>
          </w:p>
        </w:tc>
        <w:tc>
          <w:tcPr>
            <w:tcW w:type="dxa" w:w="1701"/>
            <w:vAlign w:val="top"/>
            <w:shd w:val="clear" w:color="auto" w:fill="FDF0F7"/>
          </w:tcPr>
          <w:p>
            <w:pPr>
              <w:spacing w:after="20" w:line="252" w:lineRule="auto"/>
            </w:pPr>
            <w:r>
              <w:rPr>
                <w:b w:val="0"/>
                <w:i w:val="0"/>
                <w:sz w:val="16"/>
              </w:rPr>
              <w:t>NFR-15</w:t>
            </w:r>
          </w:p>
        </w:tc>
      </w:tr>
      <w:tr>
        <w:trPr>
          <w:cantSplit/>
        </w:trPr>
        <w:tc>
          <w:tcPr>
            <w:tcW w:type="dxa" w:w="1701"/>
            <w:vAlign w:val="top"/>
          </w:tcPr>
          <w:p>
            <w:pPr>
              <w:spacing w:after="20" w:line="252" w:lineRule="auto"/>
            </w:pPr>
            <w:r>
              <w:rPr>
                <w:b/>
                <w:i w:val="0"/>
                <w:sz w:val="16"/>
              </w:rPr>
              <w:t>System-to-system APIs</w:t>
            </w:r>
          </w:p>
        </w:tc>
        <w:tc>
          <w:tcPr>
            <w:tcW w:type="dxa" w:w="6236"/>
            <w:vAlign w:val="top"/>
          </w:tcPr>
          <w:p>
            <w:pPr>
              <w:spacing w:after="20" w:line="252" w:lineRule="auto"/>
            </w:pPr>
            <w:r>
              <w:rPr>
                <w:b w:val="0"/>
                <w:i w:val="0"/>
                <w:sz w:val="16"/>
              </w:rPr>
              <w:t>Inbound API key compared by SHA-256 hash; interface disabled until a key is configured; web-tier allow-list for IITH addresses</w:t>
            </w:r>
          </w:p>
        </w:tc>
        <w:tc>
          <w:tcPr>
            <w:tcW w:type="dxa" w:w="1701"/>
            <w:vAlign w:val="top"/>
          </w:tcPr>
          <w:p>
            <w:pPr>
              <w:spacing w:after="20" w:line="252" w:lineRule="auto"/>
            </w:pPr>
            <w:r>
              <w:rPr>
                <w:b w:val="0"/>
                <w:i w:val="0"/>
                <w:sz w:val="16"/>
              </w:rPr>
              <w:t>INT-10</w:t>
            </w:r>
          </w:p>
        </w:tc>
      </w:tr>
      <w:tr>
        <w:trPr>
          <w:cantSplit/>
        </w:trPr>
        <w:tc>
          <w:tcPr>
            <w:tcW w:type="dxa" w:w="1701"/>
            <w:vAlign w:val="top"/>
            <w:shd w:val="clear" w:color="auto" w:fill="FDF0F7"/>
          </w:tcPr>
          <w:p>
            <w:pPr>
              <w:spacing w:after="20" w:line="252" w:lineRule="auto"/>
            </w:pPr>
            <w:r>
              <w:rPr>
                <w:b/>
                <w:i w:val="0"/>
                <w:sz w:val="16"/>
              </w:rPr>
              <w:t>Vulnerability management</w:t>
            </w:r>
          </w:p>
        </w:tc>
        <w:tc>
          <w:tcPr>
            <w:tcW w:type="dxa" w:w="6236"/>
            <w:vAlign w:val="top"/>
            <w:shd w:val="clear" w:color="auto" w:fill="FDF0F7"/>
          </w:tcPr>
          <w:p>
            <w:pPr>
              <w:spacing w:after="20" w:line="252" w:lineRule="auto"/>
            </w:pPr>
            <w:r>
              <w:rPr>
                <w:b w:val="0"/>
                <w:i w:val="0"/>
                <w:sz w:val="16"/>
              </w:rPr>
              <w:t>CodeQL static analysis, gitleaks secret scan over the full history, npm audit and container scan in CI; CycloneDX SBOM per build; remediation timelines in section 9</w:t>
            </w:r>
          </w:p>
        </w:tc>
        <w:tc>
          <w:tcPr>
            <w:tcW w:type="dxa" w:w="1701"/>
            <w:vAlign w:val="top"/>
            <w:shd w:val="clear" w:color="auto" w:fill="FDF0F7"/>
          </w:tcPr>
          <w:p>
            <w:pPr>
              <w:spacing w:after="20" w:line="252" w:lineRule="auto"/>
            </w:pPr>
            <w:r>
              <w:rPr>
                <w:b w:val="0"/>
                <w:i w:val="0"/>
                <w:sz w:val="16"/>
              </w:rPr>
              <w:t>NFR-12, NFR-13</w:t>
            </w:r>
          </w:p>
        </w:tc>
      </w:tr>
    </w:tbl>
    <w:p>
      <w:pPr>
        <w:pStyle w:val="Caption"/>
        <w:jc w:val="center"/>
      </w:pPr>
      <w:r>
        <w:rPr>
          <w:b w:val="0"/>
          <w:i w:val="0"/>
        </w:rPr>
        <w:t>Table 4: Controls mapped to RFP requirements</w:t>
      </w:r>
    </w:p>
    <w:p>
      <w:pPr>
        <w:pStyle w:val="Heading1"/>
        <w:pageBreakBefore/>
        <w:pBdr>
          <w:bottom w:val="single" w:sz="12" w:space="4" w:color="F58220"/>
        </w:pBdr>
      </w:pPr>
      <w:r>
        <w:t>6. Configuration review</w:t>
      </w:r>
    </w:p>
    <w:p>
      <w:pPr>
        <w:pStyle w:val="Heading2"/>
      </w:pPr>
      <w:r>
        <w:t>Web-tier headers and limits (nginx)</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2494"/>
        <w:gridCol w:w="7144"/>
      </w:tblGrid>
      <w:tr>
        <w:trPr>
          <w:cantSplit/>
          <w:tblHeader/>
        </w:trPr>
        <w:tc>
          <w:tcPr>
            <w:tcW w:type="dxa" w:w="2494"/>
            <w:shd w:val="clear" w:color="auto" w:fill="E1058C"/>
            <w:vAlign w:val="center"/>
          </w:tcPr>
          <w:p>
            <w:pPr>
              <w:spacing w:after="0"/>
            </w:pPr>
            <w:r>
              <w:rPr>
                <w:b/>
                <w:i w:val="0"/>
                <w:color w:val="FFFFFF"/>
                <w:sz w:val="15"/>
              </w:rPr>
              <w:t>Directive</w:t>
            </w:r>
          </w:p>
        </w:tc>
        <w:tc>
          <w:tcPr>
            <w:tcW w:type="dxa" w:w="7143"/>
            <w:shd w:val="clear" w:color="auto" w:fill="E1058C"/>
            <w:vAlign w:val="center"/>
          </w:tcPr>
          <w:p>
            <w:pPr>
              <w:spacing w:after="0"/>
            </w:pPr>
            <w:r>
              <w:rPr>
                <w:b/>
                <w:i w:val="0"/>
                <w:color w:val="FFFFFF"/>
                <w:sz w:val="15"/>
              </w:rPr>
              <w:t>Value</w:t>
            </w:r>
          </w:p>
        </w:tc>
      </w:tr>
      <w:tr>
        <w:trPr>
          <w:cantSplit/>
        </w:trPr>
        <w:tc>
          <w:tcPr>
            <w:tcW w:type="dxa" w:w="2494"/>
            <w:vAlign w:val="top"/>
          </w:tcPr>
          <w:p>
            <w:pPr>
              <w:spacing w:after="20" w:line="252" w:lineRule="auto"/>
            </w:pPr>
            <w:r>
              <w:rPr>
                <w:b/>
                <w:i w:val="0"/>
                <w:sz w:val="15"/>
              </w:rPr>
              <w:t>X-Content-Type-Options</w:t>
            </w:r>
          </w:p>
        </w:tc>
        <w:tc>
          <w:tcPr>
            <w:tcW w:type="dxa" w:w="7143"/>
            <w:vAlign w:val="top"/>
          </w:tcPr>
          <w:p>
            <w:pPr>
              <w:spacing w:after="20" w:line="252" w:lineRule="auto"/>
            </w:pPr>
            <w:r>
              <w:rPr>
                <w:b w:val="0"/>
                <w:i w:val="0"/>
                <w:sz w:val="15"/>
              </w:rPr>
              <w:t>nosniff</w:t>
            </w:r>
          </w:p>
        </w:tc>
      </w:tr>
      <w:tr>
        <w:trPr>
          <w:cantSplit/>
        </w:trPr>
        <w:tc>
          <w:tcPr>
            <w:tcW w:type="dxa" w:w="2494"/>
            <w:vAlign w:val="top"/>
            <w:shd w:val="clear" w:color="auto" w:fill="FDF0F7"/>
          </w:tcPr>
          <w:p>
            <w:pPr>
              <w:spacing w:after="20" w:line="252" w:lineRule="auto"/>
            </w:pPr>
            <w:r>
              <w:rPr>
                <w:b/>
                <w:i w:val="0"/>
                <w:sz w:val="15"/>
              </w:rPr>
              <w:t>X-Frame-Options</w:t>
            </w:r>
          </w:p>
        </w:tc>
        <w:tc>
          <w:tcPr>
            <w:tcW w:type="dxa" w:w="7143"/>
            <w:vAlign w:val="top"/>
            <w:shd w:val="clear" w:color="auto" w:fill="FDF0F7"/>
          </w:tcPr>
          <w:p>
            <w:pPr>
              <w:spacing w:after="20" w:line="252" w:lineRule="auto"/>
            </w:pPr>
            <w:r>
              <w:rPr>
                <w:b w:val="0"/>
                <w:i w:val="0"/>
                <w:sz w:val="15"/>
              </w:rPr>
              <w:t>DENY</w:t>
            </w:r>
          </w:p>
        </w:tc>
      </w:tr>
      <w:tr>
        <w:trPr>
          <w:cantSplit/>
        </w:trPr>
        <w:tc>
          <w:tcPr>
            <w:tcW w:type="dxa" w:w="2494"/>
            <w:vAlign w:val="top"/>
          </w:tcPr>
          <w:p>
            <w:pPr>
              <w:spacing w:after="20" w:line="252" w:lineRule="auto"/>
            </w:pPr>
            <w:r>
              <w:rPr>
                <w:b/>
                <w:i w:val="0"/>
                <w:sz w:val="15"/>
              </w:rPr>
              <w:t>Referrer-Policy</w:t>
            </w:r>
          </w:p>
        </w:tc>
        <w:tc>
          <w:tcPr>
            <w:tcW w:type="dxa" w:w="7143"/>
            <w:vAlign w:val="top"/>
          </w:tcPr>
          <w:p>
            <w:pPr>
              <w:spacing w:after="20" w:line="252" w:lineRule="auto"/>
            </w:pPr>
            <w:r>
              <w:rPr>
                <w:b w:val="0"/>
                <w:i w:val="0"/>
                <w:sz w:val="15"/>
              </w:rPr>
              <w:t>strict-origin-when-cross-origin</w:t>
            </w:r>
          </w:p>
        </w:tc>
      </w:tr>
      <w:tr>
        <w:trPr>
          <w:cantSplit/>
        </w:trPr>
        <w:tc>
          <w:tcPr>
            <w:tcW w:type="dxa" w:w="2494"/>
            <w:vAlign w:val="top"/>
            <w:shd w:val="clear" w:color="auto" w:fill="FDF0F7"/>
          </w:tcPr>
          <w:p>
            <w:pPr>
              <w:spacing w:after="20" w:line="252" w:lineRule="auto"/>
            </w:pPr>
            <w:r>
              <w:rPr>
                <w:b/>
                <w:i w:val="0"/>
                <w:sz w:val="15"/>
              </w:rPr>
              <w:t>Permissions-Policy</w:t>
            </w:r>
          </w:p>
        </w:tc>
        <w:tc>
          <w:tcPr>
            <w:tcW w:type="dxa" w:w="7143"/>
            <w:vAlign w:val="top"/>
            <w:shd w:val="clear" w:color="auto" w:fill="FDF0F7"/>
          </w:tcPr>
          <w:p>
            <w:pPr>
              <w:spacing w:after="20" w:line="252" w:lineRule="auto"/>
            </w:pPr>
            <w:r>
              <w:rPr>
                <w:b w:val="0"/>
                <w:i w:val="0"/>
                <w:sz w:val="15"/>
              </w:rPr>
              <w:t>camera=(), microphone=(), geolocation=()</w:t>
            </w:r>
          </w:p>
        </w:tc>
      </w:tr>
      <w:tr>
        <w:trPr>
          <w:cantSplit/>
        </w:trPr>
        <w:tc>
          <w:tcPr>
            <w:tcW w:type="dxa" w:w="2494"/>
            <w:vAlign w:val="top"/>
          </w:tcPr>
          <w:p>
            <w:pPr>
              <w:spacing w:after="20" w:line="252" w:lineRule="auto"/>
            </w:pPr>
            <w:r>
              <w:rPr>
                <w:b/>
                <w:i w:val="0"/>
                <w:sz w:val="15"/>
              </w:rPr>
              <w:t>Strict-Transport-Security</w:t>
            </w:r>
          </w:p>
        </w:tc>
        <w:tc>
          <w:tcPr>
            <w:tcW w:type="dxa" w:w="7143"/>
            <w:vAlign w:val="top"/>
          </w:tcPr>
          <w:p>
            <w:pPr>
              <w:spacing w:after="20" w:line="252" w:lineRule="auto"/>
            </w:pPr>
            <w:r>
              <w:rPr>
                <w:b w:val="0"/>
                <w:i w:val="0"/>
                <w:sz w:val="15"/>
              </w:rPr>
              <w:t>max-age=31536000; includeSubDomains</w:t>
            </w:r>
          </w:p>
        </w:tc>
      </w:tr>
      <w:tr>
        <w:trPr>
          <w:cantSplit/>
        </w:trPr>
        <w:tc>
          <w:tcPr>
            <w:tcW w:type="dxa" w:w="2494"/>
            <w:vAlign w:val="top"/>
            <w:shd w:val="clear" w:color="auto" w:fill="FDF0F7"/>
          </w:tcPr>
          <w:p>
            <w:pPr>
              <w:spacing w:after="20" w:line="252" w:lineRule="auto"/>
            </w:pPr>
            <w:r>
              <w:rPr>
                <w:b/>
                <w:i w:val="0"/>
                <w:sz w:val="15"/>
              </w:rPr>
              <w:t>Content-Security-Policy</w:t>
            </w:r>
          </w:p>
        </w:tc>
        <w:tc>
          <w:tcPr>
            <w:tcW w:type="dxa" w:w="7143"/>
            <w:vAlign w:val="top"/>
            <w:shd w:val="clear" w:color="auto" w:fill="FDF0F7"/>
          </w:tcPr>
          <w:p>
            <w:pPr>
              <w:spacing w:after="20" w:line="252" w:lineRule="auto"/>
            </w:pPr>
            <w:r>
              <w:rPr>
                <w:b w:val="0"/>
                <w:i w:val="0"/>
                <w:sz w:val="15"/>
              </w:rPr>
              <w:t>default-src 'self'; img-src 'self' data: blob:; style-src 'self' 'unsafe-inline'; script-src 'self'; connect-src 'self'; font-src 'self' data:; frame-ancestors 'none'; base-uri 'self'; form-action 'self'</w:t>
            </w:r>
          </w:p>
        </w:tc>
      </w:tr>
      <w:tr>
        <w:trPr>
          <w:cantSplit/>
        </w:trPr>
        <w:tc>
          <w:tcPr>
            <w:tcW w:type="dxa" w:w="2494"/>
            <w:vAlign w:val="top"/>
          </w:tcPr>
          <w:p>
            <w:pPr>
              <w:spacing w:after="20" w:line="252" w:lineRule="auto"/>
            </w:pPr>
            <w:r>
              <w:rPr>
                <w:b/>
                <w:i w:val="0"/>
                <w:sz w:val="15"/>
              </w:rPr>
              <w:t>server_tokens</w:t>
            </w:r>
          </w:p>
        </w:tc>
        <w:tc>
          <w:tcPr>
            <w:tcW w:type="dxa" w:w="7143"/>
            <w:vAlign w:val="top"/>
          </w:tcPr>
          <w:p>
            <w:pPr>
              <w:spacing w:after="20" w:line="252" w:lineRule="auto"/>
            </w:pPr>
            <w:r>
              <w:rPr>
                <w:b w:val="0"/>
                <w:i w:val="0"/>
                <w:sz w:val="15"/>
              </w:rPr>
              <w:t>off (nginx version hidden)</w:t>
            </w:r>
          </w:p>
        </w:tc>
      </w:tr>
      <w:tr>
        <w:trPr>
          <w:cantSplit/>
        </w:trPr>
        <w:tc>
          <w:tcPr>
            <w:tcW w:type="dxa" w:w="2494"/>
            <w:vAlign w:val="top"/>
            <w:shd w:val="clear" w:color="auto" w:fill="FDF0F7"/>
          </w:tcPr>
          <w:p>
            <w:pPr>
              <w:spacing w:after="20" w:line="252" w:lineRule="auto"/>
            </w:pPr>
            <w:r>
              <w:rPr>
                <w:b/>
                <w:i w:val="0"/>
                <w:sz w:val="15"/>
              </w:rPr>
              <w:t>limit_req (API)</w:t>
            </w:r>
          </w:p>
        </w:tc>
        <w:tc>
          <w:tcPr>
            <w:tcW w:type="dxa" w:w="7143"/>
            <w:vAlign w:val="top"/>
            <w:shd w:val="clear" w:color="auto" w:fill="FDF0F7"/>
          </w:tcPr>
          <w:p>
            <w:pPr>
              <w:spacing w:after="20" w:line="252" w:lineRule="auto"/>
            </w:pPr>
            <w:r>
              <w:rPr>
                <w:b w:val="0"/>
                <w:i w:val="0"/>
                <w:sz w:val="15"/>
              </w:rPr>
              <w:t>20r/s per client address with burst</w:t>
            </w:r>
          </w:p>
        </w:tc>
      </w:tr>
      <w:tr>
        <w:trPr>
          <w:cantSplit/>
        </w:trPr>
        <w:tc>
          <w:tcPr>
            <w:tcW w:type="dxa" w:w="2494"/>
            <w:vAlign w:val="top"/>
          </w:tcPr>
          <w:p>
            <w:pPr>
              <w:spacing w:after="20" w:line="252" w:lineRule="auto"/>
            </w:pPr>
            <w:r>
              <w:rPr>
                <w:b/>
                <w:i w:val="0"/>
                <w:sz w:val="15"/>
              </w:rPr>
              <w:t>client_max_body_size</w:t>
            </w:r>
          </w:p>
        </w:tc>
        <w:tc>
          <w:tcPr>
            <w:tcW w:type="dxa" w:w="7143"/>
            <w:vAlign w:val="top"/>
          </w:tcPr>
          <w:p>
            <w:pPr>
              <w:spacing w:after="20" w:line="252" w:lineRule="auto"/>
            </w:pPr>
            <w:r>
              <w:rPr>
                <w:b w:val="0"/>
                <w:i w:val="0"/>
                <w:sz w:val="15"/>
              </w:rPr>
              <w:t>26m</w:t>
            </w:r>
          </w:p>
        </w:tc>
      </w:tr>
    </w:tbl>
    <w:p>
      <w:pPr>
        <w:pStyle w:val="Caption"/>
        <w:jc w:val="center"/>
      </w:pPr>
      <w:r>
        <w:rPr>
          <w:b w:val="0"/>
          <w:i w:val="0"/>
        </w:rPr>
        <w:t>Table 5: apps/web/nginx/default.conf.template</w:t>
      </w:r>
    </w:p>
    <w:p>
      <w:pPr>
        <w:pStyle w:val="Heading2"/>
      </w:pPr>
      <w:r>
        <w:t>API response headers (observed)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2494"/>
        <w:gridCol w:w="7144"/>
      </w:tblGrid>
      <w:tr>
        <w:trPr>
          <w:cantSplit/>
          <w:tblHeader/>
        </w:trPr>
        <w:tc>
          <w:tcPr>
            <w:tcW w:type="dxa" w:w="2494"/>
            <w:shd w:val="clear" w:color="auto" w:fill="E1058C"/>
            <w:vAlign w:val="center"/>
          </w:tcPr>
          <w:p>
            <w:pPr>
              <w:spacing w:after="0"/>
            </w:pPr>
            <w:r>
              <w:rPr>
                <w:b/>
                <w:i w:val="0"/>
                <w:color w:val="FFFFFF"/>
                <w:sz w:val="15"/>
              </w:rPr>
              <w:t>Header</w:t>
            </w:r>
          </w:p>
        </w:tc>
        <w:tc>
          <w:tcPr>
            <w:tcW w:type="dxa" w:w="7143"/>
            <w:shd w:val="clear" w:color="auto" w:fill="E1058C"/>
            <w:vAlign w:val="center"/>
          </w:tcPr>
          <w:p>
            <w:pPr>
              <w:spacing w:after="0"/>
            </w:pPr>
            <w:r>
              <w:rPr>
                <w:b/>
                <w:i w:val="0"/>
                <w:color w:val="FFFFFF"/>
                <w:sz w:val="15"/>
              </w:rPr>
              <w:t>Value</w:t>
            </w:r>
          </w:p>
        </w:tc>
      </w:tr>
      <w:tr>
        <w:trPr>
          <w:cantSplit/>
        </w:trPr>
        <w:tc>
          <w:tcPr>
            <w:tcW w:type="dxa" w:w="2494"/>
            <w:vAlign w:val="top"/>
          </w:tcPr>
          <w:p>
            <w:pPr>
              <w:spacing w:after="20" w:line="252" w:lineRule="auto"/>
            </w:pPr>
            <w:r>
              <w:rPr>
                <w:b/>
                <w:i w:val="0"/>
                <w:sz w:val="15"/>
              </w:rPr>
              <w:t>strict-transport-security</w:t>
            </w:r>
          </w:p>
        </w:tc>
        <w:tc>
          <w:tcPr>
            <w:tcW w:type="dxa" w:w="7143"/>
            <w:vAlign w:val="top"/>
          </w:tcPr>
          <w:p>
            <w:pPr>
              <w:spacing w:after="20" w:line="252" w:lineRule="auto"/>
            </w:pPr>
            <w:r>
              <w:rPr>
                <w:b w:val="0"/>
                <w:i w:val="0"/>
                <w:sz w:val="15"/>
              </w:rPr>
              <w:t>max-age=31536000; includeSubDomains</w:t>
            </w:r>
          </w:p>
        </w:tc>
      </w:tr>
      <w:tr>
        <w:trPr>
          <w:cantSplit/>
        </w:trPr>
        <w:tc>
          <w:tcPr>
            <w:tcW w:type="dxa" w:w="2494"/>
            <w:vAlign w:val="top"/>
            <w:shd w:val="clear" w:color="auto" w:fill="FDF0F7"/>
          </w:tcPr>
          <w:p>
            <w:pPr>
              <w:spacing w:after="20" w:line="252" w:lineRule="auto"/>
            </w:pPr>
            <w:r>
              <w:rPr>
                <w:b/>
                <w:i w:val="0"/>
                <w:sz w:val="15"/>
              </w:rPr>
              <w:t>x-content-type-options</w:t>
            </w:r>
          </w:p>
        </w:tc>
        <w:tc>
          <w:tcPr>
            <w:tcW w:type="dxa" w:w="7143"/>
            <w:vAlign w:val="top"/>
            <w:shd w:val="clear" w:color="auto" w:fill="FDF0F7"/>
          </w:tcPr>
          <w:p>
            <w:pPr>
              <w:spacing w:after="20" w:line="252" w:lineRule="auto"/>
            </w:pPr>
            <w:r>
              <w:rPr>
                <w:b w:val="0"/>
                <w:i w:val="0"/>
                <w:sz w:val="15"/>
              </w:rPr>
              <w:t>nosniff</w:t>
            </w:r>
          </w:p>
        </w:tc>
      </w:tr>
      <w:tr>
        <w:trPr>
          <w:cantSplit/>
        </w:trPr>
        <w:tc>
          <w:tcPr>
            <w:tcW w:type="dxa" w:w="2494"/>
            <w:vAlign w:val="top"/>
          </w:tcPr>
          <w:p>
            <w:pPr>
              <w:spacing w:after="20" w:line="252" w:lineRule="auto"/>
            </w:pPr>
            <w:r>
              <w:rPr>
                <w:b/>
                <w:i w:val="0"/>
                <w:sz w:val="15"/>
              </w:rPr>
              <w:t>x-frame-options</w:t>
            </w:r>
          </w:p>
        </w:tc>
        <w:tc>
          <w:tcPr>
            <w:tcW w:type="dxa" w:w="7143"/>
            <w:vAlign w:val="top"/>
          </w:tcPr>
          <w:p>
            <w:pPr>
              <w:spacing w:after="20" w:line="252" w:lineRule="auto"/>
            </w:pPr>
            <w:r>
              <w:rPr>
                <w:b w:val="0"/>
                <w:i w:val="0"/>
                <w:sz w:val="15"/>
              </w:rPr>
              <w:t>DENY</w:t>
            </w:r>
          </w:p>
        </w:tc>
      </w:tr>
      <w:tr>
        <w:trPr>
          <w:cantSplit/>
        </w:trPr>
        <w:tc>
          <w:tcPr>
            <w:tcW w:type="dxa" w:w="2494"/>
            <w:vAlign w:val="top"/>
            <w:shd w:val="clear" w:color="auto" w:fill="FDF0F7"/>
          </w:tcPr>
          <w:p>
            <w:pPr>
              <w:spacing w:after="20" w:line="252" w:lineRule="auto"/>
            </w:pPr>
            <w:r>
              <w:rPr>
                <w:b/>
                <w:i w:val="0"/>
                <w:sz w:val="15"/>
              </w:rPr>
              <w:t>content-security-policy</w:t>
            </w:r>
          </w:p>
        </w:tc>
        <w:tc>
          <w:tcPr>
            <w:tcW w:type="dxa" w:w="7143"/>
            <w:vAlign w:val="top"/>
            <w:shd w:val="clear" w:color="auto" w:fill="FDF0F7"/>
          </w:tcPr>
          <w:p>
            <w:pPr>
              <w:spacing w:after="20" w:line="252" w:lineRule="auto"/>
            </w:pPr>
            <w:r>
              <w:rPr>
                <w:b w:val="0"/>
                <w:i w:val="0"/>
                <w:sz w:val="15"/>
              </w:rPr>
              <w:t>default-src 'none';base-uri 'self';font-src 'self' https: data:;form-action 'self';frame-ancestors 'none';img-src 'self' data:;object-src 'none';script-src 'self';script-src-attr 'none';style-src 'self' https: 'unsafe-inline';upgrade-insecure-requests</w:t>
            </w:r>
          </w:p>
        </w:tc>
      </w:tr>
      <w:tr>
        <w:trPr>
          <w:cantSplit/>
        </w:trPr>
        <w:tc>
          <w:tcPr>
            <w:tcW w:type="dxa" w:w="2494"/>
            <w:vAlign w:val="top"/>
          </w:tcPr>
          <w:p>
            <w:pPr>
              <w:spacing w:after="20" w:line="252" w:lineRule="auto"/>
            </w:pPr>
            <w:r>
              <w:rPr>
                <w:b/>
                <w:i w:val="0"/>
                <w:sz w:val="15"/>
              </w:rPr>
              <w:t>x-powered-by</w:t>
            </w:r>
          </w:p>
        </w:tc>
        <w:tc>
          <w:tcPr>
            <w:tcW w:type="dxa" w:w="7143"/>
            <w:vAlign w:val="top"/>
          </w:tcPr>
          <w:p>
            <w:pPr>
              <w:spacing w:after="20" w:line="252" w:lineRule="auto"/>
            </w:pPr>
            <w:r>
              <w:rPr>
                <w:b w:val="0"/>
                <w:i w:val="0"/>
                <w:sz w:val="15"/>
              </w:rPr>
              <w:t>Absent</w:t>
            </w:r>
          </w:p>
        </w:tc>
      </w:tr>
    </w:tbl>
    <w:p>
      <w:pPr>
        <w:pStyle w:val="Caption"/>
        <w:jc w:val="center"/>
      </w:pPr>
      <w:r>
        <w:rPr>
          <w:b w:val="0"/>
          <w:i w:val="0"/>
        </w:rPr>
        <w:t>Table 6: Headers recorded by SEC-01</w:t>
      </w:r>
    </w:p>
    <w:p>
      <w:pPr>
        <w:keepNext w:val="0"/>
      </w:pPr>
      <w:r>
        <w:rPr>
          <w:b w:val="0"/>
          <w:i w:val="0"/>
        </w:rPr>
        <w:t>The API and the web tier send the same framing policy: X-Frame-Options DENY and frame-ancestors 'none'. API responses also carry default-src 'none', as they are data, not pages.</w:t>
      </w:r>
    </w:p>
    <w:p>
      <w:pPr>
        <w:pStyle w:val="Heading2"/>
      </w:pPr>
      <w:r>
        <w:t>Cookies, secrets and production guards</w:t>
      </w:r>
    </w:p>
    <w:p>
      <w:pPr>
        <w:keepNext w:val="0"/>
      </w:pPr>
      <w:r>
        <w:rPr>
          <w:b w:val="0"/>
          <w:i w:val="0"/>
        </w:rPr>
        <w:t>The session cookie is HttpOnly and SameSite=Strict in every environment, and Secure whenever SESSION_COOKIE_SECURE is true, which is the production default. Secrets and keys come from environment variables (deploy/.env, never committed): the session secret must be at least 32 characters and each encryption key must be a base64 32-byte key, or the API refuses to start. In production the API also refuses to start when any of these conditions fails:</w:t>
      </w:r>
    </w:p>
    <w:p>
      <w:pPr>
        <w:pStyle w:val="ListBullet"/>
      </w:pPr>
      <w:r>
        <w:rPr>
          <w:b w:val="0"/>
          <w:i w:val="0"/>
        </w:rPr>
        <w:t>SESSION_COOKIE_SECURE must be true in production</w:t>
      </w:r>
    </w:p>
    <w:p>
      <w:pPr>
        <w:pStyle w:val="ListBullet"/>
      </w:pPr>
      <w:r>
        <w:rPr>
          <w:b w:val="0"/>
          <w:i w:val="0"/>
        </w:rPr>
        <w:t>API_DOCS_ENABLED must be false in production</w:t>
      </w:r>
    </w:p>
    <w:p>
      <w:pPr>
        <w:pStyle w:val="ListBullet"/>
      </w:pPr>
      <w:r>
        <w:rPr>
          <w:b w:val="0"/>
          <w:i w:val="0"/>
        </w:rPr>
        <w:t>CLAMAV_HOST is required in production so that uploads are scanned for malware</w:t>
      </w:r>
    </w:p>
    <w:p>
      <w:pPr>
        <w:pStyle w:val="ListBullet"/>
      </w:pPr>
      <w:r>
        <w:rPr>
          <w:b w:val="0"/>
          <w:i w:val="0"/>
        </w:rPr>
        <w:t>CORE_API_BASE_URL is required in live mode</w:t>
      </w:r>
    </w:p>
    <w:p>
      <w:pPr>
        <w:pStyle w:val="ListBullet"/>
      </w:pPr>
      <w:r>
        <w:rPr>
          <w:b w:val="0"/>
          <w:i w:val="0"/>
        </w:rPr>
        <w:t>FINANCE_API_BASE_URL is required in live mode</w:t>
      </w:r>
    </w:p>
    <w:p>
      <w:pPr>
        <w:pStyle w:val="ListBullet"/>
      </w:pPr>
      <w:r>
        <w:rPr>
          <w:b w:val="0"/>
          <w:i w:val="0"/>
        </w:rPr>
        <w:t>SMTP_HOST is required in live mode</w:t>
      </w:r>
    </w:p>
    <w:p>
      <w:pPr>
        <w:pStyle w:val="ListBullet"/>
      </w:pPr>
      <w:r>
        <w:rPr>
          <w:b w:val="0"/>
          <w:i w:val="0"/>
        </w:rPr>
        <w:t>INBOUND_API_KEY_SHA256 is required in live mode</w:t>
      </w:r>
    </w:p>
    <w:p>
      <w:pPr>
        <w:pStyle w:val="Heading2"/>
      </w:pPr>
      <w:r>
        <w:t>Containers and pipeline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blHeader/>
        </w:trPr>
        <w:tc>
          <w:tcPr>
            <w:tcW w:type="dxa" w:w="2835"/>
            <w:shd w:val="clear" w:color="auto" w:fill="E1058C"/>
            <w:vAlign w:val="center"/>
          </w:tcPr>
          <w:p>
            <w:pPr>
              <w:spacing w:after="0"/>
            </w:pPr>
            <w:r>
              <w:rPr>
                <w:b/>
                <w:i w:val="0"/>
                <w:color w:val="FFFFFF"/>
                <w:sz w:val="16"/>
              </w:rPr>
              <w:t>Item</w:t>
            </w:r>
          </w:p>
        </w:tc>
        <w:tc>
          <w:tcPr>
            <w:tcW w:type="dxa" w:w="6803"/>
            <w:shd w:val="clear" w:color="auto" w:fill="E1058C"/>
            <w:vAlign w:val="center"/>
          </w:tcPr>
          <w:p>
            <w:pPr>
              <w:spacing w:after="0"/>
            </w:pPr>
            <w:r>
              <w:rPr>
                <w:b/>
                <w:i w:val="0"/>
                <w:color w:val="FFFFFF"/>
                <w:sz w:val="16"/>
              </w:rPr>
              <w:t>Finding</w:t>
            </w:r>
          </w:p>
        </w:tc>
      </w:tr>
      <w:tr>
        <w:trPr>
          <w:cantSplit/>
        </w:trPr>
        <w:tc>
          <w:tcPr>
            <w:tcW w:type="dxa" w:w="2835"/>
            <w:vAlign w:val="top"/>
          </w:tcPr>
          <w:p>
            <w:pPr>
              <w:spacing w:after="20" w:line="252" w:lineRule="auto"/>
            </w:pPr>
            <w:r>
              <w:rPr>
                <w:b/>
                <w:i w:val="0"/>
                <w:sz w:val="16"/>
              </w:rPr>
              <w:t>apps/api/Dockerfile</w:t>
            </w:r>
          </w:p>
        </w:tc>
        <w:tc>
          <w:tcPr>
            <w:tcW w:type="dxa" w:w="6803"/>
            <w:vAlign w:val="top"/>
          </w:tcPr>
          <w:p>
            <w:pPr>
              <w:spacing w:after="20" w:line="252" w:lineRule="auto"/>
            </w:pPr>
            <w:r>
              <w:rPr>
                <w:b w:val="0"/>
                <w:i w:val="0"/>
                <w:sz w:val="16"/>
              </w:rPr>
              <w:t>Runs as 'salesverse' (non-root); base image node:22-bookworm-slim</w:t>
            </w:r>
          </w:p>
        </w:tc>
      </w:tr>
      <w:tr>
        <w:trPr>
          <w:cantSplit/>
        </w:trPr>
        <w:tc>
          <w:tcPr>
            <w:tcW w:type="dxa" w:w="2835"/>
            <w:vAlign w:val="top"/>
            <w:shd w:val="clear" w:color="auto" w:fill="FDF0F7"/>
          </w:tcPr>
          <w:p>
            <w:pPr>
              <w:spacing w:after="20" w:line="252" w:lineRule="auto"/>
            </w:pPr>
            <w:r>
              <w:rPr>
                <w:b/>
                <w:i w:val="0"/>
                <w:sz w:val="16"/>
              </w:rPr>
              <w:t>apps/web/Dockerfile</w:t>
            </w:r>
          </w:p>
        </w:tc>
        <w:tc>
          <w:tcPr>
            <w:tcW w:type="dxa" w:w="6803"/>
            <w:vAlign w:val="top"/>
            <w:shd w:val="clear" w:color="auto" w:fill="FDF0F7"/>
          </w:tcPr>
          <w:p>
            <w:pPr>
              <w:spacing w:after="20" w:line="252" w:lineRule="auto"/>
            </w:pPr>
            <w:r>
              <w:rPr>
                <w:b w:val="0"/>
                <w:i w:val="0"/>
                <w:sz w:val="16"/>
              </w:rPr>
              <w:t>Base image nginxinc/nginx-unprivileged:1.29-alpine runs nginx as a non-root user</w:t>
            </w:r>
          </w:p>
        </w:tc>
      </w:tr>
      <w:tr>
        <w:trPr>
          <w:cantSplit/>
        </w:trPr>
        <w:tc>
          <w:tcPr>
            <w:tcW w:type="dxa" w:w="2835"/>
            <w:vAlign w:val="top"/>
          </w:tcPr>
          <w:p>
            <w:pPr>
              <w:spacing w:after="20" w:line="252" w:lineRule="auto"/>
            </w:pPr>
            <w:r>
              <w:rPr>
                <w:b/>
                <w:i w:val="0"/>
                <w:sz w:val="16"/>
              </w:rPr>
              <w:t>Secret scan</w:t>
            </w:r>
          </w:p>
        </w:tc>
        <w:tc>
          <w:tcPr>
            <w:tcW w:type="dxa" w:w="6803"/>
            <w:vAlign w:val="top"/>
          </w:tcPr>
          <w:p>
            <w:pPr>
              <w:spacing w:after="20" w:line="252" w:lineRule="auto"/>
            </w:pPr>
            <w:r>
              <w:rPr>
                <w:b w:val="0"/>
                <w:i w:val="0"/>
                <w:sz w:val="16"/>
              </w:rPr>
              <w:t>gitleaks over the full git history on every push and pull request</w:t>
            </w:r>
          </w:p>
        </w:tc>
      </w:tr>
      <w:tr>
        <w:trPr>
          <w:cantSplit/>
        </w:trPr>
        <w:tc>
          <w:tcPr>
            <w:tcW w:type="dxa" w:w="2835"/>
            <w:vAlign w:val="top"/>
            <w:shd w:val="clear" w:color="auto" w:fill="FDF0F7"/>
          </w:tcPr>
          <w:p>
            <w:pPr>
              <w:spacing w:after="20" w:line="252" w:lineRule="auto"/>
            </w:pPr>
            <w:r>
              <w:rPr>
                <w:b/>
                <w:i w:val="0"/>
                <w:sz w:val="16"/>
              </w:rPr>
              <w:t>Static analysis (SAST)</w:t>
            </w:r>
          </w:p>
        </w:tc>
        <w:tc>
          <w:tcPr>
            <w:tcW w:type="dxa" w:w="6803"/>
            <w:vAlign w:val="top"/>
            <w:shd w:val="clear" w:color="auto" w:fill="FDF0F7"/>
          </w:tcPr>
          <w:p>
            <w:pPr>
              <w:spacing w:after="20" w:line="252" w:lineRule="auto"/>
            </w:pPr>
            <w:r>
              <w:rPr>
                <w:b w:val="0"/>
                <w:i w:val="0"/>
                <w:sz w:val="16"/>
              </w:rPr>
              <w:t>CodeQL, javascript-typescript, security-extended queries</w:t>
            </w:r>
          </w:p>
        </w:tc>
      </w:tr>
      <w:tr>
        <w:trPr>
          <w:cantSplit/>
        </w:trPr>
        <w:tc>
          <w:tcPr>
            <w:tcW w:type="dxa" w:w="2835"/>
            <w:vAlign w:val="top"/>
          </w:tcPr>
          <w:p>
            <w:pPr>
              <w:spacing w:after="20" w:line="252" w:lineRule="auto"/>
            </w:pPr>
            <w:r>
              <w:rPr>
                <w:b/>
                <w:i w:val="0"/>
                <w:sz w:val="16"/>
              </w:rPr>
              <w:t>Dependency audit</w:t>
            </w:r>
          </w:p>
        </w:tc>
        <w:tc>
          <w:tcPr>
            <w:tcW w:type="dxa" w:w="6803"/>
            <w:vAlign w:val="top"/>
          </w:tcPr>
          <w:p>
            <w:pPr>
              <w:spacing w:after="20" w:line="252" w:lineRule="auto"/>
            </w:pPr>
            <w:r>
              <w:rPr>
                <w:b w:val="0"/>
                <w:i w:val="0"/>
                <w:sz w:val="16"/>
              </w:rPr>
              <w:t>npm audit --audit-level=moderate</w:t>
            </w:r>
          </w:p>
        </w:tc>
      </w:tr>
      <w:tr>
        <w:trPr>
          <w:cantSplit/>
        </w:trPr>
        <w:tc>
          <w:tcPr>
            <w:tcW w:type="dxa" w:w="2835"/>
            <w:vAlign w:val="top"/>
            <w:shd w:val="clear" w:color="auto" w:fill="FDF0F7"/>
          </w:tcPr>
          <w:p>
            <w:pPr>
              <w:spacing w:after="20" w:line="252" w:lineRule="auto"/>
            </w:pPr>
            <w:r>
              <w:rPr>
                <w:b/>
                <w:i w:val="0"/>
                <w:sz w:val="16"/>
              </w:rPr>
              <w:t>Software bill of materials</w:t>
            </w:r>
          </w:p>
        </w:tc>
        <w:tc>
          <w:tcPr>
            <w:tcW w:type="dxa" w:w="6803"/>
            <w:vAlign w:val="top"/>
            <w:shd w:val="clear" w:color="auto" w:fill="FDF0F7"/>
          </w:tcPr>
          <w:p>
            <w:pPr>
              <w:spacing w:after="20" w:line="252" w:lineRule="auto"/>
            </w:pPr>
            <w:r>
              <w:rPr>
                <w:b w:val="0"/>
                <w:i w:val="0"/>
                <w:sz w:val="16"/>
              </w:rPr>
              <w:t>CycloneDX SBOM of production dependencies, kept as a build artifact</w:t>
            </w:r>
          </w:p>
        </w:tc>
      </w:tr>
      <w:tr>
        <w:trPr>
          <w:cantSplit/>
        </w:trPr>
        <w:tc>
          <w:tcPr>
            <w:tcW w:type="dxa" w:w="2835"/>
            <w:vAlign w:val="top"/>
          </w:tcPr>
          <w:p>
            <w:pPr>
              <w:spacing w:after="20" w:line="252" w:lineRule="auto"/>
            </w:pPr>
            <w:r>
              <w:rPr>
                <w:b/>
                <w:i w:val="0"/>
                <w:sz w:val="16"/>
              </w:rPr>
              <w:t>Container image scan</w:t>
            </w:r>
          </w:p>
        </w:tc>
        <w:tc>
          <w:tcPr>
            <w:tcW w:type="dxa" w:w="6803"/>
            <w:vAlign w:val="top"/>
          </w:tcPr>
          <w:p>
            <w:pPr>
              <w:spacing w:after="20" w:line="252" w:lineRule="auto"/>
            </w:pPr>
            <w:r>
              <w:rPr>
                <w:b w:val="0"/>
                <w:i w:val="0"/>
                <w:sz w:val="16"/>
              </w:rPr>
              <w:t>Trivy; fails on CRITICAL,HIGH (fixable)</w:t>
            </w:r>
          </w:p>
        </w:tc>
      </w:tr>
      <w:tr>
        <w:trPr>
          <w:cantSplit/>
        </w:trPr>
        <w:tc>
          <w:tcPr>
            <w:tcW w:type="dxa" w:w="2835"/>
            <w:vAlign w:val="top"/>
            <w:shd w:val="clear" w:color="auto" w:fill="FDF0F7"/>
          </w:tcPr>
          <w:p>
            <w:pPr>
              <w:spacing w:after="20" w:line="252" w:lineRule="auto"/>
            </w:pPr>
            <w:r>
              <w:rPr>
                <w:b/>
                <w:i w:val="0"/>
                <w:sz w:val="16"/>
              </w:rPr>
              <w:t>Runtime dependencies</w:t>
            </w:r>
          </w:p>
        </w:tc>
        <w:tc>
          <w:tcPr>
            <w:tcW w:type="dxa" w:w="6803"/>
            <w:vAlign w:val="top"/>
            <w:shd w:val="clear" w:color="auto" w:fill="FDF0F7"/>
          </w:tcPr>
          <w:p>
            <w:pPr>
              <w:spacing w:after="20" w:line="252" w:lineRule="auto"/>
            </w:pPr>
            <w:r>
              <w:rPr>
                <w:b w:val="0"/>
                <w:i w:val="0"/>
                <w:sz w:val="16"/>
              </w:rPr>
              <w:t>API image installs production dependencies only (npm ci --omit=dev)</w:t>
            </w:r>
          </w:p>
        </w:tc>
      </w:tr>
      <w:tr>
        <w:trPr>
          <w:cantSplit/>
        </w:trPr>
        <w:tc>
          <w:tcPr>
            <w:tcW w:type="dxa" w:w="2835"/>
            <w:vAlign w:val="top"/>
          </w:tcPr>
          <w:p>
            <w:pPr>
              <w:spacing w:after="20" w:line="252" w:lineRule="auto"/>
            </w:pPr>
            <w:r>
              <w:rPr>
                <w:b/>
                <w:i w:val="0"/>
                <w:sz w:val="16"/>
              </w:rPr>
              <w:t>Health checks</w:t>
            </w:r>
          </w:p>
        </w:tc>
        <w:tc>
          <w:tcPr>
            <w:tcW w:type="dxa" w:w="6803"/>
            <w:vAlign w:val="top"/>
          </w:tcPr>
          <w:p>
            <w:pPr>
              <w:spacing w:after="20" w:line="252" w:lineRule="auto"/>
            </w:pPr>
            <w:r>
              <w:rPr>
                <w:b w:val="0"/>
                <w:i w:val="0"/>
                <w:sz w:val="16"/>
              </w:rPr>
              <w:t>Both images define container health checks</w:t>
            </w:r>
          </w:p>
        </w:tc>
      </w:tr>
    </w:tbl>
    <w:p>
      <w:pPr>
        <w:pStyle w:val="Caption"/>
        <w:jc w:val="center"/>
      </w:pPr>
      <w:r>
        <w:rPr>
          <w:b w:val="0"/>
          <w:i w:val="0"/>
        </w:rPr>
        <w:t>Table 7: Container and CI review</w:t>
      </w:r>
    </w:p>
    <w:p>
      <w:pPr>
        <w:pStyle w:val="Heading1"/>
        <w:pageBreakBefore w:val="0"/>
        <w:pBdr>
          <w:bottom w:val="single" w:sz="12" w:space="4" w:color="F58220"/>
        </w:pBdr>
      </w:pPr>
      <w:r>
        <w:t>7. Dependency vulnerabilities</w:t>
      </w:r>
    </w:p>
    <w:p>
      <w:pPr>
        <w:keepNext w:val="0"/>
      </w:pPr>
      <w:r>
        <w:rPr>
          <w:b w:val="0"/>
          <w:i w:val="0"/>
        </w:rPr>
        <w:t>npm audit found 0 known vulnerabilities in 933 installed packages. The CI pipeline repeats the audit on every change and fails on any moderate or higher finding.</w:t>
      </w:r>
    </w:p>
    <w:tbl>
      <w:tblPr>
        <w:tblW w:type="dxa" w:w="9525"/>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1587"/>
        <w:gridCol w:w="1587"/>
        <w:gridCol w:w="1587"/>
        <w:gridCol w:w="1587"/>
        <w:gridCol w:w="1587"/>
      </w:tblGrid>
      <w:tr>
        <w:trPr>
          <w:cantSplit/>
          <w:tblHeader/>
        </w:trPr>
        <w:tc>
          <w:tcPr>
            <w:tcW w:type="dxa" w:w="1587"/>
            <w:shd w:val="clear" w:color="auto" w:fill="E1058C"/>
            <w:vAlign w:val="center"/>
          </w:tcPr>
          <w:p>
            <w:pPr>
              <w:spacing w:after="0"/>
            </w:pPr>
            <w:r>
              <w:rPr>
                <w:b/>
                <w:i w:val="0"/>
                <w:color w:val="FFFFFF"/>
                <w:sz w:val="17"/>
              </w:rPr>
              <w:t>Critical</w:t>
            </w:r>
          </w:p>
        </w:tc>
        <w:tc>
          <w:tcPr>
            <w:tcW w:type="dxa" w:w="1587"/>
            <w:shd w:val="clear" w:color="auto" w:fill="E1058C"/>
            <w:vAlign w:val="center"/>
          </w:tcPr>
          <w:p>
            <w:pPr>
              <w:spacing w:after="0"/>
            </w:pPr>
            <w:r>
              <w:rPr>
                <w:b/>
                <w:i w:val="0"/>
                <w:color w:val="FFFFFF"/>
                <w:sz w:val="17"/>
              </w:rPr>
              <w:t>High</w:t>
            </w:r>
          </w:p>
        </w:tc>
        <w:tc>
          <w:tcPr>
            <w:tcW w:type="dxa" w:w="1587"/>
            <w:shd w:val="clear" w:color="auto" w:fill="E1058C"/>
            <w:vAlign w:val="center"/>
          </w:tcPr>
          <w:p>
            <w:pPr>
              <w:spacing w:after="0"/>
            </w:pPr>
            <w:r>
              <w:rPr>
                <w:b/>
                <w:i w:val="0"/>
                <w:color w:val="FFFFFF"/>
                <w:sz w:val="17"/>
              </w:rPr>
              <w:t>Moderate</w:t>
            </w:r>
          </w:p>
        </w:tc>
        <w:tc>
          <w:tcPr>
            <w:tcW w:type="dxa" w:w="1587"/>
            <w:shd w:val="clear" w:color="auto" w:fill="E1058C"/>
            <w:vAlign w:val="center"/>
          </w:tcPr>
          <w:p>
            <w:pPr>
              <w:spacing w:after="0"/>
            </w:pPr>
            <w:r>
              <w:rPr>
                <w:b/>
                <w:i w:val="0"/>
                <w:color w:val="FFFFFF"/>
                <w:sz w:val="17"/>
              </w:rPr>
              <w:t>Low</w:t>
            </w:r>
          </w:p>
        </w:tc>
        <w:tc>
          <w:tcPr>
            <w:tcW w:type="dxa" w:w="1587"/>
            <w:shd w:val="clear" w:color="auto" w:fill="E1058C"/>
            <w:vAlign w:val="center"/>
          </w:tcPr>
          <w:p>
            <w:pPr>
              <w:spacing w:after="0"/>
            </w:pPr>
            <w:r>
              <w:rPr>
                <w:b/>
                <w:i w:val="0"/>
                <w:color w:val="FFFFFF"/>
                <w:sz w:val="17"/>
              </w:rPr>
              <w:t>Info</w:t>
            </w:r>
          </w:p>
        </w:tc>
        <w:tc>
          <w:tcPr>
            <w:tcW w:type="dxa" w:w="1587"/>
            <w:shd w:val="clear" w:color="auto" w:fill="E1058C"/>
            <w:vAlign w:val="center"/>
          </w:tcPr>
          <w:p>
            <w:pPr>
              <w:spacing w:after="0"/>
            </w:pPr>
            <w:r>
              <w:rPr>
                <w:b/>
                <w:i w:val="0"/>
                <w:color w:val="FFFFFF"/>
                <w:sz w:val="17"/>
              </w:rPr>
              <w:t>Total</w:t>
            </w:r>
          </w:p>
        </w:tc>
      </w:tr>
      <w:tr>
        <w:trPr>
          <w:cantSplit/>
        </w:trPr>
        <w:tc>
          <w:tcPr>
            <w:tcW w:type="dxa" w:w="1587"/>
            <w:vAlign w:val="top"/>
          </w:tcPr>
          <w:p>
            <w:pPr>
              <w:spacing w:after="20" w:line="252" w:lineRule="auto"/>
              <w:jc w:val="center"/>
            </w:pPr>
            <w:r>
              <w:rPr>
                <w:b w:val="0"/>
                <w:i w:val="0"/>
                <w:sz w:val="17"/>
              </w:rPr>
              <w:t>0</w:t>
            </w:r>
          </w:p>
        </w:tc>
        <w:tc>
          <w:tcPr>
            <w:tcW w:type="dxa" w:w="1587"/>
            <w:vAlign w:val="top"/>
          </w:tcPr>
          <w:p>
            <w:pPr>
              <w:spacing w:after="20" w:line="252" w:lineRule="auto"/>
              <w:jc w:val="center"/>
            </w:pPr>
            <w:r>
              <w:rPr>
                <w:b w:val="0"/>
                <w:i w:val="0"/>
                <w:sz w:val="17"/>
              </w:rPr>
              <w:t>0</w:t>
            </w:r>
          </w:p>
        </w:tc>
        <w:tc>
          <w:tcPr>
            <w:tcW w:type="dxa" w:w="1587"/>
            <w:vAlign w:val="top"/>
          </w:tcPr>
          <w:p>
            <w:pPr>
              <w:spacing w:after="20" w:line="252" w:lineRule="auto"/>
              <w:jc w:val="center"/>
            </w:pPr>
            <w:r>
              <w:rPr>
                <w:b w:val="0"/>
                <w:i w:val="0"/>
                <w:sz w:val="17"/>
              </w:rPr>
              <w:t>0</w:t>
            </w:r>
          </w:p>
        </w:tc>
        <w:tc>
          <w:tcPr>
            <w:tcW w:type="dxa" w:w="1587"/>
            <w:vAlign w:val="top"/>
          </w:tcPr>
          <w:p>
            <w:pPr>
              <w:spacing w:after="20" w:line="252" w:lineRule="auto"/>
              <w:jc w:val="center"/>
            </w:pPr>
            <w:r>
              <w:rPr>
                <w:b w:val="0"/>
                <w:i w:val="0"/>
                <w:sz w:val="17"/>
              </w:rPr>
              <w:t>0</w:t>
            </w:r>
          </w:p>
        </w:tc>
        <w:tc>
          <w:tcPr>
            <w:tcW w:type="dxa" w:w="1587"/>
            <w:vAlign w:val="top"/>
          </w:tcPr>
          <w:p>
            <w:pPr>
              <w:spacing w:after="20" w:line="252" w:lineRule="auto"/>
              <w:jc w:val="center"/>
            </w:pPr>
            <w:r>
              <w:rPr>
                <w:b w:val="0"/>
                <w:i w:val="0"/>
                <w:sz w:val="17"/>
              </w:rPr>
              <w:t>0</w:t>
            </w:r>
          </w:p>
        </w:tc>
        <w:tc>
          <w:tcPr>
            <w:tcW w:type="dxa" w:w="1587"/>
            <w:vAlign w:val="top"/>
          </w:tcPr>
          <w:p>
            <w:pPr>
              <w:spacing w:after="20" w:line="252" w:lineRule="auto"/>
              <w:jc w:val="center"/>
            </w:pPr>
            <w:r>
              <w:rPr>
                <w:b w:val="0"/>
                <w:i w:val="0"/>
                <w:sz w:val="17"/>
              </w:rPr>
              <w:t>0</w:t>
            </w:r>
          </w:p>
        </w:tc>
      </w:tr>
    </w:tbl>
    <w:p>
      <w:pPr>
        <w:spacing w:after="0" w:before="0"/>
      </w:pPr>
      <w:r>
        <w:rPr>
          <w:sz w:val="8"/>
        </w:rPr>
      </w:r>
    </w:p>
    <w:p>
      <w:pPr>
        <w:pStyle w:val="Heading1"/>
        <w:pageBreakBefore/>
        <w:pBdr>
          <w:bottom w:val="single" w:sz="12" w:space="4" w:color="F58220"/>
        </w:pBdr>
      </w:pPr>
      <w:r>
        <w:t>8. Residual risks and recommendations</w:t>
      </w:r>
    </w:p>
    <w:p>
      <w:pPr>
        <w:keepNext w:val="0"/>
      </w:pPr>
      <w:r>
        <w:rPr>
          <w:b w:val="0"/>
          <w:i w:val="0"/>
        </w:rPr>
        <w:t>None of these items is an exploitable weakness found in the build. They are controls that depend on the target environment or that we plan to add during implementation.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1587"/>
        <w:gridCol w:w="1020"/>
        <w:gridCol w:w="2494"/>
        <w:gridCol w:w="3175"/>
        <w:gridCol w:w="1360"/>
      </w:tblGrid>
      <w:tr>
        <w:trPr>
          <w:cantSplit/>
          <w:tblHeader/>
        </w:trPr>
        <w:tc>
          <w:tcPr>
            <w:tcW w:type="dxa" w:w="1587"/>
            <w:shd w:val="clear" w:color="auto" w:fill="E1058C"/>
            <w:vAlign w:val="center"/>
          </w:tcPr>
          <w:p>
            <w:pPr>
              <w:spacing w:after="0"/>
            </w:pPr>
            <w:r>
              <w:rPr>
                <w:b/>
                <w:i w:val="0"/>
                <w:color w:val="FFFFFF"/>
                <w:sz w:val="15"/>
              </w:rPr>
              <w:t>Area</w:t>
            </w:r>
          </w:p>
        </w:tc>
        <w:tc>
          <w:tcPr>
            <w:tcW w:type="dxa" w:w="1020"/>
            <w:shd w:val="clear" w:color="auto" w:fill="E1058C"/>
            <w:vAlign w:val="center"/>
          </w:tcPr>
          <w:p>
            <w:pPr>
              <w:spacing w:after="0"/>
            </w:pPr>
            <w:r>
              <w:rPr>
                <w:b/>
                <w:i w:val="0"/>
                <w:color w:val="FFFFFF"/>
                <w:sz w:val="15"/>
              </w:rPr>
              <w:t>Rating</w:t>
            </w:r>
          </w:p>
        </w:tc>
        <w:tc>
          <w:tcPr>
            <w:tcW w:type="dxa" w:w="2494"/>
            <w:shd w:val="clear" w:color="auto" w:fill="E1058C"/>
            <w:vAlign w:val="center"/>
          </w:tcPr>
          <w:p>
            <w:pPr>
              <w:spacing w:after="0"/>
            </w:pPr>
            <w:r>
              <w:rPr>
                <w:b/>
                <w:i w:val="0"/>
                <w:color w:val="FFFFFF"/>
                <w:sz w:val="15"/>
              </w:rPr>
              <w:t>Current position</w:t>
            </w:r>
          </w:p>
        </w:tc>
        <w:tc>
          <w:tcPr>
            <w:tcW w:type="dxa" w:w="3175"/>
            <w:shd w:val="clear" w:color="auto" w:fill="E1058C"/>
            <w:vAlign w:val="center"/>
          </w:tcPr>
          <w:p>
            <w:pPr>
              <w:spacing w:after="0"/>
            </w:pPr>
            <w:r>
              <w:rPr>
                <w:b/>
                <w:i w:val="0"/>
                <w:color w:val="FFFFFF"/>
                <w:sz w:val="15"/>
              </w:rPr>
              <w:t>Recommendation</w:t>
            </w:r>
          </w:p>
        </w:tc>
        <w:tc>
          <w:tcPr>
            <w:tcW w:type="dxa" w:w="1361"/>
            <w:shd w:val="clear" w:color="auto" w:fill="E1058C"/>
            <w:vAlign w:val="center"/>
          </w:tcPr>
          <w:p>
            <w:pPr>
              <w:spacing w:after="0"/>
            </w:pPr>
            <w:r>
              <w:rPr>
                <w:b/>
                <w:i w:val="0"/>
                <w:color w:val="FFFFFF"/>
                <w:sz w:val="15"/>
              </w:rPr>
              <w:t>When</w:t>
            </w:r>
          </w:p>
        </w:tc>
      </w:tr>
      <w:tr>
        <w:trPr>
          <w:cantSplit/>
        </w:trPr>
        <w:tc>
          <w:tcPr>
            <w:tcW w:type="dxa" w:w="1587"/>
            <w:vAlign w:val="top"/>
          </w:tcPr>
          <w:p>
            <w:pPr>
              <w:spacing w:after="20" w:line="252" w:lineRule="auto"/>
            </w:pPr>
            <w:r>
              <w:rPr>
                <w:b/>
                <w:i w:val="0"/>
                <w:sz w:val="15"/>
              </w:rPr>
              <w:t>Back-office MFA</w:t>
            </w:r>
          </w:p>
        </w:tc>
        <w:tc>
          <w:tcPr>
            <w:tcW w:type="dxa" w:w="1020"/>
            <w:vAlign w:val="top"/>
          </w:tcPr>
          <w:p>
            <w:pPr>
              <w:spacing w:after="20" w:line="252" w:lineRule="auto"/>
            </w:pPr>
            <w:r>
              <w:rPr>
                <w:b w:val="0"/>
                <w:i w:val="0"/>
                <w:sz w:val="15"/>
              </w:rPr>
              <w:t>Medium</w:t>
            </w:r>
          </w:p>
        </w:tc>
        <w:tc>
          <w:tcPr>
            <w:tcW w:type="dxa" w:w="2494"/>
            <w:vAlign w:val="top"/>
          </w:tcPr>
          <w:p>
            <w:pPr>
              <w:spacing w:after="20" w:line="252" w:lineRule="auto"/>
            </w:pPr>
            <w:r>
              <w:rPr>
                <w:b w:val="0"/>
                <w:i w:val="0"/>
                <w:sz w:val="15"/>
              </w:rPr>
              <w:t>Passwords alone protect back-office accounts today.</w:t>
            </w:r>
          </w:p>
        </w:tc>
        <w:tc>
          <w:tcPr>
            <w:tcW w:type="dxa" w:w="3175"/>
            <w:vAlign w:val="top"/>
          </w:tcPr>
          <w:p>
            <w:pPr>
              <w:spacing w:after="20" w:line="252" w:lineRule="auto"/>
            </w:pPr>
            <w:r>
              <w:rPr>
                <w:b w:val="0"/>
                <w:i w:val="0"/>
                <w:sz w:val="15"/>
              </w:rPr>
              <w:t>Add e-mail OTP or TOTP MFA for back-office users; Active Directory sign-on where available</w:t>
            </w:r>
          </w:p>
        </w:tc>
        <w:tc>
          <w:tcPr>
            <w:tcW w:type="dxa" w:w="1361"/>
            <w:vAlign w:val="top"/>
          </w:tcPr>
          <w:p>
            <w:pPr>
              <w:spacing w:after="20" w:line="252" w:lineRule="auto"/>
            </w:pPr>
            <w:r>
              <w:rPr>
                <w:b w:val="0"/>
                <w:i w:val="0"/>
                <w:sz w:val="15"/>
              </w:rPr>
              <w:t>Implementation, sprint 1</w:t>
            </w:r>
          </w:p>
        </w:tc>
      </w:tr>
      <w:tr>
        <w:trPr>
          <w:cantSplit/>
        </w:trPr>
        <w:tc>
          <w:tcPr>
            <w:tcW w:type="dxa" w:w="1587"/>
            <w:vAlign w:val="top"/>
            <w:shd w:val="clear" w:color="auto" w:fill="FDF0F7"/>
          </w:tcPr>
          <w:p>
            <w:pPr>
              <w:spacing w:after="20" w:line="252" w:lineRule="auto"/>
            </w:pPr>
            <w:r>
              <w:rPr>
                <w:b/>
                <w:i w:val="0"/>
                <w:sz w:val="15"/>
              </w:rPr>
              <w:t>Web application firewall</w:t>
            </w:r>
          </w:p>
        </w:tc>
        <w:tc>
          <w:tcPr>
            <w:tcW w:type="dxa" w:w="1020"/>
            <w:vAlign w:val="top"/>
            <w:shd w:val="clear" w:color="auto" w:fill="FDF0F7"/>
          </w:tcPr>
          <w:p>
            <w:pPr>
              <w:spacing w:after="20" w:line="252" w:lineRule="auto"/>
            </w:pPr>
            <w:r>
              <w:rPr>
                <w:b w:val="0"/>
                <w:i w:val="0"/>
                <w:sz w:val="15"/>
              </w:rPr>
              <w:t>Medium</w:t>
            </w:r>
          </w:p>
        </w:tc>
        <w:tc>
          <w:tcPr>
            <w:tcW w:type="dxa" w:w="2494"/>
            <w:vAlign w:val="top"/>
            <w:shd w:val="clear" w:color="auto" w:fill="FDF0F7"/>
          </w:tcPr>
          <w:p>
            <w:pPr>
              <w:spacing w:after="20" w:line="252" w:lineRule="auto"/>
            </w:pPr>
            <w:r>
              <w:rPr>
                <w:b w:val="0"/>
                <w:i w:val="0"/>
                <w:sz w:val="15"/>
              </w:rPr>
              <w:t>No WAF in front of the portal in the test environment.</w:t>
            </w:r>
          </w:p>
        </w:tc>
        <w:tc>
          <w:tcPr>
            <w:tcW w:type="dxa" w:w="3175"/>
            <w:vAlign w:val="top"/>
            <w:shd w:val="clear" w:color="auto" w:fill="FDF0F7"/>
          </w:tcPr>
          <w:p>
            <w:pPr>
              <w:spacing w:after="20" w:line="252" w:lineRule="auto"/>
            </w:pPr>
            <w:r>
              <w:rPr>
                <w:b w:val="0"/>
                <w:i w:val="0"/>
                <w:sz w:val="15"/>
              </w:rPr>
              <w:t>Place the portal behind IITH's WAF (Option A) or the cloud provider's managed WAF with OWASP rules (Option B)</w:t>
            </w:r>
          </w:p>
        </w:tc>
        <w:tc>
          <w:tcPr>
            <w:tcW w:type="dxa" w:w="1361"/>
            <w:vAlign w:val="top"/>
            <w:shd w:val="clear" w:color="auto" w:fill="FDF0F7"/>
          </w:tcPr>
          <w:p>
            <w:pPr>
              <w:spacing w:after="20" w:line="252" w:lineRule="auto"/>
            </w:pPr>
            <w:r>
              <w:rPr>
                <w:b w:val="0"/>
                <w:i w:val="0"/>
                <w:sz w:val="15"/>
              </w:rPr>
              <w:t>Before SIT</w:t>
            </w:r>
          </w:p>
        </w:tc>
      </w:tr>
      <w:tr>
        <w:trPr>
          <w:cantSplit/>
        </w:trPr>
        <w:tc>
          <w:tcPr>
            <w:tcW w:type="dxa" w:w="1587"/>
            <w:vAlign w:val="top"/>
          </w:tcPr>
          <w:p>
            <w:pPr>
              <w:spacing w:after="20" w:line="252" w:lineRule="auto"/>
            </w:pPr>
            <w:r>
              <w:rPr>
                <w:b/>
                <w:i w:val="0"/>
                <w:sz w:val="15"/>
              </w:rPr>
              <w:t>Key management</w:t>
            </w:r>
          </w:p>
        </w:tc>
        <w:tc>
          <w:tcPr>
            <w:tcW w:type="dxa" w:w="1020"/>
            <w:vAlign w:val="top"/>
          </w:tcPr>
          <w:p>
            <w:pPr>
              <w:spacing w:after="20" w:line="252" w:lineRule="auto"/>
            </w:pPr>
            <w:r>
              <w:rPr>
                <w:b w:val="0"/>
                <w:i w:val="0"/>
                <w:sz w:val="15"/>
              </w:rPr>
              <w:t>Medium</w:t>
            </w:r>
          </w:p>
        </w:tc>
        <w:tc>
          <w:tcPr>
            <w:tcW w:type="dxa" w:w="2494"/>
            <w:vAlign w:val="top"/>
          </w:tcPr>
          <w:p>
            <w:pPr>
              <w:spacing w:after="20" w:line="252" w:lineRule="auto"/>
            </w:pPr>
            <w:r>
              <w:rPr>
                <w:b w:val="0"/>
                <w:i w:val="0"/>
                <w:sz w:val="15"/>
              </w:rPr>
              <w:t>Encryption keys are supplied as environment variables.</w:t>
            </w:r>
          </w:p>
        </w:tc>
        <w:tc>
          <w:tcPr>
            <w:tcW w:type="dxa" w:w="3175"/>
            <w:vAlign w:val="top"/>
          </w:tcPr>
          <w:p>
            <w:pPr>
              <w:spacing w:after="20" w:line="252" w:lineRule="auto"/>
            </w:pPr>
            <w:r>
              <w:rPr>
                <w:b w:val="0"/>
                <w:i w:val="0"/>
                <w:sz w:val="15"/>
              </w:rPr>
              <w:t>Hold keys in the IITH vault or HSM (Option A) or the key management service of IIFT's cloud account (Option B); rotate yearly using the key-version prefix</w:t>
            </w:r>
          </w:p>
        </w:tc>
        <w:tc>
          <w:tcPr>
            <w:tcW w:type="dxa" w:w="1361"/>
            <w:vAlign w:val="top"/>
          </w:tcPr>
          <w:p>
            <w:pPr>
              <w:spacing w:after="20" w:line="252" w:lineRule="auto"/>
            </w:pPr>
            <w:r>
              <w:rPr>
                <w:b w:val="0"/>
                <w:i w:val="0"/>
                <w:sz w:val="15"/>
              </w:rPr>
              <w:t>Before go-live</w:t>
            </w:r>
          </w:p>
        </w:tc>
      </w:tr>
      <w:tr>
        <w:trPr>
          <w:cantSplit/>
        </w:trPr>
        <w:tc>
          <w:tcPr>
            <w:tcW w:type="dxa" w:w="1587"/>
            <w:vAlign w:val="top"/>
            <w:shd w:val="clear" w:color="auto" w:fill="FDF0F7"/>
          </w:tcPr>
          <w:p>
            <w:pPr>
              <w:spacing w:after="20" w:line="252" w:lineRule="auto"/>
            </w:pPr>
            <w:r>
              <w:rPr>
                <w:b/>
                <w:i w:val="0"/>
                <w:sz w:val="15"/>
              </w:rPr>
              <w:t>Malware scanning</w:t>
            </w:r>
          </w:p>
        </w:tc>
        <w:tc>
          <w:tcPr>
            <w:tcW w:type="dxa" w:w="1020"/>
            <w:vAlign w:val="top"/>
            <w:shd w:val="clear" w:color="auto" w:fill="FDF0F7"/>
          </w:tcPr>
          <w:p>
            <w:pPr>
              <w:spacing w:after="20" w:line="252" w:lineRule="auto"/>
            </w:pPr>
            <w:r>
              <w:rPr>
                <w:b w:val="0"/>
                <w:i w:val="0"/>
                <w:sz w:val="15"/>
              </w:rPr>
              <w:t>Low</w:t>
            </w:r>
          </w:p>
        </w:tc>
        <w:tc>
          <w:tcPr>
            <w:tcW w:type="dxa" w:w="2494"/>
            <w:vAlign w:val="top"/>
            <w:shd w:val="clear" w:color="auto" w:fill="FDF0F7"/>
          </w:tcPr>
          <w:p>
            <w:pPr>
              <w:spacing w:after="20" w:line="252" w:lineRule="auto"/>
            </w:pPr>
            <w:r>
              <w:rPr>
                <w:b w:val="0"/>
                <w:i w:val="0"/>
                <w:sz w:val="15"/>
              </w:rPr>
              <w:t>The API refuses to start in production without CLAMAV_HOST, so production uploads are always scanned; development instances may run without a scanner.</w:t>
            </w:r>
          </w:p>
        </w:tc>
        <w:tc>
          <w:tcPr>
            <w:tcW w:type="dxa" w:w="3175"/>
            <w:vAlign w:val="top"/>
            <w:shd w:val="clear" w:color="auto" w:fill="FDF0F7"/>
          </w:tcPr>
          <w:p>
            <w:pPr>
              <w:spacing w:after="20" w:line="252" w:lineRule="auto"/>
            </w:pPr>
            <w:r>
              <w:rPr>
                <w:b w:val="0"/>
                <w:i w:val="0"/>
                <w:sz w:val="15"/>
              </w:rPr>
              <w:t>Run ClamAV in SIT and UAT too, keep signatures current and alert when the scanner is unreachable</w:t>
            </w:r>
          </w:p>
        </w:tc>
        <w:tc>
          <w:tcPr>
            <w:tcW w:type="dxa" w:w="1361"/>
            <w:vAlign w:val="top"/>
            <w:shd w:val="clear" w:color="auto" w:fill="FDF0F7"/>
          </w:tcPr>
          <w:p>
            <w:pPr>
              <w:spacing w:after="20" w:line="252" w:lineRule="auto"/>
            </w:pPr>
            <w:r>
              <w:rPr>
                <w:b w:val="0"/>
                <w:i w:val="0"/>
                <w:sz w:val="15"/>
              </w:rPr>
              <w:t>Before SIT</w:t>
            </w:r>
          </w:p>
        </w:tc>
      </w:tr>
      <w:tr>
        <w:trPr>
          <w:cantSplit/>
        </w:trPr>
        <w:tc>
          <w:tcPr>
            <w:tcW w:type="dxa" w:w="1587"/>
            <w:vAlign w:val="top"/>
          </w:tcPr>
          <w:p>
            <w:pPr>
              <w:spacing w:after="20" w:line="252" w:lineRule="auto"/>
            </w:pPr>
            <w:r>
              <w:rPr>
                <w:b/>
                <w:i w:val="0"/>
                <w:sz w:val="15"/>
              </w:rPr>
              <w:t>Database connections</w:t>
            </w:r>
          </w:p>
        </w:tc>
        <w:tc>
          <w:tcPr>
            <w:tcW w:type="dxa" w:w="1020"/>
            <w:vAlign w:val="top"/>
          </w:tcPr>
          <w:p>
            <w:pPr>
              <w:spacing w:after="20" w:line="252" w:lineRule="auto"/>
            </w:pPr>
            <w:r>
              <w:rPr>
                <w:b w:val="0"/>
                <w:i w:val="0"/>
                <w:sz w:val="15"/>
              </w:rPr>
              <w:t>Low</w:t>
            </w:r>
          </w:p>
        </w:tc>
        <w:tc>
          <w:tcPr>
            <w:tcW w:type="dxa" w:w="2494"/>
            <w:vAlign w:val="top"/>
          </w:tcPr>
          <w:p>
            <w:pPr>
              <w:spacing w:after="20" w:line="252" w:lineRule="auto"/>
            </w:pPr>
            <w:r>
              <w:rPr>
                <w:b w:val="0"/>
                <w:i w:val="0"/>
                <w:sz w:val="15"/>
              </w:rPr>
              <w:t>Database traffic is not encrypted inside the compose network.</w:t>
            </w:r>
          </w:p>
        </w:tc>
        <w:tc>
          <w:tcPr>
            <w:tcW w:type="dxa" w:w="3175"/>
            <w:vAlign w:val="top"/>
          </w:tcPr>
          <w:p>
            <w:pPr>
              <w:spacing w:after="20" w:line="252" w:lineRule="auto"/>
            </w:pPr>
            <w:r>
              <w:rPr>
                <w:b w:val="0"/>
                <w:i w:val="0"/>
                <w:sz w:val="15"/>
              </w:rPr>
              <w:t>Enable TLS to PostgreSQL and restrict the application role to the privileges it needs</w:t>
            </w:r>
          </w:p>
        </w:tc>
        <w:tc>
          <w:tcPr>
            <w:tcW w:type="dxa" w:w="1361"/>
            <w:vAlign w:val="top"/>
          </w:tcPr>
          <w:p>
            <w:pPr>
              <w:spacing w:after="20" w:line="252" w:lineRule="auto"/>
            </w:pPr>
            <w:r>
              <w:rPr>
                <w:b w:val="0"/>
                <w:i w:val="0"/>
                <w:sz w:val="15"/>
              </w:rPr>
              <w:t>Before go-live</w:t>
            </w:r>
          </w:p>
        </w:tc>
      </w:tr>
      <w:tr>
        <w:trPr>
          <w:cantSplit/>
        </w:trPr>
        <w:tc>
          <w:tcPr>
            <w:tcW w:type="dxa" w:w="1587"/>
            <w:vAlign w:val="top"/>
            <w:shd w:val="clear" w:color="auto" w:fill="FDF0F7"/>
          </w:tcPr>
          <w:p>
            <w:pPr>
              <w:spacing w:after="20" w:line="252" w:lineRule="auto"/>
            </w:pPr>
            <w:r>
              <w:rPr>
                <w:b/>
                <w:i w:val="0"/>
                <w:sz w:val="15"/>
              </w:rPr>
              <w:t>Backup encryption</w:t>
            </w:r>
          </w:p>
        </w:tc>
        <w:tc>
          <w:tcPr>
            <w:tcW w:type="dxa" w:w="1020"/>
            <w:vAlign w:val="top"/>
            <w:shd w:val="clear" w:color="auto" w:fill="FDF0F7"/>
          </w:tcPr>
          <w:p>
            <w:pPr>
              <w:spacing w:after="20" w:line="252" w:lineRule="auto"/>
            </w:pPr>
            <w:r>
              <w:rPr>
                <w:b w:val="0"/>
                <w:i w:val="0"/>
                <w:sz w:val="15"/>
              </w:rPr>
              <w:t>Low</w:t>
            </w:r>
          </w:p>
        </w:tc>
        <w:tc>
          <w:tcPr>
            <w:tcW w:type="dxa" w:w="2494"/>
            <w:vAlign w:val="top"/>
            <w:shd w:val="clear" w:color="auto" w:fill="FDF0F7"/>
          </w:tcPr>
          <w:p>
            <w:pPr>
              <w:spacing w:after="20" w:line="252" w:lineRule="auto"/>
            </w:pPr>
            <w:r>
              <w:rPr>
                <w:b w:val="0"/>
                <w:i w:val="0"/>
                <w:sz w:val="15"/>
              </w:rPr>
              <w:t>Backup encryption depends on the hosting platform's backup service.</w:t>
            </w:r>
          </w:p>
        </w:tc>
        <w:tc>
          <w:tcPr>
            <w:tcW w:type="dxa" w:w="3175"/>
            <w:vAlign w:val="top"/>
            <w:shd w:val="clear" w:color="auto" w:fill="FDF0F7"/>
          </w:tcPr>
          <w:p>
            <w:pPr>
              <w:spacing w:after="20" w:line="252" w:lineRule="auto"/>
            </w:pPr>
            <w:r>
              <w:rPr>
                <w:b w:val="0"/>
                <w:i w:val="0"/>
                <w:sz w:val="15"/>
              </w:rPr>
              <w:t>Encrypt backups (IITH backup platform, or provider-managed backups with customer keys under Option B) and test restores quarterly</w:t>
            </w:r>
          </w:p>
        </w:tc>
        <w:tc>
          <w:tcPr>
            <w:tcW w:type="dxa" w:w="1361"/>
            <w:vAlign w:val="top"/>
            <w:shd w:val="clear" w:color="auto" w:fill="FDF0F7"/>
          </w:tcPr>
          <w:p>
            <w:pPr>
              <w:spacing w:after="20" w:line="252" w:lineRule="auto"/>
            </w:pPr>
            <w:r>
              <w:rPr>
                <w:b w:val="0"/>
                <w:i w:val="0"/>
                <w:sz w:val="15"/>
              </w:rPr>
              <w:t>Before go-live</w:t>
            </w:r>
          </w:p>
        </w:tc>
      </w:tr>
      <w:tr>
        <w:trPr>
          <w:cantSplit/>
        </w:trPr>
        <w:tc>
          <w:tcPr>
            <w:tcW w:type="dxa" w:w="1587"/>
            <w:vAlign w:val="top"/>
          </w:tcPr>
          <w:p>
            <w:pPr>
              <w:spacing w:after="20" w:line="252" w:lineRule="auto"/>
            </w:pPr>
            <w:r>
              <w:rPr>
                <w:b/>
                <w:i w:val="0"/>
                <w:sz w:val="15"/>
              </w:rPr>
              <w:t>SIEM integration</w:t>
            </w:r>
          </w:p>
        </w:tc>
        <w:tc>
          <w:tcPr>
            <w:tcW w:type="dxa" w:w="1020"/>
            <w:vAlign w:val="top"/>
          </w:tcPr>
          <w:p>
            <w:pPr>
              <w:spacing w:after="20" w:line="252" w:lineRule="auto"/>
            </w:pPr>
            <w:r>
              <w:rPr>
                <w:b w:val="0"/>
                <w:i w:val="0"/>
                <w:sz w:val="15"/>
              </w:rPr>
              <w:t>Low</w:t>
            </w:r>
          </w:p>
        </w:tc>
        <w:tc>
          <w:tcPr>
            <w:tcW w:type="dxa" w:w="2494"/>
            <w:vAlign w:val="top"/>
          </w:tcPr>
          <w:p>
            <w:pPr>
              <w:spacing w:after="20" w:line="252" w:lineRule="auto"/>
            </w:pPr>
            <w:r>
              <w:rPr>
                <w:b w:val="0"/>
                <w:i w:val="0"/>
                <w:sz w:val="15"/>
              </w:rPr>
              <w:t>Logs and audit records are not yet forwarded centrally.</w:t>
            </w:r>
          </w:p>
        </w:tc>
        <w:tc>
          <w:tcPr>
            <w:tcW w:type="dxa" w:w="3175"/>
            <w:vAlign w:val="top"/>
          </w:tcPr>
          <w:p>
            <w:pPr>
              <w:spacing w:after="20" w:line="252" w:lineRule="auto"/>
            </w:pPr>
            <w:r>
              <w:rPr>
                <w:b w:val="0"/>
                <w:i w:val="0"/>
                <w:sz w:val="15"/>
              </w:rPr>
              <w:t>Forward logs and audit events to IITH's SIEM (over the VPN under Option B, with cloud threat detection in addition); add alert rules</w:t>
            </w:r>
          </w:p>
        </w:tc>
        <w:tc>
          <w:tcPr>
            <w:tcW w:type="dxa" w:w="1361"/>
            <w:vAlign w:val="top"/>
          </w:tcPr>
          <w:p>
            <w:pPr>
              <w:spacing w:after="20" w:line="252" w:lineRule="auto"/>
            </w:pPr>
            <w:r>
              <w:rPr>
                <w:b w:val="0"/>
                <w:i w:val="0"/>
                <w:sz w:val="15"/>
              </w:rPr>
              <w:t>Implementation</w:t>
            </w:r>
          </w:p>
        </w:tc>
      </w:tr>
      <w:tr>
        <w:trPr>
          <w:cantSplit/>
        </w:trPr>
        <w:tc>
          <w:tcPr>
            <w:tcW w:type="dxa" w:w="1587"/>
            <w:vAlign w:val="top"/>
            <w:shd w:val="clear" w:color="auto" w:fill="FDF0F7"/>
          </w:tcPr>
          <w:p>
            <w:pPr>
              <w:spacing w:after="20" w:line="252" w:lineRule="auto"/>
            </w:pPr>
            <w:r>
              <w:rPr>
                <w:b/>
                <w:i w:val="0"/>
                <w:sz w:val="15"/>
              </w:rPr>
              <w:t>Rate limiting behind proxies</w:t>
            </w:r>
          </w:p>
        </w:tc>
        <w:tc>
          <w:tcPr>
            <w:tcW w:type="dxa" w:w="1020"/>
            <w:vAlign w:val="top"/>
            <w:shd w:val="clear" w:color="auto" w:fill="FDF0F7"/>
          </w:tcPr>
          <w:p>
            <w:pPr>
              <w:spacing w:after="20" w:line="252" w:lineRule="auto"/>
            </w:pPr>
            <w:r>
              <w:rPr>
                <w:b w:val="0"/>
                <w:i w:val="0"/>
                <w:sz w:val="15"/>
              </w:rPr>
              <w:t>Low</w:t>
            </w:r>
          </w:p>
        </w:tc>
        <w:tc>
          <w:tcPr>
            <w:tcW w:type="dxa" w:w="2494"/>
            <w:vAlign w:val="top"/>
            <w:shd w:val="clear" w:color="auto" w:fill="FDF0F7"/>
          </w:tcPr>
          <w:p>
            <w:pPr>
              <w:spacing w:after="20" w:line="252" w:lineRule="auto"/>
            </w:pPr>
            <w:r>
              <w:rPr>
                <w:b w:val="0"/>
                <w:i w:val="0"/>
                <w:sz w:val="15"/>
              </w:rPr>
              <w:t>Per-client limits depend on the forwarded client address.</w:t>
            </w:r>
          </w:p>
        </w:tc>
        <w:tc>
          <w:tcPr>
            <w:tcW w:type="dxa" w:w="3175"/>
            <w:vAlign w:val="top"/>
            <w:shd w:val="clear" w:color="auto" w:fill="FDF0F7"/>
          </w:tcPr>
          <w:p>
            <w:pPr>
              <w:spacing w:after="20" w:line="252" w:lineRule="auto"/>
            </w:pPr>
            <w:r>
              <w:rPr>
                <w:b w:val="0"/>
                <w:i w:val="0"/>
                <w:sz w:val="15"/>
              </w:rPr>
              <w:t>Set TRUST_PROXY_HOPS to the real proxy chain and tune limits after performance testing</w:t>
            </w:r>
          </w:p>
        </w:tc>
        <w:tc>
          <w:tcPr>
            <w:tcW w:type="dxa" w:w="1361"/>
            <w:vAlign w:val="top"/>
            <w:shd w:val="clear" w:color="auto" w:fill="FDF0F7"/>
          </w:tcPr>
          <w:p>
            <w:pPr>
              <w:spacing w:after="20" w:line="252" w:lineRule="auto"/>
            </w:pPr>
            <w:r>
              <w:rPr>
                <w:b w:val="0"/>
                <w:i w:val="0"/>
                <w:sz w:val="15"/>
              </w:rPr>
              <w:t>SIT</w:t>
            </w:r>
          </w:p>
        </w:tc>
      </w:tr>
      <w:tr>
        <w:trPr>
          <w:cantSplit/>
        </w:trPr>
        <w:tc>
          <w:tcPr>
            <w:tcW w:type="dxa" w:w="1587"/>
            <w:vAlign w:val="top"/>
          </w:tcPr>
          <w:p>
            <w:pPr>
              <w:spacing w:after="20" w:line="252" w:lineRule="auto"/>
            </w:pPr>
            <w:r>
              <w:rPr>
                <w:b/>
                <w:i w:val="0"/>
                <w:sz w:val="15"/>
              </w:rPr>
              <w:t>Independent assurance</w:t>
            </w:r>
          </w:p>
        </w:tc>
        <w:tc>
          <w:tcPr>
            <w:tcW w:type="dxa" w:w="1020"/>
            <w:vAlign w:val="top"/>
          </w:tcPr>
          <w:p>
            <w:pPr>
              <w:spacing w:after="20" w:line="252" w:lineRule="auto"/>
            </w:pPr>
            <w:r>
              <w:rPr>
                <w:b w:val="0"/>
                <w:i w:val="0"/>
                <w:sz w:val="15"/>
              </w:rPr>
              <w:t>High until done</w:t>
            </w:r>
          </w:p>
        </w:tc>
        <w:tc>
          <w:tcPr>
            <w:tcW w:type="dxa" w:w="2494"/>
            <w:vAlign w:val="top"/>
          </w:tcPr>
          <w:p>
            <w:pPr>
              <w:spacing w:after="20" w:line="252" w:lineRule="auto"/>
            </w:pPr>
            <w:r>
              <w:rPr>
                <w:b w:val="0"/>
                <w:i w:val="0"/>
                <w:sz w:val="15"/>
              </w:rPr>
              <w:t>No independent test has yet been performed.</w:t>
            </w:r>
          </w:p>
        </w:tc>
        <w:tc>
          <w:tcPr>
            <w:tcW w:type="dxa" w:w="3175"/>
            <w:vAlign w:val="top"/>
          </w:tcPr>
          <w:p>
            <w:pPr>
              <w:spacing w:after="20" w:line="252" w:lineRule="auto"/>
            </w:pPr>
            <w:r>
              <w:rPr>
                <w:b w:val="0"/>
                <w:i w:val="0"/>
                <w:sz w:val="15"/>
              </w:rPr>
              <w:t>Independent VAPT on IIFT's UAT or production-like environment with re-test (DEL-17)</w:t>
            </w:r>
          </w:p>
        </w:tc>
        <w:tc>
          <w:tcPr>
            <w:tcW w:type="dxa" w:w="1361"/>
            <w:vAlign w:val="top"/>
          </w:tcPr>
          <w:p>
            <w:pPr>
              <w:spacing w:after="20" w:line="252" w:lineRule="auto"/>
            </w:pPr>
            <w:r>
              <w:rPr>
                <w:b w:val="0"/>
                <w:i w:val="0"/>
                <w:sz w:val="15"/>
              </w:rPr>
              <w:t>Weeks 17–19</w:t>
            </w:r>
          </w:p>
        </w:tc>
      </w:tr>
    </w:tbl>
    <w:p>
      <w:pPr>
        <w:pStyle w:val="Caption"/>
        <w:jc w:val="center"/>
      </w:pPr>
      <w:r>
        <w:rPr>
          <w:b w:val="0"/>
          <w:i w:val="0"/>
        </w:rPr>
        <w:t>Table 8: Residual risks</w:t>
      </w:r>
    </w:p>
    <w:p>
      <w:pPr>
        <w:pStyle w:val="Heading1"/>
        <w:pageBreakBefore w:val="0"/>
        <w:pBdr>
          <w:bottom w:val="single" w:sz="12" w:space="4" w:color="F58220"/>
        </w:pBdr>
      </w:pPr>
      <w:r>
        <w:t>9. Vulnerability severity and remediation timelines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4195"/>
        <w:gridCol w:w="3969"/>
      </w:tblGrid>
      <w:tr>
        <w:trPr>
          <w:cantSplit/>
          <w:tblHeader/>
        </w:trPr>
        <w:tc>
          <w:tcPr>
            <w:tcW w:type="dxa" w:w="1474"/>
            <w:shd w:val="clear" w:color="auto" w:fill="E1058C"/>
            <w:vAlign w:val="center"/>
          </w:tcPr>
          <w:p>
            <w:pPr>
              <w:spacing w:after="0"/>
            </w:pPr>
            <w:r>
              <w:rPr>
                <w:b/>
                <w:i w:val="0"/>
                <w:color w:val="FFFFFF"/>
                <w:sz w:val="17"/>
              </w:rPr>
              <w:t>Severity</w:t>
            </w:r>
          </w:p>
        </w:tc>
        <w:tc>
          <w:tcPr>
            <w:tcW w:type="dxa" w:w="4195"/>
            <w:shd w:val="clear" w:color="auto" w:fill="E1058C"/>
            <w:vAlign w:val="center"/>
          </w:tcPr>
          <w:p>
            <w:pPr>
              <w:spacing w:after="0"/>
            </w:pPr>
            <w:r>
              <w:rPr>
                <w:b/>
                <w:i w:val="0"/>
                <w:color w:val="FFFFFF"/>
                <w:sz w:val="17"/>
              </w:rPr>
              <w:t>Description</w:t>
            </w:r>
          </w:p>
        </w:tc>
        <w:tc>
          <w:tcPr>
            <w:tcW w:type="dxa" w:w="3969"/>
            <w:shd w:val="clear" w:color="auto" w:fill="E1058C"/>
            <w:vAlign w:val="center"/>
          </w:tcPr>
          <w:p>
            <w:pPr>
              <w:spacing w:after="0"/>
            </w:pPr>
            <w:r>
              <w:rPr>
                <w:b/>
                <w:i w:val="0"/>
                <w:color w:val="FFFFFF"/>
                <w:sz w:val="17"/>
              </w:rPr>
              <w:t>Timeline</w:t>
            </w:r>
          </w:p>
        </w:tc>
      </w:tr>
      <w:tr>
        <w:trPr>
          <w:cantSplit/>
        </w:trPr>
        <w:tc>
          <w:tcPr>
            <w:tcW w:type="dxa" w:w="1474"/>
            <w:vAlign w:val="top"/>
          </w:tcPr>
          <w:p>
            <w:pPr>
              <w:spacing w:after="20" w:line="252" w:lineRule="auto"/>
            </w:pPr>
            <w:r>
              <w:rPr>
                <w:b/>
                <w:i w:val="0"/>
                <w:sz w:val="17"/>
              </w:rPr>
              <w:t>Critical</w:t>
            </w:r>
          </w:p>
        </w:tc>
        <w:tc>
          <w:tcPr>
            <w:tcW w:type="dxa" w:w="4195"/>
            <w:vAlign w:val="top"/>
          </w:tcPr>
          <w:p>
            <w:pPr>
              <w:spacing w:after="20" w:line="252" w:lineRule="auto"/>
            </w:pPr>
            <w:r>
              <w:rPr>
                <w:b w:val="0"/>
                <w:i w:val="0"/>
                <w:sz w:val="17"/>
              </w:rPr>
              <w:t>Remotely exploitable; data exposure or system compromise</w:t>
            </w:r>
          </w:p>
        </w:tc>
        <w:tc>
          <w:tcPr>
            <w:tcW w:type="dxa" w:w="3969"/>
            <w:vAlign w:val="top"/>
          </w:tcPr>
          <w:p>
            <w:pPr>
              <w:spacing w:after="20" w:line="252" w:lineRule="auto"/>
            </w:pPr>
            <w:r>
              <w:rPr>
                <w:b w:val="0"/>
                <w:i w:val="0"/>
                <w:sz w:val="17"/>
              </w:rPr>
              <w:t>Contained within 24 hours; fixed within 7 days</w:t>
            </w:r>
          </w:p>
        </w:tc>
      </w:tr>
      <w:tr>
        <w:trPr>
          <w:cantSplit/>
        </w:trPr>
        <w:tc>
          <w:tcPr>
            <w:tcW w:type="dxa" w:w="1474"/>
            <w:vAlign w:val="top"/>
            <w:shd w:val="clear" w:color="auto" w:fill="FDF0F7"/>
          </w:tcPr>
          <w:p>
            <w:pPr>
              <w:spacing w:after="20" w:line="252" w:lineRule="auto"/>
            </w:pPr>
            <w:r>
              <w:rPr>
                <w:b/>
                <w:i w:val="0"/>
                <w:sz w:val="17"/>
              </w:rPr>
              <w:t>High</w:t>
            </w:r>
          </w:p>
        </w:tc>
        <w:tc>
          <w:tcPr>
            <w:tcW w:type="dxa" w:w="4195"/>
            <w:vAlign w:val="top"/>
            <w:shd w:val="clear" w:color="auto" w:fill="FDF0F7"/>
          </w:tcPr>
          <w:p>
            <w:pPr>
              <w:spacing w:after="20" w:line="252" w:lineRule="auto"/>
            </w:pPr>
            <w:r>
              <w:rPr>
                <w:b w:val="0"/>
                <w:i w:val="0"/>
                <w:sz w:val="17"/>
              </w:rPr>
              <w:t>Significant impact; exploitation likely</w:t>
            </w:r>
          </w:p>
        </w:tc>
        <w:tc>
          <w:tcPr>
            <w:tcW w:type="dxa" w:w="3969"/>
            <w:vAlign w:val="top"/>
            <w:shd w:val="clear" w:color="auto" w:fill="FDF0F7"/>
          </w:tcPr>
          <w:p>
            <w:pPr>
              <w:spacing w:after="20" w:line="252" w:lineRule="auto"/>
            </w:pPr>
            <w:r>
              <w:rPr>
                <w:b w:val="0"/>
                <w:i w:val="0"/>
                <w:sz w:val="17"/>
              </w:rPr>
              <w:t>Within 14 days</w:t>
            </w:r>
          </w:p>
        </w:tc>
      </w:tr>
      <w:tr>
        <w:trPr>
          <w:cantSplit/>
        </w:trPr>
        <w:tc>
          <w:tcPr>
            <w:tcW w:type="dxa" w:w="1474"/>
            <w:vAlign w:val="top"/>
          </w:tcPr>
          <w:p>
            <w:pPr>
              <w:spacing w:after="20" w:line="252" w:lineRule="auto"/>
            </w:pPr>
            <w:r>
              <w:rPr>
                <w:b/>
                <w:i w:val="0"/>
                <w:sz w:val="17"/>
              </w:rPr>
              <w:t>Medium</w:t>
            </w:r>
          </w:p>
        </w:tc>
        <w:tc>
          <w:tcPr>
            <w:tcW w:type="dxa" w:w="4195"/>
            <w:vAlign w:val="top"/>
          </w:tcPr>
          <w:p>
            <w:pPr>
              <w:spacing w:after="20" w:line="252" w:lineRule="auto"/>
            </w:pPr>
            <w:r>
              <w:rPr>
                <w:b w:val="0"/>
                <w:i w:val="0"/>
                <w:sz w:val="17"/>
              </w:rPr>
              <w:t>Limited impact or hard to exploit</w:t>
            </w:r>
          </w:p>
        </w:tc>
        <w:tc>
          <w:tcPr>
            <w:tcW w:type="dxa" w:w="3969"/>
            <w:vAlign w:val="top"/>
          </w:tcPr>
          <w:p>
            <w:pPr>
              <w:spacing w:after="20" w:line="252" w:lineRule="auto"/>
            </w:pPr>
            <w:r>
              <w:rPr>
                <w:b w:val="0"/>
                <w:i w:val="0"/>
                <w:sz w:val="17"/>
              </w:rPr>
              <w:t>Within 30 days</w:t>
            </w:r>
          </w:p>
        </w:tc>
      </w:tr>
      <w:tr>
        <w:trPr>
          <w:cantSplit/>
        </w:trPr>
        <w:tc>
          <w:tcPr>
            <w:tcW w:type="dxa" w:w="1474"/>
            <w:vAlign w:val="top"/>
            <w:shd w:val="clear" w:color="auto" w:fill="FDF0F7"/>
          </w:tcPr>
          <w:p>
            <w:pPr>
              <w:spacing w:after="20" w:line="252" w:lineRule="auto"/>
            </w:pPr>
            <w:r>
              <w:rPr>
                <w:b/>
                <w:i w:val="0"/>
                <w:sz w:val="17"/>
              </w:rPr>
              <w:t>Low</w:t>
            </w:r>
          </w:p>
        </w:tc>
        <w:tc>
          <w:tcPr>
            <w:tcW w:type="dxa" w:w="4195"/>
            <w:vAlign w:val="top"/>
            <w:shd w:val="clear" w:color="auto" w:fill="FDF0F7"/>
          </w:tcPr>
          <w:p>
            <w:pPr>
              <w:spacing w:after="20" w:line="252" w:lineRule="auto"/>
            </w:pPr>
            <w:r>
              <w:rPr>
                <w:b w:val="0"/>
                <w:i w:val="0"/>
                <w:sz w:val="17"/>
              </w:rPr>
              <w:t>Minimal impact; hardening advice</w:t>
            </w:r>
          </w:p>
        </w:tc>
        <w:tc>
          <w:tcPr>
            <w:tcW w:type="dxa" w:w="3969"/>
            <w:vAlign w:val="top"/>
            <w:shd w:val="clear" w:color="auto" w:fill="FDF0F7"/>
          </w:tcPr>
          <w:p>
            <w:pPr>
              <w:spacing w:after="20" w:line="252" w:lineRule="auto"/>
            </w:pPr>
            <w:r>
              <w:rPr>
                <w:b w:val="0"/>
                <w:i w:val="0"/>
                <w:sz w:val="17"/>
              </w:rPr>
              <w:t>Within 90 days or the next release</w:t>
            </w:r>
          </w:p>
        </w:tc>
      </w:tr>
    </w:tbl>
    <w:p>
      <w:pPr>
        <w:pStyle w:val="Caption"/>
        <w:jc w:val="center"/>
      </w:pPr>
      <w:r>
        <w:rPr>
          <w:b w:val="0"/>
          <w:i w:val="0"/>
        </w:rPr>
        <w:t>Table 9: Remediation timelines (NFR-12, MNT-12)</w:t>
      </w:r>
    </w:p>
    <w:p>
      <w:pPr>
        <w:pStyle w:val="Heading1"/>
        <w:pageBreakBefore/>
        <w:pBdr>
          <w:bottom w:val="single" w:sz="12" w:space="4" w:color="F58220"/>
        </w:pBdr>
      </w:pPr>
      <w:r>
        <w:t>10. Independent VAPT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blHeader/>
        </w:trPr>
        <w:tc>
          <w:tcPr>
            <w:tcW w:type="dxa" w:w="2041"/>
            <w:shd w:val="clear" w:color="auto" w:fill="E1058C"/>
            <w:vAlign w:val="center"/>
          </w:tcPr>
          <w:p>
            <w:pPr>
              <w:spacing w:after="0"/>
            </w:pPr>
            <w:r>
              <w:rPr>
                <w:b/>
                <w:i w:val="0"/>
                <w:color w:val="FFFFFF"/>
                <w:sz w:val="17"/>
              </w:rPr>
              <w:t>Item</w:t>
            </w:r>
          </w:p>
        </w:tc>
        <w:tc>
          <w:tcPr>
            <w:tcW w:type="dxa" w:w="7597"/>
            <w:shd w:val="clear" w:color="auto" w:fill="E1058C"/>
            <w:vAlign w:val="center"/>
          </w:tcPr>
          <w:p>
            <w:pPr>
              <w:spacing w:after="0"/>
            </w:pPr>
            <w:r>
              <w:rPr>
                <w:b/>
                <w:i w:val="0"/>
                <w:color w:val="FFFFFF"/>
                <w:sz w:val="17"/>
              </w:rPr>
              <w:t>Plan</w:t>
            </w:r>
          </w:p>
        </w:tc>
      </w:tr>
      <w:tr>
        <w:trPr>
          <w:cantSplit/>
        </w:trPr>
        <w:tc>
          <w:tcPr>
            <w:tcW w:type="dxa" w:w="2041"/>
            <w:vAlign w:val="top"/>
          </w:tcPr>
          <w:p>
            <w:pPr>
              <w:spacing w:after="20" w:line="252" w:lineRule="auto"/>
            </w:pPr>
            <w:r>
              <w:rPr>
                <w:b/>
                <w:i w:val="0"/>
                <w:sz w:val="17"/>
              </w:rPr>
              <w:t>Tester</w:t>
            </w:r>
          </w:p>
        </w:tc>
        <w:tc>
          <w:tcPr>
            <w:tcW w:type="dxa" w:w="7597"/>
            <w:vAlign w:val="top"/>
          </w:tcPr>
          <w:p>
            <w:pPr>
              <w:spacing w:after="20" w:line="252" w:lineRule="auto"/>
            </w:pPr>
            <w:r>
              <w:rPr>
                <w:b w:val="0"/>
                <w:i w:val="0"/>
                <w:sz w:val="17"/>
              </w:rPr>
              <w:t>Independent third party approved by IIFT; no involvement in building the solution</w:t>
            </w:r>
          </w:p>
        </w:tc>
      </w:tr>
      <w:tr>
        <w:trPr>
          <w:cantSplit/>
        </w:trPr>
        <w:tc>
          <w:tcPr>
            <w:tcW w:type="dxa" w:w="2041"/>
            <w:vAlign w:val="top"/>
            <w:shd w:val="clear" w:color="auto" w:fill="FDF0F7"/>
          </w:tcPr>
          <w:p>
            <w:pPr>
              <w:spacing w:after="20" w:line="252" w:lineRule="auto"/>
            </w:pPr>
            <w:r>
              <w:rPr>
                <w:b/>
                <w:i w:val="0"/>
                <w:sz w:val="17"/>
              </w:rPr>
              <w:t>Environment</w:t>
            </w:r>
          </w:p>
        </w:tc>
        <w:tc>
          <w:tcPr>
            <w:tcW w:type="dxa" w:w="7597"/>
            <w:vAlign w:val="top"/>
            <w:shd w:val="clear" w:color="auto" w:fill="FDF0F7"/>
          </w:tcPr>
          <w:p>
            <w:pPr>
              <w:spacing w:after="20" w:line="252" w:lineRule="auto"/>
            </w:pPr>
            <w:r>
              <w:rPr>
                <w:b w:val="0"/>
                <w:i w:val="0"/>
                <w:sz w:val="17"/>
              </w:rPr>
              <w:t>IIFT UAT or a production-like environment with production configuration and test data</w:t>
            </w:r>
          </w:p>
        </w:tc>
      </w:tr>
      <w:tr>
        <w:trPr>
          <w:cantSplit/>
        </w:trPr>
        <w:tc>
          <w:tcPr>
            <w:tcW w:type="dxa" w:w="2041"/>
            <w:vAlign w:val="top"/>
          </w:tcPr>
          <w:p>
            <w:pPr>
              <w:spacing w:after="20" w:line="252" w:lineRule="auto"/>
            </w:pPr>
            <w:r>
              <w:rPr>
                <w:b/>
                <w:i w:val="0"/>
                <w:sz w:val="17"/>
              </w:rPr>
              <w:t>Timing</w:t>
            </w:r>
          </w:p>
        </w:tc>
        <w:tc>
          <w:tcPr>
            <w:tcW w:type="dxa" w:w="7597"/>
            <w:vAlign w:val="top"/>
          </w:tcPr>
          <w:p>
            <w:pPr>
              <w:spacing w:after="20" w:line="252" w:lineRule="auto"/>
            </w:pPr>
            <w:r>
              <w:rPr>
                <w:b w:val="0"/>
                <w:i w:val="0"/>
                <w:sz w:val="17"/>
              </w:rPr>
              <w:t>Weeks 17 to 19 of the plan, after SIT functional exit</w:t>
            </w:r>
          </w:p>
        </w:tc>
      </w:tr>
      <w:tr>
        <w:trPr>
          <w:cantSplit/>
        </w:trPr>
        <w:tc>
          <w:tcPr>
            <w:tcW w:type="dxa" w:w="2041"/>
            <w:vAlign w:val="top"/>
            <w:shd w:val="clear" w:color="auto" w:fill="FDF0F7"/>
          </w:tcPr>
          <w:p>
            <w:pPr>
              <w:spacing w:after="20" w:line="252" w:lineRule="auto"/>
            </w:pPr>
            <w:r>
              <w:rPr>
                <w:b/>
                <w:i w:val="0"/>
                <w:sz w:val="17"/>
              </w:rPr>
              <w:t>Scope</w:t>
            </w:r>
          </w:p>
        </w:tc>
        <w:tc>
          <w:tcPr>
            <w:tcW w:type="dxa" w:w="7597"/>
            <w:vAlign w:val="top"/>
            <w:shd w:val="clear" w:color="auto" w:fill="FDF0F7"/>
          </w:tcPr>
          <w:p>
            <w:pPr>
              <w:spacing w:after="20" w:line="252" w:lineRule="auto"/>
            </w:pPr>
            <w:r>
              <w:rPr>
                <w:b w:val="0"/>
                <w:i w:val="0"/>
                <w:sz w:val="17"/>
              </w:rPr>
              <w:t>Portal, back-office, public e-signature page, APIs including system-to-system endpoints, web tier and hosting configuration</w:t>
            </w:r>
          </w:p>
        </w:tc>
      </w:tr>
      <w:tr>
        <w:trPr>
          <w:cantSplit/>
        </w:trPr>
        <w:tc>
          <w:tcPr>
            <w:tcW w:type="dxa" w:w="2041"/>
            <w:vAlign w:val="top"/>
          </w:tcPr>
          <w:p>
            <w:pPr>
              <w:spacing w:after="20" w:line="252" w:lineRule="auto"/>
            </w:pPr>
            <w:r>
              <w:rPr>
                <w:b/>
                <w:i w:val="0"/>
                <w:sz w:val="17"/>
              </w:rPr>
              <w:t>Approach</w:t>
            </w:r>
          </w:p>
        </w:tc>
        <w:tc>
          <w:tcPr>
            <w:tcW w:type="dxa" w:w="7597"/>
            <w:vAlign w:val="top"/>
          </w:tcPr>
          <w:p>
            <w:pPr>
              <w:spacing w:after="20" w:line="252" w:lineRule="auto"/>
            </w:pPr>
            <w:r>
              <w:rPr>
                <w:b w:val="0"/>
                <w:i w:val="0"/>
                <w:sz w:val="17"/>
              </w:rPr>
              <w:t>Authenticated (grey-box) testing per role plus unauthenticated external testing, against OWASP ASVS Level 2 and the OWASP Top 10</w:t>
            </w:r>
          </w:p>
        </w:tc>
      </w:tr>
      <w:tr>
        <w:trPr>
          <w:cantSplit/>
        </w:trPr>
        <w:tc>
          <w:tcPr>
            <w:tcW w:type="dxa" w:w="2041"/>
            <w:vAlign w:val="top"/>
            <w:shd w:val="clear" w:color="auto" w:fill="FDF0F7"/>
          </w:tcPr>
          <w:p>
            <w:pPr>
              <w:spacing w:after="20" w:line="252" w:lineRule="auto"/>
            </w:pPr>
            <w:r>
              <w:rPr>
                <w:b/>
                <w:i w:val="0"/>
                <w:sz w:val="17"/>
              </w:rPr>
              <w:t>Rules of engagement</w:t>
            </w:r>
          </w:p>
        </w:tc>
        <w:tc>
          <w:tcPr>
            <w:tcW w:type="dxa" w:w="7597"/>
            <w:vAlign w:val="top"/>
            <w:shd w:val="clear" w:color="auto" w:fill="FDF0F7"/>
          </w:tcPr>
          <w:p>
            <w:pPr>
              <w:spacing w:after="20" w:line="252" w:lineRule="auto"/>
            </w:pPr>
            <w:r>
              <w:rPr>
                <w:b w:val="0"/>
                <w:i w:val="0"/>
                <w:sz w:val="17"/>
              </w:rPr>
              <w:t>Agreed with IIFT IT security: test windows, contacts, data handling, no denial-of-service</w:t>
            </w:r>
          </w:p>
        </w:tc>
      </w:tr>
      <w:tr>
        <w:trPr>
          <w:cantSplit/>
        </w:trPr>
        <w:tc>
          <w:tcPr>
            <w:tcW w:type="dxa" w:w="2041"/>
            <w:vAlign w:val="top"/>
          </w:tcPr>
          <w:p>
            <w:pPr>
              <w:spacing w:after="20" w:line="252" w:lineRule="auto"/>
            </w:pPr>
            <w:r>
              <w:rPr>
                <w:b/>
                <w:i w:val="0"/>
                <w:sz w:val="17"/>
              </w:rPr>
              <w:t>Deliverables</w:t>
            </w:r>
          </w:p>
        </w:tc>
        <w:tc>
          <w:tcPr>
            <w:tcW w:type="dxa" w:w="7597"/>
            <w:vAlign w:val="top"/>
          </w:tcPr>
          <w:p>
            <w:pPr>
              <w:spacing w:after="20" w:line="252" w:lineRule="auto"/>
            </w:pPr>
            <w:r>
              <w:rPr>
                <w:b w:val="0"/>
                <w:i w:val="0"/>
                <w:sz w:val="17"/>
              </w:rPr>
              <w:t>Report with findings, severity and evidence; remediation by iorta; re-test report (DEL-17)</w:t>
            </w:r>
          </w:p>
        </w:tc>
      </w:tr>
      <w:tr>
        <w:trPr>
          <w:cantSplit/>
        </w:trPr>
        <w:tc>
          <w:tcPr>
            <w:tcW w:type="dxa" w:w="2041"/>
            <w:vAlign w:val="top"/>
            <w:shd w:val="clear" w:color="auto" w:fill="FDF0F7"/>
          </w:tcPr>
          <w:p>
            <w:pPr>
              <w:spacing w:after="20" w:line="252" w:lineRule="auto"/>
            </w:pPr>
            <w:r>
              <w:rPr>
                <w:b/>
                <w:i w:val="0"/>
                <w:sz w:val="17"/>
              </w:rPr>
              <w:t>Exit criterion</w:t>
            </w:r>
          </w:p>
        </w:tc>
        <w:tc>
          <w:tcPr>
            <w:tcW w:type="dxa" w:w="7597"/>
            <w:vAlign w:val="top"/>
            <w:shd w:val="clear" w:color="auto" w:fill="FDF0F7"/>
          </w:tcPr>
          <w:p>
            <w:pPr>
              <w:spacing w:after="20" w:line="252" w:lineRule="auto"/>
            </w:pPr>
            <w:r>
              <w:rPr>
                <w:b w:val="0"/>
                <w:i w:val="0"/>
                <w:sz w:val="17"/>
              </w:rPr>
              <w:t>No open Critical or High findings at go-live; Medium and Low tracked to the timelines in section 9</w:t>
            </w:r>
          </w:p>
        </w:tc>
      </w:tr>
    </w:tbl>
    <w:p>
      <w:pPr>
        <w:pStyle w:val="Caption"/>
        <w:jc w:val="center"/>
      </w:pPr>
      <w:r>
        <w:rPr>
          <w:b w:val="0"/>
          <w:i w:val="0"/>
        </w:rPr>
        <w:t>Table 10: Independent vulnerability assessment and penetration test (DEL-17)</w:t>
      </w:r>
    </w:p>
    <w:p>
      <w:pPr>
        <w:pStyle w:val="Heading1"/>
        <w:pageBreakBefore/>
        <w:pBdr>
          <w:bottom w:val="single" w:sz="12" w:space="4" w:color="F58220"/>
        </w:pBdr>
      </w:pPr>
      <w:r>
        <w:t>Annex – Evidence files</w:t>
      </w:r>
    </w:p>
    <w:p>
      <w:pPr>
        <w:keepNext w:val="0"/>
      </w:pPr>
      <w:r>
        <w:rPr>
          <w:b w:val="0"/>
          <w:i w:val="0"/>
        </w:rPr>
        <w:t>Results in this report are read from the evidence files below when the report is built. The fingerprint is the start of each file's SHA-256 hash, so a reader can confirm which evidence a given version of the report was built from.</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082"/>
        <w:gridCol w:w="1701"/>
        <w:gridCol w:w="3855"/>
      </w:tblGrid>
      <w:tr>
        <w:trPr>
          <w:cantSplit/>
          <w:tblHeader/>
        </w:trPr>
        <w:tc>
          <w:tcPr>
            <w:tcW w:type="dxa" w:w="4082"/>
            <w:shd w:val="clear" w:color="auto" w:fill="E1058C"/>
            <w:vAlign w:val="center"/>
          </w:tcPr>
          <w:p>
            <w:pPr>
              <w:spacing w:after="0"/>
            </w:pPr>
            <w:r>
              <w:rPr>
                <w:b/>
                <w:i w:val="0"/>
                <w:color w:val="FFFFFF"/>
                <w:sz w:val="16"/>
              </w:rPr>
              <w:t>Evidence file</w:t>
            </w:r>
          </w:p>
        </w:tc>
        <w:tc>
          <w:tcPr>
            <w:tcW w:type="dxa" w:w="1701"/>
            <w:shd w:val="clear" w:color="auto" w:fill="E1058C"/>
            <w:vAlign w:val="center"/>
          </w:tcPr>
          <w:p>
            <w:pPr>
              <w:spacing w:after="0"/>
            </w:pPr>
            <w:r>
              <w:rPr>
                <w:b/>
                <w:i w:val="0"/>
                <w:color w:val="FFFFFF"/>
                <w:sz w:val="16"/>
              </w:rPr>
              <w:t>Size</w:t>
            </w:r>
          </w:p>
        </w:tc>
        <w:tc>
          <w:tcPr>
            <w:tcW w:type="dxa" w:w="3855"/>
            <w:shd w:val="clear" w:color="auto" w:fill="E1058C"/>
            <w:vAlign w:val="center"/>
          </w:tcPr>
          <w:p>
            <w:pPr>
              <w:spacing w:after="0"/>
            </w:pPr>
            <w:r>
              <w:rPr>
                <w:b/>
                <w:i w:val="0"/>
                <w:color w:val="FFFFFF"/>
                <w:sz w:val="16"/>
              </w:rPr>
              <w:t>SHA-256 (first 16 characters)</w:t>
            </w:r>
          </w:p>
        </w:tc>
      </w:tr>
      <w:tr>
        <w:trPr>
          <w:cantSplit/>
        </w:trPr>
        <w:tc>
          <w:tcPr>
            <w:tcW w:type="dxa" w:w="4082"/>
            <w:vAlign w:val="top"/>
          </w:tcPr>
          <w:p>
            <w:pPr>
              <w:spacing w:after="20" w:line="252" w:lineRule="auto"/>
            </w:pPr>
            <w:r>
              <w:rPr>
                <w:b w:val="0"/>
                <w:i w:val="0"/>
                <w:sz w:val="16"/>
              </w:rPr>
              <w:t>api-e2e-coverage-summary.json</w:t>
            </w:r>
          </w:p>
        </w:tc>
        <w:tc>
          <w:tcPr>
            <w:tcW w:type="dxa" w:w="1701"/>
            <w:vAlign w:val="top"/>
          </w:tcPr>
          <w:p>
            <w:pPr>
              <w:spacing w:after="20" w:line="252" w:lineRule="auto"/>
            </w:pPr>
            <w:r>
              <w:rPr>
                <w:b w:val="0"/>
                <w:i w:val="0"/>
                <w:sz w:val="16"/>
              </w:rPr>
              <w:t>42,784 bytes</w:t>
            </w:r>
          </w:p>
        </w:tc>
        <w:tc>
          <w:tcPr>
            <w:tcW w:type="dxa" w:w="3855"/>
            <w:vAlign w:val="top"/>
          </w:tcPr>
          <w:p>
            <w:pPr>
              <w:spacing w:after="20" w:line="252" w:lineRule="auto"/>
            </w:pPr>
            <w:r>
              <w:rPr>
                <w:b w:val="0"/>
                <w:i w:val="0"/>
                <w:sz w:val="16"/>
              </w:rPr>
              <w:t>74b2c247a495d346…</w:t>
            </w:r>
          </w:p>
        </w:tc>
      </w:tr>
      <w:tr>
        <w:trPr>
          <w:cantSplit/>
        </w:trPr>
        <w:tc>
          <w:tcPr>
            <w:tcW w:type="dxa" w:w="4082"/>
            <w:vAlign w:val="top"/>
            <w:shd w:val="clear" w:color="auto" w:fill="FDF0F7"/>
          </w:tcPr>
          <w:p>
            <w:pPr>
              <w:spacing w:after="20" w:line="252" w:lineRule="auto"/>
            </w:pPr>
            <w:r>
              <w:rPr>
                <w:b w:val="0"/>
                <w:i w:val="0"/>
                <w:sz w:val="16"/>
              </w:rPr>
              <w:t>api-e2e-tests.json</w:t>
            </w:r>
          </w:p>
        </w:tc>
        <w:tc>
          <w:tcPr>
            <w:tcW w:type="dxa" w:w="1701"/>
            <w:vAlign w:val="top"/>
            <w:shd w:val="clear" w:color="auto" w:fill="FDF0F7"/>
          </w:tcPr>
          <w:p>
            <w:pPr>
              <w:spacing w:after="20" w:line="252" w:lineRule="auto"/>
            </w:pPr>
            <w:r>
              <w:rPr>
                <w:b w:val="0"/>
                <w:i w:val="0"/>
                <w:sz w:val="16"/>
              </w:rPr>
              <w:t>895,673 bytes</w:t>
            </w:r>
          </w:p>
        </w:tc>
        <w:tc>
          <w:tcPr>
            <w:tcW w:type="dxa" w:w="3855"/>
            <w:vAlign w:val="top"/>
            <w:shd w:val="clear" w:color="auto" w:fill="FDF0F7"/>
          </w:tcPr>
          <w:p>
            <w:pPr>
              <w:spacing w:after="20" w:line="252" w:lineRule="auto"/>
            </w:pPr>
            <w:r>
              <w:rPr>
                <w:b w:val="0"/>
                <w:i w:val="0"/>
                <w:sz w:val="16"/>
              </w:rPr>
              <w:t>bb1381c4fef07679…</w:t>
            </w:r>
          </w:p>
        </w:tc>
      </w:tr>
      <w:tr>
        <w:trPr>
          <w:cantSplit/>
        </w:trPr>
        <w:tc>
          <w:tcPr>
            <w:tcW w:type="dxa" w:w="4082"/>
            <w:vAlign w:val="top"/>
          </w:tcPr>
          <w:p>
            <w:pPr>
              <w:spacing w:after="20" w:line="252" w:lineRule="auto"/>
            </w:pPr>
            <w:r>
              <w:rPr>
                <w:b w:val="0"/>
                <w:i w:val="0"/>
                <w:sz w:val="16"/>
              </w:rPr>
              <w:t>api-static-analysis.json</w:t>
            </w:r>
          </w:p>
        </w:tc>
        <w:tc>
          <w:tcPr>
            <w:tcW w:type="dxa" w:w="1701"/>
            <w:vAlign w:val="top"/>
          </w:tcPr>
          <w:p>
            <w:pPr>
              <w:spacing w:after="20" w:line="252" w:lineRule="auto"/>
            </w:pPr>
            <w:r>
              <w:rPr>
                <w:b w:val="0"/>
                <w:i w:val="0"/>
                <w:sz w:val="16"/>
              </w:rPr>
              <w:t>796 bytes</w:t>
            </w:r>
          </w:p>
        </w:tc>
        <w:tc>
          <w:tcPr>
            <w:tcW w:type="dxa" w:w="3855"/>
            <w:vAlign w:val="top"/>
          </w:tcPr>
          <w:p>
            <w:pPr>
              <w:spacing w:after="20" w:line="252" w:lineRule="auto"/>
            </w:pPr>
            <w:r>
              <w:rPr>
                <w:b w:val="0"/>
                <w:i w:val="0"/>
                <w:sz w:val="16"/>
              </w:rPr>
              <w:t>38c06cf62d020977…</w:t>
            </w:r>
          </w:p>
        </w:tc>
      </w:tr>
      <w:tr>
        <w:trPr>
          <w:cantSplit/>
        </w:trPr>
        <w:tc>
          <w:tcPr>
            <w:tcW w:type="dxa" w:w="4082"/>
            <w:vAlign w:val="top"/>
            <w:shd w:val="clear" w:color="auto" w:fill="FDF0F7"/>
          </w:tcPr>
          <w:p>
            <w:pPr>
              <w:spacing w:after="20" w:line="252" w:lineRule="auto"/>
            </w:pPr>
            <w:r>
              <w:rPr>
                <w:b w:val="0"/>
                <w:i w:val="0"/>
                <w:sz w:val="16"/>
              </w:rPr>
              <w:t>api-test-run.json</w:t>
            </w:r>
          </w:p>
        </w:tc>
        <w:tc>
          <w:tcPr>
            <w:tcW w:type="dxa" w:w="1701"/>
            <w:vAlign w:val="top"/>
            <w:shd w:val="clear" w:color="auto" w:fill="FDF0F7"/>
          </w:tcPr>
          <w:p>
            <w:pPr>
              <w:spacing w:after="20" w:line="252" w:lineRule="auto"/>
            </w:pPr>
            <w:r>
              <w:rPr>
                <w:b w:val="0"/>
                <w:i w:val="0"/>
                <w:sz w:val="16"/>
              </w:rPr>
              <w:t>62,933 bytes</w:t>
            </w:r>
          </w:p>
        </w:tc>
        <w:tc>
          <w:tcPr>
            <w:tcW w:type="dxa" w:w="3855"/>
            <w:vAlign w:val="top"/>
            <w:shd w:val="clear" w:color="auto" w:fill="FDF0F7"/>
          </w:tcPr>
          <w:p>
            <w:pPr>
              <w:spacing w:after="20" w:line="252" w:lineRule="auto"/>
            </w:pPr>
            <w:r>
              <w:rPr>
                <w:b w:val="0"/>
                <w:i w:val="0"/>
                <w:sz w:val="16"/>
              </w:rPr>
              <w:t>bf46e22aaf170745…</w:t>
            </w:r>
          </w:p>
        </w:tc>
      </w:tr>
      <w:tr>
        <w:trPr>
          <w:cantSplit/>
        </w:trPr>
        <w:tc>
          <w:tcPr>
            <w:tcW w:type="dxa" w:w="4082"/>
            <w:vAlign w:val="top"/>
          </w:tcPr>
          <w:p>
            <w:pPr>
              <w:spacing w:after="20" w:line="252" w:lineRule="auto"/>
            </w:pPr>
            <w:r>
              <w:rPr>
                <w:b w:val="0"/>
                <w:i w:val="0"/>
                <w:sz w:val="16"/>
              </w:rPr>
              <w:t>api-unit-coverage-summary.json</w:t>
            </w:r>
          </w:p>
        </w:tc>
        <w:tc>
          <w:tcPr>
            <w:tcW w:type="dxa" w:w="1701"/>
            <w:vAlign w:val="top"/>
          </w:tcPr>
          <w:p>
            <w:pPr>
              <w:spacing w:after="20" w:line="252" w:lineRule="auto"/>
            </w:pPr>
            <w:r>
              <w:rPr>
                <w:b w:val="0"/>
                <w:i w:val="0"/>
                <w:sz w:val="16"/>
              </w:rPr>
              <w:t>41,871 bytes</w:t>
            </w:r>
          </w:p>
        </w:tc>
        <w:tc>
          <w:tcPr>
            <w:tcW w:type="dxa" w:w="3855"/>
            <w:vAlign w:val="top"/>
          </w:tcPr>
          <w:p>
            <w:pPr>
              <w:spacing w:after="20" w:line="252" w:lineRule="auto"/>
            </w:pPr>
            <w:r>
              <w:rPr>
                <w:b w:val="0"/>
                <w:i w:val="0"/>
                <w:sz w:val="16"/>
              </w:rPr>
              <w:t>501662d3899973ad…</w:t>
            </w:r>
          </w:p>
        </w:tc>
      </w:tr>
      <w:tr>
        <w:trPr>
          <w:cantSplit/>
        </w:trPr>
        <w:tc>
          <w:tcPr>
            <w:tcW w:type="dxa" w:w="4082"/>
            <w:vAlign w:val="top"/>
            <w:shd w:val="clear" w:color="auto" w:fill="FDF0F7"/>
          </w:tcPr>
          <w:p>
            <w:pPr>
              <w:spacing w:after="20" w:line="252" w:lineRule="auto"/>
            </w:pPr>
            <w:r>
              <w:rPr>
                <w:b w:val="0"/>
                <w:i w:val="0"/>
                <w:sz w:val="16"/>
              </w:rPr>
              <w:t>api-unit-tests.json</w:t>
            </w:r>
          </w:p>
        </w:tc>
        <w:tc>
          <w:tcPr>
            <w:tcW w:type="dxa" w:w="1701"/>
            <w:vAlign w:val="top"/>
            <w:shd w:val="clear" w:color="auto" w:fill="FDF0F7"/>
          </w:tcPr>
          <w:p>
            <w:pPr>
              <w:spacing w:after="20" w:line="252" w:lineRule="auto"/>
            </w:pPr>
            <w:r>
              <w:rPr>
                <w:b w:val="0"/>
                <w:i w:val="0"/>
                <w:sz w:val="16"/>
              </w:rPr>
              <w:t>901,653 bytes</w:t>
            </w:r>
          </w:p>
        </w:tc>
        <w:tc>
          <w:tcPr>
            <w:tcW w:type="dxa" w:w="3855"/>
            <w:vAlign w:val="top"/>
            <w:shd w:val="clear" w:color="auto" w:fill="FDF0F7"/>
          </w:tcPr>
          <w:p>
            <w:pPr>
              <w:spacing w:after="20" w:line="252" w:lineRule="auto"/>
            </w:pPr>
            <w:r>
              <w:rPr>
                <w:b w:val="0"/>
                <w:i w:val="0"/>
                <w:sz w:val="16"/>
              </w:rPr>
              <w:t>04b9d616f28c707b…</w:t>
            </w:r>
          </w:p>
        </w:tc>
      </w:tr>
      <w:tr>
        <w:trPr>
          <w:cantSplit/>
        </w:trPr>
        <w:tc>
          <w:tcPr>
            <w:tcW w:type="dxa" w:w="4082"/>
            <w:vAlign w:val="top"/>
          </w:tcPr>
          <w:p>
            <w:pPr>
              <w:spacing w:after="20" w:line="252" w:lineRule="auto"/>
            </w:pPr>
            <w:r>
              <w:rPr>
                <w:b w:val="0"/>
                <w:i w:val="0"/>
                <w:sz w:val="16"/>
              </w:rPr>
              <w:t>code-metrics-api.json</w:t>
            </w:r>
          </w:p>
        </w:tc>
        <w:tc>
          <w:tcPr>
            <w:tcW w:type="dxa" w:w="1701"/>
            <w:vAlign w:val="top"/>
          </w:tcPr>
          <w:p>
            <w:pPr>
              <w:spacing w:after="20" w:line="252" w:lineRule="auto"/>
            </w:pPr>
            <w:r>
              <w:rPr>
                <w:b w:val="0"/>
                <w:i w:val="0"/>
                <w:sz w:val="16"/>
              </w:rPr>
              <w:t>760 bytes</w:t>
            </w:r>
          </w:p>
        </w:tc>
        <w:tc>
          <w:tcPr>
            <w:tcW w:type="dxa" w:w="3855"/>
            <w:vAlign w:val="top"/>
          </w:tcPr>
          <w:p>
            <w:pPr>
              <w:spacing w:after="20" w:line="252" w:lineRule="auto"/>
            </w:pPr>
            <w:r>
              <w:rPr>
                <w:b w:val="0"/>
                <w:i w:val="0"/>
                <w:sz w:val="16"/>
              </w:rPr>
              <w:t>ec37c59d47c8708c…</w:t>
            </w:r>
          </w:p>
        </w:tc>
      </w:tr>
      <w:tr>
        <w:trPr>
          <w:cantSplit/>
        </w:trPr>
        <w:tc>
          <w:tcPr>
            <w:tcW w:type="dxa" w:w="4082"/>
            <w:vAlign w:val="top"/>
            <w:shd w:val="clear" w:color="auto" w:fill="FDF0F7"/>
          </w:tcPr>
          <w:p>
            <w:pPr>
              <w:spacing w:after="20" w:line="252" w:lineRule="auto"/>
            </w:pPr>
            <w:r>
              <w:rPr>
                <w:b w:val="0"/>
                <w:i w:val="0"/>
                <w:sz w:val="16"/>
              </w:rPr>
              <w:t>npm-audit.json</w:t>
            </w:r>
          </w:p>
        </w:tc>
        <w:tc>
          <w:tcPr>
            <w:tcW w:type="dxa" w:w="1701"/>
            <w:vAlign w:val="top"/>
            <w:shd w:val="clear" w:color="auto" w:fill="FDF0F7"/>
          </w:tcPr>
          <w:p>
            <w:pPr>
              <w:spacing w:after="20" w:line="252" w:lineRule="auto"/>
            </w:pPr>
            <w:r>
              <w:rPr>
                <w:b w:val="0"/>
                <w:i w:val="0"/>
                <w:sz w:val="16"/>
              </w:rPr>
              <w:t>366 bytes</w:t>
            </w:r>
          </w:p>
        </w:tc>
        <w:tc>
          <w:tcPr>
            <w:tcW w:type="dxa" w:w="3855"/>
            <w:vAlign w:val="top"/>
            <w:shd w:val="clear" w:color="auto" w:fill="FDF0F7"/>
          </w:tcPr>
          <w:p>
            <w:pPr>
              <w:spacing w:after="20" w:line="252" w:lineRule="auto"/>
            </w:pPr>
            <w:r>
              <w:rPr>
                <w:b w:val="0"/>
                <w:i w:val="0"/>
                <w:sz w:val="16"/>
              </w:rPr>
              <w:t>1cf279e9ef691d09…</w:t>
            </w:r>
          </w:p>
        </w:tc>
      </w:tr>
      <w:tr>
        <w:trPr>
          <w:cantSplit/>
        </w:trPr>
        <w:tc>
          <w:tcPr>
            <w:tcW w:type="dxa" w:w="4082"/>
            <w:vAlign w:val="top"/>
          </w:tcPr>
          <w:p>
            <w:pPr>
              <w:spacing w:after="20" w:line="252" w:lineRule="auto"/>
            </w:pPr>
            <w:r>
              <w:rPr>
                <w:b w:val="0"/>
                <w:i w:val="0"/>
                <w:sz w:val="16"/>
              </w:rPr>
              <w:t>runtime-dependency-licences.json</w:t>
            </w:r>
          </w:p>
        </w:tc>
        <w:tc>
          <w:tcPr>
            <w:tcW w:type="dxa" w:w="1701"/>
            <w:vAlign w:val="top"/>
          </w:tcPr>
          <w:p>
            <w:pPr>
              <w:spacing w:after="20" w:line="252" w:lineRule="auto"/>
            </w:pPr>
            <w:r>
              <w:rPr>
                <w:b w:val="0"/>
                <w:i w:val="0"/>
                <w:sz w:val="16"/>
              </w:rPr>
              <w:t>40,391 bytes</w:t>
            </w:r>
          </w:p>
        </w:tc>
        <w:tc>
          <w:tcPr>
            <w:tcW w:type="dxa" w:w="3855"/>
            <w:vAlign w:val="top"/>
          </w:tcPr>
          <w:p>
            <w:pPr>
              <w:spacing w:after="20" w:line="252" w:lineRule="auto"/>
            </w:pPr>
            <w:r>
              <w:rPr>
                <w:b w:val="0"/>
                <w:i w:val="0"/>
                <w:sz w:val="16"/>
              </w:rPr>
              <w:t>b003a0dc1a75e06f…</w:t>
            </w:r>
          </w:p>
        </w:tc>
      </w:tr>
      <w:tr>
        <w:trPr>
          <w:cantSplit/>
        </w:trPr>
        <w:tc>
          <w:tcPr>
            <w:tcW w:type="dxa" w:w="4082"/>
            <w:vAlign w:val="top"/>
            <w:shd w:val="clear" w:color="auto" w:fill="FDF0F7"/>
          </w:tcPr>
          <w:p>
            <w:pPr>
              <w:spacing w:after="20" w:line="252" w:lineRule="auto"/>
            </w:pPr>
            <w:r>
              <w:rPr>
                <w:b w:val="0"/>
                <w:i w:val="0"/>
                <w:sz w:val="16"/>
              </w:rPr>
              <w:t>security-checks.json</w:t>
            </w:r>
          </w:p>
        </w:tc>
        <w:tc>
          <w:tcPr>
            <w:tcW w:type="dxa" w:w="1701"/>
            <w:vAlign w:val="top"/>
            <w:shd w:val="clear" w:color="auto" w:fill="FDF0F7"/>
          </w:tcPr>
          <w:p>
            <w:pPr>
              <w:spacing w:after="20" w:line="252" w:lineRule="auto"/>
            </w:pPr>
            <w:r>
              <w:rPr>
                <w:b w:val="0"/>
                <w:i w:val="0"/>
                <w:sz w:val="16"/>
              </w:rPr>
              <w:t>9,685 bytes</w:t>
            </w:r>
          </w:p>
        </w:tc>
        <w:tc>
          <w:tcPr>
            <w:tcW w:type="dxa" w:w="3855"/>
            <w:vAlign w:val="top"/>
            <w:shd w:val="clear" w:color="auto" w:fill="FDF0F7"/>
          </w:tcPr>
          <w:p>
            <w:pPr>
              <w:spacing w:after="20" w:line="252" w:lineRule="auto"/>
            </w:pPr>
            <w:r>
              <w:rPr>
                <w:b w:val="0"/>
                <w:i w:val="0"/>
                <w:sz w:val="16"/>
              </w:rPr>
              <w:t>5ab9bdeea3c926fd…</w:t>
            </w:r>
          </w:p>
        </w:tc>
      </w:tr>
      <w:tr>
        <w:trPr>
          <w:cantSplit/>
        </w:trPr>
        <w:tc>
          <w:tcPr>
            <w:tcW w:type="dxa" w:w="4082"/>
            <w:vAlign w:val="top"/>
          </w:tcPr>
          <w:p>
            <w:pPr>
              <w:spacing w:after="20" w:line="252" w:lineRule="auto"/>
            </w:pPr>
            <w:r>
              <w:rPr>
                <w:b w:val="0"/>
                <w:i w:val="0"/>
                <w:sz w:val="16"/>
              </w:rPr>
              <w:t>test-reruns.json</w:t>
            </w:r>
          </w:p>
        </w:tc>
        <w:tc>
          <w:tcPr>
            <w:tcW w:type="dxa" w:w="1701"/>
            <w:vAlign w:val="top"/>
          </w:tcPr>
          <w:p>
            <w:pPr>
              <w:spacing w:after="20" w:line="252" w:lineRule="auto"/>
            </w:pPr>
            <w:r>
              <w:rPr>
                <w:b w:val="0"/>
                <w:i w:val="0"/>
                <w:sz w:val="16"/>
              </w:rPr>
              <w:t>40,047 bytes</w:t>
            </w:r>
          </w:p>
        </w:tc>
        <w:tc>
          <w:tcPr>
            <w:tcW w:type="dxa" w:w="3855"/>
            <w:vAlign w:val="top"/>
          </w:tcPr>
          <w:p>
            <w:pPr>
              <w:spacing w:after="20" w:line="252" w:lineRule="auto"/>
            </w:pPr>
            <w:r>
              <w:rPr>
                <w:b w:val="0"/>
                <w:i w:val="0"/>
                <w:sz w:val="16"/>
              </w:rPr>
              <w:t>99a7e747f67f05b0…</w:t>
            </w:r>
          </w:p>
        </w:tc>
      </w:tr>
      <w:tr>
        <w:trPr>
          <w:cantSplit/>
        </w:trPr>
        <w:tc>
          <w:tcPr>
            <w:tcW w:type="dxa" w:w="4082"/>
            <w:vAlign w:val="top"/>
            <w:shd w:val="clear" w:color="auto" w:fill="FDF0F7"/>
          </w:tcPr>
          <w:p>
            <w:pPr>
              <w:spacing w:after="20" w:line="252" w:lineRule="auto"/>
            </w:pPr>
            <w:r>
              <w:rPr>
                <w:b w:val="0"/>
                <w:i w:val="0"/>
                <w:sz w:val="16"/>
              </w:rPr>
              <w:t>web-build.txt</w:t>
            </w:r>
          </w:p>
        </w:tc>
        <w:tc>
          <w:tcPr>
            <w:tcW w:type="dxa" w:w="1701"/>
            <w:vAlign w:val="top"/>
            <w:shd w:val="clear" w:color="auto" w:fill="FDF0F7"/>
          </w:tcPr>
          <w:p>
            <w:pPr>
              <w:spacing w:after="20" w:line="252" w:lineRule="auto"/>
            </w:pPr>
            <w:r>
              <w:rPr>
                <w:b w:val="0"/>
                <w:i w:val="0"/>
                <w:sz w:val="16"/>
              </w:rPr>
              <w:t>9,886 bytes</w:t>
            </w:r>
          </w:p>
        </w:tc>
        <w:tc>
          <w:tcPr>
            <w:tcW w:type="dxa" w:w="3855"/>
            <w:vAlign w:val="top"/>
            <w:shd w:val="clear" w:color="auto" w:fill="FDF0F7"/>
          </w:tcPr>
          <w:p>
            <w:pPr>
              <w:spacing w:after="20" w:line="252" w:lineRule="auto"/>
            </w:pPr>
            <w:r>
              <w:rPr>
                <w:b w:val="0"/>
                <w:i w:val="0"/>
                <w:sz w:val="16"/>
              </w:rPr>
              <w:t>78590222981eafd9…</w:t>
            </w:r>
          </w:p>
        </w:tc>
      </w:tr>
      <w:tr>
        <w:trPr>
          <w:cantSplit/>
        </w:trPr>
        <w:tc>
          <w:tcPr>
            <w:tcW w:type="dxa" w:w="4082"/>
            <w:vAlign w:val="top"/>
          </w:tcPr>
          <w:p>
            <w:pPr>
              <w:spacing w:after="20" w:line="252" w:lineRule="auto"/>
            </w:pPr>
            <w:r>
              <w:rPr>
                <w:b w:val="0"/>
                <w:i w:val="0"/>
                <w:sz w:val="16"/>
              </w:rPr>
              <w:t>web-lint.json</w:t>
            </w:r>
          </w:p>
        </w:tc>
        <w:tc>
          <w:tcPr>
            <w:tcW w:type="dxa" w:w="1701"/>
            <w:vAlign w:val="top"/>
          </w:tcPr>
          <w:p>
            <w:pPr>
              <w:spacing w:after="20" w:line="252" w:lineRule="auto"/>
            </w:pPr>
            <w:r>
              <w:rPr>
                <w:b w:val="0"/>
                <w:i w:val="0"/>
                <w:sz w:val="16"/>
              </w:rPr>
              <w:t>197 bytes</w:t>
            </w:r>
          </w:p>
        </w:tc>
        <w:tc>
          <w:tcPr>
            <w:tcW w:type="dxa" w:w="3855"/>
            <w:vAlign w:val="top"/>
          </w:tcPr>
          <w:p>
            <w:pPr>
              <w:spacing w:after="20" w:line="252" w:lineRule="auto"/>
            </w:pPr>
            <w:r>
              <w:rPr>
                <w:b w:val="0"/>
                <w:i w:val="0"/>
                <w:sz w:val="16"/>
              </w:rPr>
              <w:t>21a8be1488eb17d7…</w:t>
            </w:r>
          </w:p>
        </w:tc>
      </w:tr>
      <w:tr>
        <w:trPr>
          <w:cantSplit/>
        </w:trPr>
        <w:tc>
          <w:tcPr>
            <w:tcW w:type="dxa" w:w="4082"/>
            <w:vAlign w:val="top"/>
            <w:shd w:val="clear" w:color="auto" w:fill="FDF0F7"/>
          </w:tcPr>
          <w:p>
            <w:pPr>
              <w:spacing w:after="20" w:line="252" w:lineRule="auto"/>
            </w:pPr>
            <w:r>
              <w:rPr>
                <w:b w:val="0"/>
                <w:i w:val="0"/>
                <w:sz w:val="16"/>
              </w:rPr>
              <w:t>web-typecheck.txt</w:t>
            </w:r>
          </w:p>
        </w:tc>
        <w:tc>
          <w:tcPr>
            <w:tcW w:type="dxa" w:w="1701"/>
            <w:vAlign w:val="top"/>
            <w:shd w:val="clear" w:color="auto" w:fill="FDF0F7"/>
          </w:tcPr>
          <w:p>
            <w:pPr>
              <w:spacing w:after="20" w:line="252" w:lineRule="auto"/>
            </w:pPr>
            <w:r>
              <w:rPr>
                <w:b w:val="0"/>
                <w:i w:val="0"/>
                <w:sz w:val="16"/>
              </w:rPr>
              <w:t>26 bytes</w:t>
            </w:r>
          </w:p>
        </w:tc>
        <w:tc>
          <w:tcPr>
            <w:tcW w:type="dxa" w:w="3855"/>
            <w:vAlign w:val="top"/>
            <w:shd w:val="clear" w:color="auto" w:fill="FDF0F7"/>
          </w:tcPr>
          <w:p>
            <w:pPr>
              <w:spacing w:after="20" w:line="252" w:lineRule="auto"/>
            </w:pPr>
            <w:r>
              <w:rPr>
                <w:b w:val="0"/>
                <w:i w:val="0"/>
                <w:sz w:val="16"/>
              </w:rPr>
              <w:t>e5073c15448438bb…</w:t>
            </w:r>
          </w:p>
        </w:tc>
      </w:tr>
      <w:tr>
        <w:trPr>
          <w:cantSplit/>
        </w:trPr>
        <w:tc>
          <w:tcPr>
            <w:tcW w:type="dxa" w:w="4082"/>
            <w:vAlign w:val="top"/>
          </w:tcPr>
          <w:p>
            <w:pPr>
              <w:spacing w:after="20" w:line="252" w:lineRule="auto"/>
            </w:pPr>
            <w:r>
              <w:rPr>
                <w:b w:val="0"/>
                <w:i w:val="0"/>
                <w:sz w:val="16"/>
              </w:rPr>
              <w:t>web-unit-tests.json</w:t>
            </w:r>
          </w:p>
        </w:tc>
        <w:tc>
          <w:tcPr>
            <w:tcW w:type="dxa" w:w="1701"/>
            <w:vAlign w:val="top"/>
          </w:tcPr>
          <w:p>
            <w:pPr>
              <w:spacing w:after="20" w:line="252" w:lineRule="auto"/>
            </w:pPr>
            <w:r>
              <w:rPr>
                <w:b w:val="0"/>
                <w:i w:val="0"/>
                <w:sz w:val="16"/>
              </w:rPr>
              <w:t>24,628 bytes</w:t>
            </w:r>
          </w:p>
        </w:tc>
        <w:tc>
          <w:tcPr>
            <w:tcW w:type="dxa" w:w="3855"/>
            <w:vAlign w:val="top"/>
          </w:tcPr>
          <w:p>
            <w:pPr>
              <w:spacing w:after="20" w:line="252" w:lineRule="auto"/>
            </w:pPr>
            <w:r>
              <w:rPr>
                <w:b w:val="0"/>
                <w:i w:val="0"/>
                <w:sz w:val="16"/>
              </w:rPr>
              <w:t>7dac851fc00c909f…</w:t>
            </w:r>
          </w:p>
        </w:tc>
      </w:tr>
    </w:tbl>
    <w:p>
      <w:pPr>
        <w:pStyle w:val="Caption"/>
        <w:jc w:val="center"/>
      </w:pPr>
      <w:r>
        <w:rPr>
          <w:b w:val="0"/>
          <w:i w:val="0"/>
        </w:rPr>
        <w:t>Table 11: Evidence files</w:t>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725105" cy="2232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725105" cy="223200"/>
                  </a:xfrm>
                  <a:prstGeom prst="rect"/>
                </pic:spPr>
              </pic:pic>
            </a:graphicData>
          </a:graphic>
        </wp:inline>
      </w:drawing>
    </w:r>
    <w:r>
      <w:tab/>
    </w:r>
    <w:r>
      <w:rPr>
        <w:b w:val="0"/>
        <w:i w:val="0"/>
        <w:color w:val="6B6B6B"/>
        <w:sz w:val="16"/>
      </w:rPr>
      <w:t>iorta TechNXT | SalesVerse 2.0 – Security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 Security Assessment Report – Internal pre-implementation assessment</dc:title>
  <dc:subject>Security assessment</dc:subject>
  <dc:creator>iorta TechNXT</dc:creator>
  <cp:keywords>SalesVerse 2.0; IIFT; Security assessment</cp:keywords>
  <dc:description/>
  <cp:lastModifiedBy>iorta TechNXT</cp:lastModifiedBy>
  <cp:revision>1</cp:revision>
  <dcterms:created xsi:type="dcterms:W3CDTF">2026-10-03T02:18:04Z</dcterms:created>
  <dcterms:modified xsi:type="dcterms:W3CDTF">2026-10-03T02:18:04Z</dcterms:modified>
  <cp:category>Commercial-in-Confidence</cp:category>
</cp:coreProperties>
</file>