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r>
        <w:drawing>
          <wp:inline xmlns:a="http://schemas.openxmlformats.org/drawingml/2006/main" xmlns:pic="http://schemas.openxmlformats.org/drawingml/2006/picture">
            <wp:extent cx="1871238" cy="576000"/>
            <wp:docPr id="1" name="Picture 1"/>
            <wp:cNvGraphicFramePr>
              <a:graphicFrameLocks noChangeAspect="1"/>
            </wp:cNvGraphicFramePr>
            <a:graphic>
              <a:graphicData uri="http://schemas.openxmlformats.org/drawingml/2006/picture">
                <pic:pic>
                  <pic:nvPicPr>
                    <pic:cNvPr id="0" name="iorta-logo.png"/>
                    <pic:cNvPicPr/>
                  </pic:nvPicPr>
                  <pic:blipFill>
                    <a:blip r:embed="rId11"/>
                    <a:stretch>
                      <a:fillRect/>
                    </a:stretch>
                  </pic:blipFill>
                  <pic:spPr>
                    <a:xfrm>
                      <a:off x="0" y="0"/>
                      <a:ext cx="1871238" cy="576000"/>
                    </a:xfrm>
                    <a:prstGeom prst="rect"/>
                  </pic:spPr>
                </pic:pic>
              </a:graphicData>
            </a:graphic>
          </wp:inline>
        </w:drawing>
      </w:r>
    </w:p>
    <w:p>
      <w:r>
        <w:drawing>
          <wp:inline xmlns:a="http://schemas.openxmlformats.org/drawingml/2006/main" xmlns:pic="http://schemas.openxmlformats.org/drawingml/2006/picture">
            <wp:extent cx="6120000" cy="214200"/>
            <wp:docPr id="2" name="Picture 2"/>
            <wp:cNvGraphicFramePr>
              <a:graphicFrameLocks noChangeAspect="1"/>
            </wp:cNvGraphicFramePr>
            <a:graphic>
              <a:graphicData uri="http://schemas.openxmlformats.org/drawingml/2006/picture">
                <pic:pic>
                  <pic:nvPicPr>
                    <pic:cNvPr id="0" name="cover-band.png"/>
                    <pic:cNvPicPr/>
                  </pic:nvPicPr>
                  <pic:blipFill>
                    <a:blip r:embed="rId12"/>
                    <a:stretch>
                      <a:fillRect/>
                    </a:stretch>
                  </pic:blipFill>
                  <pic:spPr>
                    <a:xfrm>
                      <a:off x="0" y="0"/>
                      <a:ext cx="6120000" cy="214200"/>
                    </a:xfrm>
                    <a:prstGeom prst="rect"/>
                  </pic:spPr>
                </pic:pic>
              </a:graphicData>
            </a:graphic>
          </wp:inline>
        </w:drawing>
      </w:r>
    </w:p>
    <w:p>
      <w:pPr>
        <w:spacing w:after="0" w:before="0"/>
      </w:pPr>
      <w:r>
        <w:rPr>
          <w:sz w:val="32"/>
        </w:rPr>
      </w:r>
    </w:p>
    <w:p>
      <w:pPr>
        <w:keepNext w:val="0"/>
        <w:spacing w:after="80"/>
      </w:pPr>
      <w:r>
        <w:rPr>
          <w:b/>
          <w:i w:val="0"/>
          <w:color w:val="F58220"/>
          <w:sz w:val="30"/>
        </w:rPr>
        <w:t>SalesVerse 2.0</w:t>
      </w:r>
    </w:p>
    <w:p>
      <w:pPr>
        <w:keepNext w:val="0"/>
        <w:spacing w:after="200"/>
      </w:pPr>
      <w:r>
        <w:rPr>
          <w:b/>
          <w:i w:val="0"/>
          <w:color w:val="E1058C"/>
          <w:sz w:val="56"/>
        </w:rPr>
        <w:t>Test Strategy</w:t>
      </w:r>
    </w:p>
    <w:p>
      <w:pPr>
        <w:keepNext w:val="0"/>
        <w:spacing w:after="120"/>
      </w:pPr>
      <w:r>
        <w:rPr>
          <w:b w:val="0"/>
          <w:i w:val="0"/>
          <w:color w:val="333333"/>
          <w:sz w:val="26"/>
        </w:rPr>
        <w:t>Test levels, environments, entry and exit criteria, defect management, tooling, traceability, schedule and the status of testing on the current build</w:t>
      </w:r>
    </w:p>
    <w:p>
      <w:pPr>
        <w:keepNext w:val="0"/>
        <w:spacing w:after="680"/>
      </w:pPr>
      <w:r>
        <w:rPr>
          <w:b w:val="0"/>
          <w:i w:val="0"/>
          <w:color w:val="6B6B6B"/>
          <w:sz w:val="22"/>
        </w:rPr>
        <w:t>IIFT Agent/Banca Portal &amp; Back-office for Insurans Islam Family Takaful Sendirian Berhad</w:t>
      </w:r>
    </w:p>
    <w:tbl>
      <w:tblPr>
        <w:tblW w:type="dxa" w:w="9639"/>
        <w:jc w:val="left"/>
        <w:tblLayout w:type="fixed"/>
        <w:tblLook w:firstColumn="1" w:firstRow="1" w:lastColumn="0" w:lastRow="0" w:noHBand="0" w:noVBand="1" w:val="04A0"/>
        <w:tblLayout w:type="fixed"/>
      </w:tblPr>
      <w:tblGrid>
        <w:gridCol w:w="1927"/>
        <w:gridCol w:w="7711"/>
      </w:tblGrid>
      <w:tr>
        <w:tc>
          <w:tcPr>
            <w:tcW w:type="dxa" w:w="1928"/>
            <w:vAlign w:val="center"/>
          </w:tcPr>
          <w:p>
            <w:r>
              <w:drawing>
                <wp:inline xmlns:a="http://schemas.openxmlformats.org/drawingml/2006/main" xmlns:pic="http://schemas.openxmlformats.org/drawingml/2006/picture">
                  <wp:extent cx="584597" cy="1152000"/>
                  <wp:docPr id="3" name="Picture 3"/>
                  <wp:cNvGraphicFramePr>
                    <a:graphicFrameLocks noChangeAspect="1"/>
                  </wp:cNvGraphicFramePr>
                  <a:graphic>
                    <a:graphicData uri="http://schemas.openxmlformats.org/drawingml/2006/picture">
                      <pic:pic>
                        <pic:nvPicPr>
                          <pic:cNvPr id="0" name="iift-logo.png"/>
                          <pic:cNvPicPr/>
                        </pic:nvPicPr>
                        <pic:blipFill>
                          <a:blip r:embed="rId13"/>
                          <a:stretch>
                            <a:fillRect/>
                          </a:stretch>
                        </pic:blipFill>
                        <pic:spPr>
                          <a:xfrm>
                            <a:off x="0" y="0"/>
                            <a:ext cx="584597" cy="1152000"/>
                          </a:xfrm>
                          <a:prstGeom prst="rect"/>
                        </pic:spPr>
                      </pic:pic>
                    </a:graphicData>
                  </a:graphic>
                </wp:inline>
              </w:drawing>
            </w:r>
          </w:p>
        </w:tc>
        <w:tc>
          <w:tcPr>
            <w:tcW w:type="dxa" w:w="7710"/>
            <w:vAlign w:val="center"/>
          </w:tcPr>
          <w:p>
            <w:pPr>
              <w:spacing w:after="40"/>
            </w:pPr>
            <w:r>
              <w:rPr>
                <w:b/>
                <w:i w:val="0"/>
                <w:color w:val="F58220"/>
                <w:sz w:val="18"/>
              </w:rPr>
              <w:t>PREPARED FOR</w:t>
            </w:r>
          </w:p>
          <w:p>
            <w:pPr>
              <w:spacing w:after="40"/>
            </w:pPr>
            <w:r>
              <w:rPr>
                <w:b/>
                <w:i w:val="0"/>
                <w:color w:val="333333"/>
                <w:sz w:val="28"/>
              </w:rPr>
              <w:t>Insurans Islam Family Takaful Sendirian Berhad</w:t>
            </w:r>
          </w:p>
          <w:p>
            <w:pPr>
              <w:spacing w:after="40"/>
            </w:pPr>
            <w:r>
              <w:rPr>
                <w:b w:val="0"/>
                <w:i w:val="0"/>
                <w:color w:val="6B6B6B"/>
                <w:sz w:val="20"/>
              </w:rPr>
              <w:t>Bandar Seri Begawan, Brunei Darussalam</w:t>
            </w:r>
          </w:p>
          <w:p>
            <w:pPr>
              <w:spacing w:after="40" w:before="240"/>
            </w:pPr>
            <w:r>
              <w:rPr>
                <w:b/>
                <w:i w:val="0"/>
                <w:color w:val="F58220"/>
                <w:sz w:val="18"/>
              </w:rPr>
              <w:t>PREPARED BY</w:t>
            </w:r>
          </w:p>
          <w:p>
            <w:pPr>
              <w:spacing w:after="40"/>
            </w:pPr>
            <w:r>
              <w:rPr>
                <w:b/>
                <w:i w:val="0"/>
                <w:color w:val="333333"/>
                <w:sz w:val="28"/>
              </w:rPr>
              <w:t>iorta TechNXT</w:t>
            </w:r>
          </w:p>
          <w:p>
            <w:pPr>
              <w:spacing w:after="40"/>
            </w:pPr>
            <w:r>
              <w:rPr>
                <w:b w:val="0"/>
                <w:i w:val="0"/>
                <w:color w:val="6B6B6B"/>
                <w:sz w:val="20"/>
              </w:rPr>
              <w:t>https://iortatechnxt.com</w:t>
            </w:r>
          </w:p>
        </w:tc>
      </w:tr>
    </w:tbl>
    <w:p>
      <w:pPr>
        <w:spacing w:after="0" w:before="0"/>
      </w:pPr>
      <w:r>
        <w:rPr>
          <w:sz w:val="52"/>
        </w:rPr>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6804"/>
      </w:tblGrid>
      <w:tr>
        <w:trPr>
          <w:cantSplit/>
        </w:trPr>
        <w:tc>
          <w:tcPr>
            <w:tcW w:type="dxa" w:w="2835"/>
            <w:shd w:val="clear" w:color="auto" w:fill="FDF0F7"/>
          </w:tcPr>
          <w:p>
            <w:pPr>
              <w:spacing w:after="20"/>
            </w:pPr>
            <w:r>
              <w:rPr>
                <w:b/>
                <w:i w:val="0"/>
                <w:sz w:val="18"/>
              </w:rPr>
              <w:t>Document reference</w:t>
            </w:r>
          </w:p>
        </w:tc>
        <w:tc>
          <w:tcPr>
            <w:tcW w:type="dxa" w:w="6803"/>
          </w:tcPr>
          <w:p>
            <w:pPr>
              <w:spacing w:after="20"/>
            </w:pPr>
            <w:r>
              <w:rPr>
                <w:b w:val="0"/>
                <w:i w:val="0"/>
                <w:sz w:val="18"/>
              </w:rPr>
              <w:t>IIFT-SV2-TST</w:t>
            </w:r>
          </w:p>
        </w:tc>
      </w:tr>
      <w:tr>
        <w:trPr>
          <w:cantSplit/>
        </w:trPr>
        <w:tc>
          <w:tcPr>
            <w:tcW w:type="dxa" w:w="2835"/>
            <w:shd w:val="clear" w:color="auto" w:fill="FDF0F7"/>
          </w:tcPr>
          <w:p>
            <w:pPr>
              <w:spacing w:after="20"/>
            </w:pPr>
            <w:r>
              <w:rPr>
                <w:b/>
                <w:i w:val="0"/>
                <w:sz w:val="18"/>
              </w:rPr>
              <w:t>Version</w:t>
            </w:r>
          </w:p>
        </w:tc>
        <w:tc>
          <w:tcPr>
            <w:tcW w:type="dxa" w:w="6803"/>
          </w:tcPr>
          <w:p>
            <w:pPr>
              <w:spacing w:after="20"/>
            </w:pPr>
            <w:r>
              <w:rPr>
                <w:b w:val="0"/>
                <w:i w:val="0"/>
                <w:sz w:val="18"/>
              </w:rPr>
              <w:t>1.0</w:t>
            </w:r>
          </w:p>
        </w:tc>
      </w:tr>
      <w:tr>
        <w:trPr>
          <w:cantSplit/>
        </w:trPr>
        <w:tc>
          <w:tcPr>
            <w:tcW w:type="dxa" w:w="2835"/>
            <w:shd w:val="clear" w:color="auto" w:fill="FDF0F7"/>
          </w:tcPr>
          <w:p>
            <w:pPr>
              <w:spacing w:after="20"/>
            </w:pPr>
            <w:r>
              <w:rPr>
                <w:b/>
                <w:i w:val="0"/>
                <w:sz w:val="18"/>
              </w:rPr>
              <w:t>Date</w:t>
            </w:r>
          </w:p>
        </w:tc>
        <w:tc>
          <w:tcPr>
            <w:tcW w:type="dxa" w:w="6803"/>
          </w:tcPr>
          <w:p>
            <w:pPr>
              <w:spacing w:after="20"/>
            </w:pPr>
            <w:r>
              <w:rPr>
                <w:b w:val="0"/>
                <w:i w:val="0"/>
                <w:sz w:val="18"/>
              </w:rPr>
              <w:t>October 2026</w:t>
            </w:r>
          </w:p>
        </w:tc>
      </w:tr>
      <w:tr>
        <w:trPr>
          <w:cantSplit/>
        </w:trPr>
        <w:tc>
          <w:tcPr>
            <w:tcW w:type="dxa" w:w="2835"/>
            <w:shd w:val="clear" w:color="auto" w:fill="FDF0F7"/>
          </w:tcPr>
          <w:p>
            <w:pPr>
              <w:spacing w:after="20"/>
            </w:pPr>
            <w:r>
              <w:rPr>
                <w:b/>
                <w:i w:val="0"/>
                <w:sz w:val="18"/>
              </w:rPr>
              <w:t>RFP deliverable</w:t>
            </w:r>
          </w:p>
        </w:tc>
        <w:tc>
          <w:tcPr>
            <w:tcW w:type="dxa" w:w="6803"/>
          </w:tcPr>
          <w:p>
            <w:pPr>
              <w:spacing w:after="20"/>
            </w:pPr>
            <w:r>
              <w:rPr>
                <w:b w:val="0"/>
                <w:i w:val="0"/>
                <w:sz w:val="18"/>
              </w:rPr>
              <w:t>DEL-12 (Test Strategy); with the Test Cases workbook: DEL-13, DEL-14 precursor, DEL-15 basis</w:t>
            </w:r>
          </w:p>
        </w:tc>
      </w:tr>
      <w:tr>
        <w:trPr>
          <w:cantSplit/>
        </w:trPr>
        <w:tc>
          <w:tcPr>
            <w:tcW w:type="dxa" w:w="2835"/>
            <w:shd w:val="clear" w:color="auto" w:fill="FDF0F7"/>
          </w:tcPr>
          <w:p>
            <w:pPr>
              <w:spacing w:after="20"/>
            </w:pPr>
            <w:r>
              <w:rPr>
                <w:b/>
                <w:i w:val="0"/>
                <w:sz w:val="18"/>
              </w:rPr>
              <w:t>Status</w:t>
            </w:r>
          </w:p>
        </w:tc>
        <w:tc>
          <w:tcPr>
            <w:tcW w:type="dxa" w:w="6803"/>
          </w:tcPr>
          <w:p>
            <w:pPr>
              <w:spacing w:after="20"/>
            </w:pPr>
            <w:r>
              <w:rPr>
                <w:b w:val="0"/>
                <w:i w:val="0"/>
                <w:sz w:val="18"/>
              </w:rPr>
              <w:t>Issued with the proposal</w:t>
            </w:r>
          </w:p>
        </w:tc>
      </w:tr>
      <w:tr>
        <w:trPr>
          <w:cantSplit/>
        </w:trPr>
        <w:tc>
          <w:tcPr>
            <w:tcW w:type="dxa" w:w="2835"/>
            <w:shd w:val="clear" w:color="auto" w:fill="FDF0F7"/>
          </w:tcPr>
          <w:p>
            <w:pPr>
              <w:spacing w:after="20"/>
            </w:pPr>
            <w:r>
              <w:rPr>
                <w:b/>
                <w:i w:val="0"/>
                <w:sz w:val="18"/>
              </w:rPr>
              <w:t>Classification</w:t>
            </w:r>
          </w:p>
        </w:tc>
        <w:tc>
          <w:tcPr>
            <w:tcW w:type="dxa" w:w="6803"/>
          </w:tcPr>
          <w:p>
            <w:pPr>
              <w:spacing w:after="20"/>
            </w:pPr>
            <w:r>
              <w:rPr>
                <w:b w:val="0"/>
                <w:i w:val="0"/>
                <w:sz w:val="18"/>
              </w:rPr>
              <w:t>Commercial-in-Confidence</w:t>
            </w:r>
          </w:p>
        </w:tc>
      </w:tr>
    </w:tbl>
    <w:p>
      <w:pPr>
        <w:spacing w:after="0" w:before="0"/>
      </w:pPr>
      <w:r>
        <w:rPr>
          <w:sz w:val="8"/>
        </w:rPr>
      </w:r>
    </w:p>
    <w:p>
      <w:pPr>
        <w:spacing w:after="0" w:before="0"/>
      </w:pPr>
      <w:r>
        <w:rPr>
          <w:sz w:val="24"/>
        </w:rPr>
      </w:r>
    </w:p>
    <w:p>
      <w:pPr>
        <w:keepNext w:val="0"/>
      </w:pPr>
      <w:r>
        <w:rPr>
          <w:b w:val="0"/>
          <w:i/>
          <w:color w:val="6B6B6B"/>
          <w:sz w:val="16"/>
        </w:rPr>
        <w:t>Commercial-in-Confidence. Prepared by iorta TechNXT for Insurans Islam Family Takaful Sendirian Berhad as part of the response to IIFT's Request for Proposal for an Agent/Banca Portal and Back-office solution. Not to be disclosed to third parties without prior written consent.</w:t>
      </w:r>
    </w:p>
    <w:p>
      <w:pPr>
        <w:pStyle w:val="Heading1"/>
        <w:pageBreakBefore/>
        <w:pBdr>
          <w:bottom w:val="single" w:sz="12" w:space="4" w:color="F58220"/>
        </w:pBdr>
      </w:pPr>
      <w:r>
        <w:t>Document Control</w:t>
      </w:r>
    </w:p>
    <w:p>
      <w:pPr>
        <w:keepNext w:val="0"/>
      </w:pPr>
      <w:r>
        <w:rPr>
          <w:b w:val="0"/>
          <w:i w:val="0"/>
        </w:rPr>
        <w:t>This document defines how SalesVerse 2.0 is tested for IIFT: the test levels from unit tests to user acceptance, the environments and data, the criteria for entering and leaving each phase, how defects are classified and resolved, who does what, the tools, the traceability from RFP requirement to test case, the schedule within the 24-week plan, and the metrics reported. Its last chapter states the status of testing on the build submitted with the proposal, counted from the same data as the Test Cases workbook.</w:t>
      </w:r>
    </w:p>
    <w:p>
      <w:pPr>
        <w:pStyle w:val="Heading3"/>
      </w:pPr>
      <w:r>
        <w:t>Version history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134"/>
        <w:gridCol w:w="1814"/>
        <w:gridCol w:w="2041"/>
        <w:gridCol w:w="4649"/>
      </w:tblGrid>
      <w:tr>
        <w:trPr>
          <w:cantSplit/>
          <w:tblHeader/>
        </w:trPr>
        <w:tc>
          <w:tcPr>
            <w:tcW w:type="dxa" w:w="1134"/>
            <w:shd w:val="clear" w:color="auto" w:fill="E1058C"/>
            <w:vAlign w:val="center"/>
          </w:tcPr>
          <w:p>
            <w:pPr>
              <w:spacing w:after="0"/>
            </w:pPr>
            <w:r>
              <w:rPr>
                <w:b/>
                <w:i w:val="0"/>
                <w:color w:val="FFFFFF"/>
                <w:sz w:val="17"/>
              </w:rPr>
              <w:t>Version</w:t>
            </w:r>
          </w:p>
        </w:tc>
        <w:tc>
          <w:tcPr>
            <w:tcW w:type="dxa" w:w="1814"/>
            <w:shd w:val="clear" w:color="auto" w:fill="E1058C"/>
            <w:vAlign w:val="center"/>
          </w:tcPr>
          <w:p>
            <w:pPr>
              <w:spacing w:after="0"/>
            </w:pPr>
            <w:r>
              <w:rPr>
                <w:b/>
                <w:i w:val="0"/>
                <w:color w:val="FFFFFF"/>
                <w:sz w:val="17"/>
              </w:rPr>
              <w:t>Date</w:t>
            </w:r>
          </w:p>
        </w:tc>
        <w:tc>
          <w:tcPr>
            <w:tcW w:type="dxa" w:w="2041"/>
            <w:shd w:val="clear" w:color="auto" w:fill="E1058C"/>
            <w:vAlign w:val="center"/>
          </w:tcPr>
          <w:p>
            <w:pPr>
              <w:spacing w:after="0"/>
            </w:pPr>
            <w:r>
              <w:rPr>
                <w:b/>
                <w:i w:val="0"/>
                <w:color w:val="FFFFFF"/>
                <w:sz w:val="17"/>
              </w:rPr>
              <w:t>Author</w:t>
            </w:r>
          </w:p>
        </w:tc>
        <w:tc>
          <w:tcPr>
            <w:tcW w:type="dxa" w:w="4649"/>
            <w:shd w:val="clear" w:color="auto" w:fill="E1058C"/>
            <w:vAlign w:val="center"/>
          </w:tcPr>
          <w:p>
            <w:pPr>
              <w:spacing w:after="0"/>
            </w:pPr>
            <w:r>
              <w:rPr>
                <w:b/>
                <w:i w:val="0"/>
                <w:color w:val="FFFFFF"/>
                <w:sz w:val="17"/>
              </w:rPr>
              <w:t>Description</w:t>
            </w:r>
          </w:p>
        </w:tc>
      </w:tr>
      <w:tr>
        <w:trPr>
          <w:cantSplit/>
        </w:trPr>
        <w:tc>
          <w:tcPr>
            <w:tcW w:type="dxa" w:w="1134"/>
            <w:vAlign w:val="top"/>
          </w:tcPr>
          <w:p>
            <w:pPr>
              <w:spacing w:after="20" w:line="252" w:lineRule="auto"/>
            </w:pPr>
            <w:r>
              <w:rPr>
                <w:b w:val="0"/>
                <w:i w:val="0"/>
                <w:sz w:val="17"/>
              </w:rPr>
              <w:t>0.9</w:t>
            </w:r>
          </w:p>
        </w:tc>
        <w:tc>
          <w:tcPr>
            <w:tcW w:type="dxa" w:w="1814"/>
            <w:vAlign w:val="top"/>
          </w:tcPr>
          <w:p>
            <w:pPr>
              <w:spacing w:after="20" w:line="252" w:lineRule="auto"/>
            </w:pPr>
            <w:r>
              <w:rPr>
                <w:b w:val="0"/>
                <w:i w:val="0"/>
                <w:sz w:val="17"/>
              </w:rPr>
              <w:t>September 2026</w:t>
            </w:r>
          </w:p>
        </w:tc>
        <w:tc>
          <w:tcPr>
            <w:tcW w:type="dxa" w:w="2041"/>
            <w:vAlign w:val="top"/>
          </w:tcPr>
          <w:p>
            <w:pPr>
              <w:spacing w:after="20" w:line="252" w:lineRule="auto"/>
            </w:pPr>
            <w:r>
              <w:rPr>
                <w:b w:val="0"/>
                <w:i w:val="0"/>
                <w:sz w:val="17"/>
              </w:rPr>
              <w:t>iorta TechNXT</w:t>
            </w:r>
          </w:p>
        </w:tc>
        <w:tc>
          <w:tcPr>
            <w:tcW w:type="dxa" w:w="4649"/>
            <w:vAlign w:val="top"/>
          </w:tcPr>
          <w:p>
            <w:pPr>
              <w:spacing w:after="20" w:line="252" w:lineRule="auto"/>
            </w:pPr>
            <w:r>
              <w:rPr>
                <w:b w:val="0"/>
                <w:i w:val="0"/>
                <w:sz w:val="17"/>
              </w:rPr>
              <w:t>Internal technical review</w:t>
            </w:r>
          </w:p>
        </w:tc>
      </w:tr>
      <w:tr>
        <w:trPr>
          <w:cantSplit/>
        </w:trPr>
        <w:tc>
          <w:tcPr>
            <w:tcW w:type="dxa" w:w="1134"/>
            <w:vAlign w:val="top"/>
            <w:shd w:val="clear" w:color="auto" w:fill="FDF0F7"/>
          </w:tcPr>
          <w:p>
            <w:pPr>
              <w:spacing w:after="20" w:line="252" w:lineRule="auto"/>
            </w:pPr>
            <w:r>
              <w:rPr>
                <w:b w:val="0"/>
                <w:i w:val="0"/>
                <w:sz w:val="17"/>
              </w:rPr>
              <w:t>1.0</w:t>
            </w:r>
          </w:p>
        </w:tc>
        <w:tc>
          <w:tcPr>
            <w:tcW w:type="dxa" w:w="1814"/>
            <w:vAlign w:val="top"/>
            <w:shd w:val="clear" w:color="auto" w:fill="FDF0F7"/>
          </w:tcPr>
          <w:p>
            <w:pPr>
              <w:spacing w:after="20" w:line="252" w:lineRule="auto"/>
            </w:pPr>
            <w:r>
              <w:rPr>
                <w:b w:val="0"/>
                <w:i w:val="0"/>
                <w:sz w:val="17"/>
              </w:rPr>
              <w:t>October 2026</w:t>
            </w:r>
          </w:p>
        </w:tc>
        <w:tc>
          <w:tcPr>
            <w:tcW w:type="dxa" w:w="2041"/>
            <w:vAlign w:val="top"/>
            <w:shd w:val="clear" w:color="auto" w:fill="FDF0F7"/>
          </w:tcPr>
          <w:p>
            <w:pPr>
              <w:spacing w:after="20" w:line="252" w:lineRule="auto"/>
            </w:pPr>
            <w:r>
              <w:rPr>
                <w:b w:val="0"/>
                <w:i w:val="0"/>
                <w:sz w:val="17"/>
              </w:rPr>
              <w:t>iorta TechNXT</w:t>
            </w:r>
          </w:p>
        </w:tc>
        <w:tc>
          <w:tcPr>
            <w:tcW w:type="dxa" w:w="4649"/>
            <w:vAlign w:val="top"/>
            <w:shd w:val="clear" w:color="auto" w:fill="FDF0F7"/>
          </w:tcPr>
          <w:p>
            <w:pPr>
              <w:spacing w:after="20" w:line="252" w:lineRule="auto"/>
            </w:pPr>
            <w:r>
              <w:rPr>
                <w:b w:val="0"/>
                <w:i w:val="0"/>
                <w:sz w:val="17"/>
              </w:rPr>
              <w:t>Issued with the tender proposal</w:t>
            </w:r>
          </w:p>
        </w:tc>
      </w:tr>
    </w:tbl>
    <w:p>
      <w:pPr>
        <w:spacing w:after="0" w:before="0"/>
      </w:pPr>
      <w:r>
        <w:rPr>
          <w:sz w:val="8"/>
        </w:rPr>
      </w:r>
    </w:p>
    <w:p>
      <w:pPr>
        <w:pStyle w:val="Heading3"/>
      </w:pPr>
      <w:r>
        <w:t>Review and approval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195"/>
        <w:gridCol w:w="2835"/>
        <w:gridCol w:w="2608"/>
      </w:tblGrid>
      <w:tr>
        <w:trPr>
          <w:cantSplit/>
          <w:tblHeader/>
        </w:trPr>
        <w:tc>
          <w:tcPr>
            <w:tcW w:type="dxa" w:w="4195"/>
            <w:shd w:val="clear" w:color="auto" w:fill="E1058C"/>
            <w:vAlign w:val="center"/>
          </w:tcPr>
          <w:p>
            <w:pPr>
              <w:spacing w:after="0"/>
            </w:pPr>
            <w:r>
              <w:rPr>
                <w:b/>
                <w:i w:val="0"/>
                <w:color w:val="FFFFFF"/>
                <w:sz w:val="17"/>
              </w:rPr>
              <w:t>Role</w:t>
            </w:r>
          </w:p>
        </w:tc>
        <w:tc>
          <w:tcPr>
            <w:tcW w:type="dxa" w:w="2835"/>
            <w:shd w:val="clear" w:color="auto" w:fill="E1058C"/>
            <w:vAlign w:val="center"/>
          </w:tcPr>
          <w:p>
            <w:pPr>
              <w:spacing w:after="0"/>
            </w:pPr>
            <w:r>
              <w:rPr>
                <w:b/>
                <w:i w:val="0"/>
                <w:color w:val="FFFFFF"/>
                <w:sz w:val="17"/>
              </w:rPr>
              <w:t>Name</w:t>
            </w:r>
          </w:p>
        </w:tc>
        <w:tc>
          <w:tcPr>
            <w:tcW w:type="dxa" w:w="2608"/>
            <w:shd w:val="clear" w:color="auto" w:fill="E1058C"/>
            <w:vAlign w:val="center"/>
          </w:tcPr>
          <w:p>
            <w:pPr>
              <w:spacing w:after="0"/>
            </w:pPr>
            <w:r>
              <w:rPr>
                <w:b/>
                <w:i w:val="0"/>
                <w:color w:val="FFFFFF"/>
                <w:sz w:val="17"/>
              </w:rPr>
              <w:t>Signature / date</w:t>
            </w:r>
          </w:p>
        </w:tc>
      </w:tr>
      <w:tr>
        <w:trPr>
          <w:cantSplit/>
        </w:trPr>
        <w:tc>
          <w:tcPr>
            <w:tcW w:type="dxa" w:w="4195"/>
            <w:vAlign w:val="top"/>
          </w:tcPr>
          <w:p>
            <w:pPr>
              <w:spacing w:after="20" w:line="252" w:lineRule="auto"/>
            </w:pPr>
            <w:r>
              <w:rPr>
                <w:b w:val="0"/>
                <w:i w:val="0"/>
                <w:sz w:val="17"/>
              </w:rPr>
              <w:t>Prepared by (Solution Architect, iorta TechNXT)</w:t>
            </w:r>
          </w:p>
        </w:tc>
        <w:tc>
          <w:tcPr>
            <w:tcW w:type="dxa" w:w="2835"/>
            <w:vAlign w:val="top"/>
          </w:tcPr>
          <w:p>
            <w:pPr>
              <w:spacing w:after="20" w:line="252" w:lineRule="auto"/>
            </w:pPr>
            <w:r>
              <w:rPr>
                <w:b w:val="0"/>
                <w:i w:val="0"/>
                <w:sz w:val="17"/>
                <w:highlight w:val="yellow"/>
              </w:rPr>
              <w:t>[Name]</w:t>
            </w:r>
          </w:p>
        </w:tc>
        <w:tc>
          <w:tcPr>
            <w:tcW w:type="dxa" w:w="2608"/>
            <w:vAlign w:val="top"/>
          </w:tcPr>
          <w:p>
            <w:pPr>
              <w:spacing w:after="20" w:line="252" w:lineRule="auto"/>
            </w:pPr>
          </w:p>
        </w:tc>
      </w:tr>
      <w:tr>
        <w:trPr>
          <w:cantSplit/>
        </w:trPr>
        <w:tc>
          <w:tcPr>
            <w:tcW w:type="dxa" w:w="4195"/>
            <w:vAlign w:val="top"/>
            <w:shd w:val="clear" w:color="auto" w:fill="FDF0F7"/>
          </w:tcPr>
          <w:p>
            <w:pPr>
              <w:spacing w:after="20" w:line="252" w:lineRule="auto"/>
            </w:pPr>
            <w:r>
              <w:rPr>
                <w:b w:val="0"/>
                <w:i w:val="0"/>
                <w:sz w:val="17"/>
              </w:rPr>
              <w:t>Reviewed by (Engineering Lead, iorta TechNXT)</w:t>
            </w:r>
          </w:p>
        </w:tc>
        <w:tc>
          <w:tcPr>
            <w:tcW w:type="dxa" w:w="2835"/>
            <w:vAlign w:val="top"/>
            <w:shd w:val="clear" w:color="auto" w:fill="FDF0F7"/>
          </w:tcPr>
          <w:p>
            <w:pPr>
              <w:spacing w:after="20" w:line="252" w:lineRule="auto"/>
            </w:pPr>
            <w:r>
              <w:rPr>
                <w:b w:val="0"/>
                <w:i w:val="0"/>
                <w:sz w:val="17"/>
                <w:highlight w:val="yellow"/>
              </w:rPr>
              <w:t>[Name]</w:t>
            </w:r>
          </w:p>
        </w:tc>
        <w:tc>
          <w:tcPr>
            <w:tcW w:type="dxa" w:w="2608"/>
            <w:vAlign w:val="top"/>
            <w:shd w:val="clear" w:color="auto" w:fill="FDF0F7"/>
          </w:tcPr>
          <w:p>
            <w:pPr>
              <w:spacing w:after="20" w:line="252" w:lineRule="auto"/>
            </w:pPr>
          </w:p>
        </w:tc>
      </w:tr>
      <w:tr>
        <w:trPr>
          <w:cantSplit/>
        </w:trPr>
        <w:tc>
          <w:tcPr>
            <w:tcW w:type="dxa" w:w="4195"/>
            <w:vAlign w:val="top"/>
          </w:tcPr>
          <w:p>
            <w:pPr>
              <w:spacing w:after="20" w:line="252" w:lineRule="auto"/>
            </w:pPr>
            <w:r>
              <w:rPr>
                <w:b w:val="0"/>
                <w:i w:val="0"/>
                <w:sz w:val="17"/>
              </w:rPr>
              <w:t>Approved by (Project Director, iorta TechNXT)</w:t>
            </w:r>
          </w:p>
        </w:tc>
        <w:tc>
          <w:tcPr>
            <w:tcW w:type="dxa" w:w="2835"/>
            <w:vAlign w:val="top"/>
          </w:tcPr>
          <w:p>
            <w:pPr>
              <w:spacing w:after="20" w:line="252" w:lineRule="auto"/>
            </w:pPr>
            <w:r>
              <w:rPr>
                <w:b w:val="0"/>
                <w:i w:val="0"/>
                <w:sz w:val="17"/>
                <w:highlight w:val="yellow"/>
              </w:rPr>
              <w:t>[Name]</w:t>
            </w:r>
          </w:p>
        </w:tc>
        <w:tc>
          <w:tcPr>
            <w:tcW w:type="dxa" w:w="2608"/>
            <w:vAlign w:val="top"/>
          </w:tcPr>
          <w:p>
            <w:pPr>
              <w:spacing w:after="20" w:line="252" w:lineRule="auto"/>
            </w:pPr>
          </w:p>
        </w:tc>
      </w:tr>
      <w:tr>
        <w:trPr>
          <w:cantSplit/>
        </w:trPr>
        <w:tc>
          <w:tcPr>
            <w:tcW w:type="dxa" w:w="4195"/>
            <w:vAlign w:val="top"/>
            <w:shd w:val="clear" w:color="auto" w:fill="FDF0F7"/>
          </w:tcPr>
          <w:p>
            <w:pPr>
              <w:spacing w:after="20" w:line="252" w:lineRule="auto"/>
            </w:pPr>
            <w:r>
              <w:rPr>
                <w:b w:val="0"/>
                <w:i w:val="0"/>
                <w:sz w:val="17"/>
              </w:rPr>
              <w:t>Accepted by (IIFT IT)</w:t>
            </w:r>
          </w:p>
        </w:tc>
        <w:tc>
          <w:tcPr>
            <w:tcW w:type="dxa" w:w="2835"/>
            <w:vAlign w:val="top"/>
            <w:shd w:val="clear" w:color="auto" w:fill="FDF0F7"/>
          </w:tcPr>
          <w:p>
            <w:pPr>
              <w:spacing w:after="20" w:line="252" w:lineRule="auto"/>
            </w:pPr>
            <w:r>
              <w:rPr>
                <w:b w:val="0"/>
                <w:i w:val="0"/>
                <w:sz w:val="17"/>
                <w:highlight w:val="yellow"/>
              </w:rPr>
              <w:t>[Name, designation]</w:t>
            </w:r>
          </w:p>
        </w:tc>
        <w:tc>
          <w:tcPr>
            <w:tcW w:type="dxa" w:w="2608"/>
            <w:vAlign w:val="top"/>
            <w:shd w:val="clear" w:color="auto" w:fill="FDF0F7"/>
          </w:tcPr>
          <w:p>
            <w:pPr>
              <w:spacing w:after="20" w:line="252" w:lineRule="auto"/>
            </w:pPr>
          </w:p>
        </w:tc>
      </w:tr>
    </w:tbl>
    <w:p>
      <w:pPr>
        <w:spacing w:after="0" w:before="0"/>
      </w:pPr>
      <w:r>
        <w:rPr>
          <w:sz w:val="8"/>
        </w:rPr>
      </w:r>
    </w:p>
    <w:p>
      <w:pPr>
        <w:pStyle w:val="Heading3"/>
      </w:pPr>
      <w:r>
        <w:t>Document pack</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814"/>
        <w:gridCol w:w="4082"/>
        <w:gridCol w:w="2041"/>
        <w:gridCol w:w="1701"/>
      </w:tblGrid>
      <w:tr>
        <w:trPr>
          <w:cantSplit/>
          <w:tblHeader/>
        </w:trPr>
        <w:tc>
          <w:tcPr>
            <w:tcW w:type="dxa" w:w="1814"/>
            <w:shd w:val="clear" w:color="auto" w:fill="E1058C"/>
            <w:vAlign w:val="center"/>
          </w:tcPr>
          <w:p>
            <w:pPr>
              <w:spacing w:after="0"/>
            </w:pPr>
            <w:r>
              <w:rPr>
                <w:b/>
                <w:i w:val="0"/>
                <w:color w:val="FFFFFF"/>
                <w:sz w:val="17"/>
              </w:rPr>
              <w:t>Reference</w:t>
            </w:r>
          </w:p>
        </w:tc>
        <w:tc>
          <w:tcPr>
            <w:tcW w:type="dxa" w:w="4082"/>
            <w:shd w:val="clear" w:color="auto" w:fill="E1058C"/>
            <w:vAlign w:val="center"/>
          </w:tcPr>
          <w:p>
            <w:pPr>
              <w:spacing w:after="0"/>
            </w:pPr>
            <w:r>
              <w:rPr>
                <w:b/>
                <w:i w:val="0"/>
                <w:color w:val="FFFFFF"/>
                <w:sz w:val="17"/>
              </w:rPr>
              <w:t>Document</w:t>
            </w:r>
          </w:p>
        </w:tc>
        <w:tc>
          <w:tcPr>
            <w:tcW w:type="dxa" w:w="2041"/>
            <w:shd w:val="clear" w:color="auto" w:fill="E1058C"/>
            <w:vAlign w:val="center"/>
          </w:tcPr>
          <w:p>
            <w:pPr>
              <w:spacing w:after="0"/>
            </w:pPr>
            <w:r>
              <w:rPr>
                <w:b/>
                <w:i w:val="0"/>
                <w:color w:val="FFFFFF"/>
                <w:sz w:val="17"/>
              </w:rPr>
              <w:t>RFP deliverable</w:t>
            </w:r>
          </w:p>
        </w:tc>
        <w:tc>
          <w:tcPr>
            <w:tcW w:type="dxa" w:w="1701"/>
            <w:shd w:val="clear" w:color="auto" w:fill="E1058C"/>
            <w:vAlign w:val="center"/>
          </w:tcPr>
          <w:p>
            <w:pPr>
              <w:spacing w:after="0"/>
            </w:pPr>
            <w:r>
              <w:rPr>
                <w:b/>
                <w:i w:val="0"/>
                <w:color w:val="FFFFFF"/>
                <w:sz w:val="17"/>
              </w:rPr>
              <w:t>Status</w:t>
            </w:r>
          </w:p>
        </w:tc>
      </w:tr>
      <w:tr>
        <w:trPr>
          <w:cantSplit/>
        </w:trPr>
        <w:tc>
          <w:tcPr>
            <w:tcW w:type="dxa" w:w="1814"/>
            <w:vAlign w:val="top"/>
          </w:tcPr>
          <w:p>
            <w:pPr>
              <w:spacing w:after="20" w:line="252" w:lineRule="auto"/>
            </w:pPr>
            <w:r>
              <w:rPr>
                <w:b w:val="0"/>
                <w:i w:val="0"/>
                <w:sz w:val="17"/>
              </w:rPr>
              <w:t>IIFT-SV2-SAD</w:t>
            </w:r>
          </w:p>
        </w:tc>
        <w:tc>
          <w:tcPr>
            <w:tcW w:type="dxa" w:w="4082"/>
            <w:vAlign w:val="top"/>
          </w:tcPr>
          <w:p>
            <w:pPr>
              <w:spacing w:after="20" w:line="252" w:lineRule="auto"/>
            </w:pPr>
            <w:r>
              <w:rPr>
                <w:b w:val="0"/>
                <w:i w:val="0"/>
                <w:sz w:val="17"/>
              </w:rPr>
              <w:t>SalesVerse 2.0 Solution Architecture</w:t>
            </w:r>
          </w:p>
        </w:tc>
        <w:tc>
          <w:tcPr>
            <w:tcW w:type="dxa" w:w="2041"/>
            <w:vAlign w:val="top"/>
          </w:tcPr>
          <w:p>
            <w:pPr>
              <w:spacing w:after="20" w:line="252" w:lineRule="auto"/>
            </w:pPr>
            <w:r>
              <w:rPr>
                <w:b w:val="0"/>
                <w:i w:val="0"/>
                <w:sz w:val="17"/>
              </w:rPr>
              <w:t>DEL-06</w:t>
            </w:r>
          </w:p>
        </w:tc>
        <w:tc>
          <w:tcPr>
            <w:tcW w:type="dxa" w:w="1701"/>
            <w:vAlign w:val="top"/>
          </w:tcPr>
          <w:p>
            <w:pPr>
              <w:spacing w:after="20" w:line="252" w:lineRule="auto"/>
            </w:pPr>
            <w:r>
              <w:rPr>
                <w:b w:val="0"/>
                <w:i w:val="0"/>
                <w:sz w:val="17"/>
              </w:rPr>
              <w:t>Issued</w:t>
            </w:r>
          </w:p>
        </w:tc>
      </w:tr>
      <w:tr>
        <w:trPr>
          <w:cantSplit/>
        </w:trPr>
        <w:tc>
          <w:tcPr>
            <w:tcW w:type="dxa" w:w="1814"/>
            <w:vAlign w:val="top"/>
            <w:shd w:val="clear" w:color="auto" w:fill="FDF0F7"/>
          </w:tcPr>
          <w:p>
            <w:pPr>
              <w:spacing w:after="20" w:line="252" w:lineRule="auto"/>
            </w:pPr>
            <w:r>
              <w:rPr>
                <w:b w:val="0"/>
                <w:i w:val="0"/>
                <w:sz w:val="17"/>
              </w:rPr>
              <w:t>IIFT-SV2-DD</w:t>
            </w:r>
          </w:p>
        </w:tc>
        <w:tc>
          <w:tcPr>
            <w:tcW w:type="dxa" w:w="4082"/>
            <w:vAlign w:val="top"/>
            <w:shd w:val="clear" w:color="auto" w:fill="FDF0F7"/>
          </w:tcPr>
          <w:p>
            <w:pPr>
              <w:spacing w:after="20" w:line="252" w:lineRule="auto"/>
            </w:pPr>
            <w:r>
              <w:rPr>
                <w:b w:val="0"/>
                <w:i w:val="0"/>
                <w:sz w:val="17"/>
              </w:rPr>
              <w:t>SalesVerse 2.0 Data Dictionary</w:t>
            </w:r>
          </w:p>
        </w:tc>
        <w:tc>
          <w:tcPr>
            <w:tcW w:type="dxa" w:w="2041"/>
            <w:vAlign w:val="top"/>
            <w:shd w:val="clear" w:color="auto" w:fill="FDF0F7"/>
          </w:tcPr>
          <w:p>
            <w:pPr>
              <w:spacing w:after="20" w:line="252" w:lineRule="auto"/>
            </w:pPr>
            <w:r>
              <w:rPr>
                <w:b w:val="0"/>
                <w:i w:val="0"/>
                <w:sz w:val="17"/>
              </w:rPr>
              <w:t>DEL-07</w:t>
            </w:r>
          </w:p>
        </w:tc>
        <w:tc>
          <w:tcPr>
            <w:tcW w:type="dxa" w:w="1701"/>
            <w:vAlign w:val="top"/>
            <w:shd w:val="clear" w:color="auto" w:fill="FDF0F7"/>
          </w:tcPr>
          <w:p>
            <w:pPr>
              <w:spacing w:after="20" w:line="252" w:lineRule="auto"/>
            </w:pPr>
            <w:r>
              <w:rPr>
                <w:b w:val="0"/>
                <w:i w:val="0"/>
                <w:sz w:val="17"/>
              </w:rPr>
              <w:t>Issued</w:t>
            </w:r>
          </w:p>
        </w:tc>
      </w:tr>
      <w:tr>
        <w:trPr>
          <w:cantSplit/>
        </w:trPr>
        <w:tc>
          <w:tcPr>
            <w:tcW w:type="dxa" w:w="1814"/>
            <w:vAlign w:val="top"/>
          </w:tcPr>
          <w:p>
            <w:pPr>
              <w:spacing w:after="20" w:line="252" w:lineRule="auto"/>
            </w:pPr>
            <w:r>
              <w:rPr>
                <w:b w:val="0"/>
                <w:i w:val="0"/>
                <w:sz w:val="17"/>
              </w:rPr>
              <w:t>IIFT-SV2-PSH</w:t>
            </w:r>
          </w:p>
        </w:tc>
        <w:tc>
          <w:tcPr>
            <w:tcW w:type="dxa" w:w="4082"/>
            <w:vAlign w:val="top"/>
          </w:tcPr>
          <w:p>
            <w:pPr>
              <w:spacing w:after="20" w:line="252" w:lineRule="auto"/>
            </w:pPr>
            <w:r>
              <w:rPr>
                <w:b w:val="0"/>
                <w:i w:val="0"/>
                <w:sz w:val="17"/>
              </w:rPr>
              <w:t>SalesVerse 2.0 Production Support Handover</w:t>
            </w:r>
          </w:p>
        </w:tc>
        <w:tc>
          <w:tcPr>
            <w:tcW w:type="dxa" w:w="2041"/>
            <w:vAlign w:val="top"/>
          </w:tcPr>
          <w:p>
            <w:pPr>
              <w:spacing w:after="20" w:line="252" w:lineRule="auto"/>
            </w:pPr>
            <w:r>
              <w:rPr>
                <w:b w:val="0"/>
                <w:i w:val="0"/>
                <w:sz w:val="17"/>
              </w:rPr>
              <w:t>DEL-26, DEL-27, MNT-28</w:t>
            </w:r>
          </w:p>
        </w:tc>
        <w:tc>
          <w:tcPr>
            <w:tcW w:type="dxa" w:w="1701"/>
            <w:vAlign w:val="top"/>
          </w:tcPr>
          <w:p>
            <w:pPr>
              <w:spacing w:after="20" w:line="252" w:lineRule="auto"/>
            </w:pPr>
            <w:r>
              <w:rPr>
                <w:b w:val="0"/>
                <w:i w:val="0"/>
                <w:sz w:val="17"/>
              </w:rPr>
              <w:t>Issued</w:t>
            </w:r>
          </w:p>
        </w:tc>
      </w:tr>
      <w:tr>
        <w:trPr>
          <w:cantSplit/>
        </w:trPr>
        <w:tc>
          <w:tcPr>
            <w:tcW w:type="dxa" w:w="1814"/>
            <w:vAlign w:val="top"/>
            <w:shd w:val="clear" w:color="auto" w:fill="FDF0F7"/>
          </w:tcPr>
          <w:p>
            <w:pPr>
              <w:spacing w:after="20" w:line="252" w:lineRule="auto"/>
            </w:pPr>
            <w:r>
              <w:rPr>
                <w:b w:val="0"/>
                <w:i w:val="0"/>
                <w:sz w:val="17"/>
              </w:rPr>
              <w:t>IIFT-SV2-CSQ</w:t>
            </w:r>
          </w:p>
        </w:tc>
        <w:tc>
          <w:tcPr>
            <w:tcW w:type="dxa" w:w="4082"/>
            <w:vAlign w:val="top"/>
            <w:shd w:val="clear" w:color="auto" w:fill="FDF0F7"/>
          </w:tcPr>
          <w:p>
            <w:pPr>
              <w:spacing w:after="20" w:line="252" w:lineRule="auto"/>
            </w:pPr>
            <w:r>
              <w:rPr>
                <w:b w:val="0"/>
                <w:i w:val="0"/>
                <w:sz w:val="17"/>
              </w:rPr>
              <w:t>SalesVerse 2.0 Code Standards &amp; Quality Report</w:t>
            </w:r>
          </w:p>
        </w:tc>
        <w:tc>
          <w:tcPr>
            <w:tcW w:type="dxa" w:w="2041"/>
            <w:vAlign w:val="top"/>
            <w:shd w:val="clear" w:color="auto" w:fill="FDF0F7"/>
          </w:tcPr>
          <w:p>
            <w:pPr>
              <w:spacing w:after="20" w:line="252" w:lineRule="auto"/>
            </w:pPr>
            <w:r>
              <w:rPr>
                <w:b w:val="0"/>
                <w:i w:val="0"/>
                <w:sz w:val="17"/>
              </w:rPr>
              <w:t>DEL-11, NFR-14</w:t>
            </w:r>
          </w:p>
        </w:tc>
        <w:tc>
          <w:tcPr>
            <w:tcW w:type="dxa" w:w="1701"/>
            <w:vAlign w:val="top"/>
            <w:shd w:val="clear" w:color="auto" w:fill="FDF0F7"/>
          </w:tcPr>
          <w:p>
            <w:pPr>
              <w:spacing w:after="20" w:line="252" w:lineRule="auto"/>
            </w:pPr>
            <w:r>
              <w:rPr>
                <w:b w:val="0"/>
                <w:i w:val="0"/>
                <w:sz w:val="17"/>
              </w:rPr>
              <w:t>Issued</w:t>
            </w:r>
          </w:p>
        </w:tc>
      </w:tr>
      <w:tr>
        <w:trPr>
          <w:cantSplit/>
        </w:trPr>
        <w:tc>
          <w:tcPr>
            <w:tcW w:type="dxa" w:w="1814"/>
            <w:vAlign w:val="top"/>
          </w:tcPr>
          <w:p>
            <w:pPr>
              <w:spacing w:after="20" w:line="252" w:lineRule="auto"/>
            </w:pPr>
            <w:r>
              <w:rPr>
                <w:b w:val="0"/>
                <w:i w:val="0"/>
                <w:sz w:val="17"/>
              </w:rPr>
              <w:t>IIFT-SV2-SAR</w:t>
            </w:r>
          </w:p>
        </w:tc>
        <w:tc>
          <w:tcPr>
            <w:tcW w:type="dxa" w:w="4082"/>
            <w:vAlign w:val="top"/>
          </w:tcPr>
          <w:p>
            <w:pPr>
              <w:spacing w:after="20" w:line="252" w:lineRule="auto"/>
            </w:pPr>
            <w:r>
              <w:rPr>
                <w:b w:val="0"/>
                <w:i w:val="0"/>
                <w:sz w:val="17"/>
              </w:rPr>
              <w:t>SalesVerse 2.0 Security Assessment Report</w:t>
            </w:r>
          </w:p>
        </w:tc>
        <w:tc>
          <w:tcPr>
            <w:tcW w:type="dxa" w:w="2041"/>
            <w:vAlign w:val="top"/>
          </w:tcPr>
          <w:p>
            <w:pPr>
              <w:spacing w:after="20" w:line="252" w:lineRule="auto"/>
            </w:pPr>
            <w:r>
              <w:rPr>
                <w:b w:val="0"/>
                <w:i w:val="0"/>
                <w:sz w:val="17"/>
              </w:rPr>
              <w:t>DEL-17, NFR-13</w:t>
            </w:r>
          </w:p>
        </w:tc>
        <w:tc>
          <w:tcPr>
            <w:tcW w:type="dxa" w:w="1701"/>
            <w:vAlign w:val="top"/>
          </w:tcPr>
          <w:p>
            <w:pPr>
              <w:spacing w:after="20" w:line="252" w:lineRule="auto"/>
            </w:pPr>
            <w:r>
              <w:rPr>
                <w:b w:val="0"/>
                <w:i w:val="0"/>
                <w:sz w:val="17"/>
              </w:rPr>
              <w:t>Issued</w:t>
            </w:r>
          </w:p>
        </w:tc>
      </w:tr>
      <w:tr>
        <w:trPr>
          <w:cantSplit/>
        </w:trPr>
        <w:tc>
          <w:tcPr>
            <w:tcW w:type="dxa" w:w="1814"/>
            <w:vAlign w:val="top"/>
            <w:shd w:val="clear" w:color="auto" w:fill="FDF0F7"/>
          </w:tcPr>
          <w:p>
            <w:pPr>
              <w:spacing w:after="20" w:line="252" w:lineRule="auto"/>
            </w:pPr>
            <w:r>
              <w:rPr>
                <w:b w:val="0"/>
                <w:i w:val="0"/>
                <w:sz w:val="17"/>
              </w:rPr>
              <w:t>IIFT-SV2-TST</w:t>
            </w:r>
          </w:p>
        </w:tc>
        <w:tc>
          <w:tcPr>
            <w:tcW w:type="dxa" w:w="4082"/>
            <w:vAlign w:val="top"/>
            <w:shd w:val="clear" w:color="auto" w:fill="FDF0F7"/>
          </w:tcPr>
          <w:p>
            <w:pPr>
              <w:spacing w:after="20" w:line="252" w:lineRule="auto"/>
            </w:pPr>
            <w:r>
              <w:rPr>
                <w:b w:val="0"/>
                <w:i w:val="0"/>
                <w:sz w:val="17"/>
              </w:rPr>
              <w:t>SalesVerse 2.0 Test Strategy</w:t>
            </w:r>
          </w:p>
        </w:tc>
        <w:tc>
          <w:tcPr>
            <w:tcW w:type="dxa" w:w="2041"/>
            <w:vAlign w:val="top"/>
            <w:shd w:val="clear" w:color="auto" w:fill="FDF0F7"/>
          </w:tcPr>
          <w:p>
            <w:pPr>
              <w:spacing w:after="20" w:line="252" w:lineRule="auto"/>
            </w:pPr>
            <w:r>
              <w:rPr>
                <w:b w:val="0"/>
                <w:i w:val="0"/>
                <w:sz w:val="17"/>
              </w:rPr>
              <w:t>DEL-12</w:t>
            </w:r>
          </w:p>
        </w:tc>
        <w:tc>
          <w:tcPr>
            <w:tcW w:type="dxa" w:w="1701"/>
            <w:vAlign w:val="top"/>
            <w:shd w:val="clear" w:color="auto" w:fill="FDF0F7"/>
          </w:tcPr>
          <w:p>
            <w:pPr>
              <w:spacing w:after="20" w:line="252" w:lineRule="auto"/>
            </w:pPr>
            <w:r>
              <w:rPr>
                <w:b w:val="0"/>
                <w:i w:val="0"/>
                <w:sz w:val="17"/>
              </w:rPr>
              <w:t>This document</w:t>
            </w:r>
          </w:p>
        </w:tc>
      </w:tr>
      <w:tr>
        <w:trPr>
          <w:cantSplit/>
        </w:trPr>
        <w:tc>
          <w:tcPr>
            <w:tcW w:type="dxa" w:w="1814"/>
            <w:vAlign w:val="top"/>
          </w:tcPr>
          <w:p>
            <w:pPr>
              <w:spacing w:after="20" w:line="252" w:lineRule="auto"/>
            </w:pPr>
            <w:r>
              <w:rPr>
                <w:b w:val="0"/>
                <w:i w:val="0"/>
                <w:sz w:val="17"/>
              </w:rPr>
              <w:t>IIFT-SV2-TCS</w:t>
            </w:r>
          </w:p>
        </w:tc>
        <w:tc>
          <w:tcPr>
            <w:tcW w:type="dxa" w:w="4082"/>
            <w:vAlign w:val="top"/>
          </w:tcPr>
          <w:p>
            <w:pPr>
              <w:spacing w:after="20" w:line="252" w:lineRule="auto"/>
            </w:pPr>
            <w:r>
              <w:rPr>
                <w:b w:val="0"/>
                <w:i w:val="0"/>
                <w:sz w:val="17"/>
              </w:rPr>
              <w:t>SalesVerse 2.0 Test Cases</w:t>
            </w:r>
          </w:p>
        </w:tc>
        <w:tc>
          <w:tcPr>
            <w:tcW w:type="dxa" w:w="2041"/>
            <w:vAlign w:val="top"/>
          </w:tcPr>
          <w:p>
            <w:pPr>
              <w:spacing w:after="20" w:line="252" w:lineRule="auto"/>
            </w:pPr>
            <w:r>
              <w:rPr>
                <w:b w:val="0"/>
                <w:i w:val="0"/>
                <w:sz w:val="17"/>
              </w:rPr>
              <w:t>DEL-13, DEL-14 (precursor)</w:t>
            </w:r>
          </w:p>
        </w:tc>
        <w:tc>
          <w:tcPr>
            <w:tcW w:type="dxa" w:w="1701"/>
            <w:vAlign w:val="top"/>
          </w:tcPr>
          <w:p>
            <w:pPr>
              <w:spacing w:after="20" w:line="252" w:lineRule="auto"/>
            </w:pPr>
            <w:r>
              <w:rPr>
                <w:b w:val="0"/>
                <w:i w:val="0"/>
                <w:sz w:val="17"/>
              </w:rPr>
              <w:t>Issued</w:t>
            </w:r>
          </w:p>
        </w:tc>
      </w:tr>
    </w:tbl>
    <w:p>
      <w:pPr>
        <w:spacing w:after="0" w:before="0"/>
      </w:pPr>
      <w:r>
        <w:rPr>
          <w:sz w:val="8"/>
        </w:rPr>
      </w:r>
    </w:p>
    <w:p>
      <w:pPr>
        <w:pStyle w:val="Heading3"/>
      </w:pPr>
      <w:r>
        <w:t>Related material</w:t>
      </w:r>
    </w:p>
    <w:p>
      <w:pPr>
        <w:pStyle w:val="ListBullet"/>
      </w:pPr>
      <w:r>
        <w:rPr>
          <w:b w:val="0"/>
          <w:i w:val="0"/>
        </w:rPr>
        <w:t>SalesVerse-2.0-Test-Cases.xlsx (IIFT-SV2-TCS): scenarios, conditions, cases, defects, traceability and the execution log; its Summary sheet and chapter 12 of this document are built from one source.</w:t>
      </w:r>
    </w:p>
    <w:p>
      <w:pPr>
        <w:pStyle w:val="ListBullet"/>
      </w:pPr>
      <w:r>
        <w:rPr>
          <w:b w:val="0"/>
          <w:i w:val="0"/>
        </w:rPr>
        <w:t>SalesVerse-2.0-Security-Assessment-Report: the OWASP checks referenced by the security cases.</w:t>
      </w:r>
    </w:p>
    <w:p>
      <w:pPr>
        <w:pStyle w:val="ListBullet"/>
      </w:pPr>
      <w:r>
        <w:rPr>
          <w:b w:val="0"/>
          <w:i w:val="0"/>
        </w:rPr>
        <w:t>SalesVerse-2.0-Code-Standards-and-Quality-Report: unit and end-to-end test evidence and coverage.</w:t>
      </w:r>
    </w:p>
    <w:p>
      <w:pPr>
        <w:pStyle w:val="ListBullet"/>
      </w:pPr>
      <w:r>
        <w:rPr>
          <w:b w:val="0"/>
          <w:i w:val="0"/>
        </w:rPr>
        <w:t>SalesVerse-2.0-Solution-Architecture: environments, integration adapters and deployment options.</w:t>
      </w:r>
    </w:p>
    <w:p>
      <w:pPr>
        <w:pStyle w:val="Heading3"/>
      </w:pPr>
      <w:r>
        <w:t>Conventions</w:t>
      </w:r>
    </w:p>
    <w:p>
      <w:pPr>
        <w:pStyle w:val="ListBullet"/>
      </w:pPr>
      <w:r>
        <w:rPr>
          <w:b w:val="0"/>
          <w:i w:val="0"/>
        </w:rPr>
        <w:t>Monetary amounts are in Brunei dollars (B$). Times are Brunei time (UTC+8) unless marked UTC.</w:t>
      </w:r>
    </w:p>
    <w:p>
      <w:pPr>
        <w:pStyle w:val="ListBullet"/>
      </w:pPr>
      <w:r>
        <w:rPr>
          <w:b w:val="0"/>
          <w:i w:val="0"/>
        </w:rPr>
        <w:t>RFP requirement identifiers (AP, BO, INT, COM, NFR, DEL, MNT) refer to IIFT's Request for Proposal. COM-01 to COM-10 in this pack are the shared platform requirements of RFP section 4.4.</w:t>
      </w:r>
    </w:p>
    <w:p>
      <w:pPr>
        <w:pStyle w:val="ListBullet"/>
      </w:pPr>
      <w:r>
        <w:rPr>
          <w:b w:val="0"/>
          <w:i w:val="0"/>
        </w:rPr>
        <w:t xml:space="preserve">Items marked </w:t>
      </w:r>
      <w:r>
        <w:rPr>
          <w:b/>
          <w:i w:val="0"/>
        </w:rPr>
        <w:t>delivered during implementation</w:t>
      </w:r>
      <w:r>
        <w:rPr>
          <w:b w:val="0"/>
          <w:i w:val="0"/>
        </w:rPr>
        <w:t xml:space="preserve"> are designed here but not yet present in the working application; everything else describes the application as it runs today.</w:t>
      </w:r>
    </w:p>
    <w:p>
      <w:pPr>
        <w:pStyle w:val="ListBullet"/>
      </w:pPr>
      <w:r>
        <w:rPr>
          <w:b w:val="0"/>
          <w:i w:val="0"/>
        </w:rPr>
        <w:t>Option A, B and C are the commercial options of the proposal: on-premise with a perpetual licence, subscription hosted and managed by iorta on cloud, and source code handover. Prices and commercial terms are in the proposal and its pricing workbook; this pack quotes a figure only where a technical statement depends on it, and reads it from the same source as the proposal.</w:t>
      </w:r>
    </w:p>
    <w:p>
      <w:pPr>
        <w:pStyle w:val="ListBullet"/>
      </w:pPr>
      <w:r>
        <w:rPr>
          <w:b w:val="0"/>
          <w:i w:val="0"/>
        </w:rPr>
        <w:t xml:space="preserve">Text in </w:t>
      </w:r>
      <w:r>
        <w:rPr>
          <w:b w:val="0"/>
          <w:i w:val="0"/>
          <w:highlight w:val="yellow"/>
        </w:rPr>
        <w:t>[square brackets]</w:t>
      </w:r>
      <w:r>
        <w:rPr>
          <w:b w:val="0"/>
          <w:i w:val="0"/>
        </w:rPr>
        <w:t xml:space="preserve"> is to be completed with IIFT during mobilisation.</w:t>
      </w:r>
    </w:p>
    <w:p>
      <w:pPr>
        <w:pStyle w:val="Heading1"/>
        <w:pageBreakBefore/>
        <w:pBdr>
          <w:bottom w:val="single" w:sz="12" w:space="4" w:color="F58220"/>
        </w:pBdr>
      </w:pPr>
      <w:r>
        <w:t>Contents</w:t>
      </w:r>
    </w:p>
    <w:p>
      <w:r>
        <w:rPr>
          <w:b w:val="0"/>
        </w:rPr>
        <w:fldChar w:fldCharType="begin" w:dirty="true"/>
      </w:r>
      <w:r>
        <w:rPr>
          <w:b w:val="0"/>
        </w:rPr>
        <w:instrText xml:space="preserve"> TOC \o "1-2" \h \z \u </w:instrText>
      </w:r>
      <w:r>
        <w:rPr>
          <w:b w:val="0"/>
        </w:rPr>
        <w:fldChar w:fldCharType="separate"/>
      </w:r>
      <w:r>
        <w:rPr>
          <w:b w:val="0"/>
        </w:rPr>
        <w:t>Right-click here and choose Update Field to build the table of contents.</w:t>
      </w:r>
      <w:r>
        <w:rPr>
          <w:b w:val="0"/>
        </w:rPr>
        <w:fldChar w:fldCharType="end"/>
      </w:r>
    </w:p>
    <w:p>
      <w:pPr>
        <w:pStyle w:val="Heading1"/>
        <w:pageBreakBefore/>
        <w:pBdr>
          <w:bottom w:val="single" w:sz="12" w:space="4" w:color="F58220"/>
        </w:pBdr>
      </w:pPr>
      <w:r>
        <w:t>1. Purpose and scope</w:t>
      </w:r>
    </w:p>
    <w:p>
      <w:pPr>
        <w:keepNext w:val="0"/>
      </w:pPr>
      <w:r>
        <w:rPr>
          <w:b w:val="0"/>
          <w:i w:val="0"/>
        </w:rPr>
        <w:t>This strategy covers the testing of SalesVerse 2.0 configured as the IIFT Agent/Banca Portal &amp; Back-office: the Agent/Banca Portal, the Back-office, the public e-signature page, the system-to-system APIs and the integrations with IIFT's core, financial, AML, directory, e-mail and SMS services. It applies from the build sprints to hypercare and is the reference for the SIT and UAT deliverables (DEL-13 to DEL-16), the security assessment (DEL-17) and the performance report (DEL-18).</w:t>
      </w:r>
    </w:p>
    <w:p>
      <w:pPr>
        <w:keepNext w:val="0"/>
      </w:pPr>
      <w:r>
        <w:rPr>
          <w:b w:val="0"/>
          <w:i w:val="0"/>
        </w:rPr>
        <w:t>The companion workbook holds the test scenarios, conditions and cases with their current status. Both are generated from one catalogue in the source repository, so the counts in chapter 12 and in the workbook's Summary sheet cannot differ; the build stops if they do.</w:t>
      </w:r>
    </w:p>
    <w:p>
      <w:pPr>
        <w:keepNext w:val="0"/>
      </w:pPr>
      <w:r>
        <w:rPr>
          <w:b w:val="0"/>
          <w:i w:val="0"/>
        </w:rPr>
        <w:t>Out of scope: testing of IIFT's own systems beyond their interfaces, and of the hosting infrastructure other than through the availability, backup and DR drills in which iorta participates.</w:t>
      </w:r>
    </w:p>
    <w:p>
      <w:pPr>
        <w:pStyle w:val="Heading2"/>
      </w:pPr>
      <w:r>
        <w:t>1.1 Test objectives</w:t>
      </w:r>
    </w:p>
    <w:p>
      <w:pPr>
        <w:pStyle w:val="ListBullet"/>
      </w:pPr>
      <w:r>
        <w:rPr>
          <w:b w:val="0"/>
          <w:i w:val="0"/>
        </w:rPr>
        <w:t>Prove every functional requirement of RFP sections 4.1 to 4.4 and the five product flows of Appendix 3 with at least one executed, passed case, traced in the workbook.</w:t>
      </w:r>
    </w:p>
    <w:p>
      <w:pPr>
        <w:pStyle w:val="ListBullet"/>
      </w:pPr>
      <w:r>
        <w:rPr>
          <w:b w:val="0"/>
          <w:i w:val="0"/>
        </w:rPr>
        <w:t>Prove the non-functional requirements of section 5 at the agreed level: security before any release, performance and availability at IIFT scale before go-live.</w:t>
      </w:r>
    </w:p>
    <w:p>
      <w:pPr>
        <w:pStyle w:val="ListBullet"/>
      </w:pPr>
      <w:r>
        <w:rPr>
          <w:b w:val="0"/>
          <w:i w:val="0"/>
        </w:rPr>
        <w:t>Find defects early: unit and API tests run with every change, business journeys on every release candidate, and the OWASP checks each sprint.</w:t>
      </w:r>
    </w:p>
    <w:p>
      <w:pPr>
        <w:pStyle w:val="ListBullet"/>
      </w:pPr>
      <w:r>
        <w:rPr>
          <w:b w:val="0"/>
          <w:i w:val="0"/>
        </w:rPr>
        <w:t>Give IIFT evidence it can audit: JSON results from every automated run, request and response summaries from the scripted API run, screen captures from manual runs, and signed UAT records.</w:t>
      </w:r>
    </w:p>
    <w:p>
      <w:pPr>
        <w:pStyle w:val="Heading1"/>
        <w:pageBreakBefore/>
        <w:pBdr>
          <w:bottom w:val="single" w:sz="12" w:space="4" w:color="F58220"/>
        </w:pBdr>
      </w:pPr>
      <w:r>
        <w:t>2. Test levels and approach</w:t>
      </w:r>
    </w:p>
    <w:p>
      <w:pPr>
        <w:keepNext w:val="0"/>
      </w:pPr>
      <w:r>
        <w:rPr>
          <w:b w:val="0"/>
          <w:i w:val="0"/>
        </w:rPr>
        <w:t>Testing is layered. Each level has an owner, an environment, tooling and an exit criterion; the levels build on each other so that SIT and UAT concentrate on IIFT's systems, data and users rather than on application logic already proven.</w:t>
      </w:r>
    </w:p>
    <w:p>
      <w:pPr>
        <w:keepNext/>
        <w:spacing w:after="0"/>
        <w:jc w:val="center"/>
      </w:pPr>
      <w:r>
        <w:drawing>
          <wp:inline xmlns:a="http://schemas.openxmlformats.org/drawingml/2006/main" xmlns:pic="http://schemas.openxmlformats.org/drawingml/2006/picture">
            <wp:extent cx="5940000" cy="2375999"/>
            <wp:docPr id="4" name="Picture 4"/>
            <wp:cNvGraphicFramePr>
              <a:graphicFrameLocks noChangeAspect="1"/>
            </wp:cNvGraphicFramePr>
            <a:graphic>
              <a:graphicData uri="http://schemas.openxmlformats.org/drawingml/2006/picture">
                <pic:pic>
                  <pic:nvPicPr>
                    <pic:cNvPr id="0" name="test_levels.png"/>
                    <pic:cNvPicPr/>
                  </pic:nvPicPr>
                  <pic:blipFill>
                    <a:blip r:embed="rId14"/>
                    <a:stretch>
                      <a:fillRect/>
                    </a:stretch>
                  </pic:blipFill>
                  <pic:spPr>
                    <a:xfrm>
                      <a:off x="0" y="0"/>
                      <a:ext cx="5940000" cy="2375999"/>
                    </a:xfrm>
                    <a:prstGeom prst="rect"/>
                  </pic:spPr>
                </pic:pic>
              </a:graphicData>
            </a:graphic>
          </wp:inline>
        </w:drawing>
      </w:r>
    </w:p>
    <w:p>
      <w:pPr>
        <w:pStyle w:val="Caption"/>
        <w:jc w:val="center"/>
      </w:pPr>
      <w:r>
        <w:rPr>
          <w:b w:val="0"/>
          <w:i w:val="0"/>
        </w:rPr>
        <w:t>Figure 1: Test levels across the delivery plan</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1304"/>
        <w:gridCol w:w="2608"/>
        <w:gridCol w:w="1134"/>
        <w:gridCol w:w="1587"/>
        <w:gridCol w:w="1644"/>
        <w:gridCol w:w="1360"/>
      </w:tblGrid>
      <w:tr>
        <w:trPr>
          <w:cantSplit/>
          <w:tblHeader/>
        </w:trPr>
        <w:tc>
          <w:tcPr>
            <w:tcW w:type="dxa" w:w="1304"/>
            <w:shd w:val="clear" w:color="auto" w:fill="E1058C"/>
            <w:vAlign w:val="center"/>
          </w:tcPr>
          <w:p>
            <w:pPr>
              <w:spacing w:after="0"/>
            </w:pPr>
            <w:r>
              <w:rPr>
                <w:b/>
                <w:i w:val="0"/>
                <w:color w:val="FFFFFF"/>
                <w:sz w:val="14"/>
              </w:rPr>
              <w:t>Level</w:t>
            </w:r>
          </w:p>
        </w:tc>
        <w:tc>
          <w:tcPr>
            <w:tcW w:type="dxa" w:w="2608"/>
            <w:shd w:val="clear" w:color="auto" w:fill="E1058C"/>
            <w:vAlign w:val="center"/>
          </w:tcPr>
          <w:p>
            <w:pPr>
              <w:spacing w:after="0"/>
            </w:pPr>
            <w:r>
              <w:rPr>
                <w:b/>
                <w:i w:val="0"/>
                <w:color w:val="FFFFFF"/>
                <w:sz w:val="14"/>
              </w:rPr>
              <w:t>Scope</w:t>
            </w:r>
          </w:p>
        </w:tc>
        <w:tc>
          <w:tcPr>
            <w:tcW w:type="dxa" w:w="1134"/>
            <w:shd w:val="clear" w:color="auto" w:fill="E1058C"/>
            <w:vAlign w:val="center"/>
          </w:tcPr>
          <w:p>
            <w:pPr>
              <w:spacing w:after="0"/>
            </w:pPr>
            <w:r>
              <w:rPr>
                <w:b/>
                <w:i w:val="0"/>
                <w:color w:val="FFFFFF"/>
                <w:sz w:val="14"/>
              </w:rPr>
              <w:t>Owner</w:t>
            </w:r>
          </w:p>
        </w:tc>
        <w:tc>
          <w:tcPr>
            <w:tcW w:type="dxa" w:w="1587"/>
            <w:shd w:val="clear" w:color="auto" w:fill="E1058C"/>
            <w:vAlign w:val="center"/>
          </w:tcPr>
          <w:p>
            <w:pPr>
              <w:spacing w:after="0"/>
            </w:pPr>
            <w:r>
              <w:rPr>
                <w:b/>
                <w:i w:val="0"/>
                <w:color w:val="FFFFFF"/>
                <w:sz w:val="14"/>
              </w:rPr>
              <w:t>Environment</w:t>
            </w:r>
          </w:p>
        </w:tc>
        <w:tc>
          <w:tcPr>
            <w:tcW w:type="dxa" w:w="1644"/>
            <w:shd w:val="clear" w:color="auto" w:fill="E1058C"/>
            <w:vAlign w:val="center"/>
          </w:tcPr>
          <w:p>
            <w:pPr>
              <w:spacing w:after="0"/>
            </w:pPr>
            <w:r>
              <w:rPr>
                <w:b/>
                <w:i w:val="0"/>
                <w:color w:val="FFFFFF"/>
                <w:sz w:val="14"/>
              </w:rPr>
              <w:t>Tooling</w:t>
            </w:r>
          </w:p>
        </w:tc>
        <w:tc>
          <w:tcPr>
            <w:tcW w:type="dxa" w:w="1361"/>
            <w:shd w:val="clear" w:color="auto" w:fill="E1058C"/>
            <w:vAlign w:val="center"/>
          </w:tcPr>
          <w:p>
            <w:pPr>
              <w:spacing w:after="0"/>
            </w:pPr>
            <w:r>
              <w:rPr>
                <w:b/>
                <w:i w:val="0"/>
                <w:color w:val="FFFFFF"/>
                <w:sz w:val="14"/>
              </w:rPr>
              <w:t>Exit criterion</w:t>
            </w:r>
          </w:p>
        </w:tc>
      </w:tr>
      <w:tr>
        <w:trPr>
          <w:cantSplit/>
        </w:trPr>
        <w:tc>
          <w:tcPr>
            <w:tcW w:type="dxa" w:w="1304"/>
            <w:vAlign w:val="top"/>
          </w:tcPr>
          <w:p>
            <w:pPr>
              <w:spacing w:after="20" w:line="252" w:lineRule="auto"/>
            </w:pPr>
            <w:r>
              <w:rPr>
                <w:b/>
                <w:i w:val="0"/>
                <w:sz w:val="14"/>
              </w:rPr>
              <w:t>Unit</w:t>
            </w:r>
          </w:p>
        </w:tc>
        <w:tc>
          <w:tcPr>
            <w:tcW w:type="dxa" w:w="2608"/>
            <w:vAlign w:val="top"/>
          </w:tcPr>
          <w:p>
            <w:pPr>
              <w:spacing w:after="20" w:line="252" w:lineRule="auto"/>
            </w:pPr>
            <w:r>
              <w:rPr>
                <w:b w:val="0"/>
                <w:i w:val="0"/>
                <w:sz w:val="14"/>
              </w:rPr>
              <w:t>Business rules, rating engines (all seven products), validators, password policy, encryption, file inspection, report export, web components and utilities</w:t>
            </w:r>
          </w:p>
        </w:tc>
        <w:tc>
          <w:tcPr>
            <w:tcW w:type="dxa" w:w="1134"/>
            <w:vAlign w:val="top"/>
          </w:tcPr>
          <w:p>
            <w:pPr>
              <w:spacing w:after="20" w:line="252" w:lineRule="auto"/>
            </w:pPr>
            <w:r>
              <w:rPr>
                <w:b w:val="0"/>
                <w:i w:val="0"/>
                <w:sz w:val="14"/>
              </w:rPr>
              <w:t>Developers</w:t>
            </w:r>
          </w:p>
        </w:tc>
        <w:tc>
          <w:tcPr>
            <w:tcW w:type="dxa" w:w="1587"/>
            <w:vAlign w:val="top"/>
          </w:tcPr>
          <w:p>
            <w:pPr>
              <w:spacing w:after="20" w:line="252" w:lineRule="auto"/>
            </w:pPr>
            <w:r>
              <w:rPr>
                <w:b w:val="0"/>
                <w:i w:val="0"/>
                <w:sz w:val="14"/>
              </w:rPr>
              <w:t>Developer workstation; CI on every push</w:t>
            </w:r>
          </w:p>
        </w:tc>
        <w:tc>
          <w:tcPr>
            <w:tcW w:type="dxa" w:w="1644"/>
            <w:vAlign w:val="top"/>
          </w:tcPr>
          <w:p>
            <w:pPr>
              <w:spacing w:after="20" w:line="252" w:lineRule="auto"/>
            </w:pPr>
            <w:r>
              <w:rPr>
                <w:b w:val="0"/>
                <w:i w:val="0"/>
                <w:sz w:val="14"/>
              </w:rPr>
              <w:t>Vitest (API), Vitest + Testing Library + jsdom (web)</w:t>
            </w:r>
          </w:p>
        </w:tc>
        <w:tc>
          <w:tcPr>
            <w:tcW w:type="dxa" w:w="1361"/>
            <w:vAlign w:val="top"/>
          </w:tcPr>
          <w:p>
            <w:pPr>
              <w:spacing w:after="20" w:line="252" w:lineRule="auto"/>
            </w:pPr>
            <w:r>
              <w:rPr>
                <w:b w:val="0"/>
                <w:i w:val="0"/>
                <w:sz w:val="14"/>
              </w:rPr>
              <w:t>All tests pass; coverage of core modules ≥ 70%</w:t>
            </w:r>
          </w:p>
        </w:tc>
      </w:tr>
      <w:tr>
        <w:trPr>
          <w:cantSplit/>
        </w:trPr>
        <w:tc>
          <w:tcPr>
            <w:tcW w:type="dxa" w:w="1304"/>
            <w:vAlign w:val="top"/>
            <w:shd w:val="clear" w:color="auto" w:fill="FDF0F7"/>
          </w:tcPr>
          <w:p>
            <w:pPr>
              <w:spacing w:after="20" w:line="252" w:lineRule="auto"/>
            </w:pPr>
            <w:r>
              <w:rPr>
                <w:b/>
                <w:i w:val="0"/>
                <w:sz w:val="14"/>
              </w:rPr>
              <w:t>Integration / API</w:t>
            </w:r>
          </w:p>
        </w:tc>
        <w:tc>
          <w:tcPr>
            <w:tcW w:type="dxa" w:w="2608"/>
            <w:vAlign w:val="top"/>
            <w:shd w:val="clear" w:color="auto" w:fill="FDF0F7"/>
          </w:tcPr>
          <w:p>
            <w:pPr>
              <w:spacing w:after="20" w:line="252" w:lineRule="auto"/>
            </w:pPr>
            <w:r>
              <w:rPr>
                <w:b w:val="0"/>
                <w:i w:val="0"/>
                <w:sz w:val="14"/>
              </w:rPr>
              <w:t>Every endpoint with positive and negative cases: permissions per role, audience separation, data scoping, validation, business-rule errors</w:t>
            </w:r>
          </w:p>
        </w:tc>
        <w:tc>
          <w:tcPr>
            <w:tcW w:type="dxa" w:w="1134"/>
            <w:vAlign w:val="top"/>
            <w:shd w:val="clear" w:color="auto" w:fill="FDF0F7"/>
          </w:tcPr>
          <w:p>
            <w:pPr>
              <w:spacing w:after="20" w:line="252" w:lineRule="auto"/>
            </w:pPr>
            <w:r>
              <w:rPr>
                <w:b w:val="0"/>
                <w:i w:val="0"/>
                <w:sz w:val="14"/>
              </w:rPr>
              <w:t>Developers, QA</w:t>
            </w:r>
          </w:p>
        </w:tc>
        <w:tc>
          <w:tcPr>
            <w:tcW w:type="dxa" w:w="1587"/>
            <w:vAlign w:val="top"/>
            <w:shd w:val="clear" w:color="auto" w:fill="FDF0F7"/>
          </w:tcPr>
          <w:p>
            <w:pPr>
              <w:spacing w:after="20" w:line="252" w:lineRule="auto"/>
            </w:pPr>
            <w:r>
              <w:rPr>
                <w:b w:val="0"/>
                <w:i w:val="0"/>
                <w:sz w:val="14"/>
              </w:rPr>
              <w:t>CI with PostgreSQL (dedicated *_test database rebuilt from the migrations)</w:t>
            </w:r>
          </w:p>
        </w:tc>
        <w:tc>
          <w:tcPr>
            <w:tcW w:type="dxa" w:w="1644"/>
            <w:vAlign w:val="top"/>
            <w:shd w:val="clear" w:color="auto" w:fill="FDF0F7"/>
          </w:tcPr>
          <w:p>
            <w:pPr>
              <w:spacing w:after="20" w:line="252" w:lineRule="auto"/>
            </w:pPr>
            <w:r>
              <w:rPr>
                <w:b w:val="0"/>
                <w:i w:val="0"/>
                <w:sz w:val="14"/>
              </w:rPr>
              <w:t>Vitest + supertest</w:t>
            </w:r>
          </w:p>
        </w:tc>
        <w:tc>
          <w:tcPr>
            <w:tcW w:type="dxa" w:w="1361"/>
            <w:vAlign w:val="top"/>
            <w:shd w:val="clear" w:color="auto" w:fill="FDF0F7"/>
          </w:tcPr>
          <w:p>
            <w:pPr>
              <w:spacing w:after="20" w:line="252" w:lineRule="auto"/>
            </w:pPr>
            <w:r>
              <w:rPr>
                <w:b w:val="0"/>
                <w:i w:val="0"/>
                <w:sz w:val="14"/>
              </w:rPr>
              <w:t>All tests pass; no endpoint without a negative test</w:t>
            </w:r>
          </w:p>
        </w:tc>
      </w:tr>
      <w:tr>
        <w:trPr>
          <w:cantSplit/>
        </w:trPr>
        <w:tc>
          <w:tcPr>
            <w:tcW w:type="dxa" w:w="1304"/>
            <w:vAlign w:val="top"/>
          </w:tcPr>
          <w:p>
            <w:pPr>
              <w:spacing w:after="20" w:line="252" w:lineRule="auto"/>
            </w:pPr>
            <w:r>
              <w:rPr>
                <w:b/>
                <w:i w:val="0"/>
                <w:sz w:val="14"/>
              </w:rPr>
              <w:t>End-to-end API (business journeys)</w:t>
            </w:r>
          </w:p>
        </w:tc>
        <w:tc>
          <w:tcPr>
            <w:tcW w:type="dxa" w:w="2608"/>
            <w:vAlign w:val="top"/>
          </w:tcPr>
          <w:p>
            <w:pPr>
              <w:spacing w:after="20" w:line="252" w:lineRule="auto"/>
            </w:pPr>
            <w:r>
              <w:rPr>
                <w:b w:val="0"/>
                <w:i w:val="0"/>
                <w:sz w:val="14"/>
              </w:rPr>
              <w:t>Quotation to e-Policy and e-Receipt, referral and maker-checker, onboarding with AML, claims, issues, reports, EOD and reconciliation, administration</w:t>
            </w:r>
          </w:p>
        </w:tc>
        <w:tc>
          <w:tcPr>
            <w:tcW w:type="dxa" w:w="1134"/>
            <w:vAlign w:val="top"/>
          </w:tcPr>
          <w:p>
            <w:pPr>
              <w:spacing w:after="20" w:line="252" w:lineRule="auto"/>
            </w:pPr>
            <w:r>
              <w:rPr>
                <w:b w:val="0"/>
                <w:i w:val="0"/>
                <w:sz w:val="14"/>
              </w:rPr>
              <w:t>QA</w:t>
            </w:r>
          </w:p>
        </w:tc>
        <w:tc>
          <w:tcPr>
            <w:tcW w:type="dxa" w:w="1587"/>
            <w:vAlign w:val="top"/>
          </w:tcPr>
          <w:p>
            <w:pPr>
              <w:spacing w:after="20" w:line="252" w:lineRule="auto"/>
            </w:pPr>
            <w:r>
              <w:rPr>
                <w:b w:val="0"/>
                <w:i w:val="0"/>
                <w:sz w:val="14"/>
              </w:rPr>
              <w:t>CI and the iorta test instance with demonstration data</w:t>
            </w:r>
          </w:p>
        </w:tc>
        <w:tc>
          <w:tcPr>
            <w:tcW w:type="dxa" w:w="1644"/>
            <w:vAlign w:val="top"/>
          </w:tcPr>
          <w:p>
            <w:pPr>
              <w:spacing w:after="20" w:line="252" w:lineRule="auto"/>
            </w:pPr>
            <w:r>
              <w:rPr>
                <w:b w:val="0"/>
                <w:i w:val="0"/>
                <w:sz w:val="14"/>
              </w:rPr>
              <w:t>Vitest e2e suite; tools/testing/api-test-run.mjs against a running instance</w:t>
            </w:r>
          </w:p>
        </w:tc>
        <w:tc>
          <w:tcPr>
            <w:tcW w:type="dxa" w:w="1361"/>
            <w:vAlign w:val="top"/>
          </w:tcPr>
          <w:p>
            <w:pPr>
              <w:spacing w:after="20" w:line="252" w:lineRule="auto"/>
            </w:pPr>
            <w:r>
              <w:rPr>
                <w:b w:val="0"/>
                <w:i w:val="0"/>
                <w:sz w:val="14"/>
              </w:rPr>
              <w:t>All journeys pass on the release candidate</w:t>
            </w:r>
          </w:p>
        </w:tc>
      </w:tr>
      <w:tr>
        <w:trPr>
          <w:cantSplit/>
        </w:trPr>
        <w:tc>
          <w:tcPr>
            <w:tcW w:type="dxa" w:w="1304"/>
            <w:vAlign w:val="top"/>
            <w:shd w:val="clear" w:color="auto" w:fill="FDF0F7"/>
          </w:tcPr>
          <w:p>
            <w:pPr>
              <w:spacing w:after="20" w:line="252" w:lineRule="auto"/>
            </w:pPr>
            <w:r>
              <w:rPr>
                <w:b/>
                <w:i w:val="0"/>
                <w:sz w:val="14"/>
              </w:rPr>
              <w:t>UI / component</w:t>
            </w:r>
          </w:p>
        </w:tc>
        <w:tc>
          <w:tcPr>
            <w:tcW w:type="dxa" w:w="2608"/>
            <w:vAlign w:val="top"/>
            <w:shd w:val="clear" w:color="auto" w:fill="FDF0F7"/>
          </w:tcPr>
          <w:p>
            <w:pPr>
              <w:spacing w:after="20" w:line="252" w:lineRule="auto"/>
            </w:pPr>
            <w:r>
              <w:rPr>
                <w:b w:val="0"/>
                <w:i w:val="0"/>
                <w:sz w:val="14"/>
              </w:rPr>
              <w:t>Web components, navigation, permission gating, forms; exploratory runs of every screen</w:t>
            </w:r>
          </w:p>
        </w:tc>
        <w:tc>
          <w:tcPr>
            <w:tcW w:type="dxa" w:w="1134"/>
            <w:vAlign w:val="top"/>
            <w:shd w:val="clear" w:color="auto" w:fill="FDF0F7"/>
          </w:tcPr>
          <w:p>
            <w:pPr>
              <w:spacing w:after="20" w:line="252" w:lineRule="auto"/>
            </w:pPr>
            <w:r>
              <w:rPr>
                <w:b w:val="0"/>
                <w:i w:val="0"/>
                <w:sz w:val="14"/>
              </w:rPr>
              <w:t>QA</w:t>
            </w:r>
          </w:p>
        </w:tc>
        <w:tc>
          <w:tcPr>
            <w:tcW w:type="dxa" w:w="1587"/>
            <w:vAlign w:val="top"/>
            <w:shd w:val="clear" w:color="auto" w:fill="FDF0F7"/>
          </w:tcPr>
          <w:p>
            <w:pPr>
              <w:spacing w:after="20" w:line="252" w:lineRule="auto"/>
            </w:pPr>
            <w:r>
              <w:rPr>
                <w:b w:val="0"/>
                <w:i w:val="0"/>
                <w:sz w:val="14"/>
              </w:rPr>
              <w:t>iorta test instance (browser)</w:t>
            </w:r>
          </w:p>
        </w:tc>
        <w:tc>
          <w:tcPr>
            <w:tcW w:type="dxa" w:w="1644"/>
            <w:vAlign w:val="top"/>
            <w:shd w:val="clear" w:color="auto" w:fill="FDF0F7"/>
          </w:tcPr>
          <w:p>
            <w:pPr>
              <w:spacing w:after="20" w:line="252" w:lineRule="auto"/>
            </w:pPr>
            <w:r>
              <w:rPr>
                <w:b w:val="0"/>
                <w:i w:val="0"/>
                <w:sz w:val="14"/>
              </w:rPr>
              <w:t>Testing Library; Playwright smoke suite (regression); exploratory sessions with screen captures</w:t>
            </w:r>
          </w:p>
        </w:tc>
        <w:tc>
          <w:tcPr>
            <w:tcW w:type="dxa" w:w="1361"/>
            <w:vAlign w:val="top"/>
            <w:shd w:val="clear" w:color="auto" w:fill="FDF0F7"/>
          </w:tcPr>
          <w:p>
            <w:pPr>
              <w:spacing w:after="20" w:line="252" w:lineRule="auto"/>
            </w:pPr>
            <w:r>
              <w:rPr>
                <w:b w:val="0"/>
                <w:i w:val="0"/>
                <w:sz w:val="14"/>
              </w:rPr>
              <w:t>No open Critical/High UI defects; smoke suite green</w:t>
            </w:r>
          </w:p>
        </w:tc>
      </w:tr>
      <w:tr>
        <w:trPr>
          <w:cantSplit/>
        </w:trPr>
        <w:tc>
          <w:tcPr>
            <w:tcW w:type="dxa" w:w="1304"/>
            <w:vAlign w:val="top"/>
          </w:tcPr>
          <w:p>
            <w:pPr>
              <w:spacing w:after="20" w:line="252" w:lineRule="auto"/>
            </w:pPr>
            <w:r>
              <w:rPr>
                <w:b/>
                <w:i w:val="0"/>
                <w:sz w:val="14"/>
              </w:rPr>
              <w:t>System integration test (SIT)</w:t>
            </w:r>
          </w:p>
        </w:tc>
        <w:tc>
          <w:tcPr>
            <w:tcW w:type="dxa" w:w="2608"/>
            <w:vAlign w:val="top"/>
          </w:tcPr>
          <w:p>
            <w:pPr>
              <w:spacing w:after="20" w:line="252" w:lineRule="auto"/>
            </w:pPr>
            <w:r>
              <w:rPr>
                <w:b w:val="0"/>
                <w:i w:val="0"/>
                <w:sz w:val="14"/>
              </w:rPr>
              <w:t>End-to-end flows across portal, back-office and IIFT systems: Core, FIN, AML service, Active Directory, SMTP relay, SMS gateway; scheduled jobs; EOD with FIN and BRR reconciliation</w:t>
            </w:r>
          </w:p>
        </w:tc>
        <w:tc>
          <w:tcPr>
            <w:tcW w:type="dxa" w:w="1134"/>
            <w:vAlign w:val="top"/>
          </w:tcPr>
          <w:p>
            <w:pPr>
              <w:spacing w:after="20" w:line="252" w:lineRule="auto"/>
            </w:pPr>
            <w:r>
              <w:rPr>
                <w:b w:val="0"/>
                <w:i w:val="0"/>
                <w:sz w:val="14"/>
              </w:rPr>
              <w:t>iorta QA with IITH system owners</w:t>
            </w:r>
          </w:p>
        </w:tc>
        <w:tc>
          <w:tcPr>
            <w:tcW w:type="dxa" w:w="1587"/>
            <w:vAlign w:val="top"/>
          </w:tcPr>
          <w:p>
            <w:pPr>
              <w:spacing w:after="20" w:line="252" w:lineRule="auto"/>
            </w:pPr>
            <w:r>
              <w:rPr>
                <w:b w:val="0"/>
                <w:i w:val="0"/>
                <w:sz w:val="14"/>
              </w:rPr>
              <w:t>SIT environment at IIFT with test endpoints and credentials</w:t>
            </w:r>
          </w:p>
        </w:tc>
        <w:tc>
          <w:tcPr>
            <w:tcW w:type="dxa" w:w="1644"/>
            <w:vAlign w:val="top"/>
          </w:tcPr>
          <w:p>
            <w:pPr>
              <w:spacing w:after="20" w:line="252" w:lineRule="auto"/>
            </w:pPr>
            <w:r>
              <w:rPr>
                <w:b w:val="0"/>
                <w:i w:val="0"/>
                <w:sz w:val="14"/>
              </w:rPr>
              <w:t>This workbook (cases marked SIT) plus the automated suites; Playwright regression</w:t>
            </w:r>
          </w:p>
        </w:tc>
        <w:tc>
          <w:tcPr>
            <w:tcW w:type="dxa" w:w="1361"/>
            <w:vAlign w:val="top"/>
          </w:tcPr>
          <w:p>
            <w:pPr>
              <w:spacing w:after="20" w:line="252" w:lineRule="auto"/>
            </w:pPr>
            <w:r>
              <w:rPr>
                <w:b w:val="0"/>
                <w:i w:val="0"/>
                <w:sz w:val="14"/>
              </w:rPr>
              <w:t>≥ 95% of SIT cases passed; no open Critical/High defects; reconciliation MATCHED for three consecutive days</w:t>
            </w:r>
          </w:p>
        </w:tc>
      </w:tr>
      <w:tr>
        <w:trPr>
          <w:cantSplit/>
        </w:trPr>
        <w:tc>
          <w:tcPr>
            <w:tcW w:type="dxa" w:w="1304"/>
            <w:vAlign w:val="top"/>
            <w:shd w:val="clear" w:color="auto" w:fill="FDF0F7"/>
          </w:tcPr>
          <w:p>
            <w:pPr>
              <w:spacing w:after="20" w:line="252" w:lineRule="auto"/>
            </w:pPr>
            <w:r>
              <w:rPr>
                <w:b/>
                <w:i w:val="0"/>
                <w:sz w:val="14"/>
              </w:rPr>
              <w:t>Performance</w:t>
            </w:r>
          </w:p>
        </w:tc>
        <w:tc>
          <w:tcPr>
            <w:tcW w:type="dxa" w:w="2608"/>
            <w:vAlign w:val="top"/>
            <w:shd w:val="clear" w:color="auto" w:fill="FDF0F7"/>
          </w:tcPr>
          <w:p>
            <w:pPr>
              <w:spacing w:after="20" w:line="252" w:lineRule="auto"/>
            </w:pPr>
            <w:r>
              <w:rPr>
                <w:b w:val="0"/>
                <w:i w:val="0"/>
                <w:sz w:val="14"/>
              </w:rPr>
              <w:t>Load at 100 concurrent users, stress to the breaking point, 8-hour soak, five-year data volume</w:t>
            </w:r>
          </w:p>
        </w:tc>
        <w:tc>
          <w:tcPr>
            <w:tcW w:type="dxa" w:w="1134"/>
            <w:vAlign w:val="top"/>
            <w:shd w:val="clear" w:color="auto" w:fill="FDF0F7"/>
          </w:tcPr>
          <w:p>
            <w:pPr>
              <w:spacing w:after="20" w:line="252" w:lineRule="auto"/>
            </w:pPr>
            <w:r>
              <w:rPr>
                <w:b w:val="0"/>
                <w:i w:val="0"/>
                <w:sz w:val="14"/>
              </w:rPr>
              <w:t>iorta performance engineer</w:t>
            </w:r>
          </w:p>
        </w:tc>
        <w:tc>
          <w:tcPr>
            <w:tcW w:type="dxa" w:w="1587"/>
            <w:vAlign w:val="top"/>
            <w:shd w:val="clear" w:color="auto" w:fill="FDF0F7"/>
          </w:tcPr>
          <w:p>
            <w:pPr>
              <w:spacing w:after="20" w:line="252" w:lineRule="auto"/>
            </w:pPr>
            <w:r>
              <w:rPr>
                <w:b w:val="0"/>
                <w:i w:val="0"/>
                <w:sz w:val="14"/>
              </w:rPr>
              <w:t>Production-like SIT environment</w:t>
            </w:r>
          </w:p>
        </w:tc>
        <w:tc>
          <w:tcPr>
            <w:tcW w:type="dxa" w:w="1644"/>
            <w:vAlign w:val="top"/>
            <w:shd w:val="clear" w:color="auto" w:fill="FDF0F7"/>
          </w:tcPr>
          <w:p>
            <w:pPr>
              <w:spacing w:after="20" w:line="252" w:lineRule="auto"/>
            </w:pPr>
            <w:r>
              <w:rPr>
                <w:b w:val="0"/>
                <w:i w:val="0"/>
                <w:sz w:val="14"/>
              </w:rPr>
              <w:t>k6 scenarios; Grafana/Prometheus</w:t>
            </w:r>
          </w:p>
        </w:tc>
        <w:tc>
          <w:tcPr>
            <w:tcW w:type="dxa" w:w="1361"/>
            <w:vAlign w:val="top"/>
            <w:shd w:val="clear" w:color="auto" w:fill="FDF0F7"/>
          </w:tcPr>
          <w:p>
            <w:pPr>
              <w:spacing w:after="20" w:line="252" w:lineRule="auto"/>
            </w:pPr>
            <w:r>
              <w:rPr>
                <w:b w:val="0"/>
                <w:i w:val="0"/>
                <w:sz w:val="14"/>
              </w:rPr>
              <w:t>p95 &lt; 2 s for normal transactions; error rate &lt; 0.1%; no resource growth in the soak (DEL-18)</w:t>
            </w:r>
          </w:p>
        </w:tc>
      </w:tr>
      <w:tr>
        <w:trPr>
          <w:cantSplit/>
        </w:trPr>
        <w:tc>
          <w:tcPr>
            <w:tcW w:type="dxa" w:w="1304"/>
            <w:vAlign w:val="top"/>
          </w:tcPr>
          <w:p>
            <w:pPr>
              <w:spacing w:after="20" w:line="252" w:lineRule="auto"/>
            </w:pPr>
            <w:r>
              <w:rPr>
                <w:b/>
                <w:i w:val="0"/>
                <w:sz w:val="14"/>
              </w:rPr>
              <w:t>Security</w:t>
            </w:r>
          </w:p>
        </w:tc>
        <w:tc>
          <w:tcPr>
            <w:tcW w:type="dxa" w:w="2608"/>
            <w:vAlign w:val="top"/>
          </w:tcPr>
          <w:p>
            <w:pPr>
              <w:spacing w:after="20" w:line="252" w:lineRule="auto"/>
            </w:pPr>
            <w:r>
              <w:rPr>
                <w:b w:val="0"/>
                <w:i w:val="0"/>
                <w:sz w:val="14"/>
              </w:rPr>
              <w:t>SAST, secret scan, dependency audit and container scan in CI; OWASP Top 10 check script before each release; independent VAPT with re-test</w:t>
            </w:r>
          </w:p>
        </w:tc>
        <w:tc>
          <w:tcPr>
            <w:tcW w:type="dxa" w:w="1134"/>
            <w:vAlign w:val="top"/>
          </w:tcPr>
          <w:p>
            <w:pPr>
              <w:spacing w:after="20" w:line="252" w:lineRule="auto"/>
            </w:pPr>
            <w:r>
              <w:rPr>
                <w:b w:val="0"/>
                <w:i w:val="0"/>
                <w:sz w:val="14"/>
              </w:rPr>
              <w:t>iorta DevOps/QA; independent tester</w:t>
            </w:r>
          </w:p>
        </w:tc>
        <w:tc>
          <w:tcPr>
            <w:tcW w:type="dxa" w:w="1587"/>
            <w:vAlign w:val="top"/>
          </w:tcPr>
          <w:p>
            <w:pPr>
              <w:spacing w:after="20" w:line="252" w:lineRule="auto"/>
            </w:pPr>
            <w:r>
              <w:rPr>
                <w:b w:val="0"/>
                <w:i w:val="0"/>
                <w:sz w:val="14"/>
              </w:rPr>
              <w:t>CI; iorta test instance; IIFT UAT or production-like environment for the VAPT</w:t>
            </w:r>
          </w:p>
        </w:tc>
        <w:tc>
          <w:tcPr>
            <w:tcW w:type="dxa" w:w="1644"/>
            <w:vAlign w:val="top"/>
          </w:tcPr>
          <w:p>
            <w:pPr>
              <w:spacing w:after="20" w:line="252" w:lineRule="auto"/>
            </w:pPr>
            <w:r>
              <w:rPr>
                <w:b w:val="0"/>
                <w:i w:val="0"/>
                <w:sz w:val="14"/>
              </w:rPr>
              <w:t>CodeQL, gitleaks, npm audit, Trivy, security-checks.mjs; VAPT provider's tooling</w:t>
            </w:r>
          </w:p>
        </w:tc>
        <w:tc>
          <w:tcPr>
            <w:tcW w:type="dxa" w:w="1361"/>
            <w:vAlign w:val="top"/>
          </w:tcPr>
          <w:p>
            <w:pPr>
              <w:spacing w:after="20" w:line="252" w:lineRule="auto"/>
            </w:pPr>
            <w:r>
              <w:rPr>
                <w:b w:val="0"/>
                <w:i w:val="0"/>
                <w:sz w:val="14"/>
              </w:rPr>
              <w:t>No open Critical/High findings at go-live (DEL-17)</w:t>
            </w:r>
          </w:p>
        </w:tc>
      </w:tr>
      <w:tr>
        <w:trPr>
          <w:cantSplit/>
        </w:trPr>
        <w:tc>
          <w:tcPr>
            <w:tcW w:type="dxa" w:w="1304"/>
            <w:vAlign w:val="top"/>
            <w:shd w:val="clear" w:color="auto" w:fill="FDF0F7"/>
          </w:tcPr>
          <w:p>
            <w:pPr>
              <w:spacing w:after="20" w:line="252" w:lineRule="auto"/>
            </w:pPr>
            <w:r>
              <w:rPr>
                <w:b/>
                <w:i w:val="0"/>
                <w:sz w:val="14"/>
              </w:rPr>
              <w:t>User acceptance (UAT)</w:t>
            </w:r>
          </w:p>
        </w:tc>
        <w:tc>
          <w:tcPr>
            <w:tcW w:type="dxa" w:w="2608"/>
            <w:vAlign w:val="top"/>
            <w:shd w:val="clear" w:color="auto" w:fill="FDF0F7"/>
          </w:tcPr>
          <w:p>
            <w:pPr>
              <w:spacing w:after="20" w:line="252" w:lineRule="auto"/>
            </w:pPr>
            <w:r>
              <w:rPr>
                <w:b w:val="0"/>
                <w:i w:val="0"/>
                <w:sz w:val="14"/>
              </w:rPr>
              <w:t>Business scenarios per product (FFR01–FFR05) and per role, run by IIFT users; browser matrix on IIFT devices; accessibility basics</w:t>
            </w:r>
          </w:p>
        </w:tc>
        <w:tc>
          <w:tcPr>
            <w:tcW w:type="dxa" w:w="1134"/>
            <w:vAlign w:val="top"/>
            <w:shd w:val="clear" w:color="auto" w:fill="FDF0F7"/>
          </w:tcPr>
          <w:p>
            <w:pPr>
              <w:spacing w:after="20" w:line="252" w:lineRule="auto"/>
            </w:pPr>
            <w:r>
              <w:rPr>
                <w:b w:val="0"/>
                <w:i w:val="0"/>
                <w:sz w:val="14"/>
              </w:rPr>
              <w:t>IIFT business users with iorta support</w:t>
            </w:r>
          </w:p>
        </w:tc>
        <w:tc>
          <w:tcPr>
            <w:tcW w:type="dxa" w:w="1587"/>
            <w:vAlign w:val="top"/>
            <w:shd w:val="clear" w:color="auto" w:fill="FDF0F7"/>
          </w:tcPr>
          <w:p>
            <w:pPr>
              <w:spacing w:after="20" w:line="252" w:lineRule="auto"/>
            </w:pPr>
            <w:r>
              <w:rPr>
                <w:b w:val="0"/>
                <w:i w:val="0"/>
                <w:sz w:val="14"/>
              </w:rPr>
              <w:t>UAT environment with masked production data</w:t>
            </w:r>
          </w:p>
        </w:tc>
        <w:tc>
          <w:tcPr>
            <w:tcW w:type="dxa" w:w="1644"/>
            <w:vAlign w:val="top"/>
            <w:shd w:val="clear" w:color="auto" w:fill="FDF0F7"/>
          </w:tcPr>
          <w:p>
            <w:pPr>
              <w:spacing w:after="20" w:line="252" w:lineRule="auto"/>
            </w:pPr>
            <w:r>
              <w:rPr>
                <w:b w:val="0"/>
                <w:i w:val="0"/>
                <w:sz w:val="14"/>
              </w:rPr>
              <w:t>UAT scripts derived from the scenarios marked UAT; defect log</w:t>
            </w:r>
          </w:p>
        </w:tc>
        <w:tc>
          <w:tcPr>
            <w:tcW w:type="dxa" w:w="1361"/>
            <w:vAlign w:val="top"/>
            <w:shd w:val="clear" w:color="auto" w:fill="FDF0F7"/>
          </w:tcPr>
          <w:p>
            <w:pPr>
              <w:spacing w:after="20" w:line="252" w:lineRule="auto"/>
            </w:pPr>
            <w:r>
              <w:rPr>
                <w:b w:val="0"/>
                <w:i w:val="0"/>
                <w:sz w:val="14"/>
              </w:rPr>
              <w:t>Signed UAT certificate; no open Critical/High defects (DEL-15, DEL-16)</w:t>
            </w:r>
          </w:p>
        </w:tc>
      </w:tr>
      <w:tr>
        <w:trPr>
          <w:cantSplit/>
        </w:trPr>
        <w:tc>
          <w:tcPr>
            <w:tcW w:type="dxa" w:w="1304"/>
            <w:vAlign w:val="top"/>
          </w:tcPr>
          <w:p>
            <w:pPr>
              <w:spacing w:after="20" w:line="252" w:lineRule="auto"/>
            </w:pPr>
            <w:r>
              <w:rPr>
                <w:b/>
                <w:i w:val="0"/>
                <w:sz w:val="14"/>
              </w:rPr>
              <w:t>Regression</w:t>
            </w:r>
          </w:p>
        </w:tc>
        <w:tc>
          <w:tcPr>
            <w:tcW w:type="dxa" w:w="2608"/>
            <w:vAlign w:val="top"/>
          </w:tcPr>
          <w:p>
            <w:pPr>
              <w:spacing w:after="20" w:line="252" w:lineRule="auto"/>
            </w:pPr>
            <w:r>
              <w:rPr>
                <w:b w:val="0"/>
                <w:i w:val="0"/>
                <w:sz w:val="14"/>
              </w:rPr>
              <w:t>Automated suites and Playwright smoke re-run on every release candidate and every fix</w:t>
            </w:r>
          </w:p>
        </w:tc>
        <w:tc>
          <w:tcPr>
            <w:tcW w:type="dxa" w:w="1134"/>
            <w:vAlign w:val="top"/>
          </w:tcPr>
          <w:p>
            <w:pPr>
              <w:spacing w:after="20" w:line="252" w:lineRule="auto"/>
            </w:pPr>
            <w:r>
              <w:rPr>
                <w:b w:val="0"/>
                <w:i w:val="0"/>
                <w:sz w:val="14"/>
              </w:rPr>
              <w:t>QA</w:t>
            </w:r>
          </w:p>
        </w:tc>
        <w:tc>
          <w:tcPr>
            <w:tcW w:type="dxa" w:w="1587"/>
            <w:vAlign w:val="top"/>
          </w:tcPr>
          <w:p>
            <w:pPr>
              <w:spacing w:after="20" w:line="252" w:lineRule="auto"/>
            </w:pPr>
            <w:r>
              <w:rPr>
                <w:b w:val="0"/>
                <w:i w:val="0"/>
                <w:sz w:val="14"/>
              </w:rPr>
              <w:t>CI; SIT</w:t>
            </w:r>
          </w:p>
        </w:tc>
        <w:tc>
          <w:tcPr>
            <w:tcW w:type="dxa" w:w="1644"/>
            <w:vAlign w:val="top"/>
          </w:tcPr>
          <w:p>
            <w:pPr>
              <w:spacing w:after="20" w:line="252" w:lineRule="auto"/>
            </w:pPr>
            <w:r>
              <w:rPr>
                <w:b w:val="0"/>
                <w:i w:val="0"/>
                <w:sz w:val="14"/>
              </w:rPr>
              <w:t>Vitest, Playwright</w:t>
            </w:r>
          </w:p>
        </w:tc>
        <w:tc>
          <w:tcPr>
            <w:tcW w:type="dxa" w:w="1361"/>
            <w:vAlign w:val="top"/>
          </w:tcPr>
          <w:p>
            <w:pPr>
              <w:spacing w:after="20" w:line="252" w:lineRule="auto"/>
            </w:pPr>
            <w:r>
              <w:rPr>
                <w:b w:val="0"/>
                <w:i w:val="0"/>
                <w:sz w:val="14"/>
              </w:rPr>
              <w:t>100% of critical paths automated and green before any deployment</w:t>
            </w:r>
          </w:p>
        </w:tc>
      </w:tr>
      <w:tr>
        <w:trPr>
          <w:cantSplit/>
        </w:trPr>
        <w:tc>
          <w:tcPr>
            <w:tcW w:type="dxa" w:w="1304"/>
            <w:vAlign w:val="top"/>
            <w:shd w:val="clear" w:color="auto" w:fill="FDF0F7"/>
          </w:tcPr>
          <w:p>
            <w:pPr>
              <w:spacing w:after="20" w:line="252" w:lineRule="auto"/>
            </w:pPr>
            <w:r>
              <w:rPr>
                <w:b/>
                <w:i w:val="0"/>
                <w:sz w:val="14"/>
              </w:rPr>
              <w:t>Migration rehearsal</w:t>
            </w:r>
          </w:p>
        </w:tc>
        <w:tc>
          <w:tcPr>
            <w:tcW w:type="dxa" w:w="2608"/>
            <w:vAlign w:val="top"/>
            <w:shd w:val="clear" w:color="auto" w:fill="FDF0F7"/>
          </w:tcPr>
          <w:p>
            <w:pPr>
              <w:spacing w:after="20" w:line="252" w:lineRule="auto"/>
            </w:pPr>
            <w:r>
              <w:rPr>
                <w:b w:val="0"/>
                <w:i w:val="0"/>
                <w:sz w:val="14"/>
              </w:rPr>
              <w:t>Two dry-runs of extraction, transformation, load and reconciliation</w:t>
            </w:r>
          </w:p>
        </w:tc>
        <w:tc>
          <w:tcPr>
            <w:tcW w:type="dxa" w:w="1134"/>
            <w:vAlign w:val="top"/>
            <w:shd w:val="clear" w:color="auto" w:fill="FDF0F7"/>
          </w:tcPr>
          <w:p>
            <w:pPr>
              <w:spacing w:after="20" w:line="252" w:lineRule="auto"/>
            </w:pPr>
            <w:r>
              <w:rPr>
                <w:b w:val="0"/>
                <w:i w:val="0"/>
                <w:sz w:val="14"/>
              </w:rPr>
              <w:t>iorta, IIFT data owners</w:t>
            </w:r>
          </w:p>
        </w:tc>
        <w:tc>
          <w:tcPr>
            <w:tcW w:type="dxa" w:w="1587"/>
            <w:vAlign w:val="top"/>
            <w:shd w:val="clear" w:color="auto" w:fill="FDF0F7"/>
          </w:tcPr>
          <w:p>
            <w:pPr>
              <w:spacing w:after="20" w:line="252" w:lineRule="auto"/>
            </w:pPr>
            <w:r>
              <w:rPr>
                <w:b w:val="0"/>
                <w:i w:val="0"/>
                <w:sz w:val="14"/>
              </w:rPr>
              <w:t>UAT</w:t>
            </w:r>
          </w:p>
        </w:tc>
        <w:tc>
          <w:tcPr>
            <w:tcW w:type="dxa" w:w="1644"/>
            <w:vAlign w:val="top"/>
            <w:shd w:val="clear" w:color="auto" w:fill="FDF0F7"/>
          </w:tcPr>
          <w:p>
            <w:pPr>
              <w:spacing w:after="20" w:line="252" w:lineRule="auto"/>
            </w:pPr>
            <w:r>
              <w:rPr>
                <w:b w:val="0"/>
                <w:i w:val="0"/>
                <w:sz w:val="14"/>
              </w:rPr>
              <w:t>Migration scripts; reconciliation reports</w:t>
            </w:r>
          </w:p>
        </w:tc>
        <w:tc>
          <w:tcPr>
            <w:tcW w:type="dxa" w:w="1361"/>
            <w:vAlign w:val="top"/>
            <w:shd w:val="clear" w:color="auto" w:fill="FDF0F7"/>
          </w:tcPr>
          <w:p>
            <w:pPr>
              <w:spacing w:after="20" w:line="252" w:lineRule="auto"/>
            </w:pPr>
            <w:r>
              <w:rPr>
                <w:b w:val="0"/>
                <w:i w:val="0"/>
                <w:sz w:val="14"/>
              </w:rPr>
              <w:t>100% record count and control-total match</w:t>
            </w:r>
          </w:p>
        </w:tc>
      </w:tr>
      <w:tr>
        <w:trPr>
          <w:cantSplit/>
        </w:trPr>
        <w:tc>
          <w:tcPr>
            <w:tcW w:type="dxa" w:w="1304"/>
            <w:vAlign w:val="top"/>
          </w:tcPr>
          <w:p>
            <w:pPr>
              <w:spacing w:after="20" w:line="252" w:lineRule="auto"/>
            </w:pPr>
            <w:r>
              <w:rPr>
                <w:b/>
                <w:i w:val="0"/>
                <w:sz w:val="14"/>
              </w:rPr>
              <w:t>DR drill</w:t>
            </w:r>
          </w:p>
        </w:tc>
        <w:tc>
          <w:tcPr>
            <w:tcW w:type="dxa" w:w="2608"/>
            <w:vAlign w:val="top"/>
          </w:tcPr>
          <w:p>
            <w:pPr>
              <w:spacing w:after="20" w:line="252" w:lineRule="auto"/>
            </w:pPr>
            <w:r>
              <w:rPr>
                <w:b w:val="0"/>
                <w:i w:val="0"/>
                <w:sz w:val="14"/>
              </w:rPr>
              <w:t>Failover to the DR site/region and failback; restore from backup</w:t>
            </w:r>
          </w:p>
        </w:tc>
        <w:tc>
          <w:tcPr>
            <w:tcW w:type="dxa" w:w="1134"/>
            <w:vAlign w:val="top"/>
          </w:tcPr>
          <w:p>
            <w:pPr>
              <w:spacing w:after="20" w:line="252" w:lineRule="auto"/>
            </w:pPr>
            <w:r>
              <w:rPr>
                <w:b w:val="0"/>
                <w:i w:val="0"/>
                <w:sz w:val="14"/>
              </w:rPr>
              <w:t>IITH IT (Option A) or iorta managed services (Option B) with iorta support</w:t>
            </w:r>
          </w:p>
        </w:tc>
        <w:tc>
          <w:tcPr>
            <w:tcW w:type="dxa" w:w="1587"/>
            <w:vAlign w:val="top"/>
          </w:tcPr>
          <w:p>
            <w:pPr>
              <w:spacing w:after="20" w:line="252" w:lineRule="auto"/>
            </w:pPr>
            <w:r>
              <w:rPr>
                <w:b w:val="0"/>
                <w:i w:val="0"/>
                <w:sz w:val="14"/>
              </w:rPr>
              <w:t>DR site/region</w:t>
            </w:r>
          </w:p>
        </w:tc>
        <w:tc>
          <w:tcPr>
            <w:tcW w:type="dxa" w:w="1644"/>
            <w:vAlign w:val="top"/>
          </w:tcPr>
          <w:p>
            <w:pPr>
              <w:spacing w:after="20" w:line="252" w:lineRule="auto"/>
            </w:pPr>
            <w:r>
              <w:rPr>
                <w:b w:val="0"/>
                <w:i w:val="0"/>
                <w:sz w:val="14"/>
              </w:rPr>
              <w:t>Runbooks of the Production Support Handover</w:t>
            </w:r>
          </w:p>
        </w:tc>
        <w:tc>
          <w:tcPr>
            <w:tcW w:type="dxa" w:w="1361"/>
            <w:vAlign w:val="top"/>
          </w:tcPr>
          <w:p>
            <w:pPr>
              <w:spacing w:after="20" w:line="252" w:lineRule="auto"/>
            </w:pPr>
            <w:r>
              <w:rPr>
                <w:b w:val="0"/>
                <w:i w:val="0"/>
                <w:sz w:val="14"/>
              </w:rPr>
              <w:t>RTO ≤ 4 h, RPO ≤ 15 min achieved and documented (NFR-19)</w:t>
            </w:r>
          </w:p>
        </w:tc>
      </w:tr>
      <w:tr>
        <w:trPr>
          <w:cantSplit/>
        </w:trPr>
        <w:tc>
          <w:tcPr>
            <w:tcW w:type="dxa" w:w="1304"/>
            <w:vAlign w:val="top"/>
            <w:shd w:val="clear" w:color="auto" w:fill="FDF0F7"/>
          </w:tcPr>
          <w:p>
            <w:pPr>
              <w:spacing w:after="20" w:line="252" w:lineRule="auto"/>
            </w:pPr>
            <w:r>
              <w:rPr>
                <w:b/>
                <w:i w:val="0"/>
                <w:sz w:val="14"/>
              </w:rPr>
              <w:t>Operational readiness</w:t>
            </w:r>
          </w:p>
        </w:tc>
        <w:tc>
          <w:tcPr>
            <w:tcW w:type="dxa" w:w="2608"/>
            <w:vAlign w:val="top"/>
            <w:shd w:val="clear" w:color="auto" w:fill="FDF0F7"/>
          </w:tcPr>
          <w:p>
            <w:pPr>
              <w:spacing w:after="20" w:line="252" w:lineRule="auto"/>
            </w:pPr>
            <w:r>
              <w:rPr>
                <w:b w:val="0"/>
                <w:i w:val="0"/>
                <w:sz w:val="14"/>
              </w:rPr>
              <w:t>Deployment rehearsal, rollback, monitoring and alert rules, go-live checklist</w:t>
            </w:r>
          </w:p>
        </w:tc>
        <w:tc>
          <w:tcPr>
            <w:tcW w:type="dxa" w:w="1134"/>
            <w:vAlign w:val="top"/>
            <w:shd w:val="clear" w:color="auto" w:fill="FDF0F7"/>
          </w:tcPr>
          <w:p>
            <w:pPr>
              <w:spacing w:after="20" w:line="252" w:lineRule="auto"/>
            </w:pPr>
            <w:r>
              <w:rPr>
                <w:b w:val="0"/>
                <w:i w:val="0"/>
                <w:sz w:val="14"/>
              </w:rPr>
              <w:t>iorta, IITH IT</w:t>
            </w:r>
          </w:p>
        </w:tc>
        <w:tc>
          <w:tcPr>
            <w:tcW w:type="dxa" w:w="1587"/>
            <w:vAlign w:val="top"/>
            <w:shd w:val="clear" w:color="auto" w:fill="FDF0F7"/>
          </w:tcPr>
          <w:p>
            <w:pPr>
              <w:spacing w:after="20" w:line="252" w:lineRule="auto"/>
            </w:pPr>
            <w:r>
              <w:rPr>
                <w:b w:val="0"/>
                <w:i w:val="0"/>
                <w:sz w:val="14"/>
              </w:rPr>
              <w:t>Pre-production</w:t>
            </w:r>
          </w:p>
        </w:tc>
        <w:tc>
          <w:tcPr>
            <w:tcW w:type="dxa" w:w="1644"/>
            <w:vAlign w:val="top"/>
            <w:shd w:val="clear" w:color="auto" w:fill="FDF0F7"/>
          </w:tcPr>
          <w:p>
            <w:pPr>
              <w:spacing w:after="20" w:line="252" w:lineRule="auto"/>
            </w:pPr>
            <w:r>
              <w:rPr>
                <w:b w:val="0"/>
                <w:i w:val="0"/>
                <w:sz w:val="14"/>
              </w:rPr>
              <w:t>Deployment plan; checklists (DEL-20, DEL-21)</w:t>
            </w:r>
          </w:p>
        </w:tc>
        <w:tc>
          <w:tcPr>
            <w:tcW w:type="dxa" w:w="1361"/>
            <w:vAlign w:val="top"/>
            <w:shd w:val="clear" w:color="auto" w:fill="FDF0F7"/>
          </w:tcPr>
          <w:p>
            <w:pPr>
              <w:spacing w:after="20" w:line="252" w:lineRule="auto"/>
            </w:pPr>
            <w:r>
              <w:rPr>
                <w:b w:val="0"/>
                <w:i w:val="0"/>
                <w:sz w:val="14"/>
              </w:rPr>
              <w:t>Checklist complete; rollback rehearsed; hypercare entry criteria met</w:t>
            </w:r>
          </w:p>
        </w:tc>
      </w:tr>
    </w:tbl>
    <w:p>
      <w:pPr>
        <w:pStyle w:val="Caption"/>
        <w:jc w:val="center"/>
      </w:pPr>
      <w:r>
        <w:rPr>
          <w:b w:val="0"/>
          <w:i w:val="0"/>
        </w:rPr>
        <w:t>Table 1: Test levels</w:t>
      </w:r>
    </w:p>
    <w:p>
      <w:pPr>
        <w:pStyle w:val="Heading2"/>
      </w:pPr>
      <w:r>
        <w:t>2.1 Approach by type of requirement</w:t>
      </w:r>
    </w:p>
    <w:p>
      <w:pPr>
        <w:pStyle w:val="ListBullet"/>
      </w:pPr>
      <w:r>
        <w:rPr>
          <w:b/>
          <w:i w:val="0"/>
        </w:rPr>
        <w:t>Business rules and rating</w:t>
      </w:r>
      <w:r>
        <w:rPr>
          <w:b w:val="0"/>
          <w:i w:val="0"/>
        </w:rPr>
        <w:t xml:space="preserve"> (Appendix 3, AP-19, AP-32): unit tests of the rating engines for all seven products with the indicative rates, then API cases that re-rate on submission; IIFT's approved rate tables are loaded in design and the expected contributions in the cases are refreshed with them.</w:t>
      </w:r>
    </w:p>
    <w:p>
      <w:pPr>
        <w:pStyle w:val="ListBullet"/>
      </w:pPr>
      <w:r>
        <w:rPr>
          <w:b/>
          <w:i w:val="0"/>
        </w:rPr>
        <w:t>Workflows and maker-checker</w:t>
      </w:r>
      <w:r>
        <w:rPr>
          <w:b w:val="0"/>
          <w:i w:val="0"/>
        </w:rPr>
        <w:t xml:space="preserve"> (BO-16 to BO-19, COM-04): every approval type has cases for inbox visibility, segregation of duties, mandatory remarks, withdrawal and history.</w:t>
      </w:r>
    </w:p>
    <w:p>
      <w:pPr>
        <w:pStyle w:val="ListBullet"/>
      </w:pPr>
      <w:r>
        <w:rPr>
          <w:b/>
          <w:i w:val="0"/>
        </w:rPr>
        <w:t>Security</w:t>
      </w:r>
      <w:r>
        <w:rPr>
          <w:b w:val="0"/>
          <w:i w:val="0"/>
        </w:rPr>
        <w:t xml:space="preserve"> (COM-01, COM-02, COM-10, NFR-08 to NFR-14): automated OWASP checks with every release, CI gates on every push, and the independent VAPT before go-live.</w:t>
      </w:r>
    </w:p>
    <w:p>
      <w:pPr>
        <w:pStyle w:val="ListBullet"/>
      </w:pPr>
      <w:r>
        <w:rPr>
          <w:b/>
          <w:i w:val="0"/>
        </w:rPr>
        <w:t>Integrations</w:t>
      </w:r>
      <w:r>
        <w:rPr>
          <w:b w:val="0"/>
          <w:i w:val="0"/>
        </w:rPr>
        <w:t xml:space="preserve"> (INT-01 to INT-15): tested first against the simulated adapters (outbox, retry, dead letter, idempotent EOD postings, reconciliation), then in SIT against IIFT's test endpoints.</w:t>
      </w:r>
    </w:p>
    <w:p>
      <w:pPr>
        <w:pStyle w:val="ListBullet"/>
      </w:pPr>
      <w:r>
        <w:rPr>
          <w:b/>
          <w:i w:val="0"/>
        </w:rPr>
        <w:t>Scheduled jobs</w:t>
      </w:r>
      <w:r>
        <w:rPr>
          <w:b w:val="0"/>
          <w:i w:val="0"/>
        </w:rPr>
        <w:t xml:space="preserve"> (expiry, grace period, EOD, SLA monitor, scheduled reports): logic tested through the API and the suites; schedules observed in SIT with jobs enabled.</w:t>
      </w:r>
    </w:p>
    <w:p>
      <w:pPr>
        <w:pStyle w:val="ListBullet"/>
      </w:pPr>
      <w:r>
        <w:rPr>
          <w:b/>
          <w:i w:val="0"/>
        </w:rPr>
        <w:t>Usability, browsers and accessibility</w:t>
      </w:r>
      <w:r>
        <w:rPr>
          <w:b w:val="0"/>
          <w:i w:val="0"/>
        </w:rPr>
        <w:t xml:space="preserve"> (NFR-22 to NFR-24): exploratory runs at desktop and mobile widths now; browser matrix and accessibility checks with IIFT testers in UAT.</w:t>
      </w:r>
    </w:p>
    <w:p>
      <w:pPr>
        <w:pStyle w:val="Heading1"/>
        <w:pageBreakBefore/>
        <w:pBdr>
          <w:bottom w:val="single" w:sz="12" w:space="4" w:color="F58220"/>
        </w:pBdr>
      </w:pPr>
      <w:r>
        <w:t>3. Test environments and data</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1587"/>
        <w:gridCol w:w="1814"/>
        <w:gridCol w:w="3402"/>
        <w:gridCol w:w="2835"/>
      </w:tblGrid>
      <w:tr>
        <w:trPr>
          <w:cantSplit/>
          <w:tblHeader/>
        </w:trPr>
        <w:tc>
          <w:tcPr>
            <w:tcW w:type="dxa" w:w="1587"/>
            <w:shd w:val="clear" w:color="auto" w:fill="E1058C"/>
            <w:vAlign w:val="center"/>
          </w:tcPr>
          <w:p>
            <w:pPr>
              <w:spacing w:after="0"/>
            </w:pPr>
            <w:r>
              <w:rPr>
                <w:b/>
                <w:i w:val="0"/>
                <w:color w:val="FFFFFF"/>
                <w:sz w:val="15"/>
              </w:rPr>
              <w:t>Environment</w:t>
            </w:r>
          </w:p>
        </w:tc>
        <w:tc>
          <w:tcPr>
            <w:tcW w:type="dxa" w:w="1814"/>
            <w:shd w:val="clear" w:color="auto" w:fill="E1058C"/>
            <w:vAlign w:val="center"/>
          </w:tcPr>
          <w:p>
            <w:pPr>
              <w:spacing w:after="0"/>
            </w:pPr>
            <w:r>
              <w:rPr>
                <w:b/>
                <w:i w:val="0"/>
                <w:color w:val="FFFFFF"/>
                <w:sz w:val="15"/>
              </w:rPr>
              <w:t>Provided by</w:t>
            </w:r>
          </w:p>
        </w:tc>
        <w:tc>
          <w:tcPr>
            <w:tcW w:type="dxa" w:w="3402"/>
            <w:shd w:val="clear" w:color="auto" w:fill="E1058C"/>
            <w:vAlign w:val="center"/>
          </w:tcPr>
          <w:p>
            <w:pPr>
              <w:spacing w:after="0"/>
            </w:pPr>
            <w:r>
              <w:rPr>
                <w:b/>
                <w:i w:val="0"/>
                <w:color w:val="FFFFFF"/>
                <w:sz w:val="15"/>
              </w:rPr>
              <w:t>Use</w:t>
            </w:r>
          </w:p>
        </w:tc>
        <w:tc>
          <w:tcPr>
            <w:tcW w:type="dxa" w:w="2835"/>
            <w:shd w:val="clear" w:color="auto" w:fill="E1058C"/>
            <w:vAlign w:val="center"/>
          </w:tcPr>
          <w:p>
            <w:pPr>
              <w:spacing w:after="0"/>
            </w:pPr>
            <w:r>
              <w:rPr>
                <w:b/>
                <w:i w:val="0"/>
                <w:color w:val="FFFFFF"/>
                <w:sz w:val="15"/>
              </w:rPr>
              <w:t>Data</w:t>
            </w:r>
          </w:p>
        </w:tc>
      </w:tr>
      <w:tr>
        <w:trPr>
          <w:cantSplit/>
        </w:trPr>
        <w:tc>
          <w:tcPr>
            <w:tcW w:type="dxa" w:w="1587"/>
            <w:vAlign w:val="top"/>
          </w:tcPr>
          <w:p>
            <w:pPr>
              <w:spacing w:after="20" w:line="252" w:lineRule="auto"/>
            </w:pPr>
            <w:r>
              <w:rPr>
                <w:b/>
                <w:i w:val="0"/>
                <w:sz w:val="15"/>
              </w:rPr>
              <w:t>DEV / CI</w:t>
            </w:r>
          </w:p>
        </w:tc>
        <w:tc>
          <w:tcPr>
            <w:tcW w:type="dxa" w:w="1814"/>
            <w:vAlign w:val="top"/>
          </w:tcPr>
          <w:p>
            <w:pPr>
              <w:spacing w:after="20" w:line="252" w:lineRule="auto"/>
            </w:pPr>
            <w:r>
              <w:rPr>
                <w:b w:val="0"/>
                <w:i w:val="0"/>
                <w:sz w:val="15"/>
              </w:rPr>
              <w:t>iorta</w:t>
            </w:r>
          </w:p>
        </w:tc>
        <w:tc>
          <w:tcPr>
            <w:tcW w:type="dxa" w:w="3402"/>
            <w:vAlign w:val="top"/>
          </w:tcPr>
          <w:p>
            <w:pPr>
              <w:spacing w:after="20" w:line="252" w:lineRule="auto"/>
            </w:pPr>
            <w:r>
              <w:rPr>
                <w:b w:val="0"/>
                <w:i w:val="0"/>
                <w:sz w:val="15"/>
              </w:rPr>
              <w:t>Build and unit, API and end-to-end tests on every push; dedicated PostgreSQL database named *_test, dropped and rebuilt from the migrations and seeds before each end-to-end run</w:t>
            </w:r>
          </w:p>
        </w:tc>
        <w:tc>
          <w:tcPr>
            <w:tcW w:type="dxa" w:w="2835"/>
            <w:vAlign w:val="top"/>
          </w:tcPr>
          <w:p>
            <w:pPr>
              <w:spacing w:after="20" w:line="252" w:lineRule="auto"/>
            </w:pPr>
            <w:r>
              <w:rPr>
                <w:b w:val="0"/>
                <w:i w:val="0"/>
                <w:sz w:val="15"/>
              </w:rPr>
              <w:t>Reference data and the demonstration data set (seed-demo.ts)</w:t>
            </w:r>
          </w:p>
        </w:tc>
      </w:tr>
      <w:tr>
        <w:trPr>
          <w:cantSplit/>
        </w:trPr>
        <w:tc>
          <w:tcPr>
            <w:tcW w:type="dxa" w:w="1587"/>
            <w:vAlign w:val="top"/>
            <w:shd w:val="clear" w:color="auto" w:fill="FDF0F7"/>
          </w:tcPr>
          <w:p>
            <w:pPr>
              <w:spacing w:after="20" w:line="252" w:lineRule="auto"/>
            </w:pPr>
            <w:r>
              <w:rPr>
                <w:b/>
                <w:i w:val="0"/>
                <w:sz w:val="15"/>
              </w:rPr>
              <w:t>iorta test instance</w:t>
            </w:r>
          </w:p>
        </w:tc>
        <w:tc>
          <w:tcPr>
            <w:tcW w:type="dxa" w:w="1814"/>
            <w:vAlign w:val="top"/>
            <w:shd w:val="clear" w:color="auto" w:fill="FDF0F7"/>
          </w:tcPr>
          <w:p>
            <w:pPr>
              <w:spacing w:after="20" w:line="252" w:lineRule="auto"/>
            </w:pPr>
            <w:r>
              <w:rPr>
                <w:b w:val="0"/>
                <w:i w:val="0"/>
                <w:sz w:val="15"/>
              </w:rPr>
              <w:t>iorta</w:t>
            </w:r>
          </w:p>
        </w:tc>
        <w:tc>
          <w:tcPr>
            <w:tcW w:type="dxa" w:w="3402"/>
            <w:vAlign w:val="top"/>
            <w:shd w:val="clear" w:color="auto" w:fill="FDF0F7"/>
          </w:tcPr>
          <w:p>
            <w:pPr>
              <w:spacing w:after="20" w:line="252" w:lineRule="auto"/>
            </w:pPr>
            <w:r>
              <w:rPr>
                <w:b w:val="0"/>
                <w:i w:val="0"/>
                <w:sz w:val="15"/>
              </w:rPr>
              <w:t>Running instance with simulated integrations (INTEGRATION_MODE=simulated); used for the API run, the security checks and exploratory UI runs</w:t>
            </w:r>
          </w:p>
        </w:tc>
        <w:tc>
          <w:tcPr>
            <w:tcW w:type="dxa" w:w="2835"/>
            <w:vAlign w:val="top"/>
            <w:shd w:val="clear" w:color="auto" w:fill="FDF0F7"/>
          </w:tcPr>
          <w:p>
            <w:pPr>
              <w:spacing w:after="20" w:line="252" w:lineRule="auto"/>
            </w:pPr>
            <w:r>
              <w:rPr>
                <w:b w:val="0"/>
                <w:i w:val="0"/>
                <w:sz w:val="15"/>
              </w:rPr>
              <w:t>Demonstration data set: three agencies, named demonstration users for every role, policies in every status, blocked bank, AML cases, issues</w:t>
            </w:r>
          </w:p>
        </w:tc>
      </w:tr>
      <w:tr>
        <w:trPr>
          <w:cantSplit/>
        </w:trPr>
        <w:tc>
          <w:tcPr>
            <w:tcW w:type="dxa" w:w="1587"/>
            <w:vAlign w:val="top"/>
          </w:tcPr>
          <w:p>
            <w:pPr>
              <w:spacing w:after="20" w:line="252" w:lineRule="auto"/>
            </w:pPr>
            <w:r>
              <w:rPr>
                <w:b/>
                <w:i w:val="0"/>
                <w:sz w:val="15"/>
              </w:rPr>
              <w:t>SIT</w:t>
            </w:r>
          </w:p>
        </w:tc>
        <w:tc>
          <w:tcPr>
            <w:tcW w:type="dxa" w:w="1814"/>
            <w:vAlign w:val="top"/>
          </w:tcPr>
          <w:p>
            <w:pPr>
              <w:spacing w:after="20" w:line="252" w:lineRule="auto"/>
            </w:pPr>
            <w:r>
              <w:rPr>
                <w:b w:val="0"/>
                <w:i w:val="0"/>
                <w:sz w:val="15"/>
              </w:rPr>
              <w:t>IIFT/IITH (Option A) or iorta cloud (Option B), available by week 8</w:t>
            </w:r>
          </w:p>
        </w:tc>
        <w:tc>
          <w:tcPr>
            <w:tcW w:type="dxa" w:w="3402"/>
            <w:vAlign w:val="top"/>
          </w:tcPr>
          <w:p>
            <w:pPr>
              <w:spacing w:after="20" w:line="252" w:lineRule="auto"/>
            </w:pPr>
            <w:r>
              <w:rPr>
                <w:b w:val="0"/>
                <w:i w:val="0"/>
                <w:sz w:val="15"/>
              </w:rPr>
              <w:t>Live adapters to Core, FIN, AML, AD, SMTP and SMS test endpoints; jobs enabled; ClamAV; monitoring stack</w:t>
            </w:r>
          </w:p>
        </w:tc>
        <w:tc>
          <w:tcPr>
            <w:tcW w:type="dxa" w:w="2835"/>
            <w:vAlign w:val="top"/>
          </w:tcPr>
          <w:p>
            <w:pPr>
              <w:spacing w:after="20" w:line="252" w:lineRule="auto"/>
            </w:pPr>
            <w:r>
              <w:rPr>
                <w:b w:val="0"/>
                <w:i w:val="0"/>
                <w:sz w:val="15"/>
              </w:rPr>
              <w:t>Demonstration data plus IIFT test cases' data; migration dry-run output for the second cycle</w:t>
            </w:r>
          </w:p>
        </w:tc>
      </w:tr>
      <w:tr>
        <w:trPr>
          <w:cantSplit/>
        </w:trPr>
        <w:tc>
          <w:tcPr>
            <w:tcW w:type="dxa" w:w="1587"/>
            <w:vAlign w:val="top"/>
            <w:shd w:val="clear" w:color="auto" w:fill="FDF0F7"/>
          </w:tcPr>
          <w:p>
            <w:pPr>
              <w:spacing w:after="20" w:line="252" w:lineRule="auto"/>
            </w:pPr>
            <w:r>
              <w:rPr>
                <w:b/>
                <w:i w:val="0"/>
                <w:sz w:val="15"/>
              </w:rPr>
              <w:t>UAT</w:t>
            </w:r>
          </w:p>
        </w:tc>
        <w:tc>
          <w:tcPr>
            <w:tcW w:type="dxa" w:w="1814"/>
            <w:vAlign w:val="top"/>
            <w:shd w:val="clear" w:color="auto" w:fill="FDF0F7"/>
          </w:tcPr>
          <w:p>
            <w:pPr>
              <w:spacing w:after="20" w:line="252" w:lineRule="auto"/>
            </w:pPr>
            <w:r>
              <w:rPr>
                <w:b w:val="0"/>
                <w:i w:val="0"/>
                <w:sz w:val="15"/>
              </w:rPr>
              <w:t>IIFT, available by week 16</w:t>
            </w:r>
          </w:p>
        </w:tc>
        <w:tc>
          <w:tcPr>
            <w:tcW w:type="dxa" w:w="3402"/>
            <w:vAlign w:val="top"/>
            <w:shd w:val="clear" w:color="auto" w:fill="FDF0F7"/>
          </w:tcPr>
          <w:p>
            <w:pPr>
              <w:spacing w:after="20" w:line="252" w:lineRule="auto"/>
            </w:pPr>
            <w:r>
              <w:rPr>
                <w:b w:val="0"/>
                <w:i w:val="0"/>
                <w:sz w:val="15"/>
              </w:rPr>
              <w:t>Production configuration; the independent VAPT runs here</w:t>
            </w:r>
          </w:p>
        </w:tc>
        <w:tc>
          <w:tcPr>
            <w:tcW w:type="dxa" w:w="2835"/>
            <w:vAlign w:val="top"/>
            <w:shd w:val="clear" w:color="auto" w:fill="FDF0F7"/>
          </w:tcPr>
          <w:p>
            <w:pPr>
              <w:spacing w:after="20" w:line="252" w:lineRule="auto"/>
            </w:pPr>
            <w:r>
              <w:rPr>
                <w:b w:val="0"/>
                <w:i w:val="0"/>
                <w:sz w:val="15"/>
              </w:rPr>
              <w:t>Masked copy of production data where available, otherwise the migrated data of dry-run 2; test accounts per role</w:t>
            </w:r>
          </w:p>
        </w:tc>
      </w:tr>
      <w:tr>
        <w:trPr>
          <w:cantSplit/>
        </w:trPr>
        <w:tc>
          <w:tcPr>
            <w:tcW w:type="dxa" w:w="1587"/>
            <w:vAlign w:val="top"/>
          </w:tcPr>
          <w:p>
            <w:pPr>
              <w:spacing w:after="20" w:line="252" w:lineRule="auto"/>
            </w:pPr>
            <w:r>
              <w:rPr>
                <w:b/>
                <w:i w:val="0"/>
                <w:sz w:val="15"/>
              </w:rPr>
              <w:t>Pre-production / performance</w:t>
            </w:r>
          </w:p>
        </w:tc>
        <w:tc>
          <w:tcPr>
            <w:tcW w:type="dxa" w:w="1814"/>
            <w:vAlign w:val="top"/>
          </w:tcPr>
          <w:p>
            <w:pPr>
              <w:spacing w:after="20" w:line="252" w:lineRule="auto"/>
            </w:pPr>
            <w:r>
              <w:rPr>
                <w:b w:val="0"/>
                <w:i w:val="0"/>
                <w:sz w:val="15"/>
              </w:rPr>
              <w:t xml:space="preserve">IIFT (SIT sized like production) </w:t>
            </w:r>
          </w:p>
        </w:tc>
        <w:tc>
          <w:tcPr>
            <w:tcW w:type="dxa" w:w="3402"/>
            <w:vAlign w:val="top"/>
          </w:tcPr>
          <w:p>
            <w:pPr>
              <w:spacing w:after="20" w:line="252" w:lineRule="auto"/>
            </w:pPr>
            <w:r>
              <w:rPr>
                <w:b w:val="0"/>
                <w:i w:val="0"/>
                <w:sz w:val="15"/>
              </w:rPr>
              <w:t>Performance and soak tests; deployment rehearsal</w:t>
            </w:r>
          </w:p>
        </w:tc>
        <w:tc>
          <w:tcPr>
            <w:tcW w:type="dxa" w:w="2835"/>
            <w:vAlign w:val="top"/>
          </w:tcPr>
          <w:p>
            <w:pPr>
              <w:spacing w:after="20" w:line="252" w:lineRule="auto"/>
            </w:pPr>
            <w:r>
              <w:rPr>
                <w:b w:val="0"/>
                <w:i w:val="0"/>
                <w:sz w:val="15"/>
              </w:rPr>
              <w:t>Five-year projected volume generated from the demonstration profile (Appendix 2)</w:t>
            </w:r>
          </w:p>
        </w:tc>
      </w:tr>
    </w:tbl>
    <w:p>
      <w:pPr>
        <w:pStyle w:val="Caption"/>
        <w:jc w:val="center"/>
      </w:pPr>
      <w:r>
        <w:rPr>
          <w:b w:val="0"/>
          <w:i w:val="0"/>
        </w:rPr>
        <w:t>Table 2: Environments</w:t>
      </w:r>
    </w:p>
    <w:p>
      <w:pPr>
        <w:pStyle w:val="Heading2"/>
      </w:pPr>
      <w:r>
        <w:t>3.1 Test data</w:t>
      </w:r>
    </w:p>
    <w:p>
      <w:pPr>
        <w:pStyle w:val="ListBullet"/>
      </w:pPr>
      <w:r>
        <w:rPr>
          <w:b w:val="0"/>
          <w:i w:val="0"/>
        </w:rPr>
        <w:t>The demonstration data set is generated through the application's own services (registration, screening, quotation, submission, payment, verification, issuance, renewal, endorsement, claims, issues, EOD, reconciliation), so every record carries a genuine history, audit trail and outbox messages.</w:t>
      </w:r>
    </w:p>
    <w:p>
      <w:pPr>
        <w:pStyle w:val="ListBullet"/>
      </w:pPr>
      <w:r>
        <w:rPr>
          <w:b w:val="0"/>
          <w:i w:val="0"/>
        </w:rPr>
        <w:t>Named demonstration users exist for every role; each case states which user it uses.</w:t>
      </w:r>
    </w:p>
    <w:p>
      <w:pPr>
        <w:pStyle w:val="ListBullet"/>
      </w:pPr>
      <w:r>
        <w:rPr>
          <w:b w:val="0"/>
          <w:i w:val="0"/>
        </w:rPr>
        <w:t>Scripted runs create their own records with a run identifier so they can be repeated; they never alter the seeded blocked bank or the demonstration passwords.</w:t>
      </w:r>
    </w:p>
    <w:p>
      <w:pPr>
        <w:pStyle w:val="ListBullet"/>
      </w:pPr>
      <w:r>
        <w:rPr>
          <w:b w:val="0"/>
          <w:i w:val="0"/>
        </w:rPr>
        <w:t>UAT uses masked production data where IIFT can provide it (identification numbers, contact details and names replaced); otherwise the migrated data of the second dry-run.</w:t>
      </w:r>
    </w:p>
    <w:p>
      <w:pPr>
        <w:pStyle w:val="ListBullet"/>
      </w:pPr>
      <w:r>
        <w:rPr>
          <w:b w:val="0"/>
          <w:i w:val="0"/>
        </w:rPr>
        <w:t>No production data is used outside IIFT's UAT and pre-production environments; the security check script and the API run must never be pointed at production.</w:t>
      </w:r>
    </w:p>
    <w:p>
      <w:pPr>
        <w:pStyle w:val="Heading1"/>
        <w:pageBreakBefore/>
        <w:pBdr>
          <w:bottom w:val="single" w:sz="12" w:space="4" w:color="F58220"/>
        </w:pBdr>
      </w:pPr>
      <w:r>
        <w:t>4. Entry and exit criteria</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1701"/>
        <w:gridCol w:w="3402"/>
        <w:gridCol w:w="4536"/>
      </w:tblGrid>
      <w:tr>
        <w:trPr>
          <w:cantSplit/>
          <w:tblHeader/>
        </w:trPr>
        <w:tc>
          <w:tcPr>
            <w:tcW w:type="dxa" w:w="1701"/>
            <w:shd w:val="clear" w:color="auto" w:fill="E1058C"/>
            <w:vAlign w:val="center"/>
          </w:tcPr>
          <w:p>
            <w:pPr>
              <w:spacing w:after="0"/>
            </w:pPr>
            <w:r>
              <w:rPr>
                <w:b/>
                <w:i w:val="0"/>
                <w:color w:val="FFFFFF"/>
                <w:sz w:val="15"/>
              </w:rPr>
              <w:t>Phase</w:t>
            </w:r>
          </w:p>
        </w:tc>
        <w:tc>
          <w:tcPr>
            <w:tcW w:type="dxa" w:w="3402"/>
            <w:shd w:val="clear" w:color="auto" w:fill="E1058C"/>
            <w:vAlign w:val="center"/>
          </w:tcPr>
          <w:p>
            <w:pPr>
              <w:spacing w:after="0"/>
            </w:pPr>
            <w:r>
              <w:rPr>
                <w:b/>
                <w:i w:val="0"/>
                <w:color w:val="FFFFFF"/>
                <w:sz w:val="15"/>
              </w:rPr>
              <w:t>Entry criteria</w:t>
            </w:r>
          </w:p>
        </w:tc>
        <w:tc>
          <w:tcPr>
            <w:tcW w:type="dxa" w:w="4535"/>
            <w:shd w:val="clear" w:color="auto" w:fill="E1058C"/>
            <w:vAlign w:val="center"/>
          </w:tcPr>
          <w:p>
            <w:pPr>
              <w:spacing w:after="0"/>
            </w:pPr>
            <w:r>
              <w:rPr>
                <w:b/>
                <w:i w:val="0"/>
                <w:color w:val="FFFFFF"/>
                <w:sz w:val="15"/>
              </w:rPr>
              <w:t>Exit criteria</w:t>
            </w:r>
          </w:p>
        </w:tc>
      </w:tr>
      <w:tr>
        <w:trPr>
          <w:cantSplit/>
        </w:trPr>
        <w:tc>
          <w:tcPr>
            <w:tcW w:type="dxa" w:w="1701"/>
            <w:vAlign w:val="top"/>
          </w:tcPr>
          <w:p>
            <w:pPr>
              <w:spacing w:after="20" w:line="252" w:lineRule="auto"/>
            </w:pPr>
            <w:r>
              <w:rPr>
                <w:b/>
                <w:i w:val="0"/>
                <w:sz w:val="15"/>
              </w:rPr>
              <w:t>Unit and API (CI)</w:t>
            </w:r>
          </w:p>
        </w:tc>
        <w:tc>
          <w:tcPr>
            <w:tcW w:type="dxa" w:w="3402"/>
            <w:vAlign w:val="top"/>
          </w:tcPr>
          <w:p>
            <w:pPr>
              <w:spacing w:after="20" w:line="252" w:lineRule="auto"/>
            </w:pPr>
            <w:r>
              <w:rPr>
                <w:b w:val="0"/>
                <w:i w:val="0"/>
                <w:sz w:val="15"/>
              </w:rPr>
              <w:t>Code reviewed; migrations applied cleanly</w:t>
            </w:r>
          </w:p>
        </w:tc>
        <w:tc>
          <w:tcPr>
            <w:tcW w:type="dxa" w:w="4535"/>
            <w:vAlign w:val="top"/>
          </w:tcPr>
          <w:p>
            <w:pPr>
              <w:spacing w:after="20" w:line="252" w:lineRule="auto"/>
            </w:pPr>
            <w:r>
              <w:rPr>
                <w:b w:val="0"/>
                <w:i w:val="0"/>
                <w:sz w:val="15"/>
              </w:rPr>
              <w:t>All tests pass; lint, type check and format clean; coverage ≥ 70% on core modules; no Critical/High dependency findings</w:t>
            </w:r>
          </w:p>
        </w:tc>
      </w:tr>
      <w:tr>
        <w:trPr>
          <w:cantSplit/>
        </w:trPr>
        <w:tc>
          <w:tcPr>
            <w:tcW w:type="dxa" w:w="1701"/>
            <w:vAlign w:val="top"/>
            <w:shd w:val="clear" w:color="auto" w:fill="FDF0F7"/>
          </w:tcPr>
          <w:p>
            <w:pPr>
              <w:spacing w:after="20" w:line="252" w:lineRule="auto"/>
            </w:pPr>
            <w:r>
              <w:rPr>
                <w:b/>
                <w:i w:val="0"/>
                <w:sz w:val="15"/>
              </w:rPr>
              <w:t>End-to-end and release candidate</w:t>
            </w:r>
          </w:p>
        </w:tc>
        <w:tc>
          <w:tcPr>
            <w:tcW w:type="dxa" w:w="3402"/>
            <w:vAlign w:val="top"/>
            <w:shd w:val="clear" w:color="auto" w:fill="FDF0F7"/>
          </w:tcPr>
          <w:p>
            <w:pPr>
              <w:spacing w:after="20" w:line="252" w:lineRule="auto"/>
            </w:pPr>
            <w:r>
              <w:rPr>
                <w:b w:val="0"/>
                <w:i w:val="0"/>
                <w:sz w:val="15"/>
              </w:rPr>
              <w:t>CI green; release notes drafted; demonstration data loaded</w:t>
            </w:r>
          </w:p>
        </w:tc>
        <w:tc>
          <w:tcPr>
            <w:tcW w:type="dxa" w:w="4535"/>
            <w:vAlign w:val="top"/>
            <w:shd w:val="clear" w:color="auto" w:fill="FDF0F7"/>
          </w:tcPr>
          <w:p>
            <w:pPr>
              <w:spacing w:after="20" w:line="252" w:lineRule="auto"/>
            </w:pPr>
            <w:r>
              <w:rPr>
                <w:b w:val="0"/>
                <w:i w:val="0"/>
                <w:sz w:val="15"/>
              </w:rPr>
              <w:t>End-to-end suite and API run green; OWASP checks 29/29; Playwright smoke green; test cases workbook refreshed</w:t>
            </w:r>
          </w:p>
        </w:tc>
      </w:tr>
      <w:tr>
        <w:trPr>
          <w:cantSplit/>
        </w:trPr>
        <w:tc>
          <w:tcPr>
            <w:tcW w:type="dxa" w:w="1701"/>
            <w:vAlign w:val="top"/>
          </w:tcPr>
          <w:p>
            <w:pPr>
              <w:spacing w:after="20" w:line="252" w:lineRule="auto"/>
            </w:pPr>
            <w:r>
              <w:rPr>
                <w:b/>
                <w:i w:val="0"/>
                <w:sz w:val="15"/>
              </w:rPr>
              <w:t>SIT</w:t>
            </w:r>
          </w:p>
        </w:tc>
        <w:tc>
          <w:tcPr>
            <w:tcW w:type="dxa" w:w="3402"/>
            <w:vAlign w:val="top"/>
          </w:tcPr>
          <w:p>
            <w:pPr>
              <w:spacing w:after="20" w:line="252" w:lineRule="auto"/>
            </w:pPr>
            <w:r>
              <w:rPr>
                <w:b w:val="0"/>
                <w:i w:val="0"/>
                <w:sz w:val="15"/>
              </w:rPr>
              <w:t>Release candidate deployed to SIT; interfaces, test endpoints and credentials available (week 8 assumption); SIT cases reviewed with IITH owners; test data prepared</w:t>
            </w:r>
          </w:p>
        </w:tc>
        <w:tc>
          <w:tcPr>
            <w:tcW w:type="dxa" w:w="4535"/>
            <w:vAlign w:val="top"/>
          </w:tcPr>
          <w:p>
            <w:pPr>
              <w:spacing w:after="20" w:line="252" w:lineRule="auto"/>
            </w:pPr>
            <w:r>
              <w:rPr>
                <w:b w:val="0"/>
                <w:i w:val="0"/>
                <w:sz w:val="15"/>
              </w:rPr>
              <w:t>≥ 95% cases passed, 100% of Must requirements covered; no open Critical/High; Medium defects with agreed workaround or fix date; reconciliation MATCHED three days running; SIT results report (DEL-14) issued</w:t>
            </w:r>
          </w:p>
        </w:tc>
      </w:tr>
      <w:tr>
        <w:trPr>
          <w:cantSplit/>
        </w:trPr>
        <w:tc>
          <w:tcPr>
            <w:tcW w:type="dxa" w:w="1701"/>
            <w:vAlign w:val="top"/>
            <w:shd w:val="clear" w:color="auto" w:fill="FDF0F7"/>
          </w:tcPr>
          <w:p>
            <w:pPr>
              <w:spacing w:after="20" w:line="252" w:lineRule="auto"/>
            </w:pPr>
            <w:r>
              <w:rPr>
                <w:b/>
                <w:i w:val="0"/>
                <w:sz w:val="15"/>
              </w:rPr>
              <w:t>Performance</w:t>
            </w:r>
          </w:p>
        </w:tc>
        <w:tc>
          <w:tcPr>
            <w:tcW w:type="dxa" w:w="3402"/>
            <w:vAlign w:val="top"/>
            <w:shd w:val="clear" w:color="auto" w:fill="FDF0F7"/>
          </w:tcPr>
          <w:p>
            <w:pPr>
              <w:spacing w:after="20" w:line="252" w:lineRule="auto"/>
            </w:pPr>
            <w:r>
              <w:rPr>
                <w:b w:val="0"/>
                <w:i w:val="0"/>
                <w:sz w:val="15"/>
              </w:rPr>
              <w:t>SIT functional exit; production-like sizing; monitoring in place</w:t>
            </w:r>
          </w:p>
        </w:tc>
        <w:tc>
          <w:tcPr>
            <w:tcW w:type="dxa" w:w="4535"/>
            <w:vAlign w:val="top"/>
            <w:shd w:val="clear" w:color="auto" w:fill="FDF0F7"/>
          </w:tcPr>
          <w:p>
            <w:pPr>
              <w:spacing w:after="20" w:line="252" w:lineRule="auto"/>
            </w:pPr>
            <w:r>
              <w:rPr>
                <w:b w:val="0"/>
                <w:i w:val="0"/>
                <w:sz w:val="15"/>
              </w:rPr>
              <w:t>Targets met or deviations accepted by IIFT with a remediation plan; report issued (DEL-18)</w:t>
            </w:r>
          </w:p>
        </w:tc>
      </w:tr>
      <w:tr>
        <w:trPr>
          <w:cantSplit/>
        </w:trPr>
        <w:tc>
          <w:tcPr>
            <w:tcW w:type="dxa" w:w="1701"/>
            <w:vAlign w:val="top"/>
          </w:tcPr>
          <w:p>
            <w:pPr>
              <w:spacing w:after="20" w:line="252" w:lineRule="auto"/>
            </w:pPr>
            <w:r>
              <w:rPr>
                <w:b/>
                <w:i w:val="0"/>
                <w:sz w:val="15"/>
              </w:rPr>
              <w:t>Security (VAPT)</w:t>
            </w:r>
          </w:p>
        </w:tc>
        <w:tc>
          <w:tcPr>
            <w:tcW w:type="dxa" w:w="3402"/>
            <w:vAlign w:val="top"/>
          </w:tcPr>
          <w:p>
            <w:pPr>
              <w:spacing w:after="20" w:line="252" w:lineRule="auto"/>
            </w:pPr>
            <w:r>
              <w:rPr>
                <w:b w:val="0"/>
                <w:i w:val="0"/>
                <w:sz w:val="15"/>
              </w:rPr>
              <w:t>SIT functional exit; rules of engagement signed; test accounts per role</w:t>
            </w:r>
          </w:p>
        </w:tc>
        <w:tc>
          <w:tcPr>
            <w:tcW w:type="dxa" w:w="4535"/>
            <w:vAlign w:val="top"/>
          </w:tcPr>
          <w:p>
            <w:pPr>
              <w:spacing w:after="20" w:line="252" w:lineRule="auto"/>
            </w:pPr>
            <w:r>
              <w:rPr>
                <w:b w:val="0"/>
                <w:i w:val="0"/>
                <w:sz w:val="15"/>
              </w:rPr>
              <w:t>No open Critical/High; Medium/Low with dates; re-test report issued (DEL-17)</w:t>
            </w:r>
          </w:p>
        </w:tc>
      </w:tr>
      <w:tr>
        <w:trPr>
          <w:cantSplit/>
        </w:trPr>
        <w:tc>
          <w:tcPr>
            <w:tcW w:type="dxa" w:w="1701"/>
            <w:vAlign w:val="top"/>
            <w:shd w:val="clear" w:color="auto" w:fill="FDF0F7"/>
          </w:tcPr>
          <w:p>
            <w:pPr>
              <w:spacing w:after="20" w:line="252" w:lineRule="auto"/>
            </w:pPr>
            <w:r>
              <w:rPr>
                <w:b/>
                <w:i w:val="0"/>
                <w:sz w:val="15"/>
              </w:rPr>
              <w:t>UAT</w:t>
            </w:r>
          </w:p>
        </w:tc>
        <w:tc>
          <w:tcPr>
            <w:tcW w:type="dxa" w:w="3402"/>
            <w:vAlign w:val="top"/>
            <w:shd w:val="clear" w:color="auto" w:fill="FDF0F7"/>
          </w:tcPr>
          <w:p>
            <w:pPr>
              <w:spacing w:after="20" w:line="252" w:lineRule="auto"/>
            </w:pPr>
            <w:r>
              <w:rPr>
                <w:b w:val="0"/>
                <w:i w:val="0"/>
                <w:sz w:val="15"/>
              </w:rPr>
              <w:t>SIT exit; UAT environment with masked data; testers trained; UAT scripts approved</w:t>
            </w:r>
          </w:p>
        </w:tc>
        <w:tc>
          <w:tcPr>
            <w:tcW w:type="dxa" w:w="4535"/>
            <w:vAlign w:val="top"/>
            <w:shd w:val="clear" w:color="auto" w:fill="FDF0F7"/>
          </w:tcPr>
          <w:p>
            <w:pPr>
              <w:spacing w:after="20" w:line="252" w:lineRule="auto"/>
            </w:pPr>
            <w:r>
              <w:rPr>
                <w:b w:val="0"/>
                <w:i w:val="0"/>
                <w:sz w:val="15"/>
              </w:rPr>
              <w:t>All UAT scripts executed; no open Critical/High; signed UAT certificate (DEL-16)</w:t>
            </w:r>
          </w:p>
        </w:tc>
      </w:tr>
      <w:tr>
        <w:trPr>
          <w:cantSplit/>
        </w:trPr>
        <w:tc>
          <w:tcPr>
            <w:tcW w:type="dxa" w:w="1701"/>
            <w:vAlign w:val="top"/>
          </w:tcPr>
          <w:p>
            <w:pPr>
              <w:spacing w:after="20" w:line="252" w:lineRule="auto"/>
            </w:pPr>
            <w:r>
              <w:rPr>
                <w:b/>
                <w:i w:val="0"/>
                <w:sz w:val="15"/>
              </w:rPr>
              <w:t>Go-live</w:t>
            </w:r>
          </w:p>
        </w:tc>
        <w:tc>
          <w:tcPr>
            <w:tcW w:type="dxa" w:w="3402"/>
            <w:vAlign w:val="top"/>
          </w:tcPr>
          <w:p>
            <w:pPr>
              <w:spacing w:after="20" w:line="252" w:lineRule="auto"/>
            </w:pPr>
            <w:r>
              <w:rPr>
                <w:b w:val="0"/>
                <w:i w:val="0"/>
                <w:sz w:val="15"/>
              </w:rPr>
              <w:t>UAT sign-off; VAPT cleared; migration dry-run 2 reconciled; DR drill done; go-live checklist complete (DEL-21)</w:t>
            </w:r>
          </w:p>
        </w:tc>
        <w:tc>
          <w:tcPr>
            <w:tcW w:type="dxa" w:w="4535"/>
            <w:vAlign w:val="top"/>
          </w:tcPr>
          <w:p>
            <w:pPr>
              <w:spacing w:after="20" w:line="252" w:lineRule="auto"/>
            </w:pPr>
            <w:r>
              <w:rPr>
                <w:b w:val="0"/>
                <w:i w:val="0"/>
                <w:sz w:val="15"/>
              </w:rPr>
              <w:t>Production deployment verified by the smoke checklist; hypercare entry</w:t>
            </w:r>
          </w:p>
        </w:tc>
      </w:tr>
    </w:tbl>
    <w:p>
      <w:pPr>
        <w:pStyle w:val="Caption"/>
        <w:jc w:val="center"/>
      </w:pPr>
      <w:r>
        <w:rPr>
          <w:b w:val="0"/>
          <w:i w:val="0"/>
        </w:rPr>
        <w:t>Table 3: Entry and exit criteria per phase</w:t>
      </w:r>
    </w:p>
    <w:p>
      <w:pPr>
        <w:keepNext w:val="0"/>
      </w:pPr>
      <w:r>
        <w:rPr>
          <w:b w:val="0"/>
          <w:i w:val="0"/>
        </w:rPr>
        <w:t>Exit decisions are taken by the test manager with IIFT's product owner at the phase review; deviations (for example a Medium defect deferred) are recorded in the phase report with the agreed date.</w:t>
      </w:r>
    </w:p>
    <w:p>
      <w:pPr>
        <w:pStyle w:val="Heading1"/>
        <w:pageBreakBefore/>
        <w:pBdr>
          <w:bottom w:val="single" w:sz="12" w:space="4" w:color="F58220"/>
        </w:pBdr>
      </w:pPr>
      <w:r>
        <w:t>5. Defect management</w:t>
      </w:r>
    </w:p>
    <w:p>
      <w:pPr>
        <w:keepNext w:val="0"/>
      </w:pPr>
      <w:r>
        <w:rPr>
          <w:b w:val="0"/>
          <w:i w:val="0"/>
        </w:rPr>
        <w:t>Defects are logged with steps, data, expected and actual result, evidence and the case identifier; they are triaged daily during SIT and UAT. Severity describes the impact, priority the urgency of the fix. A fixed defect is re-tested by the person who found it where possible, and the related automated cases are extended so that the defect cannot return unnoticed.</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360"/>
        <w:gridCol w:w="4876"/>
        <w:gridCol w:w="3402"/>
      </w:tblGrid>
      <w:tr>
        <w:trPr>
          <w:cantSplit/>
          <w:tblHeader/>
        </w:trPr>
        <w:tc>
          <w:tcPr>
            <w:tcW w:type="dxa" w:w="1361"/>
            <w:shd w:val="clear" w:color="auto" w:fill="E1058C"/>
            <w:vAlign w:val="center"/>
          </w:tcPr>
          <w:p>
            <w:pPr>
              <w:spacing w:after="0"/>
            </w:pPr>
            <w:r>
              <w:rPr>
                <w:b/>
                <w:i w:val="0"/>
                <w:color w:val="FFFFFF"/>
                <w:sz w:val="16"/>
              </w:rPr>
              <w:t>Severity</w:t>
            </w:r>
          </w:p>
        </w:tc>
        <w:tc>
          <w:tcPr>
            <w:tcW w:type="dxa" w:w="4876"/>
            <w:shd w:val="clear" w:color="auto" w:fill="E1058C"/>
            <w:vAlign w:val="center"/>
          </w:tcPr>
          <w:p>
            <w:pPr>
              <w:spacing w:after="0"/>
            </w:pPr>
            <w:r>
              <w:rPr>
                <w:b/>
                <w:i w:val="0"/>
                <w:color w:val="FFFFFF"/>
                <w:sz w:val="16"/>
              </w:rPr>
              <w:t>Definition</w:t>
            </w:r>
          </w:p>
        </w:tc>
        <w:tc>
          <w:tcPr>
            <w:tcW w:type="dxa" w:w="3402"/>
            <w:shd w:val="clear" w:color="auto" w:fill="E1058C"/>
            <w:vAlign w:val="center"/>
          </w:tcPr>
          <w:p>
            <w:pPr>
              <w:spacing w:after="0"/>
            </w:pPr>
            <w:r>
              <w:rPr>
                <w:b/>
                <w:i w:val="0"/>
                <w:color w:val="FFFFFF"/>
                <w:sz w:val="16"/>
              </w:rPr>
              <w:t>Resolution target</w:t>
            </w:r>
          </w:p>
        </w:tc>
      </w:tr>
      <w:tr>
        <w:trPr>
          <w:cantSplit/>
        </w:trPr>
        <w:tc>
          <w:tcPr>
            <w:tcW w:type="dxa" w:w="1361"/>
            <w:vAlign w:val="top"/>
          </w:tcPr>
          <w:p>
            <w:pPr>
              <w:spacing w:after="20" w:line="252" w:lineRule="auto"/>
            </w:pPr>
            <w:r>
              <w:rPr>
                <w:b/>
                <w:i w:val="0"/>
                <w:sz w:val="16"/>
              </w:rPr>
              <w:t>Critical</w:t>
            </w:r>
          </w:p>
        </w:tc>
        <w:tc>
          <w:tcPr>
            <w:tcW w:type="dxa" w:w="4876"/>
            <w:vAlign w:val="top"/>
          </w:tcPr>
          <w:p>
            <w:pPr>
              <w:spacing w:after="20" w:line="252" w:lineRule="auto"/>
            </w:pPr>
            <w:r>
              <w:rPr>
                <w:b w:val="0"/>
                <w:i w:val="0"/>
                <w:sz w:val="16"/>
              </w:rPr>
              <w:t>System unusable, data integrity or security at risk, or a Must requirement cannot be met; no workaround</w:t>
            </w:r>
          </w:p>
        </w:tc>
        <w:tc>
          <w:tcPr>
            <w:tcW w:type="dxa" w:w="3402"/>
            <w:vAlign w:val="top"/>
          </w:tcPr>
          <w:p>
            <w:pPr>
              <w:spacing w:after="20" w:line="252" w:lineRule="auto"/>
            </w:pPr>
            <w:r>
              <w:rPr>
                <w:b w:val="0"/>
                <w:i w:val="0"/>
                <w:sz w:val="16"/>
              </w:rPr>
              <w:t>Fix before exit of the current phase; in production, P1 handling (contained within 24 h)</w:t>
            </w:r>
          </w:p>
        </w:tc>
      </w:tr>
      <w:tr>
        <w:trPr>
          <w:cantSplit/>
        </w:trPr>
        <w:tc>
          <w:tcPr>
            <w:tcW w:type="dxa" w:w="1361"/>
            <w:vAlign w:val="top"/>
            <w:shd w:val="clear" w:color="auto" w:fill="FDF0F7"/>
          </w:tcPr>
          <w:p>
            <w:pPr>
              <w:spacing w:after="20" w:line="252" w:lineRule="auto"/>
            </w:pPr>
            <w:r>
              <w:rPr>
                <w:b/>
                <w:i w:val="0"/>
                <w:sz w:val="16"/>
              </w:rPr>
              <w:t>High</w:t>
            </w:r>
          </w:p>
        </w:tc>
        <w:tc>
          <w:tcPr>
            <w:tcW w:type="dxa" w:w="4876"/>
            <w:vAlign w:val="top"/>
            <w:shd w:val="clear" w:color="auto" w:fill="FDF0F7"/>
          </w:tcPr>
          <w:p>
            <w:pPr>
              <w:spacing w:after="20" w:line="252" w:lineRule="auto"/>
            </w:pPr>
            <w:r>
              <w:rPr>
                <w:b w:val="0"/>
                <w:i w:val="0"/>
                <w:sz w:val="16"/>
              </w:rPr>
              <w:t>Key function fails or gives wrong results; workaround difficult</w:t>
            </w:r>
          </w:p>
        </w:tc>
        <w:tc>
          <w:tcPr>
            <w:tcW w:type="dxa" w:w="3402"/>
            <w:vAlign w:val="top"/>
            <w:shd w:val="clear" w:color="auto" w:fill="FDF0F7"/>
          </w:tcPr>
          <w:p>
            <w:pPr>
              <w:spacing w:after="20" w:line="252" w:lineRule="auto"/>
            </w:pPr>
            <w:r>
              <w:rPr>
                <w:b w:val="0"/>
                <w:i w:val="0"/>
                <w:sz w:val="16"/>
              </w:rPr>
              <w:t>Fix before exit of the current phase; in production, 14 days</w:t>
            </w:r>
          </w:p>
        </w:tc>
      </w:tr>
      <w:tr>
        <w:trPr>
          <w:cantSplit/>
        </w:trPr>
        <w:tc>
          <w:tcPr>
            <w:tcW w:type="dxa" w:w="1361"/>
            <w:vAlign w:val="top"/>
          </w:tcPr>
          <w:p>
            <w:pPr>
              <w:spacing w:after="20" w:line="252" w:lineRule="auto"/>
            </w:pPr>
            <w:r>
              <w:rPr>
                <w:b/>
                <w:i w:val="0"/>
                <w:sz w:val="16"/>
              </w:rPr>
              <w:t>Medium</w:t>
            </w:r>
          </w:p>
        </w:tc>
        <w:tc>
          <w:tcPr>
            <w:tcW w:type="dxa" w:w="4876"/>
            <w:vAlign w:val="top"/>
          </w:tcPr>
          <w:p>
            <w:pPr>
              <w:spacing w:after="20" w:line="252" w:lineRule="auto"/>
            </w:pPr>
            <w:r>
              <w:rPr>
                <w:b w:val="0"/>
                <w:i w:val="0"/>
                <w:sz w:val="16"/>
              </w:rPr>
              <w:t>Function impaired with an acceptable workaround</w:t>
            </w:r>
          </w:p>
        </w:tc>
        <w:tc>
          <w:tcPr>
            <w:tcW w:type="dxa" w:w="3402"/>
            <w:vAlign w:val="top"/>
          </w:tcPr>
          <w:p>
            <w:pPr>
              <w:spacing w:after="20" w:line="252" w:lineRule="auto"/>
            </w:pPr>
            <w:r>
              <w:rPr>
                <w:b w:val="0"/>
                <w:i w:val="0"/>
                <w:sz w:val="16"/>
              </w:rPr>
              <w:t>Fix before go-live or agreed deferral with IIFT</w:t>
            </w:r>
          </w:p>
        </w:tc>
      </w:tr>
      <w:tr>
        <w:trPr>
          <w:cantSplit/>
        </w:trPr>
        <w:tc>
          <w:tcPr>
            <w:tcW w:type="dxa" w:w="1361"/>
            <w:vAlign w:val="top"/>
            <w:shd w:val="clear" w:color="auto" w:fill="FDF0F7"/>
          </w:tcPr>
          <w:p>
            <w:pPr>
              <w:spacing w:after="20" w:line="252" w:lineRule="auto"/>
            </w:pPr>
            <w:r>
              <w:rPr>
                <w:b/>
                <w:i w:val="0"/>
                <w:sz w:val="16"/>
              </w:rPr>
              <w:t>Low</w:t>
            </w:r>
          </w:p>
        </w:tc>
        <w:tc>
          <w:tcPr>
            <w:tcW w:type="dxa" w:w="4876"/>
            <w:vAlign w:val="top"/>
            <w:shd w:val="clear" w:color="auto" w:fill="FDF0F7"/>
          </w:tcPr>
          <w:p>
            <w:pPr>
              <w:spacing w:after="20" w:line="252" w:lineRule="auto"/>
            </w:pPr>
            <w:r>
              <w:rPr>
                <w:b w:val="0"/>
                <w:i w:val="0"/>
                <w:sz w:val="16"/>
              </w:rPr>
              <w:t>Cosmetic, wording or minor usability</w:t>
            </w:r>
          </w:p>
        </w:tc>
        <w:tc>
          <w:tcPr>
            <w:tcW w:type="dxa" w:w="3402"/>
            <w:vAlign w:val="top"/>
            <w:shd w:val="clear" w:color="auto" w:fill="FDF0F7"/>
          </w:tcPr>
          <w:p>
            <w:pPr>
              <w:spacing w:after="20" w:line="252" w:lineRule="auto"/>
            </w:pPr>
            <w:r>
              <w:rPr>
                <w:b w:val="0"/>
                <w:i w:val="0"/>
                <w:sz w:val="16"/>
              </w:rPr>
              <w:t>Planned release</w:t>
            </w:r>
          </w:p>
        </w:tc>
      </w:tr>
    </w:tbl>
    <w:p>
      <w:pPr>
        <w:pStyle w:val="Caption"/>
        <w:jc w:val="center"/>
      </w:pPr>
      <w:r>
        <w:rPr>
          <w:b w:val="0"/>
          <w:i w:val="0"/>
        </w:rPr>
        <w:t>Table 4: Defect severity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360"/>
        <w:gridCol w:w="4876"/>
        <w:gridCol w:w="3402"/>
      </w:tblGrid>
      <w:tr>
        <w:trPr>
          <w:cantSplit/>
          <w:tblHeader/>
        </w:trPr>
        <w:tc>
          <w:tcPr>
            <w:tcW w:type="dxa" w:w="1361"/>
            <w:shd w:val="clear" w:color="auto" w:fill="E1058C"/>
            <w:vAlign w:val="center"/>
          </w:tcPr>
          <w:p>
            <w:pPr>
              <w:spacing w:after="0"/>
            </w:pPr>
            <w:r>
              <w:rPr>
                <w:b/>
                <w:i w:val="0"/>
                <w:color w:val="FFFFFF"/>
                <w:sz w:val="16"/>
              </w:rPr>
              <w:t>Priority</w:t>
            </w:r>
          </w:p>
        </w:tc>
        <w:tc>
          <w:tcPr>
            <w:tcW w:type="dxa" w:w="4876"/>
            <w:shd w:val="clear" w:color="auto" w:fill="E1058C"/>
            <w:vAlign w:val="center"/>
          </w:tcPr>
          <w:p>
            <w:pPr>
              <w:spacing w:after="0"/>
            </w:pPr>
            <w:r>
              <w:rPr>
                <w:b/>
                <w:i w:val="0"/>
                <w:color w:val="FFFFFF"/>
                <w:sz w:val="16"/>
              </w:rPr>
              <w:t>Definition</w:t>
            </w:r>
          </w:p>
        </w:tc>
        <w:tc>
          <w:tcPr>
            <w:tcW w:type="dxa" w:w="3402"/>
            <w:shd w:val="clear" w:color="auto" w:fill="E1058C"/>
            <w:vAlign w:val="center"/>
          </w:tcPr>
          <w:p>
            <w:pPr>
              <w:spacing w:after="0"/>
            </w:pPr>
            <w:r>
              <w:rPr>
                <w:b/>
                <w:i w:val="0"/>
                <w:color w:val="FFFFFF"/>
                <w:sz w:val="16"/>
              </w:rPr>
              <w:t>Target</w:t>
            </w:r>
          </w:p>
        </w:tc>
      </w:tr>
      <w:tr>
        <w:trPr>
          <w:cantSplit/>
        </w:trPr>
        <w:tc>
          <w:tcPr>
            <w:tcW w:type="dxa" w:w="1361"/>
            <w:vAlign w:val="top"/>
          </w:tcPr>
          <w:p>
            <w:pPr>
              <w:spacing w:after="20" w:line="252" w:lineRule="auto"/>
            </w:pPr>
            <w:r>
              <w:rPr>
                <w:b/>
                <w:i w:val="0"/>
                <w:sz w:val="16"/>
              </w:rPr>
              <w:t>Urgent</w:t>
            </w:r>
          </w:p>
        </w:tc>
        <w:tc>
          <w:tcPr>
            <w:tcW w:type="dxa" w:w="4876"/>
            <w:vAlign w:val="top"/>
          </w:tcPr>
          <w:p>
            <w:pPr>
              <w:spacing w:after="20" w:line="252" w:lineRule="auto"/>
            </w:pPr>
            <w:r>
              <w:rPr>
                <w:b w:val="0"/>
                <w:i w:val="0"/>
                <w:sz w:val="16"/>
              </w:rPr>
              <w:t>Blocks testing of other cases or a milestone</w:t>
            </w:r>
          </w:p>
        </w:tc>
        <w:tc>
          <w:tcPr>
            <w:tcW w:type="dxa" w:w="3402"/>
            <w:vAlign w:val="top"/>
          </w:tcPr>
          <w:p>
            <w:pPr>
              <w:spacing w:after="20" w:line="252" w:lineRule="auto"/>
            </w:pPr>
            <w:r>
              <w:rPr>
                <w:b w:val="0"/>
                <w:i w:val="0"/>
                <w:sz w:val="16"/>
              </w:rPr>
              <w:t>Next build (within 1 working day in SIT/UAT)</w:t>
            </w:r>
          </w:p>
        </w:tc>
      </w:tr>
      <w:tr>
        <w:trPr>
          <w:cantSplit/>
        </w:trPr>
        <w:tc>
          <w:tcPr>
            <w:tcW w:type="dxa" w:w="1361"/>
            <w:vAlign w:val="top"/>
            <w:shd w:val="clear" w:color="auto" w:fill="FDF0F7"/>
          </w:tcPr>
          <w:p>
            <w:pPr>
              <w:spacing w:after="20" w:line="252" w:lineRule="auto"/>
            </w:pPr>
            <w:r>
              <w:rPr>
                <w:b/>
                <w:i w:val="0"/>
                <w:sz w:val="16"/>
              </w:rPr>
              <w:t>High</w:t>
            </w:r>
          </w:p>
        </w:tc>
        <w:tc>
          <w:tcPr>
            <w:tcW w:type="dxa" w:w="4876"/>
            <w:vAlign w:val="top"/>
            <w:shd w:val="clear" w:color="auto" w:fill="FDF0F7"/>
          </w:tcPr>
          <w:p>
            <w:pPr>
              <w:spacing w:after="20" w:line="252" w:lineRule="auto"/>
            </w:pPr>
            <w:r>
              <w:rPr>
                <w:b w:val="0"/>
                <w:i w:val="0"/>
                <w:sz w:val="16"/>
              </w:rPr>
              <w:t>Needed for the current phase exit</w:t>
            </w:r>
          </w:p>
        </w:tc>
        <w:tc>
          <w:tcPr>
            <w:tcW w:type="dxa" w:w="3402"/>
            <w:vAlign w:val="top"/>
            <w:shd w:val="clear" w:color="auto" w:fill="FDF0F7"/>
          </w:tcPr>
          <w:p>
            <w:pPr>
              <w:spacing w:after="20" w:line="252" w:lineRule="auto"/>
            </w:pPr>
            <w:r>
              <w:rPr>
                <w:b w:val="0"/>
                <w:i w:val="0"/>
                <w:sz w:val="16"/>
              </w:rPr>
              <w:t>Within 3 working days</w:t>
            </w:r>
          </w:p>
        </w:tc>
      </w:tr>
      <w:tr>
        <w:trPr>
          <w:cantSplit/>
        </w:trPr>
        <w:tc>
          <w:tcPr>
            <w:tcW w:type="dxa" w:w="1361"/>
            <w:vAlign w:val="top"/>
          </w:tcPr>
          <w:p>
            <w:pPr>
              <w:spacing w:after="20" w:line="252" w:lineRule="auto"/>
            </w:pPr>
            <w:r>
              <w:rPr>
                <w:b/>
                <w:i w:val="0"/>
                <w:sz w:val="16"/>
              </w:rPr>
              <w:t>Medium</w:t>
            </w:r>
          </w:p>
        </w:tc>
        <w:tc>
          <w:tcPr>
            <w:tcW w:type="dxa" w:w="4876"/>
            <w:vAlign w:val="top"/>
          </w:tcPr>
          <w:p>
            <w:pPr>
              <w:spacing w:after="20" w:line="252" w:lineRule="auto"/>
            </w:pPr>
            <w:r>
              <w:rPr>
                <w:b w:val="0"/>
                <w:i w:val="0"/>
                <w:sz w:val="16"/>
              </w:rPr>
              <w:t>Needed before go-live</w:t>
            </w:r>
          </w:p>
        </w:tc>
        <w:tc>
          <w:tcPr>
            <w:tcW w:type="dxa" w:w="3402"/>
            <w:vAlign w:val="top"/>
          </w:tcPr>
          <w:p>
            <w:pPr>
              <w:spacing w:after="20" w:line="252" w:lineRule="auto"/>
            </w:pPr>
            <w:r>
              <w:rPr>
                <w:b w:val="0"/>
                <w:i w:val="0"/>
                <w:sz w:val="16"/>
              </w:rPr>
              <w:t>Next planned build</w:t>
            </w:r>
          </w:p>
        </w:tc>
      </w:tr>
      <w:tr>
        <w:trPr>
          <w:cantSplit/>
        </w:trPr>
        <w:tc>
          <w:tcPr>
            <w:tcW w:type="dxa" w:w="1361"/>
            <w:vAlign w:val="top"/>
            <w:shd w:val="clear" w:color="auto" w:fill="FDF0F7"/>
          </w:tcPr>
          <w:p>
            <w:pPr>
              <w:spacing w:after="20" w:line="252" w:lineRule="auto"/>
            </w:pPr>
            <w:r>
              <w:rPr>
                <w:b/>
                <w:i w:val="0"/>
                <w:sz w:val="16"/>
              </w:rPr>
              <w:t>Low</w:t>
            </w:r>
          </w:p>
        </w:tc>
        <w:tc>
          <w:tcPr>
            <w:tcW w:type="dxa" w:w="4876"/>
            <w:vAlign w:val="top"/>
            <w:shd w:val="clear" w:color="auto" w:fill="FDF0F7"/>
          </w:tcPr>
          <w:p>
            <w:pPr>
              <w:spacing w:after="20" w:line="252" w:lineRule="auto"/>
            </w:pPr>
            <w:r>
              <w:rPr>
                <w:b w:val="0"/>
                <w:i w:val="0"/>
                <w:sz w:val="16"/>
              </w:rPr>
              <w:t>Improvement; can follow go-live</w:t>
            </w:r>
          </w:p>
        </w:tc>
        <w:tc>
          <w:tcPr>
            <w:tcW w:type="dxa" w:w="3402"/>
            <w:vAlign w:val="top"/>
            <w:shd w:val="clear" w:color="auto" w:fill="FDF0F7"/>
          </w:tcPr>
          <w:p>
            <w:pPr>
              <w:spacing w:after="20" w:line="252" w:lineRule="auto"/>
            </w:pPr>
            <w:r>
              <w:rPr>
                <w:b w:val="0"/>
                <w:i w:val="0"/>
                <w:sz w:val="16"/>
              </w:rPr>
              <w:t>Backlog</w:t>
            </w:r>
          </w:p>
        </w:tc>
      </w:tr>
    </w:tbl>
    <w:p>
      <w:pPr>
        <w:pStyle w:val="Caption"/>
        <w:jc w:val="center"/>
      </w:pPr>
      <w:r>
        <w:rPr>
          <w:b w:val="0"/>
          <w:i w:val="0"/>
        </w:rPr>
        <w:t>Table 5: Defect priority</w:t>
      </w:r>
    </w:p>
    <w:p>
      <w:pPr>
        <w:pStyle w:val="Heading2"/>
      </w:pPr>
      <w:r>
        <w:t>5.1 Defect workflow</w:t>
      </w:r>
    </w:p>
    <w:p>
      <w:pPr>
        <w:keepNext/>
        <w:spacing w:after="60"/>
      </w:pPr>
      <w:r>
        <w:rPr>
          <w:b/>
          <w:i w:val="0"/>
        </w:rPr>
        <w:t>Steps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40" w:type="dxa"/>
          <w:left w:w="90" w:type="dxa"/>
          <w:bottom w:w="40" w:type="dxa"/>
          <w:right w:w="90" w:type="dxa"/>
        </w:tblCellMar>
        <w:tblLayout w:type="fixed"/>
      </w:tblPr>
      <w:tblGrid>
        <w:gridCol w:w="567"/>
        <w:gridCol w:w="9072"/>
      </w:tblGrid>
      <w:tr>
        <w:trPr>
          <w:cantSplit/>
          <w:tblHeader/>
        </w:trPr>
        <w:tc>
          <w:tcPr>
            <w:tcW w:type="dxa" w:w="567"/>
            <w:shd w:val="clear" w:color="auto" w:fill="E1058C"/>
            <w:vAlign w:val="center"/>
          </w:tcPr>
          <w:p>
            <w:pPr>
              <w:spacing w:after="0"/>
            </w:pPr>
            <w:r>
              <w:rPr>
                <w:b/>
                <w:i w:val="0"/>
                <w:color w:val="FFFFFF"/>
                <w:sz w:val="17"/>
              </w:rPr>
              <w:t>#</w:t>
            </w:r>
          </w:p>
        </w:tc>
        <w:tc>
          <w:tcPr>
            <w:tcW w:type="dxa" w:w="9071"/>
            <w:shd w:val="clear" w:color="auto" w:fill="E1058C"/>
            <w:vAlign w:val="center"/>
          </w:tcPr>
          <w:p>
            <w:pPr>
              <w:spacing w:after="0"/>
            </w:pPr>
            <w:r>
              <w:rPr>
                <w:b/>
                <w:i w:val="0"/>
                <w:color w:val="FFFFFF"/>
                <w:sz w:val="17"/>
              </w:rPr>
              <w:t>Action</w:t>
            </w:r>
          </w:p>
        </w:tc>
      </w:tr>
      <w:tr>
        <w:trPr>
          <w:cantSplit/>
        </w:trPr>
        <w:tc>
          <w:tcPr>
            <w:tcW w:type="dxa" w:w="567"/>
            <w:vAlign w:val="top"/>
          </w:tcPr>
          <w:p>
            <w:pPr>
              <w:spacing w:after="20" w:line="252" w:lineRule="auto"/>
              <w:jc w:val="center"/>
            </w:pPr>
            <w:r>
              <w:rPr>
                <w:b w:val="0"/>
                <w:i w:val="0"/>
                <w:sz w:val="17"/>
              </w:rPr>
              <w:t>1</w:t>
            </w:r>
          </w:p>
        </w:tc>
        <w:tc>
          <w:tcPr>
            <w:tcW w:type="dxa" w:w="9071"/>
            <w:vAlign w:val="top"/>
          </w:tcPr>
          <w:p>
            <w:pPr>
              <w:spacing w:after="20" w:line="252" w:lineRule="auto"/>
            </w:pPr>
            <w:r>
              <w:rPr>
                <w:b w:val="0"/>
                <w:i w:val="0"/>
                <w:sz w:val="17"/>
              </w:rPr>
              <w:t>Log the defect in the agreed tool with the case identifier, environment, build and evidence.</w:t>
            </w:r>
          </w:p>
        </w:tc>
      </w:tr>
      <w:tr>
        <w:trPr>
          <w:cantSplit/>
        </w:trPr>
        <w:tc>
          <w:tcPr>
            <w:tcW w:type="dxa" w:w="567"/>
            <w:vAlign w:val="top"/>
            <w:shd w:val="clear" w:color="auto" w:fill="FDF0F7"/>
          </w:tcPr>
          <w:p>
            <w:pPr>
              <w:spacing w:after="20" w:line="252" w:lineRule="auto"/>
              <w:jc w:val="center"/>
            </w:pPr>
            <w:r>
              <w:rPr>
                <w:b w:val="0"/>
                <w:i w:val="0"/>
                <w:sz w:val="17"/>
              </w:rPr>
              <w:t>2</w:t>
            </w:r>
          </w:p>
        </w:tc>
        <w:tc>
          <w:tcPr>
            <w:tcW w:type="dxa" w:w="9071"/>
            <w:vAlign w:val="top"/>
            <w:shd w:val="clear" w:color="auto" w:fill="FDF0F7"/>
          </w:tcPr>
          <w:p>
            <w:pPr>
              <w:spacing w:after="20" w:line="252" w:lineRule="auto"/>
            </w:pPr>
            <w:r>
              <w:rPr>
                <w:b w:val="0"/>
                <w:i w:val="0"/>
                <w:sz w:val="17"/>
              </w:rPr>
              <w:t>Triage (daily): confirm, set severity and priority, assign to iorta; reject duplicates or expected behaviour with a note.</w:t>
            </w:r>
          </w:p>
        </w:tc>
      </w:tr>
      <w:tr>
        <w:trPr>
          <w:cantSplit/>
        </w:trPr>
        <w:tc>
          <w:tcPr>
            <w:tcW w:type="dxa" w:w="567"/>
            <w:vAlign w:val="top"/>
          </w:tcPr>
          <w:p>
            <w:pPr>
              <w:spacing w:after="20" w:line="252" w:lineRule="auto"/>
              <w:jc w:val="center"/>
            </w:pPr>
            <w:r>
              <w:rPr>
                <w:b w:val="0"/>
                <w:i w:val="0"/>
                <w:sz w:val="17"/>
              </w:rPr>
              <w:t>3</w:t>
            </w:r>
          </w:p>
        </w:tc>
        <w:tc>
          <w:tcPr>
            <w:tcW w:type="dxa" w:w="9071"/>
            <w:vAlign w:val="top"/>
          </w:tcPr>
          <w:p>
            <w:pPr>
              <w:spacing w:after="20" w:line="252" w:lineRule="auto"/>
            </w:pPr>
            <w:r>
              <w:rPr>
                <w:b w:val="0"/>
                <w:i w:val="0"/>
                <w:sz w:val="17"/>
              </w:rPr>
              <w:t>Fix and unit-test; add or extend an automated case; deliver in the next build with release notes.</w:t>
            </w:r>
          </w:p>
        </w:tc>
      </w:tr>
      <w:tr>
        <w:trPr>
          <w:cantSplit/>
        </w:trPr>
        <w:tc>
          <w:tcPr>
            <w:tcW w:type="dxa" w:w="567"/>
            <w:vAlign w:val="top"/>
            <w:shd w:val="clear" w:color="auto" w:fill="FDF0F7"/>
          </w:tcPr>
          <w:p>
            <w:pPr>
              <w:spacing w:after="20" w:line="252" w:lineRule="auto"/>
              <w:jc w:val="center"/>
            </w:pPr>
            <w:r>
              <w:rPr>
                <w:b w:val="0"/>
                <w:i w:val="0"/>
                <w:sz w:val="17"/>
              </w:rPr>
              <w:t>4</w:t>
            </w:r>
          </w:p>
        </w:tc>
        <w:tc>
          <w:tcPr>
            <w:tcW w:type="dxa" w:w="9071"/>
            <w:vAlign w:val="top"/>
            <w:shd w:val="clear" w:color="auto" w:fill="FDF0F7"/>
          </w:tcPr>
          <w:p>
            <w:pPr>
              <w:spacing w:after="20" w:line="252" w:lineRule="auto"/>
            </w:pPr>
            <w:r>
              <w:rPr>
                <w:b w:val="0"/>
                <w:i w:val="0"/>
                <w:sz w:val="17"/>
              </w:rPr>
              <w:t>Re-test the case and the related regression set; close or re-open with evidence.</w:t>
            </w:r>
          </w:p>
        </w:tc>
      </w:tr>
      <w:tr>
        <w:trPr>
          <w:cantSplit/>
        </w:trPr>
        <w:tc>
          <w:tcPr>
            <w:tcW w:type="dxa" w:w="567"/>
            <w:vAlign w:val="top"/>
          </w:tcPr>
          <w:p>
            <w:pPr>
              <w:spacing w:after="20" w:line="252" w:lineRule="auto"/>
              <w:jc w:val="center"/>
            </w:pPr>
            <w:r>
              <w:rPr>
                <w:b w:val="0"/>
                <w:i w:val="0"/>
                <w:sz w:val="17"/>
              </w:rPr>
              <w:t>5</w:t>
            </w:r>
          </w:p>
        </w:tc>
        <w:tc>
          <w:tcPr>
            <w:tcW w:type="dxa" w:w="9071"/>
            <w:vAlign w:val="top"/>
          </w:tcPr>
          <w:p>
            <w:pPr>
              <w:spacing w:after="20" w:line="252" w:lineRule="auto"/>
            </w:pPr>
            <w:r>
              <w:rPr>
                <w:b w:val="0"/>
                <w:i w:val="0"/>
                <w:sz w:val="17"/>
              </w:rPr>
              <w:t>Report open defects by severity and age in the daily and weekly reports; agree deferrals with IIFT.</w:t>
            </w:r>
          </w:p>
        </w:tc>
      </w:tr>
    </w:tbl>
    <w:p>
      <w:pPr>
        <w:spacing w:after="0" w:before="0"/>
      </w:pPr>
      <w:r>
        <w:rPr>
          <w:sz w:val="8"/>
        </w:rPr>
      </w:r>
    </w:p>
    <w:p>
      <w:pPr>
        <w:pStyle w:val="Heading1"/>
        <w:pageBreakBefore/>
        <w:pBdr>
          <w:bottom w:val="single" w:sz="12" w:space="4" w:color="F58220"/>
        </w:pBdr>
      </w:pPr>
      <w:r>
        <w:t>6. Roles and responsibilities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608"/>
        <w:gridCol w:w="7030"/>
      </w:tblGrid>
      <w:tr>
        <w:trPr>
          <w:cantSplit/>
          <w:tblHeader/>
        </w:trPr>
        <w:tc>
          <w:tcPr>
            <w:tcW w:type="dxa" w:w="2608"/>
            <w:shd w:val="clear" w:color="auto" w:fill="E1058C"/>
            <w:vAlign w:val="center"/>
          </w:tcPr>
          <w:p>
            <w:pPr>
              <w:spacing w:after="0"/>
            </w:pPr>
            <w:r>
              <w:rPr>
                <w:b/>
                <w:i w:val="0"/>
                <w:color w:val="FFFFFF"/>
                <w:sz w:val="16"/>
              </w:rPr>
              <w:t>Role</w:t>
            </w:r>
          </w:p>
        </w:tc>
        <w:tc>
          <w:tcPr>
            <w:tcW w:type="dxa" w:w="7030"/>
            <w:shd w:val="clear" w:color="auto" w:fill="E1058C"/>
            <w:vAlign w:val="center"/>
          </w:tcPr>
          <w:p>
            <w:pPr>
              <w:spacing w:after="0"/>
            </w:pPr>
            <w:r>
              <w:rPr>
                <w:b/>
                <w:i w:val="0"/>
                <w:color w:val="FFFFFF"/>
                <w:sz w:val="16"/>
              </w:rPr>
              <w:t>Responsibilities</w:t>
            </w:r>
          </w:p>
        </w:tc>
      </w:tr>
      <w:tr>
        <w:trPr>
          <w:cantSplit/>
        </w:trPr>
        <w:tc>
          <w:tcPr>
            <w:tcW w:type="dxa" w:w="2608"/>
            <w:vAlign w:val="top"/>
          </w:tcPr>
          <w:p>
            <w:pPr>
              <w:spacing w:after="20" w:line="252" w:lineRule="auto"/>
            </w:pPr>
            <w:r>
              <w:rPr>
                <w:b/>
                <w:i w:val="0"/>
                <w:sz w:val="16"/>
              </w:rPr>
              <w:t>Test manager (iorta)</w:t>
            </w:r>
          </w:p>
        </w:tc>
        <w:tc>
          <w:tcPr>
            <w:tcW w:type="dxa" w:w="7030"/>
            <w:vAlign w:val="top"/>
          </w:tcPr>
          <w:p>
            <w:pPr>
              <w:spacing w:after="20" w:line="252" w:lineRule="auto"/>
            </w:pPr>
            <w:r>
              <w:rPr>
                <w:b w:val="0"/>
                <w:i w:val="0"/>
                <w:sz w:val="16"/>
              </w:rPr>
              <w:t>Owns this strategy, the workbook, entry/exit decisions, defect triage, reporting</w:t>
            </w:r>
          </w:p>
        </w:tc>
      </w:tr>
      <w:tr>
        <w:trPr>
          <w:cantSplit/>
        </w:trPr>
        <w:tc>
          <w:tcPr>
            <w:tcW w:type="dxa" w:w="2608"/>
            <w:vAlign w:val="top"/>
            <w:shd w:val="clear" w:color="auto" w:fill="FDF0F7"/>
          </w:tcPr>
          <w:p>
            <w:pPr>
              <w:spacing w:after="20" w:line="252" w:lineRule="auto"/>
            </w:pPr>
            <w:r>
              <w:rPr>
                <w:b/>
                <w:i w:val="0"/>
                <w:sz w:val="16"/>
              </w:rPr>
              <w:t>QA engineers (iorta)</w:t>
            </w:r>
          </w:p>
        </w:tc>
        <w:tc>
          <w:tcPr>
            <w:tcW w:type="dxa" w:w="7030"/>
            <w:vAlign w:val="top"/>
            <w:shd w:val="clear" w:color="auto" w:fill="FDF0F7"/>
          </w:tcPr>
          <w:p>
            <w:pPr>
              <w:spacing w:after="20" w:line="252" w:lineRule="auto"/>
            </w:pPr>
            <w:r>
              <w:rPr>
                <w:b w:val="0"/>
                <w:i w:val="0"/>
                <w:sz w:val="16"/>
              </w:rPr>
              <w:t>Write and run cases, maintain the automated suites and the API run script, record evidence, re-test fixes</w:t>
            </w:r>
          </w:p>
        </w:tc>
      </w:tr>
      <w:tr>
        <w:trPr>
          <w:cantSplit/>
        </w:trPr>
        <w:tc>
          <w:tcPr>
            <w:tcW w:type="dxa" w:w="2608"/>
            <w:vAlign w:val="top"/>
          </w:tcPr>
          <w:p>
            <w:pPr>
              <w:spacing w:after="20" w:line="252" w:lineRule="auto"/>
            </w:pPr>
            <w:r>
              <w:rPr>
                <w:b/>
                <w:i w:val="0"/>
                <w:sz w:val="16"/>
              </w:rPr>
              <w:t>Developers (iorta)</w:t>
            </w:r>
          </w:p>
        </w:tc>
        <w:tc>
          <w:tcPr>
            <w:tcW w:type="dxa" w:w="7030"/>
            <w:vAlign w:val="top"/>
          </w:tcPr>
          <w:p>
            <w:pPr>
              <w:spacing w:after="20" w:line="252" w:lineRule="auto"/>
            </w:pPr>
            <w:r>
              <w:rPr>
                <w:b w:val="0"/>
                <w:i w:val="0"/>
                <w:sz w:val="16"/>
              </w:rPr>
              <w:t>Unit and API tests with every change; fix defects; support SIT and UAT</w:t>
            </w:r>
          </w:p>
        </w:tc>
      </w:tr>
      <w:tr>
        <w:trPr>
          <w:cantSplit/>
        </w:trPr>
        <w:tc>
          <w:tcPr>
            <w:tcW w:type="dxa" w:w="2608"/>
            <w:vAlign w:val="top"/>
            <w:shd w:val="clear" w:color="auto" w:fill="FDF0F7"/>
          </w:tcPr>
          <w:p>
            <w:pPr>
              <w:spacing w:after="20" w:line="252" w:lineRule="auto"/>
            </w:pPr>
            <w:r>
              <w:rPr>
                <w:b/>
                <w:i w:val="0"/>
                <w:sz w:val="16"/>
              </w:rPr>
              <w:t>DevOps and security engineer (iorta)</w:t>
            </w:r>
          </w:p>
        </w:tc>
        <w:tc>
          <w:tcPr>
            <w:tcW w:type="dxa" w:w="7030"/>
            <w:vAlign w:val="top"/>
            <w:shd w:val="clear" w:color="auto" w:fill="FDF0F7"/>
          </w:tcPr>
          <w:p>
            <w:pPr>
              <w:spacing w:after="20" w:line="252" w:lineRule="auto"/>
            </w:pPr>
            <w:r>
              <w:rPr>
                <w:b w:val="0"/>
                <w:i w:val="0"/>
                <w:sz w:val="16"/>
              </w:rPr>
              <w:t>CI gates, environments, performance tests, VAPT coordination and remediation tracking</w:t>
            </w:r>
          </w:p>
        </w:tc>
      </w:tr>
      <w:tr>
        <w:trPr>
          <w:cantSplit/>
        </w:trPr>
        <w:tc>
          <w:tcPr>
            <w:tcW w:type="dxa" w:w="2608"/>
            <w:vAlign w:val="top"/>
          </w:tcPr>
          <w:p>
            <w:pPr>
              <w:spacing w:after="20" w:line="252" w:lineRule="auto"/>
            </w:pPr>
            <w:r>
              <w:rPr>
                <w:b/>
                <w:i w:val="0"/>
                <w:sz w:val="16"/>
              </w:rPr>
              <w:t>Business analyst (iorta)</w:t>
            </w:r>
          </w:p>
        </w:tc>
        <w:tc>
          <w:tcPr>
            <w:tcW w:type="dxa" w:w="7030"/>
            <w:vAlign w:val="top"/>
          </w:tcPr>
          <w:p>
            <w:pPr>
              <w:spacing w:after="20" w:line="252" w:lineRule="auto"/>
            </w:pPr>
            <w:r>
              <w:rPr>
                <w:b w:val="0"/>
                <w:i w:val="0"/>
                <w:sz w:val="16"/>
              </w:rPr>
              <w:t>Scenario review against the BRS/FRS and Appendix 3 flows; UAT script preparation and support</w:t>
            </w:r>
          </w:p>
        </w:tc>
      </w:tr>
      <w:tr>
        <w:trPr>
          <w:cantSplit/>
        </w:trPr>
        <w:tc>
          <w:tcPr>
            <w:tcW w:type="dxa" w:w="2608"/>
            <w:vAlign w:val="top"/>
            <w:shd w:val="clear" w:color="auto" w:fill="FDF0F7"/>
          </w:tcPr>
          <w:p>
            <w:pPr>
              <w:spacing w:after="20" w:line="252" w:lineRule="auto"/>
            </w:pPr>
            <w:r>
              <w:rPr>
                <w:b/>
                <w:i w:val="0"/>
                <w:sz w:val="16"/>
              </w:rPr>
              <w:t>IIFT UAT testers / super-users</w:t>
            </w:r>
          </w:p>
        </w:tc>
        <w:tc>
          <w:tcPr>
            <w:tcW w:type="dxa" w:w="7030"/>
            <w:vAlign w:val="top"/>
            <w:shd w:val="clear" w:color="auto" w:fill="FDF0F7"/>
          </w:tcPr>
          <w:p>
            <w:pPr>
              <w:spacing w:after="20" w:line="252" w:lineRule="auto"/>
            </w:pPr>
            <w:r>
              <w:rPr>
                <w:b w:val="0"/>
                <w:i w:val="0"/>
                <w:sz w:val="16"/>
              </w:rPr>
              <w:t>Execute UAT scripts, record results and defects, confirm business acceptance; browser checks on IIFT devices</w:t>
            </w:r>
          </w:p>
        </w:tc>
      </w:tr>
      <w:tr>
        <w:trPr>
          <w:cantSplit/>
        </w:trPr>
        <w:tc>
          <w:tcPr>
            <w:tcW w:type="dxa" w:w="2608"/>
            <w:vAlign w:val="top"/>
          </w:tcPr>
          <w:p>
            <w:pPr>
              <w:spacing w:after="20" w:line="252" w:lineRule="auto"/>
            </w:pPr>
            <w:r>
              <w:rPr>
                <w:b/>
                <w:i w:val="0"/>
                <w:sz w:val="16"/>
              </w:rPr>
              <w:t>IIFT product and business owners</w:t>
            </w:r>
          </w:p>
        </w:tc>
        <w:tc>
          <w:tcPr>
            <w:tcW w:type="dxa" w:w="7030"/>
            <w:vAlign w:val="top"/>
          </w:tcPr>
          <w:p>
            <w:pPr>
              <w:spacing w:after="20" w:line="252" w:lineRule="auto"/>
            </w:pPr>
            <w:r>
              <w:rPr>
                <w:b w:val="0"/>
                <w:i w:val="0"/>
                <w:sz w:val="16"/>
              </w:rPr>
              <w:t>Approve UAT scripts and exit; decide on deferrals; sign the UAT certificate</w:t>
            </w:r>
          </w:p>
        </w:tc>
      </w:tr>
      <w:tr>
        <w:trPr>
          <w:cantSplit/>
        </w:trPr>
        <w:tc>
          <w:tcPr>
            <w:tcW w:type="dxa" w:w="2608"/>
            <w:vAlign w:val="top"/>
            <w:shd w:val="clear" w:color="auto" w:fill="FDF0F7"/>
          </w:tcPr>
          <w:p>
            <w:pPr>
              <w:spacing w:after="20" w:line="252" w:lineRule="auto"/>
            </w:pPr>
            <w:r>
              <w:rPr>
                <w:b/>
                <w:i w:val="0"/>
                <w:sz w:val="16"/>
              </w:rPr>
              <w:t>IITH IT</w:t>
            </w:r>
          </w:p>
        </w:tc>
        <w:tc>
          <w:tcPr>
            <w:tcW w:type="dxa" w:w="7030"/>
            <w:vAlign w:val="top"/>
            <w:shd w:val="clear" w:color="auto" w:fill="FDF0F7"/>
          </w:tcPr>
          <w:p>
            <w:pPr>
              <w:spacing w:after="20" w:line="252" w:lineRule="auto"/>
            </w:pPr>
            <w:r>
              <w:rPr>
                <w:b w:val="0"/>
                <w:i w:val="0"/>
                <w:sz w:val="16"/>
              </w:rPr>
              <w:t>SIT and UAT environments, interface test endpoints and credentials, AD, SMTP, SMS, monitoring, backup/DR drills; participation in SIT of interfaces</w:t>
            </w:r>
          </w:p>
        </w:tc>
      </w:tr>
      <w:tr>
        <w:trPr>
          <w:cantSplit/>
        </w:trPr>
        <w:tc>
          <w:tcPr>
            <w:tcW w:type="dxa" w:w="2608"/>
            <w:vAlign w:val="top"/>
          </w:tcPr>
          <w:p>
            <w:pPr>
              <w:spacing w:after="20" w:line="252" w:lineRule="auto"/>
            </w:pPr>
            <w:r>
              <w:rPr>
                <w:b/>
                <w:i w:val="0"/>
                <w:sz w:val="16"/>
              </w:rPr>
              <w:t>Independent VAPT provider</w:t>
            </w:r>
          </w:p>
        </w:tc>
        <w:tc>
          <w:tcPr>
            <w:tcW w:type="dxa" w:w="7030"/>
            <w:vAlign w:val="top"/>
          </w:tcPr>
          <w:p>
            <w:pPr>
              <w:spacing w:after="20" w:line="252" w:lineRule="auto"/>
            </w:pPr>
            <w:r>
              <w:rPr>
                <w:b w:val="0"/>
                <w:i w:val="0"/>
                <w:sz w:val="16"/>
              </w:rPr>
              <w:t>Vulnerability assessment and penetration test, re-test, report</w:t>
            </w:r>
          </w:p>
        </w:tc>
      </w:tr>
    </w:tbl>
    <w:p>
      <w:pPr>
        <w:pStyle w:val="Caption"/>
        <w:jc w:val="center"/>
      </w:pPr>
      <w:r>
        <w:rPr>
          <w:b w:val="0"/>
          <w:i w:val="0"/>
        </w:rPr>
        <w:t>Table 6: Roles</w:t>
      </w:r>
    </w:p>
    <w:p>
      <w:pPr>
        <w:pStyle w:val="Heading1"/>
        <w:pageBreakBefore/>
        <w:pBdr>
          <w:bottom w:val="single" w:sz="12" w:space="4" w:color="F58220"/>
        </w:pBdr>
      </w:pPr>
      <w:r>
        <w:t>7. Tooling</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061"/>
        <w:gridCol w:w="6577"/>
      </w:tblGrid>
      <w:tr>
        <w:trPr>
          <w:cantSplit/>
          <w:tblHeader/>
        </w:trPr>
        <w:tc>
          <w:tcPr>
            <w:tcW w:type="dxa" w:w="3061"/>
            <w:shd w:val="clear" w:color="auto" w:fill="E1058C"/>
            <w:vAlign w:val="center"/>
          </w:tcPr>
          <w:p>
            <w:pPr>
              <w:spacing w:after="0"/>
            </w:pPr>
            <w:r>
              <w:rPr>
                <w:b/>
                <w:i w:val="0"/>
                <w:color w:val="FFFFFF"/>
                <w:sz w:val="16"/>
              </w:rPr>
              <w:t>Tool</w:t>
            </w:r>
          </w:p>
        </w:tc>
        <w:tc>
          <w:tcPr>
            <w:tcW w:type="dxa" w:w="6576"/>
            <w:shd w:val="clear" w:color="auto" w:fill="E1058C"/>
            <w:vAlign w:val="center"/>
          </w:tcPr>
          <w:p>
            <w:pPr>
              <w:spacing w:after="0"/>
            </w:pPr>
            <w:r>
              <w:rPr>
                <w:b/>
                <w:i w:val="0"/>
                <w:color w:val="FFFFFF"/>
                <w:sz w:val="16"/>
              </w:rPr>
              <w:t>Use</w:t>
            </w:r>
          </w:p>
        </w:tc>
      </w:tr>
      <w:tr>
        <w:trPr>
          <w:cantSplit/>
        </w:trPr>
        <w:tc>
          <w:tcPr>
            <w:tcW w:type="dxa" w:w="3061"/>
            <w:vAlign w:val="top"/>
          </w:tcPr>
          <w:p>
            <w:pPr>
              <w:spacing w:after="20" w:line="252" w:lineRule="auto"/>
            </w:pPr>
            <w:r>
              <w:rPr>
                <w:b/>
                <w:i w:val="0"/>
                <w:sz w:val="16"/>
              </w:rPr>
              <w:t>Vitest</w:t>
            </w:r>
          </w:p>
        </w:tc>
        <w:tc>
          <w:tcPr>
            <w:tcW w:type="dxa" w:w="6576"/>
            <w:vAlign w:val="top"/>
          </w:tcPr>
          <w:p>
            <w:pPr>
              <w:spacing w:after="20" w:line="252" w:lineRule="auto"/>
            </w:pPr>
            <w:r>
              <w:rPr>
                <w:b w:val="0"/>
                <w:i w:val="0"/>
                <w:sz w:val="16"/>
              </w:rPr>
              <w:t>Unit and API/end-to-end test runner (JSON reports kept as evidence)</w:t>
            </w:r>
          </w:p>
        </w:tc>
      </w:tr>
      <w:tr>
        <w:trPr>
          <w:cantSplit/>
        </w:trPr>
        <w:tc>
          <w:tcPr>
            <w:tcW w:type="dxa" w:w="3061"/>
            <w:vAlign w:val="top"/>
            <w:shd w:val="clear" w:color="auto" w:fill="FDF0F7"/>
          </w:tcPr>
          <w:p>
            <w:pPr>
              <w:spacing w:after="20" w:line="252" w:lineRule="auto"/>
            </w:pPr>
            <w:r>
              <w:rPr>
                <w:b/>
                <w:i w:val="0"/>
                <w:sz w:val="16"/>
              </w:rPr>
              <w:t>supertest</w:t>
            </w:r>
          </w:p>
        </w:tc>
        <w:tc>
          <w:tcPr>
            <w:tcW w:type="dxa" w:w="6576"/>
            <w:vAlign w:val="top"/>
            <w:shd w:val="clear" w:color="auto" w:fill="FDF0F7"/>
          </w:tcPr>
          <w:p>
            <w:pPr>
              <w:spacing w:after="20" w:line="252" w:lineRule="auto"/>
            </w:pPr>
            <w:r>
              <w:rPr>
                <w:b w:val="0"/>
                <w:i w:val="0"/>
                <w:sz w:val="16"/>
              </w:rPr>
              <w:t>HTTP calls against the application in the end-to-end suite</w:t>
            </w:r>
          </w:p>
        </w:tc>
      </w:tr>
      <w:tr>
        <w:trPr>
          <w:cantSplit/>
        </w:trPr>
        <w:tc>
          <w:tcPr>
            <w:tcW w:type="dxa" w:w="3061"/>
            <w:vAlign w:val="top"/>
          </w:tcPr>
          <w:p>
            <w:pPr>
              <w:spacing w:after="20" w:line="252" w:lineRule="auto"/>
            </w:pPr>
            <w:r>
              <w:rPr>
                <w:b/>
                <w:i w:val="0"/>
                <w:sz w:val="16"/>
              </w:rPr>
              <w:t>Testing Library + jsdom</w:t>
            </w:r>
          </w:p>
        </w:tc>
        <w:tc>
          <w:tcPr>
            <w:tcW w:type="dxa" w:w="6576"/>
            <w:vAlign w:val="top"/>
          </w:tcPr>
          <w:p>
            <w:pPr>
              <w:spacing w:after="20" w:line="252" w:lineRule="auto"/>
            </w:pPr>
            <w:r>
              <w:rPr>
                <w:b w:val="0"/>
                <w:i w:val="0"/>
                <w:sz w:val="16"/>
              </w:rPr>
              <w:t>Web component tests</w:t>
            </w:r>
          </w:p>
        </w:tc>
      </w:tr>
      <w:tr>
        <w:trPr>
          <w:cantSplit/>
        </w:trPr>
        <w:tc>
          <w:tcPr>
            <w:tcW w:type="dxa" w:w="3061"/>
            <w:vAlign w:val="top"/>
            <w:shd w:val="clear" w:color="auto" w:fill="FDF0F7"/>
          </w:tcPr>
          <w:p>
            <w:pPr>
              <w:spacing w:after="20" w:line="252" w:lineRule="auto"/>
            </w:pPr>
            <w:r>
              <w:rPr>
                <w:b/>
                <w:i w:val="0"/>
                <w:sz w:val="16"/>
              </w:rPr>
              <w:t>Playwright</w:t>
            </w:r>
          </w:p>
        </w:tc>
        <w:tc>
          <w:tcPr>
            <w:tcW w:type="dxa" w:w="6576"/>
            <w:vAlign w:val="top"/>
            <w:shd w:val="clear" w:color="auto" w:fill="FDF0F7"/>
          </w:tcPr>
          <w:p>
            <w:pPr>
              <w:spacing w:after="20" w:line="252" w:lineRule="auto"/>
            </w:pPr>
            <w:r>
              <w:rPr>
                <w:b w:val="0"/>
                <w:i w:val="0"/>
                <w:sz w:val="16"/>
              </w:rPr>
              <w:t>Browser smoke and regression suite (SIT onwards)</w:t>
            </w:r>
          </w:p>
        </w:tc>
      </w:tr>
      <w:tr>
        <w:trPr>
          <w:cantSplit/>
        </w:trPr>
        <w:tc>
          <w:tcPr>
            <w:tcW w:type="dxa" w:w="3061"/>
            <w:vAlign w:val="top"/>
          </w:tcPr>
          <w:p>
            <w:pPr>
              <w:spacing w:after="20" w:line="252" w:lineRule="auto"/>
            </w:pPr>
            <w:r>
              <w:rPr>
                <w:b/>
                <w:i w:val="0"/>
                <w:sz w:val="16"/>
              </w:rPr>
              <w:t>tools/testing/api-test-run.mjs</w:t>
            </w:r>
          </w:p>
        </w:tc>
        <w:tc>
          <w:tcPr>
            <w:tcW w:type="dxa" w:w="6576"/>
            <w:vAlign w:val="top"/>
          </w:tcPr>
          <w:p>
            <w:pPr>
              <w:spacing w:after="20" w:line="252" w:lineRule="auto"/>
            </w:pPr>
            <w:r>
              <w:rPr>
                <w:b w:val="0"/>
                <w:i w:val="0"/>
                <w:sz w:val="16"/>
              </w:rPr>
              <w:t>Scripted system cases against a running instance; writes evidence/api-test-run.json</w:t>
            </w:r>
          </w:p>
        </w:tc>
      </w:tr>
      <w:tr>
        <w:trPr>
          <w:cantSplit/>
        </w:trPr>
        <w:tc>
          <w:tcPr>
            <w:tcW w:type="dxa" w:w="3061"/>
            <w:vAlign w:val="top"/>
            <w:shd w:val="clear" w:color="auto" w:fill="FDF0F7"/>
          </w:tcPr>
          <w:p>
            <w:pPr>
              <w:spacing w:after="20" w:line="252" w:lineRule="auto"/>
            </w:pPr>
            <w:r>
              <w:rPr>
                <w:b/>
                <w:i w:val="0"/>
                <w:sz w:val="16"/>
              </w:rPr>
              <w:t>tools/security/security-checks.mjs</w:t>
            </w:r>
          </w:p>
        </w:tc>
        <w:tc>
          <w:tcPr>
            <w:tcW w:type="dxa" w:w="6576"/>
            <w:vAlign w:val="top"/>
            <w:shd w:val="clear" w:color="auto" w:fill="FDF0F7"/>
          </w:tcPr>
          <w:p>
            <w:pPr>
              <w:spacing w:after="20" w:line="252" w:lineRule="auto"/>
            </w:pPr>
            <w:r>
              <w:rPr>
                <w:b w:val="0"/>
                <w:i w:val="0"/>
                <w:sz w:val="16"/>
              </w:rPr>
              <w:t>29 OWASP Top 10 checks; evidence/security-checks.json</w:t>
            </w:r>
          </w:p>
        </w:tc>
      </w:tr>
      <w:tr>
        <w:trPr>
          <w:cantSplit/>
        </w:trPr>
        <w:tc>
          <w:tcPr>
            <w:tcW w:type="dxa" w:w="3061"/>
            <w:vAlign w:val="top"/>
          </w:tcPr>
          <w:p>
            <w:pPr>
              <w:spacing w:after="20" w:line="252" w:lineRule="auto"/>
            </w:pPr>
            <w:r>
              <w:rPr>
                <w:b/>
                <w:i w:val="0"/>
                <w:sz w:val="16"/>
              </w:rPr>
              <w:t>CodeQL, gitleaks, npm audit, Trivy, CycloneDX SBOM</w:t>
            </w:r>
          </w:p>
        </w:tc>
        <w:tc>
          <w:tcPr>
            <w:tcW w:type="dxa" w:w="6576"/>
            <w:vAlign w:val="top"/>
          </w:tcPr>
          <w:p>
            <w:pPr>
              <w:spacing w:after="20" w:line="252" w:lineRule="auto"/>
            </w:pPr>
            <w:r>
              <w:rPr>
                <w:b w:val="0"/>
                <w:i w:val="0"/>
                <w:sz w:val="16"/>
              </w:rPr>
              <w:t>CI security gates</w:t>
            </w:r>
          </w:p>
        </w:tc>
      </w:tr>
      <w:tr>
        <w:trPr>
          <w:cantSplit/>
        </w:trPr>
        <w:tc>
          <w:tcPr>
            <w:tcW w:type="dxa" w:w="3061"/>
            <w:vAlign w:val="top"/>
            <w:shd w:val="clear" w:color="auto" w:fill="FDF0F7"/>
          </w:tcPr>
          <w:p>
            <w:pPr>
              <w:spacing w:after="20" w:line="252" w:lineRule="auto"/>
            </w:pPr>
            <w:r>
              <w:rPr>
                <w:b/>
                <w:i w:val="0"/>
                <w:sz w:val="16"/>
              </w:rPr>
              <w:t>k6, Grafana, Prometheus</w:t>
            </w:r>
          </w:p>
        </w:tc>
        <w:tc>
          <w:tcPr>
            <w:tcW w:type="dxa" w:w="6576"/>
            <w:vAlign w:val="top"/>
            <w:shd w:val="clear" w:color="auto" w:fill="FDF0F7"/>
          </w:tcPr>
          <w:p>
            <w:pPr>
              <w:spacing w:after="20" w:line="252" w:lineRule="auto"/>
            </w:pPr>
            <w:r>
              <w:rPr>
                <w:b w:val="0"/>
                <w:i w:val="0"/>
                <w:sz w:val="16"/>
              </w:rPr>
              <w:t>Performance scenarios and measurements</w:t>
            </w:r>
          </w:p>
        </w:tc>
      </w:tr>
      <w:tr>
        <w:trPr>
          <w:cantSplit/>
        </w:trPr>
        <w:tc>
          <w:tcPr>
            <w:tcW w:type="dxa" w:w="3061"/>
            <w:vAlign w:val="top"/>
          </w:tcPr>
          <w:p>
            <w:pPr>
              <w:spacing w:after="20" w:line="252" w:lineRule="auto"/>
            </w:pPr>
            <w:r>
              <w:rPr>
                <w:b/>
                <w:i w:val="0"/>
                <w:sz w:val="16"/>
              </w:rPr>
              <w:t>Issues module / IIFT's defect tool</w:t>
            </w:r>
          </w:p>
        </w:tc>
        <w:tc>
          <w:tcPr>
            <w:tcW w:type="dxa" w:w="6576"/>
            <w:vAlign w:val="top"/>
          </w:tcPr>
          <w:p>
            <w:pPr>
              <w:spacing w:after="20" w:line="252" w:lineRule="auto"/>
            </w:pPr>
            <w:r>
              <w:rPr>
                <w:b w:val="0"/>
                <w:i w:val="0"/>
                <w:sz w:val="16"/>
              </w:rPr>
              <w:t>Defect log during SIT and UAT (IIFT's tool if preferred; export to the SIT and UAT results reports)</w:t>
            </w:r>
          </w:p>
        </w:tc>
      </w:tr>
      <w:tr>
        <w:trPr>
          <w:cantSplit/>
        </w:trPr>
        <w:tc>
          <w:tcPr>
            <w:tcW w:type="dxa" w:w="3061"/>
            <w:vAlign w:val="top"/>
            <w:shd w:val="clear" w:color="auto" w:fill="FDF0F7"/>
          </w:tcPr>
          <w:p>
            <w:pPr>
              <w:spacing w:after="20" w:line="252" w:lineRule="auto"/>
            </w:pPr>
            <w:r>
              <w:rPr>
                <w:b/>
                <w:i w:val="0"/>
                <w:sz w:val="16"/>
              </w:rPr>
              <w:t>docs/technical/build</w:t>
            </w:r>
          </w:p>
        </w:tc>
        <w:tc>
          <w:tcPr>
            <w:tcW w:type="dxa" w:w="6576"/>
            <w:vAlign w:val="top"/>
            <w:shd w:val="clear" w:color="auto" w:fill="FDF0F7"/>
          </w:tcPr>
          <w:p>
            <w:pPr>
              <w:spacing w:after="20" w:line="252" w:lineRule="auto"/>
            </w:pPr>
            <w:r>
              <w:rPr>
                <w:b w:val="0"/>
                <w:i w:val="0"/>
                <w:sz w:val="16"/>
              </w:rPr>
              <w:t>Generates this strategy and the workbook from the catalogue and the evidence files</w:t>
            </w:r>
          </w:p>
        </w:tc>
      </w:tr>
    </w:tbl>
    <w:p>
      <w:pPr>
        <w:pStyle w:val="Caption"/>
        <w:jc w:val="center"/>
      </w:pPr>
      <w:r>
        <w:rPr>
          <w:b w:val="0"/>
          <w:i w:val="0"/>
        </w:rPr>
        <w:t>Table 7: Tools</w:t>
      </w:r>
    </w:p>
    <w:p>
      <w:pPr>
        <w:keepNext w:val="0"/>
      </w:pPr>
      <w:r>
        <w:rPr>
          <w:b w:val="0"/>
          <w:i w:val="0"/>
        </w:rPr>
        <w:t>Every automated run writes a JSON report that is kept under docs/technical/evidence and read when the workbook and this document are rebuilt, so the recorded status is always the result of a real run, never a typed value.</w:t>
      </w:r>
    </w:p>
    <w:p>
      <w:pPr>
        <w:pStyle w:val="Heading1"/>
        <w:pageBreakBefore/>
        <w:pBdr>
          <w:bottom w:val="single" w:sz="12" w:space="4" w:color="F58220"/>
        </w:pBdr>
      </w:pPr>
      <w:r>
        <w:t>8. Traceability</w:t>
      </w:r>
    </w:p>
    <w:p>
      <w:pPr>
        <w:keepNext w:val="0"/>
      </w:pPr>
      <w:r>
        <w:rPr>
          <w:b w:val="0"/>
          <w:i w:val="0"/>
        </w:rPr>
        <w:t>Traceability runs from the RFP requirement to the executed case in four links, all held in the workbook:</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567"/>
        <w:gridCol w:w="1701"/>
        <w:gridCol w:w="2835"/>
        <w:gridCol w:w="4536"/>
      </w:tblGrid>
      <w:tr>
        <w:trPr>
          <w:cantSplit/>
          <w:tblHeader/>
        </w:trPr>
        <w:tc>
          <w:tcPr>
            <w:tcW w:type="dxa" w:w="567"/>
            <w:shd w:val="clear" w:color="auto" w:fill="E1058C"/>
            <w:vAlign w:val="center"/>
          </w:tcPr>
          <w:p>
            <w:pPr>
              <w:spacing w:after="0"/>
            </w:pPr>
            <w:r>
              <w:rPr>
                <w:b/>
                <w:i w:val="0"/>
                <w:color w:val="FFFFFF"/>
                <w:sz w:val="16"/>
              </w:rPr>
              <w:t>Link</w:t>
            </w:r>
          </w:p>
        </w:tc>
        <w:tc>
          <w:tcPr>
            <w:tcW w:type="dxa" w:w="1701"/>
            <w:shd w:val="clear" w:color="auto" w:fill="E1058C"/>
            <w:vAlign w:val="center"/>
          </w:tcPr>
          <w:p>
            <w:pPr>
              <w:spacing w:after="0"/>
            </w:pPr>
            <w:r>
              <w:rPr>
                <w:b/>
                <w:i w:val="0"/>
                <w:color w:val="FFFFFF"/>
                <w:sz w:val="16"/>
              </w:rPr>
              <w:t>Artefact</w:t>
            </w:r>
          </w:p>
        </w:tc>
        <w:tc>
          <w:tcPr>
            <w:tcW w:type="dxa" w:w="2835"/>
            <w:shd w:val="clear" w:color="auto" w:fill="E1058C"/>
            <w:vAlign w:val="center"/>
          </w:tcPr>
          <w:p>
            <w:pPr>
              <w:spacing w:after="0"/>
            </w:pPr>
            <w:r>
              <w:rPr>
                <w:b/>
                <w:i w:val="0"/>
                <w:color w:val="FFFFFF"/>
                <w:sz w:val="16"/>
              </w:rPr>
              <w:t>Identifier</w:t>
            </w:r>
          </w:p>
        </w:tc>
        <w:tc>
          <w:tcPr>
            <w:tcW w:type="dxa" w:w="4535"/>
            <w:shd w:val="clear" w:color="auto" w:fill="E1058C"/>
            <w:vAlign w:val="center"/>
          </w:tcPr>
          <w:p>
            <w:pPr>
              <w:spacing w:after="0"/>
            </w:pPr>
            <w:r>
              <w:rPr>
                <w:b/>
                <w:i w:val="0"/>
                <w:color w:val="FFFFFF"/>
                <w:sz w:val="16"/>
              </w:rPr>
              <w:t>Content</w:t>
            </w:r>
          </w:p>
        </w:tc>
      </w:tr>
      <w:tr>
        <w:trPr>
          <w:cantSplit/>
        </w:trPr>
        <w:tc>
          <w:tcPr>
            <w:tcW w:type="dxa" w:w="567"/>
            <w:vAlign w:val="top"/>
          </w:tcPr>
          <w:p>
            <w:pPr>
              <w:spacing w:after="20" w:line="252" w:lineRule="auto"/>
              <w:jc w:val="center"/>
            </w:pPr>
            <w:r>
              <w:rPr>
                <w:b w:val="0"/>
                <w:i w:val="0"/>
                <w:sz w:val="16"/>
              </w:rPr>
              <w:t>1</w:t>
            </w:r>
          </w:p>
        </w:tc>
        <w:tc>
          <w:tcPr>
            <w:tcW w:type="dxa" w:w="1701"/>
            <w:vAlign w:val="top"/>
          </w:tcPr>
          <w:p>
            <w:pPr>
              <w:spacing w:after="20" w:line="252" w:lineRule="auto"/>
            </w:pPr>
            <w:r>
              <w:rPr>
                <w:b w:val="0"/>
                <w:i w:val="0"/>
                <w:sz w:val="16"/>
              </w:rPr>
              <w:t>RFP requirement</w:t>
            </w:r>
          </w:p>
        </w:tc>
        <w:tc>
          <w:tcPr>
            <w:tcW w:type="dxa" w:w="2835"/>
            <w:vAlign w:val="top"/>
          </w:tcPr>
          <w:p>
            <w:pPr>
              <w:spacing w:after="20" w:line="252" w:lineRule="auto"/>
            </w:pPr>
            <w:r>
              <w:rPr>
                <w:b w:val="0"/>
                <w:i w:val="0"/>
                <w:sz w:val="16"/>
              </w:rPr>
              <w:t>AP-nn, BO-nn, INT-nn, COM-nn, NFR-nn, DEL-nn, MNT-nn, FFR0n</w:t>
            </w:r>
          </w:p>
        </w:tc>
        <w:tc>
          <w:tcPr>
            <w:tcW w:type="dxa" w:w="4535"/>
            <w:vAlign w:val="top"/>
          </w:tcPr>
          <w:p>
            <w:pPr>
              <w:spacing w:after="20" w:line="252" w:lineRule="auto"/>
            </w:pPr>
            <w:r>
              <w:rPr>
                <w:b w:val="0"/>
                <w:i w:val="0"/>
                <w:sz w:val="16"/>
              </w:rPr>
              <w:t>Requirement and short title (Traceability sheet)</w:t>
            </w:r>
          </w:p>
        </w:tc>
      </w:tr>
      <w:tr>
        <w:trPr>
          <w:cantSplit/>
        </w:trPr>
        <w:tc>
          <w:tcPr>
            <w:tcW w:type="dxa" w:w="567"/>
            <w:vAlign w:val="top"/>
            <w:shd w:val="clear" w:color="auto" w:fill="FDF0F7"/>
          </w:tcPr>
          <w:p>
            <w:pPr>
              <w:spacing w:after="20" w:line="252" w:lineRule="auto"/>
              <w:jc w:val="center"/>
            </w:pPr>
            <w:r>
              <w:rPr>
                <w:b w:val="0"/>
                <w:i w:val="0"/>
                <w:sz w:val="16"/>
              </w:rPr>
              <w:t>2</w:t>
            </w:r>
          </w:p>
        </w:tc>
        <w:tc>
          <w:tcPr>
            <w:tcW w:type="dxa" w:w="1701"/>
            <w:vAlign w:val="top"/>
            <w:shd w:val="clear" w:color="auto" w:fill="FDF0F7"/>
          </w:tcPr>
          <w:p>
            <w:pPr>
              <w:spacing w:after="20" w:line="252" w:lineRule="auto"/>
            </w:pPr>
            <w:r>
              <w:rPr>
                <w:b w:val="0"/>
                <w:i w:val="0"/>
                <w:sz w:val="16"/>
              </w:rPr>
              <w:t>Test scenario</w:t>
            </w:r>
          </w:p>
        </w:tc>
        <w:tc>
          <w:tcPr>
            <w:tcW w:type="dxa" w:w="2835"/>
            <w:vAlign w:val="top"/>
            <w:shd w:val="clear" w:color="auto" w:fill="FDF0F7"/>
          </w:tcPr>
          <w:p>
            <w:pPr>
              <w:spacing w:after="20" w:line="252" w:lineRule="auto"/>
            </w:pPr>
            <w:r>
              <w:rPr>
                <w:b w:val="0"/>
                <w:i w:val="0"/>
                <w:sz w:val="16"/>
              </w:rPr>
              <w:t>TS-nn</w:t>
            </w:r>
          </w:p>
        </w:tc>
        <w:tc>
          <w:tcPr>
            <w:tcW w:type="dxa" w:w="4535"/>
            <w:vAlign w:val="top"/>
            <w:shd w:val="clear" w:color="auto" w:fill="FDF0F7"/>
          </w:tcPr>
          <w:p>
            <w:pPr>
              <w:spacing w:after="20" w:line="252" w:lineRule="auto"/>
            </w:pPr>
            <w:r>
              <w:rPr>
                <w:b w:val="0"/>
                <w:i w:val="0"/>
                <w:sz w:val="16"/>
              </w:rPr>
              <w:t>Business or technical situation, persona, pre-conditions, expected end state, RFP identifiers covered</w:t>
            </w:r>
          </w:p>
        </w:tc>
      </w:tr>
      <w:tr>
        <w:trPr>
          <w:cantSplit/>
        </w:trPr>
        <w:tc>
          <w:tcPr>
            <w:tcW w:type="dxa" w:w="567"/>
            <w:vAlign w:val="top"/>
          </w:tcPr>
          <w:p>
            <w:pPr>
              <w:spacing w:after="20" w:line="252" w:lineRule="auto"/>
              <w:jc w:val="center"/>
            </w:pPr>
            <w:r>
              <w:rPr>
                <w:b w:val="0"/>
                <w:i w:val="0"/>
                <w:sz w:val="16"/>
              </w:rPr>
              <w:t>3</w:t>
            </w:r>
          </w:p>
        </w:tc>
        <w:tc>
          <w:tcPr>
            <w:tcW w:type="dxa" w:w="1701"/>
            <w:vAlign w:val="top"/>
          </w:tcPr>
          <w:p>
            <w:pPr>
              <w:spacing w:after="20" w:line="252" w:lineRule="auto"/>
            </w:pPr>
            <w:r>
              <w:rPr>
                <w:b w:val="0"/>
                <w:i w:val="0"/>
                <w:sz w:val="16"/>
              </w:rPr>
              <w:t>Test condition</w:t>
            </w:r>
          </w:p>
        </w:tc>
        <w:tc>
          <w:tcPr>
            <w:tcW w:type="dxa" w:w="2835"/>
            <w:vAlign w:val="top"/>
          </w:tcPr>
          <w:p>
            <w:pPr>
              <w:spacing w:after="20" w:line="252" w:lineRule="auto"/>
            </w:pPr>
            <w:r>
              <w:rPr>
                <w:b w:val="0"/>
                <w:i w:val="0"/>
                <w:sz w:val="16"/>
              </w:rPr>
              <w:t>TC-nnn</w:t>
            </w:r>
          </w:p>
        </w:tc>
        <w:tc>
          <w:tcPr>
            <w:tcW w:type="dxa" w:w="4535"/>
            <w:vAlign w:val="top"/>
          </w:tcPr>
          <w:p>
            <w:pPr>
              <w:spacing w:after="20" w:line="252" w:lineRule="auto"/>
            </w:pPr>
            <w:r>
              <w:rPr>
                <w:b w:val="0"/>
                <w:i w:val="0"/>
                <w:sz w:val="16"/>
              </w:rPr>
              <w:t>One rule or decision inside the scenario that must be verified</w:t>
            </w:r>
          </w:p>
        </w:tc>
      </w:tr>
      <w:tr>
        <w:trPr>
          <w:cantSplit/>
        </w:trPr>
        <w:tc>
          <w:tcPr>
            <w:tcW w:type="dxa" w:w="567"/>
            <w:vAlign w:val="top"/>
            <w:shd w:val="clear" w:color="auto" w:fill="FDF0F7"/>
          </w:tcPr>
          <w:p>
            <w:pPr>
              <w:spacing w:after="20" w:line="252" w:lineRule="auto"/>
              <w:jc w:val="center"/>
            </w:pPr>
            <w:r>
              <w:rPr>
                <w:b w:val="0"/>
                <w:i w:val="0"/>
                <w:sz w:val="16"/>
              </w:rPr>
              <w:t>4</w:t>
            </w:r>
          </w:p>
        </w:tc>
        <w:tc>
          <w:tcPr>
            <w:tcW w:type="dxa" w:w="1701"/>
            <w:vAlign w:val="top"/>
            <w:shd w:val="clear" w:color="auto" w:fill="FDF0F7"/>
          </w:tcPr>
          <w:p>
            <w:pPr>
              <w:spacing w:after="20" w:line="252" w:lineRule="auto"/>
            </w:pPr>
            <w:r>
              <w:rPr>
                <w:b w:val="0"/>
                <w:i w:val="0"/>
                <w:sz w:val="16"/>
              </w:rPr>
              <w:t>Test case</w:t>
            </w:r>
          </w:p>
        </w:tc>
        <w:tc>
          <w:tcPr>
            <w:tcW w:type="dxa" w:w="2835"/>
            <w:vAlign w:val="top"/>
            <w:shd w:val="clear" w:color="auto" w:fill="FDF0F7"/>
          </w:tcPr>
          <w:p>
            <w:pPr>
              <w:spacing w:after="20" w:line="252" w:lineRule="auto"/>
            </w:pPr>
            <w:r>
              <w:rPr>
                <w:b w:val="0"/>
                <w:i w:val="0"/>
                <w:sz w:val="16"/>
              </w:rPr>
              <w:t>CS-nnnn</w:t>
            </w:r>
          </w:p>
        </w:tc>
        <w:tc>
          <w:tcPr>
            <w:tcW w:type="dxa" w:w="4535"/>
            <w:vAlign w:val="top"/>
            <w:shd w:val="clear" w:color="auto" w:fill="FDF0F7"/>
          </w:tcPr>
          <w:p>
            <w:pPr>
              <w:spacing w:after="20" w:line="252" w:lineRule="auto"/>
            </w:pPr>
            <w:r>
              <w:rPr>
                <w:b w:val="0"/>
                <w:i w:val="0"/>
                <w:sz w:val="16"/>
              </w:rPr>
              <w:t>Steps, data, expected result, level, automation, status, evidence, execution details, defect reference</w:t>
            </w:r>
          </w:p>
        </w:tc>
      </w:tr>
    </w:tbl>
    <w:p>
      <w:pPr>
        <w:pStyle w:val="Caption"/>
        <w:jc w:val="center"/>
      </w:pPr>
      <w:r>
        <w:rPr>
          <w:b w:val="0"/>
          <w:i w:val="0"/>
        </w:rPr>
        <w:t>Table 8: Traceability links</w:t>
      </w:r>
    </w:p>
    <w:p>
      <w:pPr>
        <w:keepNext w:val="0"/>
      </w:pPr>
      <w:r>
        <w:rPr>
          <w:b w:val="0"/>
          <w:i w:val="0"/>
        </w:rPr>
        <w:t>The Traceability sheet shows, for each requirement, the scenarios, the case identifiers and a coverage status (executed – passed, partly executed, cases defined but not executed, no case yet). The build fails if a scenario cites an unknown requirement, if a condition has no case, or if a case cites evidence that does not exist. UAT scripts (DEL-15) are produced from the scenarios whose persona is an IIFT user, with the business language of Appendix 3.</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5103"/>
        <w:gridCol w:w="4536"/>
      </w:tblGrid>
      <w:tr>
        <w:trPr>
          <w:cantSplit/>
          <w:tblHeader/>
        </w:trPr>
        <w:tc>
          <w:tcPr>
            <w:tcW w:type="dxa" w:w="5102"/>
            <w:shd w:val="clear" w:color="auto" w:fill="E1058C"/>
            <w:vAlign w:val="center"/>
          </w:tcPr>
          <w:p>
            <w:pPr>
              <w:spacing w:after="0"/>
            </w:pPr>
            <w:r>
              <w:rPr>
                <w:b/>
                <w:i w:val="0"/>
                <w:color w:val="FFFFFF"/>
                <w:sz w:val="17"/>
              </w:rPr>
              <w:t>Catalogue element</w:t>
            </w:r>
          </w:p>
        </w:tc>
        <w:tc>
          <w:tcPr>
            <w:tcW w:type="dxa" w:w="4535"/>
            <w:shd w:val="clear" w:color="auto" w:fill="E1058C"/>
            <w:vAlign w:val="center"/>
          </w:tcPr>
          <w:p>
            <w:pPr>
              <w:spacing w:after="0"/>
            </w:pPr>
            <w:r>
              <w:rPr>
                <w:b/>
                <w:i w:val="0"/>
                <w:color w:val="FFFFFF"/>
                <w:sz w:val="17"/>
              </w:rPr>
              <w:t>Count</w:t>
            </w:r>
          </w:p>
        </w:tc>
      </w:tr>
      <w:tr>
        <w:trPr>
          <w:cantSplit/>
        </w:trPr>
        <w:tc>
          <w:tcPr>
            <w:tcW w:type="dxa" w:w="5102"/>
            <w:vAlign w:val="top"/>
          </w:tcPr>
          <w:p>
            <w:pPr>
              <w:spacing w:after="20" w:line="252" w:lineRule="auto"/>
            </w:pPr>
            <w:r>
              <w:rPr>
                <w:b/>
                <w:i w:val="0"/>
                <w:sz w:val="17"/>
              </w:rPr>
              <w:t>Functional and technical areas</w:t>
            </w:r>
          </w:p>
        </w:tc>
        <w:tc>
          <w:tcPr>
            <w:tcW w:type="dxa" w:w="4535"/>
            <w:vAlign w:val="top"/>
          </w:tcPr>
          <w:p>
            <w:pPr>
              <w:spacing w:after="20" w:line="252" w:lineRule="auto"/>
              <w:jc w:val="center"/>
            </w:pPr>
            <w:r>
              <w:rPr>
                <w:b w:val="0"/>
                <w:i w:val="0"/>
                <w:sz w:val="17"/>
              </w:rPr>
              <w:t>22</w:t>
            </w:r>
          </w:p>
        </w:tc>
      </w:tr>
      <w:tr>
        <w:trPr>
          <w:cantSplit/>
        </w:trPr>
        <w:tc>
          <w:tcPr>
            <w:tcW w:type="dxa" w:w="5102"/>
            <w:vAlign w:val="top"/>
            <w:shd w:val="clear" w:color="auto" w:fill="FDF0F7"/>
          </w:tcPr>
          <w:p>
            <w:pPr>
              <w:spacing w:after="20" w:line="252" w:lineRule="auto"/>
            </w:pPr>
            <w:r>
              <w:rPr>
                <w:b/>
                <w:i w:val="0"/>
                <w:sz w:val="17"/>
              </w:rPr>
              <w:t>Test scenarios</w:t>
            </w:r>
          </w:p>
        </w:tc>
        <w:tc>
          <w:tcPr>
            <w:tcW w:type="dxa" w:w="4535"/>
            <w:vAlign w:val="top"/>
            <w:shd w:val="clear" w:color="auto" w:fill="FDF0F7"/>
          </w:tcPr>
          <w:p>
            <w:pPr>
              <w:spacing w:after="20" w:line="252" w:lineRule="auto"/>
              <w:jc w:val="center"/>
            </w:pPr>
            <w:r>
              <w:rPr>
                <w:b w:val="0"/>
                <w:i w:val="0"/>
                <w:sz w:val="17"/>
              </w:rPr>
              <w:t>70</w:t>
            </w:r>
          </w:p>
        </w:tc>
      </w:tr>
      <w:tr>
        <w:trPr>
          <w:cantSplit/>
        </w:trPr>
        <w:tc>
          <w:tcPr>
            <w:tcW w:type="dxa" w:w="5102"/>
            <w:vAlign w:val="top"/>
          </w:tcPr>
          <w:p>
            <w:pPr>
              <w:spacing w:after="20" w:line="252" w:lineRule="auto"/>
            </w:pPr>
            <w:r>
              <w:rPr>
                <w:b/>
                <w:i w:val="0"/>
                <w:sz w:val="17"/>
              </w:rPr>
              <w:t>Test conditions</w:t>
            </w:r>
          </w:p>
        </w:tc>
        <w:tc>
          <w:tcPr>
            <w:tcW w:type="dxa" w:w="4535"/>
            <w:vAlign w:val="top"/>
          </w:tcPr>
          <w:p>
            <w:pPr>
              <w:spacing w:after="20" w:line="252" w:lineRule="auto"/>
              <w:jc w:val="center"/>
            </w:pPr>
            <w:r>
              <w:rPr>
                <w:b w:val="0"/>
                <w:i w:val="0"/>
                <w:sz w:val="17"/>
              </w:rPr>
              <w:t>196</w:t>
            </w:r>
          </w:p>
        </w:tc>
      </w:tr>
      <w:tr>
        <w:trPr>
          <w:cantSplit/>
        </w:trPr>
        <w:tc>
          <w:tcPr>
            <w:tcW w:type="dxa" w:w="5102"/>
            <w:vAlign w:val="top"/>
            <w:shd w:val="clear" w:color="auto" w:fill="FDF0F7"/>
          </w:tcPr>
          <w:p>
            <w:pPr>
              <w:spacing w:after="20" w:line="252" w:lineRule="auto"/>
            </w:pPr>
            <w:r>
              <w:rPr>
                <w:b/>
                <w:i w:val="0"/>
                <w:sz w:val="17"/>
              </w:rPr>
              <w:t>Test cases</w:t>
            </w:r>
          </w:p>
        </w:tc>
        <w:tc>
          <w:tcPr>
            <w:tcW w:type="dxa" w:w="4535"/>
            <w:vAlign w:val="top"/>
            <w:shd w:val="clear" w:color="auto" w:fill="FDF0F7"/>
          </w:tcPr>
          <w:p>
            <w:pPr>
              <w:spacing w:after="20" w:line="252" w:lineRule="auto"/>
              <w:jc w:val="center"/>
            </w:pPr>
            <w:r>
              <w:rPr>
                <w:b w:val="0"/>
                <w:i w:val="0"/>
                <w:sz w:val="17"/>
              </w:rPr>
              <w:t>438</w:t>
            </w:r>
          </w:p>
        </w:tc>
      </w:tr>
      <w:tr>
        <w:trPr>
          <w:cantSplit/>
        </w:trPr>
        <w:tc>
          <w:tcPr>
            <w:tcW w:type="dxa" w:w="5102"/>
            <w:vAlign w:val="top"/>
          </w:tcPr>
          <w:p>
            <w:pPr>
              <w:spacing w:after="20" w:line="252" w:lineRule="auto"/>
            </w:pPr>
            <w:r>
              <w:rPr>
                <w:b/>
                <w:i w:val="0"/>
                <w:sz w:val="17"/>
              </w:rPr>
              <w:t>RFP requirements traced</w:t>
            </w:r>
          </w:p>
        </w:tc>
        <w:tc>
          <w:tcPr>
            <w:tcW w:type="dxa" w:w="4535"/>
            <w:vAlign w:val="top"/>
          </w:tcPr>
          <w:p>
            <w:pPr>
              <w:spacing w:after="20" w:line="252" w:lineRule="auto"/>
              <w:jc w:val="center"/>
            </w:pPr>
            <w:r>
              <w:rPr>
                <w:b w:val="0"/>
                <w:i w:val="0"/>
                <w:sz w:val="17"/>
              </w:rPr>
              <w:t>169</w:t>
            </w:r>
          </w:p>
        </w:tc>
      </w:tr>
    </w:tbl>
    <w:p>
      <w:pPr>
        <w:pStyle w:val="Caption"/>
        <w:jc w:val="center"/>
      </w:pPr>
      <w:r>
        <w:rPr>
          <w:b w:val="0"/>
          <w:i w:val="0"/>
        </w:rPr>
        <w:t>Table 9: Catalogue size</w:t>
      </w:r>
    </w:p>
    <w:p>
      <w:pPr>
        <w:pStyle w:val="Heading1"/>
        <w:pageBreakBefore/>
        <w:pBdr>
          <w:bottom w:val="single" w:sz="12" w:space="4" w:color="F58220"/>
        </w:pBdr>
      </w:pPr>
      <w:r>
        <w:t>9. Schedule</w:t>
      </w:r>
    </w:p>
    <w:p>
      <w:pPr>
        <w:keepNext w:val="0"/>
      </w:pPr>
      <w:r>
        <w:rPr>
          <w:b w:val="0"/>
          <w:i w:val="0"/>
        </w:rPr>
        <w:t>The schedule follows the 24-week delivery plan of the proposal: SIT, performance and VAPT in weeks 16 to 19, UAT in weeks 19 to 22, go-live in week 24 and 4 weeks of hypercare.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907"/>
        <w:gridCol w:w="1814"/>
        <w:gridCol w:w="4195"/>
        <w:gridCol w:w="2721"/>
      </w:tblGrid>
      <w:tr>
        <w:trPr>
          <w:cantSplit/>
          <w:tblHeader/>
        </w:trPr>
        <w:tc>
          <w:tcPr>
            <w:tcW w:type="dxa" w:w="907"/>
            <w:shd w:val="clear" w:color="auto" w:fill="E1058C"/>
            <w:vAlign w:val="center"/>
          </w:tcPr>
          <w:p>
            <w:pPr>
              <w:spacing w:after="0"/>
            </w:pPr>
            <w:r>
              <w:rPr>
                <w:b/>
                <w:i w:val="0"/>
                <w:color w:val="FFFFFF"/>
                <w:sz w:val="15"/>
              </w:rPr>
              <w:t>Weeks</w:t>
            </w:r>
          </w:p>
        </w:tc>
        <w:tc>
          <w:tcPr>
            <w:tcW w:type="dxa" w:w="1814"/>
            <w:shd w:val="clear" w:color="auto" w:fill="E1058C"/>
            <w:vAlign w:val="center"/>
          </w:tcPr>
          <w:p>
            <w:pPr>
              <w:spacing w:after="0"/>
            </w:pPr>
            <w:r>
              <w:rPr>
                <w:b/>
                <w:i w:val="0"/>
                <w:color w:val="FFFFFF"/>
                <w:sz w:val="15"/>
              </w:rPr>
              <w:t>Activity</w:t>
            </w:r>
          </w:p>
        </w:tc>
        <w:tc>
          <w:tcPr>
            <w:tcW w:type="dxa" w:w="4195"/>
            <w:shd w:val="clear" w:color="auto" w:fill="E1058C"/>
            <w:vAlign w:val="center"/>
          </w:tcPr>
          <w:p>
            <w:pPr>
              <w:spacing w:after="0"/>
            </w:pPr>
            <w:r>
              <w:rPr>
                <w:b/>
                <w:i w:val="0"/>
                <w:color w:val="FFFFFF"/>
                <w:sz w:val="15"/>
              </w:rPr>
              <w:t>Testing</w:t>
            </w:r>
          </w:p>
        </w:tc>
        <w:tc>
          <w:tcPr>
            <w:tcW w:type="dxa" w:w="2721"/>
            <w:shd w:val="clear" w:color="auto" w:fill="E1058C"/>
            <w:vAlign w:val="center"/>
          </w:tcPr>
          <w:p>
            <w:pPr>
              <w:spacing w:after="0"/>
            </w:pPr>
            <w:r>
              <w:rPr>
                <w:b/>
                <w:i w:val="0"/>
                <w:color w:val="FFFFFF"/>
                <w:sz w:val="15"/>
              </w:rPr>
              <w:t>Output / milestone</w:t>
            </w:r>
          </w:p>
        </w:tc>
      </w:tr>
      <w:tr>
        <w:trPr>
          <w:cantSplit/>
        </w:trPr>
        <w:tc>
          <w:tcPr>
            <w:tcW w:type="dxa" w:w="907"/>
            <w:vAlign w:val="top"/>
          </w:tcPr>
          <w:p>
            <w:pPr>
              <w:spacing w:after="20" w:line="252" w:lineRule="auto"/>
              <w:jc w:val="center"/>
            </w:pPr>
            <w:r>
              <w:rPr>
                <w:b w:val="0"/>
                <w:i w:val="0"/>
                <w:sz w:val="15"/>
              </w:rPr>
              <w:t>6–16</w:t>
            </w:r>
          </w:p>
        </w:tc>
        <w:tc>
          <w:tcPr>
            <w:tcW w:type="dxa" w:w="1814"/>
            <w:vAlign w:val="top"/>
          </w:tcPr>
          <w:p>
            <w:pPr>
              <w:spacing w:after="20" w:line="252" w:lineRule="auto"/>
            </w:pPr>
            <w:r>
              <w:rPr>
                <w:b w:val="0"/>
                <w:i w:val="0"/>
                <w:sz w:val="15"/>
              </w:rPr>
              <w:t>Build sprints</w:t>
            </w:r>
          </w:p>
        </w:tc>
        <w:tc>
          <w:tcPr>
            <w:tcW w:type="dxa" w:w="4195"/>
            <w:vAlign w:val="top"/>
          </w:tcPr>
          <w:p>
            <w:pPr>
              <w:spacing w:after="20" w:line="252" w:lineRule="auto"/>
            </w:pPr>
            <w:r>
              <w:rPr>
                <w:b w:val="0"/>
                <w:i w:val="0"/>
                <w:sz w:val="15"/>
              </w:rPr>
              <w:t>Unit, API and end-to-end tests with every story; sprint demo acceptance; OWASP checks each sprint</w:t>
            </w:r>
          </w:p>
        </w:tc>
        <w:tc>
          <w:tcPr>
            <w:tcW w:type="dxa" w:w="2721"/>
            <w:vAlign w:val="top"/>
          </w:tcPr>
          <w:p>
            <w:pPr>
              <w:spacing w:after="20" w:line="252" w:lineRule="auto"/>
            </w:pPr>
            <w:r>
              <w:rPr>
                <w:b w:val="0"/>
                <w:i w:val="0"/>
                <w:sz w:val="15"/>
              </w:rPr>
              <w:t>CI green per sprint</w:t>
            </w:r>
          </w:p>
        </w:tc>
      </w:tr>
      <w:tr>
        <w:trPr>
          <w:cantSplit/>
        </w:trPr>
        <w:tc>
          <w:tcPr>
            <w:tcW w:type="dxa" w:w="907"/>
            <w:vAlign w:val="top"/>
            <w:shd w:val="clear" w:color="auto" w:fill="FDF0F7"/>
          </w:tcPr>
          <w:p>
            <w:pPr>
              <w:spacing w:after="20" w:line="252" w:lineRule="auto"/>
              <w:jc w:val="center"/>
            </w:pPr>
            <w:r>
              <w:rPr>
                <w:b w:val="0"/>
                <w:i w:val="0"/>
                <w:sz w:val="15"/>
              </w:rPr>
              <w:t>16</w:t>
            </w:r>
          </w:p>
        </w:tc>
        <w:tc>
          <w:tcPr>
            <w:tcW w:type="dxa" w:w="1814"/>
            <w:vAlign w:val="top"/>
            <w:shd w:val="clear" w:color="auto" w:fill="FDF0F7"/>
          </w:tcPr>
          <w:p>
            <w:pPr>
              <w:spacing w:after="20" w:line="252" w:lineRule="auto"/>
            </w:pPr>
            <w:r>
              <w:rPr>
                <w:b w:val="0"/>
                <w:i w:val="0"/>
                <w:sz w:val="15"/>
              </w:rPr>
              <w:t>Hardening</w:t>
            </w:r>
          </w:p>
        </w:tc>
        <w:tc>
          <w:tcPr>
            <w:tcW w:type="dxa" w:w="4195"/>
            <w:vAlign w:val="top"/>
            <w:shd w:val="clear" w:color="auto" w:fill="FDF0F7"/>
          </w:tcPr>
          <w:p>
            <w:pPr>
              <w:spacing w:after="20" w:line="252" w:lineRule="auto"/>
            </w:pPr>
            <w:r>
              <w:rPr>
                <w:b w:val="0"/>
                <w:i w:val="0"/>
                <w:sz w:val="15"/>
              </w:rPr>
              <w:t>Full regression; API run; security checks; workbook refreshed; SIT readiness review</w:t>
            </w:r>
          </w:p>
        </w:tc>
        <w:tc>
          <w:tcPr>
            <w:tcW w:type="dxa" w:w="2721"/>
            <w:vAlign w:val="top"/>
            <w:shd w:val="clear" w:color="auto" w:fill="FDF0F7"/>
          </w:tcPr>
          <w:p>
            <w:pPr>
              <w:spacing w:after="20" w:line="252" w:lineRule="auto"/>
            </w:pPr>
            <w:r>
              <w:rPr>
                <w:b w:val="0"/>
                <w:i w:val="0"/>
                <w:sz w:val="15"/>
              </w:rPr>
              <w:t>Build complete (M3)</w:t>
            </w:r>
          </w:p>
        </w:tc>
      </w:tr>
      <w:tr>
        <w:trPr>
          <w:cantSplit/>
        </w:trPr>
        <w:tc>
          <w:tcPr>
            <w:tcW w:type="dxa" w:w="907"/>
            <w:vAlign w:val="top"/>
          </w:tcPr>
          <w:p>
            <w:pPr>
              <w:spacing w:after="20" w:line="252" w:lineRule="auto"/>
              <w:jc w:val="center"/>
            </w:pPr>
            <w:r>
              <w:rPr>
                <w:b w:val="0"/>
                <w:i w:val="0"/>
                <w:sz w:val="15"/>
              </w:rPr>
              <w:t>16–19</w:t>
            </w:r>
          </w:p>
        </w:tc>
        <w:tc>
          <w:tcPr>
            <w:tcW w:type="dxa" w:w="1814"/>
            <w:vAlign w:val="top"/>
          </w:tcPr>
          <w:p>
            <w:pPr>
              <w:spacing w:after="20" w:line="252" w:lineRule="auto"/>
            </w:pPr>
            <w:r>
              <w:rPr>
                <w:b w:val="0"/>
                <w:i w:val="0"/>
                <w:sz w:val="15"/>
              </w:rPr>
              <w:t>SIT</w:t>
            </w:r>
          </w:p>
        </w:tc>
        <w:tc>
          <w:tcPr>
            <w:tcW w:type="dxa" w:w="4195"/>
            <w:vAlign w:val="top"/>
          </w:tcPr>
          <w:p>
            <w:pPr>
              <w:spacing w:after="20" w:line="252" w:lineRule="auto"/>
            </w:pPr>
            <w:r>
              <w:rPr>
                <w:b w:val="0"/>
                <w:i w:val="0"/>
                <w:sz w:val="15"/>
              </w:rPr>
              <w:t>SIT cases with IITH interface owners; three EOD/reconciliation cycles; defect fixing and re-test</w:t>
            </w:r>
          </w:p>
        </w:tc>
        <w:tc>
          <w:tcPr>
            <w:tcW w:type="dxa" w:w="2721"/>
            <w:vAlign w:val="top"/>
          </w:tcPr>
          <w:p>
            <w:pPr>
              <w:spacing w:after="20" w:line="252" w:lineRule="auto"/>
            </w:pPr>
            <w:r>
              <w:rPr>
                <w:b w:val="0"/>
                <w:i w:val="0"/>
                <w:sz w:val="15"/>
              </w:rPr>
              <w:t>SIT results (DEL-14)</w:t>
            </w:r>
          </w:p>
        </w:tc>
      </w:tr>
      <w:tr>
        <w:trPr>
          <w:cantSplit/>
        </w:trPr>
        <w:tc>
          <w:tcPr>
            <w:tcW w:type="dxa" w:w="907"/>
            <w:vAlign w:val="top"/>
            <w:shd w:val="clear" w:color="auto" w:fill="FDF0F7"/>
          </w:tcPr>
          <w:p>
            <w:pPr>
              <w:spacing w:after="20" w:line="252" w:lineRule="auto"/>
              <w:jc w:val="center"/>
            </w:pPr>
            <w:r>
              <w:rPr>
                <w:b w:val="0"/>
                <w:i w:val="0"/>
                <w:sz w:val="15"/>
              </w:rPr>
              <w:t>17–18</w:t>
            </w:r>
          </w:p>
        </w:tc>
        <w:tc>
          <w:tcPr>
            <w:tcW w:type="dxa" w:w="1814"/>
            <w:vAlign w:val="top"/>
            <w:shd w:val="clear" w:color="auto" w:fill="FDF0F7"/>
          </w:tcPr>
          <w:p>
            <w:pPr>
              <w:spacing w:after="20" w:line="252" w:lineRule="auto"/>
            </w:pPr>
            <w:r>
              <w:rPr>
                <w:b w:val="0"/>
                <w:i w:val="0"/>
                <w:sz w:val="15"/>
              </w:rPr>
              <w:t>Performance</w:t>
            </w:r>
          </w:p>
        </w:tc>
        <w:tc>
          <w:tcPr>
            <w:tcW w:type="dxa" w:w="4195"/>
            <w:vAlign w:val="top"/>
            <w:shd w:val="clear" w:color="auto" w:fill="FDF0F7"/>
          </w:tcPr>
          <w:p>
            <w:pPr>
              <w:spacing w:after="20" w:line="252" w:lineRule="auto"/>
            </w:pPr>
            <w:r>
              <w:rPr>
                <w:b w:val="0"/>
                <w:i w:val="0"/>
                <w:sz w:val="15"/>
              </w:rPr>
              <w:t>Load, stress, soak and volume tests; tuning</w:t>
            </w:r>
          </w:p>
        </w:tc>
        <w:tc>
          <w:tcPr>
            <w:tcW w:type="dxa" w:w="2721"/>
            <w:vAlign w:val="top"/>
            <w:shd w:val="clear" w:color="auto" w:fill="FDF0F7"/>
          </w:tcPr>
          <w:p>
            <w:pPr>
              <w:spacing w:after="20" w:line="252" w:lineRule="auto"/>
            </w:pPr>
            <w:r>
              <w:rPr>
                <w:b w:val="0"/>
                <w:i w:val="0"/>
                <w:sz w:val="15"/>
              </w:rPr>
              <w:t>Performance report (DEL-18)</w:t>
            </w:r>
          </w:p>
        </w:tc>
      </w:tr>
      <w:tr>
        <w:trPr>
          <w:cantSplit/>
        </w:trPr>
        <w:tc>
          <w:tcPr>
            <w:tcW w:type="dxa" w:w="907"/>
            <w:vAlign w:val="top"/>
          </w:tcPr>
          <w:p>
            <w:pPr>
              <w:spacing w:after="20" w:line="252" w:lineRule="auto"/>
              <w:jc w:val="center"/>
            </w:pPr>
            <w:r>
              <w:rPr>
                <w:b w:val="0"/>
                <w:i w:val="0"/>
                <w:sz w:val="15"/>
              </w:rPr>
              <w:t>17–19</w:t>
            </w:r>
          </w:p>
        </w:tc>
        <w:tc>
          <w:tcPr>
            <w:tcW w:type="dxa" w:w="1814"/>
            <w:vAlign w:val="top"/>
          </w:tcPr>
          <w:p>
            <w:pPr>
              <w:spacing w:after="20" w:line="252" w:lineRule="auto"/>
            </w:pPr>
            <w:r>
              <w:rPr>
                <w:b w:val="0"/>
                <w:i w:val="0"/>
                <w:sz w:val="15"/>
              </w:rPr>
              <w:t>VAPT</w:t>
            </w:r>
          </w:p>
        </w:tc>
        <w:tc>
          <w:tcPr>
            <w:tcW w:type="dxa" w:w="4195"/>
            <w:vAlign w:val="top"/>
          </w:tcPr>
          <w:p>
            <w:pPr>
              <w:spacing w:after="20" w:line="252" w:lineRule="auto"/>
            </w:pPr>
            <w:r>
              <w:rPr>
                <w:b w:val="0"/>
                <w:i w:val="0"/>
                <w:sz w:val="15"/>
              </w:rPr>
              <w:t>Independent test, remediation, re-test</w:t>
            </w:r>
          </w:p>
        </w:tc>
        <w:tc>
          <w:tcPr>
            <w:tcW w:type="dxa" w:w="2721"/>
            <w:vAlign w:val="top"/>
          </w:tcPr>
          <w:p>
            <w:pPr>
              <w:spacing w:after="20" w:line="252" w:lineRule="auto"/>
            </w:pPr>
            <w:r>
              <w:rPr>
                <w:b w:val="0"/>
                <w:i w:val="0"/>
                <w:sz w:val="15"/>
              </w:rPr>
              <w:t>Security assessment (DEL-17); SIT exit and security clearance (M4, week 19)</w:t>
            </w:r>
          </w:p>
        </w:tc>
      </w:tr>
      <w:tr>
        <w:trPr>
          <w:cantSplit/>
        </w:trPr>
        <w:tc>
          <w:tcPr>
            <w:tcW w:type="dxa" w:w="907"/>
            <w:vAlign w:val="top"/>
            <w:shd w:val="clear" w:color="auto" w:fill="FDF0F7"/>
          </w:tcPr>
          <w:p>
            <w:pPr>
              <w:spacing w:after="20" w:line="252" w:lineRule="auto"/>
              <w:jc w:val="center"/>
            </w:pPr>
            <w:r>
              <w:rPr>
                <w:b w:val="0"/>
                <w:i w:val="0"/>
                <w:sz w:val="15"/>
              </w:rPr>
              <w:t>19–22</w:t>
            </w:r>
          </w:p>
        </w:tc>
        <w:tc>
          <w:tcPr>
            <w:tcW w:type="dxa" w:w="1814"/>
            <w:vAlign w:val="top"/>
            <w:shd w:val="clear" w:color="auto" w:fill="FDF0F7"/>
          </w:tcPr>
          <w:p>
            <w:pPr>
              <w:spacing w:after="20" w:line="252" w:lineRule="auto"/>
            </w:pPr>
            <w:r>
              <w:rPr>
                <w:b w:val="0"/>
                <w:i w:val="0"/>
                <w:sz w:val="15"/>
              </w:rPr>
              <w:t>UAT</w:t>
            </w:r>
          </w:p>
        </w:tc>
        <w:tc>
          <w:tcPr>
            <w:tcW w:type="dxa" w:w="4195"/>
            <w:vAlign w:val="top"/>
            <w:shd w:val="clear" w:color="auto" w:fill="FDF0F7"/>
          </w:tcPr>
          <w:p>
            <w:pPr>
              <w:spacing w:after="20" w:line="252" w:lineRule="auto"/>
            </w:pPr>
            <w:r>
              <w:rPr>
                <w:b w:val="0"/>
                <w:i w:val="0"/>
                <w:sz w:val="15"/>
              </w:rPr>
              <w:t>IIFT testers execute UAT scripts; daily triage; browser matrix; accessibility checks</w:t>
            </w:r>
          </w:p>
        </w:tc>
        <w:tc>
          <w:tcPr>
            <w:tcW w:type="dxa" w:w="2721"/>
            <w:vAlign w:val="top"/>
            <w:shd w:val="clear" w:color="auto" w:fill="FDF0F7"/>
          </w:tcPr>
          <w:p>
            <w:pPr>
              <w:spacing w:after="20" w:line="252" w:lineRule="auto"/>
            </w:pPr>
            <w:r>
              <w:rPr>
                <w:b w:val="0"/>
                <w:i w:val="0"/>
                <w:sz w:val="15"/>
              </w:rPr>
              <w:t>UAT results and sign-off (DEL-16, M5 week 22)</w:t>
            </w:r>
          </w:p>
        </w:tc>
      </w:tr>
      <w:tr>
        <w:trPr>
          <w:cantSplit/>
        </w:trPr>
        <w:tc>
          <w:tcPr>
            <w:tcW w:type="dxa" w:w="907"/>
            <w:vAlign w:val="top"/>
          </w:tcPr>
          <w:p>
            <w:pPr>
              <w:spacing w:after="20" w:line="252" w:lineRule="auto"/>
              <w:jc w:val="center"/>
            </w:pPr>
            <w:r>
              <w:rPr>
                <w:b w:val="0"/>
                <w:i w:val="0"/>
                <w:sz w:val="15"/>
              </w:rPr>
              <w:t>19–23</w:t>
            </w:r>
          </w:p>
        </w:tc>
        <w:tc>
          <w:tcPr>
            <w:tcW w:type="dxa" w:w="1814"/>
            <w:vAlign w:val="top"/>
          </w:tcPr>
          <w:p>
            <w:pPr>
              <w:spacing w:after="20" w:line="252" w:lineRule="auto"/>
            </w:pPr>
            <w:r>
              <w:rPr>
                <w:b w:val="0"/>
                <w:i w:val="0"/>
                <w:sz w:val="15"/>
              </w:rPr>
              <w:t>Migration rehearsals</w:t>
            </w:r>
          </w:p>
        </w:tc>
        <w:tc>
          <w:tcPr>
            <w:tcW w:type="dxa" w:w="4195"/>
            <w:vAlign w:val="top"/>
          </w:tcPr>
          <w:p>
            <w:pPr>
              <w:spacing w:after="20" w:line="252" w:lineRule="auto"/>
            </w:pPr>
            <w:r>
              <w:rPr>
                <w:b w:val="0"/>
                <w:i w:val="0"/>
                <w:sz w:val="15"/>
              </w:rPr>
              <w:t>Dry-run 1 and 2 with reconciliation</w:t>
            </w:r>
          </w:p>
        </w:tc>
        <w:tc>
          <w:tcPr>
            <w:tcW w:type="dxa" w:w="2721"/>
            <w:vAlign w:val="top"/>
          </w:tcPr>
          <w:p>
            <w:pPr>
              <w:spacing w:after="20" w:line="252" w:lineRule="auto"/>
            </w:pPr>
            <w:r>
              <w:rPr>
                <w:b w:val="0"/>
                <w:i w:val="0"/>
                <w:sz w:val="15"/>
              </w:rPr>
              <w:t>Migration plan and reconciliation reports</w:t>
            </w:r>
          </w:p>
        </w:tc>
      </w:tr>
      <w:tr>
        <w:trPr>
          <w:cantSplit/>
        </w:trPr>
        <w:tc>
          <w:tcPr>
            <w:tcW w:type="dxa" w:w="907"/>
            <w:vAlign w:val="top"/>
            <w:shd w:val="clear" w:color="auto" w:fill="FDF0F7"/>
          </w:tcPr>
          <w:p>
            <w:pPr>
              <w:spacing w:after="20" w:line="252" w:lineRule="auto"/>
              <w:jc w:val="center"/>
            </w:pPr>
            <w:r>
              <w:rPr>
                <w:b w:val="0"/>
                <w:i w:val="0"/>
                <w:sz w:val="15"/>
              </w:rPr>
              <w:t>23</w:t>
            </w:r>
          </w:p>
        </w:tc>
        <w:tc>
          <w:tcPr>
            <w:tcW w:type="dxa" w:w="1814"/>
            <w:vAlign w:val="top"/>
            <w:shd w:val="clear" w:color="auto" w:fill="FDF0F7"/>
          </w:tcPr>
          <w:p>
            <w:pPr>
              <w:spacing w:after="20" w:line="252" w:lineRule="auto"/>
            </w:pPr>
            <w:r>
              <w:rPr>
                <w:b w:val="0"/>
                <w:i w:val="0"/>
                <w:sz w:val="15"/>
              </w:rPr>
              <w:t>Readiness</w:t>
            </w:r>
          </w:p>
        </w:tc>
        <w:tc>
          <w:tcPr>
            <w:tcW w:type="dxa" w:w="4195"/>
            <w:vAlign w:val="top"/>
            <w:shd w:val="clear" w:color="auto" w:fill="FDF0F7"/>
          </w:tcPr>
          <w:p>
            <w:pPr>
              <w:spacing w:after="20" w:line="252" w:lineRule="auto"/>
            </w:pPr>
            <w:r>
              <w:rPr>
                <w:b w:val="0"/>
                <w:i w:val="0"/>
                <w:sz w:val="15"/>
              </w:rPr>
              <w:t>Deployment rehearsal, DR drill, go-live checklist</w:t>
            </w:r>
          </w:p>
        </w:tc>
        <w:tc>
          <w:tcPr>
            <w:tcW w:type="dxa" w:w="2721"/>
            <w:vAlign w:val="top"/>
            <w:shd w:val="clear" w:color="auto" w:fill="FDF0F7"/>
          </w:tcPr>
          <w:p>
            <w:pPr>
              <w:spacing w:after="20" w:line="252" w:lineRule="auto"/>
            </w:pPr>
            <w:r>
              <w:rPr>
                <w:b w:val="0"/>
                <w:i w:val="0"/>
                <w:sz w:val="15"/>
              </w:rPr>
              <w:t>Go/no-go (DEL-21)</w:t>
            </w:r>
          </w:p>
        </w:tc>
      </w:tr>
      <w:tr>
        <w:trPr>
          <w:cantSplit/>
        </w:trPr>
        <w:tc>
          <w:tcPr>
            <w:tcW w:type="dxa" w:w="907"/>
            <w:vAlign w:val="top"/>
          </w:tcPr>
          <w:p>
            <w:pPr>
              <w:spacing w:after="20" w:line="252" w:lineRule="auto"/>
              <w:jc w:val="center"/>
            </w:pPr>
            <w:r>
              <w:rPr>
                <w:b w:val="0"/>
                <w:i w:val="0"/>
                <w:sz w:val="15"/>
              </w:rPr>
              <w:t>24</w:t>
            </w:r>
          </w:p>
        </w:tc>
        <w:tc>
          <w:tcPr>
            <w:tcW w:type="dxa" w:w="1814"/>
            <w:vAlign w:val="top"/>
          </w:tcPr>
          <w:p>
            <w:pPr>
              <w:spacing w:after="20" w:line="252" w:lineRule="auto"/>
            </w:pPr>
            <w:r>
              <w:rPr>
                <w:b w:val="0"/>
                <w:i w:val="0"/>
                <w:sz w:val="15"/>
              </w:rPr>
              <w:t>Go-live</w:t>
            </w:r>
          </w:p>
        </w:tc>
        <w:tc>
          <w:tcPr>
            <w:tcW w:type="dxa" w:w="4195"/>
            <w:vAlign w:val="top"/>
          </w:tcPr>
          <w:p>
            <w:pPr>
              <w:spacing w:after="20" w:line="252" w:lineRule="auto"/>
            </w:pPr>
            <w:r>
              <w:rPr>
                <w:b w:val="0"/>
                <w:i w:val="0"/>
                <w:sz w:val="15"/>
              </w:rPr>
              <w:t>Production smoke checklist; first EOD monitored</w:t>
            </w:r>
          </w:p>
        </w:tc>
        <w:tc>
          <w:tcPr>
            <w:tcW w:type="dxa" w:w="2721"/>
            <w:vAlign w:val="top"/>
          </w:tcPr>
          <w:p>
            <w:pPr>
              <w:spacing w:after="20" w:line="252" w:lineRule="auto"/>
            </w:pPr>
            <w:r>
              <w:rPr>
                <w:b w:val="0"/>
                <w:i w:val="0"/>
                <w:sz w:val="15"/>
              </w:rPr>
              <w:t>Production deployment (DEL-28, M6)</w:t>
            </w:r>
          </w:p>
        </w:tc>
      </w:tr>
      <w:tr>
        <w:trPr>
          <w:cantSplit/>
        </w:trPr>
        <w:tc>
          <w:tcPr>
            <w:tcW w:type="dxa" w:w="907"/>
            <w:vAlign w:val="top"/>
            <w:shd w:val="clear" w:color="auto" w:fill="FDF0F7"/>
          </w:tcPr>
          <w:p>
            <w:pPr>
              <w:spacing w:after="20" w:line="252" w:lineRule="auto"/>
              <w:jc w:val="center"/>
            </w:pPr>
            <w:r>
              <w:rPr>
                <w:b w:val="0"/>
                <w:i w:val="0"/>
                <w:sz w:val="15"/>
              </w:rPr>
              <w:t>25–28</w:t>
            </w:r>
          </w:p>
        </w:tc>
        <w:tc>
          <w:tcPr>
            <w:tcW w:type="dxa" w:w="1814"/>
            <w:vAlign w:val="top"/>
            <w:shd w:val="clear" w:color="auto" w:fill="FDF0F7"/>
          </w:tcPr>
          <w:p>
            <w:pPr>
              <w:spacing w:after="20" w:line="252" w:lineRule="auto"/>
            </w:pPr>
            <w:r>
              <w:rPr>
                <w:b w:val="0"/>
                <w:i w:val="0"/>
                <w:sz w:val="15"/>
              </w:rPr>
              <w:t>Hypercare</w:t>
            </w:r>
          </w:p>
        </w:tc>
        <w:tc>
          <w:tcPr>
            <w:tcW w:type="dxa" w:w="4195"/>
            <w:vAlign w:val="top"/>
            <w:shd w:val="clear" w:color="auto" w:fill="FDF0F7"/>
          </w:tcPr>
          <w:p>
            <w:pPr>
              <w:spacing w:after="20" w:line="252" w:lineRule="auto"/>
            </w:pPr>
            <w:r>
              <w:rPr>
                <w:b w:val="0"/>
                <w:i w:val="0"/>
                <w:sz w:val="15"/>
              </w:rPr>
              <w:t>Daily checks; fixes under warranty; regression before each patch</w:t>
            </w:r>
          </w:p>
        </w:tc>
        <w:tc>
          <w:tcPr>
            <w:tcW w:type="dxa" w:w="2721"/>
            <w:vAlign w:val="top"/>
            <w:shd w:val="clear" w:color="auto" w:fill="FDF0F7"/>
          </w:tcPr>
          <w:p>
            <w:pPr>
              <w:spacing w:after="20" w:line="252" w:lineRule="auto"/>
            </w:pPr>
            <w:r>
              <w:rPr>
                <w:b w:val="0"/>
                <w:i w:val="0"/>
                <w:sz w:val="15"/>
              </w:rPr>
              <w:t>Hypercare exit (M7)</w:t>
            </w:r>
          </w:p>
        </w:tc>
      </w:tr>
    </w:tbl>
    <w:p>
      <w:pPr>
        <w:pStyle w:val="Caption"/>
        <w:jc w:val="center"/>
      </w:pPr>
      <w:r>
        <w:rPr>
          <w:b w:val="0"/>
          <w:i w:val="0"/>
        </w:rPr>
        <w:t>Table 10: Test schedule</w:t>
      </w:r>
    </w:p>
    <w:p>
      <w:pPr>
        <w:pStyle w:val="Heading1"/>
        <w:pageBreakBefore/>
        <w:pBdr>
          <w:bottom w:val="single" w:sz="12" w:space="4" w:color="F58220"/>
        </w:pBdr>
      </w:pPr>
      <w:r>
        <w:t>10. Metrics and reporting</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927"/>
        <w:gridCol w:w="5443"/>
        <w:gridCol w:w="2268"/>
      </w:tblGrid>
      <w:tr>
        <w:trPr>
          <w:cantSplit/>
          <w:tblHeader/>
        </w:trPr>
        <w:tc>
          <w:tcPr>
            <w:tcW w:type="dxa" w:w="1928"/>
            <w:shd w:val="clear" w:color="auto" w:fill="E1058C"/>
            <w:vAlign w:val="center"/>
          </w:tcPr>
          <w:p>
            <w:pPr>
              <w:spacing w:after="0"/>
            </w:pPr>
            <w:r>
              <w:rPr>
                <w:b/>
                <w:i w:val="0"/>
                <w:color w:val="FFFFFF"/>
                <w:sz w:val="16"/>
              </w:rPr>
              <w:t>Metric</w:t>
            </w:r>
          </w:p>
        </w:tc>
        <w:tc>
          <w:tcPr>
            <w:tcW w:type="dxa" w:w="5443"/>
            <w:shd w:val="clear" w:color="auto" w:fill="E1058C"/>
            <w:vAlign w:val="center"/>
          </w:tcPr>
          <w:p>
            <w:pPr>
              <w:spacing w:after="0"/>
            </w:pPr>
            <w:r>
              <w:rPr>
                <w:b/>
                <w:i w:val="0"/>
                <w:color w:val="FFFFFF"/>
                <w:sz w:val="16"/>
              </w:rPr>
              <w:t>Definition</w:t>
            </w:r>
          </w:p>
        </w:tc>
        <w:tc>
          <w:tcPr>
            <w:tcW w:type="dxa" w:w="2268"/>
            <w:shd w:val="clear" w:color="auto" w:fill="E1058C"/>
            <w:vAlign w:val="center"/>
          </w:tcPr>
          <w:p>
            <w:pPr>
              <w:spacing w:after="0"/>
            </w:pPr>
            <w:r>
              <w:rPr>
                <w:b/>
                <w:i w:val="0"/>
                <w:color w:val="FFFFFF"/>
                <w:sz w:val="16"/>
              </w:rPr>
              <w:t>Frequency</w:t>
            </w:r>
          </w:p>
        </w:tc>
      </w:tr>
      <w:tr>
        <w:trPr>
          <w:cantSplit/>
        </w:trPr>
        <w:tc>
          <w:tcPr>
            <w:tcW w:type="dxa" w:w="1928"/>
            <w:vAlign w:val="top"/>
          </w:tcPr>
          <w:p>
            <w:pPr>
              <w:spacing w:after="20" w:line="252" w:lineRule="auto"/>
            </w:pPr>
            <w:r>
              <w:rPr>
                <w:b/>
                <w:i w:val="0"/>
                <w:sz w:val="16"/>
              </w:rPr>
              <w:t>Execution progress</w:t>
            </w:r>
          </w:p>
        </w:tc>
        <w:tc>
          <w:tcPr>
            <w:tcW w:type="dxa" w:w="5443"/>
            <w:vAlign w:val="top"/>
          </w:tcPr>
          <w:p>
            <w:pPr>
              <w:spacing w:after="20" w:line="252" w:lineRule="auto"/>
            </w:pPr>
            <w:r>
              <w:rPr>
                <w:b w:val="0"/>
                <w:i w:val="0"/>
                <w:sz w:val="16"/>
              </w:rPr>
              <w:t>Cases planned, executed, passed, failed, blocked per level and per area</w:t>
            </w:r>
          </w:p>
        </w:tc>
        <w:tc>
          <w:tcPr>
            <w:tcW w:type="dxa" w:w="2268"/>
            <w:vAlign w:val="top"/>
          </w:tcPr>
          <w:p>
            <w:pPr>
              <w:spacing w:after="20" w:line="252" w:lineRule="auto"/>
            </w:pPr>
            <w:r>
              <w:rPr>
                <w:b w:val="0"/>
                <w:i w:val="0"/>
                <w:sz w:val="16"/>
              </w:rPr>
              <w:t>Daily in SIT/UAT; weekly to the Working Committee</w:t>
            </w:r>
          </w:p>
        </w:tc>
      </w:tr>
      <w:tr>
        <w:trPr>
          <w:cantSplit/>
        </w:trPr>
        <w:tc>
          <w:tcPr>
            <w:tcW w:type="dxa" w:w="1928"/>
            <w:vAlign w:val="top"/>
            <w:shd w:val="clear" w:color="auto" w:fill="FDF0F7"/>
          </w:tcPr>
          <w:p>
            <w:pPr>
              <w:spacing w:after="20" w:line="252" w:lineRule="auto"/>
            </w:pPr>
            <w:r>
              <w:rPr>
                <w:b/>
                <w:i w:val="0"/>
                <w:sz w:val="16"/>
              </w:rPr>
              <w:t>Pass rate</w:t>
            </w:r>
          </w:p>
        </w:tc>
        <w:tc>
          <w:tcPr>
            <w:tcW w:type="dxa" w:w="5443"/>
            <w:vAlign w:val="top"/>
            <w:shd w:val="clear" w:color="auto" w:fill="FDF0F7"/>
          </w:tcPr>
          <w:p>
            <w:pPr>
              <w:spacing w:after="20" w:line="252" w:lineRule="auto"/>
            </w:pPr>
            <w:r>
              <w:rPr>
                <w:b w:val="0"/>
                <w:i w:val="0"/>
                <w:sz w:val="16"/>
              </w:rPr>
              <w:t>Passed / executed; target ≥ 95% at SIT exit, 100% of Must requirements</w:t>
            </w:r>
          </w:p>
        </w:tc>
        <w:tc>
          <w:tcPr>
            <w:tcW w:type="dxa" w:w="2268"/>
            <w:vAlign w:val="top"/>
            <w:shd w:val="clear" w:color="auto" w:fill="FDF0F7"/>
          </w:tcPr>
          <w:p>
            <w:pPr>
              <w:spacing w:after="20" w:line="252" w:lineRule="auto"/>
            </w:pPr>
            <w:r>
              <w:rPr>
                <w:b w:val="0"/>
                <w:i w:val="0"/>
                <w:sz w:val="16"/>
              </w:rPr>
              <w:t>Daily / weekly</w:t>
            </w:r>
          </w:p>
        </w:tc>
      </w:tr>
      <w:tr>
        <w:trPr>
          <w:cantSplit/>
        </w:trPr>
        <w:tc>
          <w:tcPr>
            <w:tcW w:type="dxa" w:w="1928"/>
            <w:vAlign w:val="top"/>
          </w:tcPr>
          <w:p>
            <w:pPr>
              <w:spacing w:after="20" w:line="252" w:lineRule="auto"/>
            </w:pPr>
            <w:r>
              <w:rPr>
                <w:b/>
                <w:i w:val="0"/>
                <w:sz w:val="16"/>
              </w:rPr>
              <w:t>Requirement coverage</w:t>
            </w:r>
          </w:p>
        </w:tc>
        <w:tc>
          <w:tcPr>
            <w:tcW w:type="dxa" w:w="5443"/>
            <w:vAlign w:val="top"/>
          </w:tcPr>
          <w:p>
            <w:pPr>
              <w:spacing w:after="20" w:line="252" w:lineRule="auto"/>
            </w:pPr>
            <w:r>
              <w:rPr>
                <w:b w:val="0"/>
                <w:i w:val="0"/>
                <w:sz w:val="16"/>
              </w:rPr>
              <w:t>RFP requirements with at least one executed and passed case (Traceability sheet)</w:t>
            </w:r>
          </w:p>
        </w:tc>
        <w:tc>
          <w:tcPr>
            <w:tcW w:type="dxa" w:w="2268"/>
            <w:vAlign w:val="top"/>
          </w:tcPr>
          <w:p>
            <w:pPr>
              <w:spacing w:after="20" w:line="252" w:lineRule="auto"/>
            </w:pPr>
            <w:r>
              <w:rPr>
                <w:b w:val="0"/>
                <w:i w:val="0"/>
                <w:sz w:val="16"/>
              </w:rPr>
              <w:t>Weekly; 100% at UAT exit</w:t>
            </w:r>
          </w:p>
        </w:tc>
      </w:tr>
      <w:tr>
        <w:trPr>
          <w:cantSplit/>
        </w:trPr>
        <w:tc>
          <w:tcPr>
            <w:tcW w:type="dxa" w:w="1928"/>
            <w:vAlign w:val="top"/>
            <w:shd w:val="clear" w:color="auto" w:fill="FDF0F7"/>
          </w:tcPr>
          <w:p>
            <w:pPr>
              <w:spacing w:after="20" w:line="252" w:lineRule="auto"/>
            </w:pPr>
            <w:r>
              <w:rPr>
                <w:b/>
                <w:i w:val="0"/>
                <w:sz w:val="16"/>
              </w:rPr>
              <w:t>Defects</w:t>
            </w:r>
          </w:p>
        </w:tc>
        <w:tc>
          <w:tcPr>
            <w:tcW w:type="dxa" w:w="5443"/>
            <w:vAlign w:val="top"/>
            <w:shd w:val="clear" w:color="auto" w:fill="FDF0F7"/>
          </w:tcPr>
          <w:p>
            <w:pPr>
              <w:spacing w:after="20" w:line="252" w:lineRule="auto"/>
            </w:pPr>
            <w:r>
              <w:rPr>
                <w:b w:val="0"/>
                <w:i w:val="0"/>
                <w:sz w:val="16"/>
              </w:rPr>
              <w:t>Open by severity and age; found vs fixed per week; re-open rate</w:t>
            </w:r>
          </w:p>
        </w:tc>
        <w:tc>
          <w:tcPr>
            <w:tcW w:type="dxa" w:w="2268"/>
            <w:vAlign w:val="top"/>
            <w:shd w:val="clear" w:color="auto" w:fill="FDF0F7"/>
          </w:tcPr>
          <w:p>
            <w:pPr>
              <w:spacing w:after="20" w:line="252" w:lineRule="auto"/>
            </w:pPr>
            <w:r>
              <w:rPr>
                <w:b w:val="0"/>
                <w:i w:val="0"/>
                <w:sz w:val="16"/>
              </w:rPr>
              <w:t>Daily / weekly</w:t>
            </w:r>
          </w:p>
        </w:tc>
      </w:tr>
      <w:tr>
        <w:trPr>
          <w:cantSplit/>
        </w:trPr>
        <w:tc>
          <w:tcPr>
            <w:tcW w:type="dxa" w:w="1928"/>
            <w:vAlign w:val="top"/>
          </w:tcPr>
          <w:p>
            <w:pPr>
              <w:spacing w:after="20" w:line="252" w:lineRule="auto"/>
            </w:pPr>
            <w:r>
              <w:rPr>
                <w:b/>
                <w:i w:val="0"/>
                <w:sz w:val="16"/>
              </w:rPr>
              <w:t>Automation</w:t>
            </w:r>
          </w:p>
        </w:tc>
        <w:tc>
          <w:tcPr>
            <w:tcW w:type="dxa" w:w="5443"/>
            <w:vAlign w:val="top"/>
          </w:tcPr>
          <w:p>
            <w:pPr>
              <w:spacing w:after="20" w:line="252" w:lineRule="auto"/>
            </w:pPr>
            <w:r>
              <w:rPr>
                <w:b w:val="0"/>
                <w:i w:val="0"/>
                <w:sz w:val="16"/>
              </w:rPr>
              <w:t>Share of cases automated; regression duration</w:t>
            </w:r>
          </w:p>
        </w:tc>
        <w:tc>
          <w:tcPr>
            <w:tcW w:type="dxa" w:w="2268"/>
            <w:vAlign w:val="top"/>
          </w:tcPr>
          <w:p>
            <w:pPr>
              <w:spacing w:after="20" w:line="252" w:lineRule="auto"/>
            </w:pPr>
            <w:r>
              <w:rPr>
                <w:b w:val="0"/>
                <w:i w:val="0"/>
                <w:sz w:val="16"/>
              </w:rPr>
              <w:t>Per release</w:t>
            </w:r>
          </w:p>
        </w:tc>
      </w:tr>
      <w:tr>
        <w:trPr>
          <w:cantSplit/>
        </w:trPr>
        <w:tc>
          <w:tcPr>
            <w:tcW w:type="dxa" w:w="1928"/>
            <w:vAlign w:val="top"/>
            <w:shd w:val="clear" w:color="auto" w:fill="FDF0F7"/>
          </w:tcPr>
          <w:p>
            <w:pPr>
              <w:spacing w:after="20" w:line="252" w:lineRule="auto"/>
            </w:pPr>
            <w:r>
              <w:rPr>
                <w:b/>
                <w:i w:val="0"/>
                <w:sz w:val="16"/>
              </w:rPr>
              <w:t>Non-functional</w:t>
            </w:r>
          </w:p>
        </w:tc>
        <w:tc>
          <w:tcPr>
            <w:tcW w:type="dxa" w:w="5443"/>
            <w:vAlign w:val="top"/>
            <w:shd w:val="clear" w:color="auto" w:fill="FDF0F7"/>
          </w:tcPr>
          <w:p>
            <w:pPr>
              <w:spacing w:after="20" w:line="252" w:lineRule="auto"/>
            </w:pPr>
            <w:r>
              <w:rPr>
                <w:b w:val="0"/>
                <w:i w:val="0"/>
                <w:sz w:val="16"/>
              </w:rPr>
              <w:t>p95 response time, error rate, throughput, resource use</w:t>
            </w:r>
          </w:p>
        </w:tc>
        <w:tc>
          <w:tcPr>
            <w:tcW w:type="dxa" w:w="2268"/>
            <w:vAlign w:val="top"/>
            <w:shd w:val="clear" w:color="auto" w:fill="FDF0F7"/>
          </w:tcPr>
          <w:p>
            <w:pPr>
              <w:spacing w:after="20" w:line="252" w:lineRule="auto"/>
            </w:pPr>
            <w:r>
              <w:rPr>
                <w:b w:val="0"/>
                <w:i w:val="0"/>
                <w:sz w:val="16"/>
              </w:rPr>
              <w:t>Performance report</w:t>
            </w:r>
          </w:p>
        </w:tc>
      </w:tr>
      <w:tr>
        <w:trPr>
          <w:cantSplit/>
        </w:trPr>
        <w:tc>
          <w:tcPr>
            <w:tcW w:type="dxa" w:w="1928"/>
            <w:vAlign w:val="top"/>
          </w:tcPr>
          <w:p>
            <w:pPr>
              <w:spacing w:after="20" w:line="252" w:lineRule="auto"/>
            </w:pPr>
            <w:r>
              <w:rPr>
                <w:b/>
                <w:i w:val="0"/>
                <w:sz w:val="16"/>
              </w:rPr>
              <w:t>Security</w:t>
            </w:r>
          </w:p>
        </w:tc>
        <w:tc>
          <w:tcPr>
            <w:tcW w:type="dxa" w:w="5443"/>
            <w:vAlign w:val="top"/>
          </w:tcPr>
          <w:p>
            <w:pPr>
              <w:spacing w:after="20" w:line="252" w:lineRule="auto"/>
            </w:pPr>
            <w:r>
              <w:rPr>
                <w:b w:val="0"/>
                <w:i w:val="0"/>
                <w:sz w:val="16"/>
              </w:rPr>
              <w:t>Findings by severity and remediation status</w:t>
            </w:r>
          </w:p>
        </w:tc>
        <w:tc>
          <w:tcPr>
            <w:tcW w:type="dxa" w:w="2268"/>
            <w:vAlign w:val="top"/>
          </w:tcPr>
          <w:p>
            <w:pPr>
              <w:spacing w:after="20" w:line="252" w:lineRule="auto"/>
            </w:pPr>
            <w:r>
              <w:rPr>
                <w:b w:val="0"/>
                <w:i w:val="0"/>
                <w:sz w:val="16"/>
              </w:rPr>
              <w:t>VAPT report and re-test</w:t>
            </w:r>
          </w:p>
        </w:tc>
      </w:tr>
    </w:tbl>
    <w:p>
      <w:pPr>
        <w:pStyle w:val="Caption"/>
        <w:jc w:val="center"/>
      </w:pPr>
      <w:r>
        <w:rPr>
          <w:b w:val="0"/>
          <w:i w:val="0"/>
        </w:rPr>
        <w:t>Table 11: Metrics</w:t>
      </w:r>
    </w:p>
    <w:p>
      <w:pPr>
        <w:pStyle w:val="ListBullet"/>
      </w:pPr>
      <w:r>
        <w:rPr>
          <w:b w:val="0"/>
          <w:i w:val="0"/>
        </w:rPr>
        <w:t>Daily SIT/UAT report: cases executed and passed, blockers, defects found and fixed, open by severity.</w:t>
      </w:r>
    </w:p>
    <w:p>
      <w:pPr>
        <w:pStyle w:val="ListBullet"/>
      </w:pPr>
      <w:r>
        <w:rPr>
          <w:b w:val="0"/>
          <w:i w:val="0"/>
        </w:rPr>
        <w:t>Weekly Working Committee report: progress against plan, pass rate, coverage, defect trend, risks.</w:t>
      </w:r>
    </w:p>
    <w:p>
      <w:pPr>
        <w:pStyle w:val="ListBullet"/>
      </w:pPr>
      <w:r>
        <w:rPr>
          <w:b w:val="0"/>
          <w:i w:val="0"/>
        </w:rPr>
        <w:t>Phase reports: SIT results (DEL-14), performance report (DEL-18), security assessment and VAPT re-test (DEL-17), UAT results and certificate (DEL-16); each attaches the workbook refreshed on that date.</w:t>
      </w:r>
    </w:p>
    <w:p>
      <w:pPr>
        <w:pStyle w:val="Heading1"/>
        <w:pageBreakBefore/>
        <w:pBdr>
          <w:bottom w:val="single" w:sz="12" w:space="4" w:color="F58220"/>
        </w:pBdr>
      </w:pPr>
      <w:r>
        <w:t>11. Risks and mitigations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2835"/>
        <w:gridCol w:w="2041"/>
        <w:gridCol w:w="4762"/>
      </w:tblGrid>
      <w:tr>
        <w:trPr>
          <w:cantSplit/>
          <w:tblHeader/>
        </w:trPr>
        <w:tc>
          <w:tcPr>
            <w:tcW w:type="dxa" w:w="2835"/>
            <w:shd w:val="clear" w:color="auto" w:fill="E1058C"/>
            <w:vAlign w:val="center"/>
          </w:tcPr>
          <w:p>
            <w:pPr>
              <w:spacing w:after="0"/>
            </w:pPr>
            <w:r>
              <w:rPr>
                <w:b/>
                <w:i w:val="0"/>
                <w:color w:val="FFFFFF"/>
                <w:sz w:val="16"/>
              </w:rPr>
              <w:t>Risk</w:t>
            </w:r>
          </w:p>
        </w:tc>
        <w:tc>
          <w:tcPr>
            <w:tcW w:type="dxa" w:w="2041"/>
            <w:shd w:val="clear" w:color="auto" w:fill="E1058C"/>
            <w:vAlign w:val="center"/>
          </w:tcPr>
          <w:p>
            <w:pPr>
              <w:spacing w:after="0"/>
            </w:pPr>
            <w:r>
              <w:rPr>
                <w:b/>
                <w:i w:val="0"/>
                <w:color w:val="FFFFFF"/>
                <w:sz w:val="16"/>
              </w:rPr>
              <w:t>Effect</w:t>
            </w:r>
          </w:p>
        </w:tc>
        <w:tc>
          <w:tcPr>
            <w:tcW w:type="dxa" w:w="4762"/>
            <w:shd w:val="clear" w:color="auto" w:fill="E1058C"/>
            <w:vAlign w:val="center"/>
          </w:tcPr>
          <w:p>
            <w:pPr>
              <w:spacing w:after="0"/>
            </w:pPr>
            <w:r>
              <w:rPr>
                <w:b/>
                <w:i w:val="0"/>
                <w:color w:val="FFFFFF"/>
                <w:sz w:val="16"/>
              </w:rPr>
              <w:t>Mitigation</w:t>
            </w:r>
          </w:p>
        </w:tc>
      </w:tr>
      <w:tr>
        <w:trPr>
          <w:cantSplit/>
        </w:trPr>
        <w:tc>
          <w:tcPr>
            <w:tcW w:type="dxa" w:w="2835"/>
            <w:vAlign w:val="top"/>
          </w:tcPr>
          <w:p>
            <w:pPr>
              <w:spacing w:after="20" w:line="252" w:lineRule="auto"/>
            </w:pPr>
            <w:r>
              <w:rPr>
                <w:b/>
                <w:i w:val="0"/>
                <w:sz w:val="16"/>
              </w:rPr>
              <w:t>Interface test endpoints or credentials late (Core, FIN, AML, AD)</w:t>
            </w:r>
          </w:p>
        </w:tc>
        <w:tc>
          <w:tcPr>
            <w:tcW w:type="dxa" w:w="2041"/>
            <w:vAlign w:val="top"/>
          </w:tcPr>
          <w:p>
            <w:pPr>
              <w:spacing w:after="20" w:line="252" w:lineRule="auto"/>
            </w:pPr>
            <w:r>
              <w:rPr>
                <w:b w:val="0"/>
                <w:i w:val="0"/>
                <w:sz w:val="16"/>
              </w:rPr>
              <w:t>SIT slips</w:t>
            </w:r>
          </w:p>
        </w:tc>
        <w:tc>
          <w:tcPr>
            <w:tcW w:type="dxa" w:w="4762"/>
            <w:vAlign w:val="top"/>
          </w:tcPr>
          <w:p>
            <w:pPr>
              <w:spacing w:after="20" w:line="252" w:lineRule="auto"/>
            </w:pPr>
            <w:r>
              <w:rPr>
                <w:b w:val="0"/>
                <w:i w:val="0"/>
                <w:sz w:val="16"/>
              </w:rPr>
              <w:t>Simulated adapters allow all flows to be tested first; interface cases isolated and scheduled last; dependency tracked from week 8</w:t>
            </w:r>
          </w:p>
        </w:tc>
      </w:tr>
      <w:tr>
        <w:trPr>
          <w:cantSplit/>
        </w:trPr>
        <w:tc>
          <w:tcPr>
            <w:tcW w:type="dxa" w:w="2835"/>
            <w:vAlign w:val="top"/>
            <w:shd w:val="clear" w:color="auto" w:fill="FDF0F7"/>
          </w:tcPr>
          <w:p>
            <w:pPr>
              <w:spacing w:after="20" w:line="252" w:lineRule="auto"/>
            </w:pPr>
            <w:r>
              <w:rPr>
                <w:b/>
                <w:i w:val="0"/>
                <w:sz w:val="16"/>
              </w:rPr>
              <w:t>Shared demonstration accounts used by several testers</w:t>
            </w:r>
          </w:p>
        </w:tc>
        <w:tc>
          <w:tcPr>
            <w:tcW w:type="dxa" w:w="2041"/>
            <w:vAlign w:val="top"/>
            <w:shd w:val="clear" w:color="auto" w:fill="FDF0F7"/>
          </w:tcPr>
          <w:p>
            <w:pPr>
              <w:spacing w:after="20" w:line="252" w:lineRule="auto"/>
            </w:pPr>
            <w:r>
              <w:rPr>
                <w:b w:val="0"/>
                <w:i w:val="0"/>
                <w:sz w:val="16"/>
              </w:rPr>
              <w:t>Sessions ended by the single-active-session rule; misleading failures</w:t>
            </w:r>
          </w:p>
        </w:tc>
        <w:tc>
          <w:tcPr>
            <w:tcW w:type="dxa" w:w="4762"/>
            <w:vAlign w:val="top"/>
            <w:shd w:val="clear" w:color="auto" w:fill="FDF0F7"/>
          </w:tcPr>
          <w:p>
            <w:pPr>
              <w:spacing w:after="20" w:line="252" w:lineRule="auto"/>
            </w:pPr>
            <w:r>
              <w:rPr>
                <w:b w:val="0"/>
                <w:i w:val="0"/>
                <w:sz w:val="16"/>
              </w:rPr>
              <w:t>Named accounts per tester in SIT/UAT; the API run re-signs in and records it</w:t>
            </w:r>
          </w:p>
        </w:tc>
      </w:tr>
      <w:tr>
        <w:trPr>
          <w:cantSplit/>
        </w:trPr>
        <w:tc>
          <w:tcPr>
            <w:tcW w:type="dxa" w:w="2835"/>
            <w:vAlign w:val="top"/>
          </w:tcPr>
          <w:p>
            <w:pPr>
              <w:spacing w:after="20" w:line="252" w:lineRule="auto"/>
            </w:pPr>
            <w:r>
              <w:rPr>
                <w:b/>
                <w:i w:val="0"/>
                <w:sz w:val="16"/>
              </w:rPr>
              <w:t>Time-zone-dependent tests and jobs</w:t>
            </w:r>
          </w:p>
        </w:tc>
        <w:tc>
          <w:tcPr>
            <w:tcW w:type="dxa" w:w="2041"/>
            <w:vAlign w:val="top"/>
          </w:tcPr>
          <w:p>
            <w:pPr>
              <w:spacing w:after="20" w:line="252" w:lineRule="auto"/>
            </w:pPr>
            <w:r>
              <w:rPr>
                <w:b w:val="0"/>
                <w:i w:val="0"/>
                <w:sz w:val="16"/>
              </w:rPr>
              <w:t>Flaky results near midnight Brunei time</w:t>
            </w:r>
          </w:p>
        </w:tc>
        <w:tc>
          <w:tcPr>
            <w:tcW w:type="dxa" w:w="4762"/>
            <w:vAlign w:val="top"/>
          </w:tcPr>
          <w:p>
            <w:pPr>
              <w:spacing w:after="20" w:line="252" w:lineRule="auto"/>
            </w:pPr>
            <w:r>
              <w:rPr>
                <w:b w:val="0"/>
                <w:i w:val="0"/>
                <w:sz w:val="16"/>
              </w:rPr>
              <w:t>All tests use the business-day helper (DEF-001); jobs tested at their scheduled time in SIT</w:t>
            </w:r>
          </w:p>
        </w:tc>
      </w:tr>
      <w:tr>
        <w:trPr>
          <w:cantSplit/>
        </w:trPr>
        <w:tc>
          <w:tcPr>
            <w:tcW w:type="dxa" w:w="2835"/>
            <w:vAlign w:val="top"/>
            <w:shd w:val="clear" w:color="auto" w:fill="FDF0F7"/>
          </w:tcPr>
          <w:p>
            <w:pPr>
              <w:spacing w:after="20" w:line="252" w:lineRule="auto"/>
            </w:pPr>
            <w:r>
              <w:rPr>
                <w:b/>
                <w:i w:val="0"/>
                <w:sz w:val="16"/>
              </w:rPr>
              <w:t>UAT tester availability</w:t>
            </w:r>
          </w:p>
        </w:tc>
        <w:tc>
          <w:tcPr>
            <w:tcW w:type="dxa" w:w="2041"/>
            <w:vAlign w:val="top"/>
            <w:shd w:val="clear" w:color="auto" w:fill="FDF0F7"/>
          </w:tcPr>
          <w:p>
            <w:pPr>
              <w:spacing w:after="20" w:line="252" w:lineRule="auto"/>
            </w:pPr>
            <w:r>
              <w:rPr>
                <w:b w:val="0"/>
                <w:i w:val="0"/>
                <w:sz w:val="16"/>
              </w:rPr>
              <w:t>UAT exceeds weeks 19–22</w:t>
            </w:r>
          </w:p>
        </w:tc>
        <w:tc>
          <w:tcPr>
            <w:tcW w:type="dxa" w:w="4762"/>
            <w:vAlign w:val="top"/>
            <w:shd w:val="clear" w:color="auto" w:fill="FDF0F7"/>
          </w:tcPr>
          <w:p>
            <w:pPr>
              <w:spacing w:after="20" w:line="252" w:lineRule="auto"/>
            </w:pPr>
            <w:r>
              <w:rPr>
                <w:b w:val="0"/>
                <w:i w:val="0"/>
                <w:sz w:val="16"/>
              </w:rPr>
              <w:t>Testers named by week 16; scripts short and per role; iorta on site</w:t>
            </w:r>
          </w:p>
        </w:tc>
      </w:tr>
      <w:tr>
        <w:trPr>
          <w:cantSplit/>
        </w:trPr>
        <w:tc>
          <w:tcPr>
            <w:tcW w:type="dxa" w:w="2835"/>
            <w:vAlign w:val="top"/>
          </w:tcPr>
          <w:p>
            <w:pPr>
              <w:spacing w:after="20" w:line="252" w:lineRule="auto"/>
            </w:pPr>
            <w:r>
              <w:rPr>
                <w:b/>
                <w:i w:val="0"/>
                <w:sz w:val="16"/>
              </w:rPr>
              <w:t>Performance environment not production-like</w:t>
            </w:r>
          </w:p>
        </w:tc>
        <w:tc>
          <w:tcPr>
            <w:tcW w:type="dxa" w:w="2041"/>
            <w:vAlign w:val="top"/>
          </w:tcPr>
          <w:p>
            <w:pPr>
              <w:spacing w:after="20" w:line="252" w:lineRule="auto"/>
            </w:pPr>
            <w:r>
              <w:rPr>
                <w:b w:val="0"/>
                <w:i w:val="0"/>
                <w:sz w:val="16"/>
              </w:rPr>
              <w:t>Results not representative</w:t>
            </w:r>
          </w:p>
        </w:tc>
        <w:tc>
          <w:tcPr>
            <w:tcW w:type="dxa" w:w="4762"/>
            <w:vAlign w:val="top"/>
          </w:tcPr>
          <w:p>
            <w:pPr>
              <w:spacing w:after="20" w:line="252" w:lineRule="auto"/>
            </w:pPr>
            <w:r>
              <w:rPr>
                <w:b w:val="0"/>
                <w:i w:val="0"/>
                <w:sz w:val="16"/>
              </w:rPr>
              <w:t>Sizing agreed in the Solution Architecture; environment checked before the test; results reported with configuration</w:t>
            </w:r>
          </w:p>
        </w:tc>
      </w:tr>
      <w:tr>
        <w:trPr>
          <w:cantSplit/>
        </w:trPr>
        <w:tc>
          <w:tcPr>
            <w:tcW w:type="dxa" w:w="2835"/>
            <w:vAlign w:val="top"/>
            <w:shd w:val="clear" w:color="auto" w:fill="FDF0F7"/>
          </w:tcPr>
          <w:p>
            <w:pPr>
              <w:spacing w:after="20" w:line="252" w:lineRule="auto"/>
            </w:pPr>
            <w:r>
              <w:rPr>
                <w:b/>
                <w:i w:val="0"/>
                <w:sz w:val="16"/>
              </w:rPr>
              <w:t>VAPT findings late in the plan</w:t>
            </w:r>
          </w:p>
        </w:tc>
        <w:tc>
          <w:tcPr>
            <w:tcW w:type="dxa" w:w="2041"/>
            <w:vAlign w:val="top"/>
            <w:shd w:val="clear" w:color="auto" w:fill="FDF0F7"/>
          </w:tcPr>
          <w:p>
            <w:pPr>
              <w:spacing w:after="20" w:line="252" w:lineRule="auto"/>
            </w:pPr>
            <w:r>
              <w:rPr>
                <w:b w:val="0"/>
                <w:i w:val="0"/>
                <w:sz w:val="16"/>
              </w:rPr>
              <w:t>Go-live at risk</w:t>
            </w:r>
          </w:p>
        </w:tc>
        <w:tc>
          <w:tcPr>
            <w:tcW w:type="dxa" w:w="4762"/>
            <w:vAlign w:val="top"/>
            <w:shd w:val="clear" w:color="auto" w:fill="FDF0F7"/>
          </w:tcPr>
          <w:p>
            <w:pPr>
              <w:spacing w:after="20" w:line="252" w:lineRule="auto"/>
            </w:pPr>
            <w:r>
              <w:rPr>
                <w:b w:val="0"/>
                <w:i w:val="0"/>
                <w:sz w:val="16"/>
              </w:rPr>
              <w:t>Internal checks and CI gates first; VAPT starts at SIT functional exit; remediation window reserved in week 19</w:t>
            </w:r>
          </w:p>
        </w:tc>
      </w:tr>
      <w:tr>
        <w:trPr>
          <w:cantSplit/>
        </w:trPr>
        <w:tc>
          <w:tcPr>
            <w:tcW w:type="dxa" w:w="2835"/>
            <w:vAlign w:val="top"/>
          </w:tcPr>
          <w:p>
            <w:pPr>
              <w:spacing w:after="20" w:line="252" w:lineRule="auto"/>
            </w:pPr>
            <w:r>
              <w:rPr>
                <w:b/>
                <w:i w:val="0"/>
                <w:sz w:val="16"/>
              </w:rPr>
              <w:t>Migration data quality</w:t>
            </w:r>
          </w:p>
        </w:tc>
        <w:tc>
          <w:tcPr>
            <w:tcW w:type="dxa" w:w="2041"/>
            <w:vAlign w:val="top"/>
          </w:tcPr>
          <w:p>
            <w:pPr>
              <w:spacing w:after="20" w:line="252" w:lineRule="auto"/>
            </w:pPr>
            <w:r>
              <w:rPr>
                <w:b w:val="0"/>
                <w:i w:val="0"/>
                <w:sz w:val="16"/>
              </w:rPr>
              <w:t>Reconciliation mismatches</w:t>
            </w:r>
          </w:p>
        </w:tc>
        <w:tc>
          <w:tcPr>
            <w:tcW w:type="dxa" w:w="4762"/>
            <w:vAlign w:val="top"/>
          </w:tcPr>
          <w:p>
            <w:pPr>
              <w:spacing w:after="20" w:line="252" w:lineRule="auto"/>
            </w:pPr>
            <w:r>
              <w:rPr>
                <w:b w:val="0"/>
                <w:i w:val="0"/>
                <w:sz w:val="16"/>
              </w:rPr>
              <w:t>Two dry-runs; corrections at source; exception reports</w:t>
            </w:r>
          </w:p>
        </w:tc>
      </w:tr>
    </w:tbl>
    <w:p>
      <w:pPr>
        <w:pStyle w:val="Caption"/>
        <w:jc w:val="center"/>
      </w:pPr>
      <w:r>
        <w:rPr>
          <w:b w:val="0"/>
          <w:i w:val="0"/>
        </w:rPr>
        <w:t>Table 12: Test risks</w:t>
      </w:r>
    </w:p>
    <w:p>
      <w:pPr>
        <w:pStyle w:val="Heading1"/>
        <w:pageBreakBefore/>
        <w:pBdr>
          <w:bottom w:val="single" w:sz="12" w:space="4" w:color="F58220"/>
        </w:pBdr>
      </w:pPr>
      <w:r>
        <w:t>12. Status post testing</w:t>
      </w:r>
    </w:p>
    <w:p>
      <w:pPr>
        <w:keepNext w:val="0"/>
      </w:pPr>
      <w:r>
        <w:rPr>
          <w:b w:val="0"/>
          <w:i w:val="0"/>
        </w:rPr>
        <w:t>Status of testing on the build of 2 October 2026 (source commit d161514), counted from the evidence files listed in the annex. The figures are the same as on the Summary sheet of the Test Cases workbook; the build of this pack verifies that they agree.</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1474"/>
        <w:gridCol w:w="907"/>
        <w:gridCol w:w="907"/>
        <w:gridCol w:w="6350"/>
      </w:tblGrid>
      <w:tr>
        <w:trPr>
          <w:cantSplit/>
          <w:tblHeader/>
        </w:trPr>
        <w:tc>
          <w:tcPr>
            <w:tcW w:type="dxa" w:w="1474"/>
            <w:shd w:val="clear" w:color="auto" w:fill="E1058C"/>
            <w:vAlign w:val="center"/>
          </w:tcPr>
          <w:p>
            <w:pPr>
              <w:spacing w:after="0"/>
            </w:pPr>
            <w:r>
              <w:rPr>
                <w:b/>
                <w:i w:val="0"/>
                <w:color w:val="FFFFFF"/>
                <w:sz w:val="17"/>
              </w:rPr>
              <w:t>Status</w:t>
            </w:r>
          </w:p>
        </w:tc>
        <w:tc>
          <w:tcPr>
            <w:tcW w:type="dxa" w:w="907"/>
            <w:shd w:val="clear" w:color="auto" w:fill="E1058C"/>
            <w:vAlign w:val="center"/>
          </w:tcPr>
          <w:p>
            <w:pPr>
              <w:spacing w:after="0"/>
            </w:pPr>
            <w:r>
              <w:rPr>
                <w:b/>
                <w:i w:val="0"/>
                <w:color w:val="FFFFFF"/>
                <w:sz w:val="17"/>
              </w:rPr>
              <w:t>Cases</w:t>
            </w:r>
          </w:p>
        </w:tc>
        <w:tc>
          <w:tcPr>
            <w:tcW w:type="dxa" w:w="907"/>
            <w:shd w:val="clear" w:color="auto" w:fill="E1058C"/>
            <w:vAlign w:val="center"/>
          </w:tcPr>
          <w:p>
            <w:pPr>
              <w:spacing w:after="0"/>
            </w:pPr>
            <w:r>
              <w:rPr>
                <w:b/>
                <w:i w:val="0"/>
                <w:color w:val="FFFFFF"/>
                <w:sz w:val="17"/>
              </w:rPr>
              <w:t>Share</w:t>
            </w:r>
          </w:p>
        </w:tc>
        <w:tc>
          <w:tcPr>
            <w:tcW w:type="dxa" w:w="6350"/>
            <w:shd w:val="clear" w:color="auto" w:fill="E1058C"/>
            <w:vAlign w:val="center"/>
          </w:tcPr>
          <w:p>
            <w:pPr>
              <w:spacing w:after="0"/>
            </w:pPr>
            <w:r>
              <w:rPr>
                <w:b/>
                <w:i w:val="0"/>
                <w:color w:val="FFFFFF"/>
                <w:sz w:val="17"/>
              </w:rPr>
              <w:t>Meaning</w:t>
            </w:r>
          </w:p>
        </w:tc>
      </w:tr>
      <w:tr>
        <w:trPr>
          <w:cantSplit/>
        </w:trPr>
        <w:tc>
          <w:tcPr>
            <w:tcW w:type="dxa" w:w="1474"/>
            <w:vAlign w:val="top"/>
          </w:tcPr>
          <w:p>
            <w:pPr>
              <w:spacing w:after="20" w:line="252" w:lineRule="auto"/>
            </w:pPr>
            <w:r>
              <w:rPr>
                <w:b/>
                <w:i w:val="0"/>
                <w:sz w:val="17"/>
              </w:rPr>
              <w:t>Passed</w:t>
            </w:r>
          </w:p>
        </w:tc>
        <w:tc>
          <w:tcPr>
            <w:tcW w:type="dxa" w:w="907"/>
            <w:vAlign w:val="top"/>
          </w:tcPr>
          <w:p>
            <w:pPr>
              <w:spacing w:after="20" w:line="252" w:lineRule="auto"/>
              <w:jc w:val="center"/>
            </w:pPr>
            <w:r>
              <w:rPr>
                <w:b w:val="0"/>
                <w:i w:val="0"/>
                <w:sz w:val="17"/>
              </w:rPr>
              <w:t>384</w:t>
            </w:r>
          </w:p>
        </w:tc>
        <w:tc>
          <w:tcPr>
            <w:tcW w:type="dxa" w:w="907"/>
            <w:vAlign w:val="top"/>
          </w:tcPr>
          <w:p>
            <w:pPr>
              <w:spacing w:after="20" w:line="252" w:lineRule="auto"/>
              <w:jc w:val="center"/>
            </w:pPr>
            <w:r>
              <w:rPr>
                <w:b w:val="0"/>
                <w:i w:val="0"/>
                <w:sz w:val="17"/>
              </w:rPr>
              <w:t>88%</w:t>
            </w:r>
          </w:p>
        </w:tc>
        <w:tc>
          <w:tcPr>
            <w:tcW w:type="dxa" w:w="6350"/>
            <w:vAlign w:val="top"/>
          </w:tcPr>
          <w:p>
            <w:pPr>
              <w:spacing w:after="20" w:line="252" w:lineRule="auto"/>
            </w:pPr>
            <w:r>
              <w:rPr>
                <w:b w:val="0"/>
                <w:i w:val="0"/>
                <w:sz w:val="17"/>
              </w:rPr>
              <w:t>Executed with the expected result (automated suites, API run, security checks, manual runs with screen captures)</w:t>
            </w:r>
          </w:p>
        </w:tc>
      </w:tr>
      <w:tr>
        <w:trPr>
          <w:cantSplit/>
        </w:trPr>
        <w:tc>
          <w:tcPr>
            <w:tcW w:type="dxa" w:w="1474"/>
            <w:vAlign w:val="top"/>
            <w:shd w:val="clear" w:color="auto" w:fill="FDF0F7"/>
          </w:tcPr>
          <w:p>
            <w:pPr>
              <w:spacing w:after="20" w:line="252" w:lineRule="auto"/>
            </w:pPr>
            <w:r>
              <w:rPr>
                <w:b/>
                <w:i w:val="0"/>
                <w:sz w:val="17"/>
              </w:rPr>
              <w:t>Failed</w:t>
            </w:r>
          </w:p>
        </w:tc>
        <w:tc>
          <w:tcPr>
            <w:tcW w:type="dxa" w:w="907"/>
            <w:vAlign w:val="top"/>
            <w:shd w:val="clear" w:color="auto" w:fill="FDF0F7"/>
          </w:tcPr>
          <w:p>
            <w:pPr>
              <w:spacing w:after="20" w:line="252" w:lineRule="auto"/>
              <w:jc w:val="center"/>
            </w:pPr>
            <w:r>
              <w:rPr>
                <w:b w:val="0"/>
                <w:i w:val="0"/>
                <w:sz w:val="17"/>
              </w:rPr>
              <w:t>2</w:t>
            </w:r>
          </w:p>
        </w:tc>
        <w:tc>
          <w:tcPr>
            <w:tcW w:type="dxa" w:w="907"/>
            <w:vAlign w:val="top"/>
            <w:shd w:val="clear" w:color="auto" w:fill="FDF0F7"/>
          </w:tcPr>
          <w:p>
            <w:pPr>
              <w:spacing w:after="20" w:line="252" w:lineRule="auto"/>
              <w:jc w:val="center"/>
            </w:pPr>
            <w:r>
              <w:rPr>
                <w:b w:val="0"/>
                <w:i w:val="0"/>
                <w:sz w:val="17"/>
              </w:rPr>
              <w:t>0%</w:t>
            </w:r>
          </w:p>
        </w:tc>
        <w:tc>
          <w:tcPr>
            <w:tcW w:type="dxa" w:w="6350"/>
            <w:vAlign w:val="top"/>
            <w:shd w:val="clear" w:color="auto" w:fill="FDF0F7"/>
          </w:tcPr>
          <w:p>
            <w:pPr>
              <w:spacing w:after="20" w:line="252" w:lineRule="auto"/>
            </w:pPr>
            <w:r>
              <w:rPr>
                <w:b w:val="0"/>
                <w:i w:val="0"/>
                <w:sz w:val="17"/>
              </w:rPr>
              <w:t>Executed; expected result not observed; defect logged</w:t>
            </w:r>
          </w:p>
        </w:tc>
      </w:tr>
      <w:tr>
        <w:trPr>
          <w:cantSplit/>
        </w:trPr>
        <w:tc>
          <w:tcPr>
            <w:tcW w:type="dxa" w:w="1474"/>
            <w:vAlign w:val="top"/>
          </w:tcPr>
          <w:p>
            <w:pPr>
              <w:spacing w:after="20" w:line="252" w:lineRule="auto"/>
            </w:pPr>
            <w:r>
              <w:rPr>
                <w:b/>
                <w:i w:val="0"/>
                <w:sz w:val="17"/>
              </w:rPr>
              <w:t>Blocked</w:t>
            </w:r>
          </w:p>
        </w:tc>
        <w:tc>
          <w:tcPr>
            <w:tcW w:type="dxa" w:w="907"/>
            <w:vAlign w:val="top"/>
          </w:tcPr>
          <w:p>
            <w:pPr>
              <w:spacing w:after="20" w:line="252" w:lineRule="auto"/>
              <w:jc w:val="center"/>
            </w:pPr>
            <w:r>
              <w:rPr>
                <w:b w:val="0"/>
                <w:i w:val="0"/>
                <w:sz w:val="17"/>
              </w:rPr>
              <w:t>1</w:t>
            </w:r>
          </w:p>
        </w:tc>
        <w:tc>
          <w:tcPr>
            <w:tcW w:type="dxa" w:w="907"/>
            <w:vAlign w:val="top"/>
          </w:tcPr>
          <w:p>
            <w:pPr>
              <w:spacing w:after="20" w:line="252" w:lineRule="auto"/>
              <w:jc w:val="center"/>
            </w:pPr>
            <w:r>
              <w:rPr>
                <w:b w:val="0"/>
                <w:i w:val="0"/>
                <w:sz w:val="17"/>
              </w:rPr>
              <w:t>0%</w:t>
            </w:r>
          </w:p>
        </w:tc>
        <w:tc>
          <w:tcPr>
            <w:tcW w:type="dxa" w:w="6350"/>
            <w:vAlign w:val="top"/>
          </w:tcPr>
          <w:p>
            <w:pPr>
              <w:spacing w:after="20" w:line="252" w:lineRule="auto"/>
            </w:pPr>
            <w:r>
              <w:rPr>
                <w:b w:val="0"/>
                <w:i w:val="0"/>
                <w:sz w:val="17"/>
              </w:rPr>
              <w:t>Pre-condition not available in the test data at the time of the run</w:t>
            </w:r>
          </w:p>
        </w:tc>
      </w:tr>
      <w:tr>
        <w:trPr>
          <w:cantSplit/>
        </w:trPr>
        <w:tc>
          <w:tcPr>
            <w:tcW w:type="dxa" w:w="1474"/>
            <w:vAlign w:val="top"/>
            <w:shd w:val="clear" w:color="auto" w:fill="FDF0F7"/>
          </w:tcPr>
          <w:p>
            <w:pPr>
              <w:spacing w:after="20" w:line="252" w:lineRule="auto"/>
            </w:pPr>
            <w:r>
              <w:rPr>
                <w:b/>
                <w:i w:val="0"/>
                <w:sz w:val="17"/>
              </w:rPr>
              <w:t>Not executed</w:t>
            </w:r>
          </w:p>
        </w:tc>
        <w:tc>
          <w:tcPr>
            <w:tcW w:type="dxa" w:w="907"/>
            <w:vAlign w:val="top"/>
            <w:shd w:val="clear" w:color="auto" w:fill="FDF0F7"/>
          </w:tcPr>
          <w:p>
            <w:pPr>
              <w:spacing w:after="20" w:line="252" w:lineRule="auto"/>
              <w:jc w:val="center"/>
            </w:pPr>
            <w:r>
              <w:rPr>
                <w:b w:val="0"/>
                <w:i w:val="0"/>
                <w:sz w:val="17"/>
              </w:rPr>
              <w:t>51</w:t>
            </w:r>
          </w:p>
        </w:tc>
        <w:tc>
          <w:tcPr>
            <w:tcW w:type="dxa" w:w="907"/>
            <w:vAlign w:val="top"/>
            <w:shd w:val="clear" w:color="auto" w:fill="FDF0F7"/>
          </w:tcPr>
          <w:p>
            <w:pPr>
              <w:spacing w:after="20" w:line="252" w:lineRule="auto"/>
              <w:jc w:val="center"/>
            </w:pPr>
            <w:r>
              <w:rPr>
                <w:b w:val="0"/>
                <w:i w:val="0"/>
                <w:sz w:val="17"/>
              </w:rPr>
              <w:t>12%</w:t>
            </w:r>
          </w:p>
        </w:tc>
        <w:tc>
          <w:tcPr>
            <w:tcW w:type="dxa" w:w="6350"/>
            <w:vAlign w:val="top"/>
            <w:shd w:val="clear" w:color="auto" w:fill="FDF0F7"/>
          </w:tcPr>
          <w:p>
            <w:pPr>
              <w:spacing w:after="20" w:line="252" w:lineRule="auto"/>
            </w:pPr>
            <w:r>
              <w:rPr>
                <w:b w:val="0"/>
                <w:i w:val="0"/>
                <w:sz w:val="17"/>
              </w:rPr>
              <w:t>Needs IIFT's environment, scale, users or a time-based job; reason stated per case</w:t>
            </w:r>
          </w:p>
        </w:tc>
      </w:tr>
      <w:tr>
        <w:trPr>
          <w:cantSplit/>
        </w:trPr>
        <w:tc>
          <w:tcPr>
            <w:tcW w:type="dxa" w:w="1474"/>
            <w:vAlign w:val="top"/>
            <w:shd w:val="clear" w:color="auto" w:fill="FEEBDD"/>
          </w:tcPr>
          <w:p>
            <w:pPr>
              <w:spacing w:after="20" w:line="252" w:lineRule="auto"/>
            </w:pPr>
            <w:r>
              <w:rPr>
                <w:b/>
                <w:i w:val="0"/>
                <w:sz w:val="17"/>
              </w:rPr>
              <w:t>Total</w:t>
            </w:r>
          </w:p>
        </w:tc>
        <w:tc>
          <w:tcPr>
            <w:tcW w:type="dxa" w:w="907"/>
            <w:vAlign w:val="top"/>
            <w:shd w:val="clear" w:color="auto" w:fill="FEEBDD"/>
          </w:tcPr>
          <w:p>
            <w:pPr>
              <w:spacing w:after="20" w:line="252" w:lineRule="auto"/>
              <w:jc w:val="center"/>
            </w:pPr>
            <w:r>
              <w:rPr>
                <w:b/>
                <w:i w:val="0"/>
                <w:sz w:val="17"/>
              </w:rPr>
              <w:t>438</w:t>
            </w:r>
          </w:p>
        </w:tc>
        <w:tc>
          <w:tcPr>
            <w:tcW w:type="dxa" w:w="907"/>
            <w:vAlign w:val="top"/>
            <w:shd w:val="clear" w:color="auto" w:fill="FEEBDD"/>
          </w:tcPr>
          <w:p>
            <w:pPr>
              <w:spacing w:after="20" w:line="252" w:lineRule="auto"/>
              <w:jc w:val="center"/>
            </w:pPr>
            <w:r>
              <w:rPr>
                <w:b/>
                <w:i w:val="0"/>
                <w:sz w:val="17"/>
              </w:rPr>
              <w:t>100%</w:t>
            </w:r>
          </w:p>
        </w:tc>
        <w:tc>
          <w:tcPr>
            <w:tcW w:type="dxa" w:w="6350"/>
            <w:vAlign w:val="top"/>
            <w:shd w:val="clear" w:color="auto" w:fill="FEEBDD"/>
          </w:tcPr>
          <w:p>
            <w:pPr>
              <w:spacing w:after="20" w:line="252" w:lineRule="auto"/>
            </w:pPr>
            <w:r>
              <w:rPr>
                <w:b/>
                <w:i w:val="0"/>
                <w:sz w:val="17"/>
              </w:rPr>
              <w:t>70 scenarios, 196 conditions</w:t>
            </w:r>
          </w:p>
        </w:tc>
      </w:tr>
    </w:tbl>
    <w:p>
      <w:pPr>
        <w:pStyle w:val="Caption"/>
        <w:jc w:val="center"/>
      </w:pPr>
      <w:r>
        <w:rPr>
          <w:b w:val="0"/>
          <w:i w:val="0"/>
        </w:rPr>
        <w:t>Table 13: Cases by status</w:t>
      </w:r>
    </w:p>
    <w:tbl>
      <w:tblPr>
        <w:tblW w:type="dxa" w:w="9298"/>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3742"/>
        <w:gridCol w:w="1020"/>
        <w:gridCol w:w="1020"/>
        <w:gridCol w:w="1020"/>
        <w:gridCol w:w="1020"/>
        <w:gridCol w:w="1474"/>
      </w:tblGrid>
      <w:tr>
        <w:trPr>
          <w:cantSplit/>
          <w:tblHeader/>
        </w:trPr>
        <w:tc>
          <w:tcPr>
            <w:tcW w:type="dxa" w:w="3742"/>
            <w:shd w:val="clear" w:color="auto" w:fill="E1058C"/>
            <w:vAlign w:val="center"/>
          </w:tcPr>
          <w:p>
            <w:pPr>
              <w:spacing w:after="0"/>
            </w:pPr>
            <w:r>
              <w:rPr>
                <w:b/>
                <w:i w:val="0"/>
                <w:color w:val="FFFFFF"/>
                <w:sz w:val="17"/>
              </w:rPr>
              <w:t>Level</w:t>
            </w:r>
          </w:p>
        </w:tc>
        <w:tc>
          <w:tcPr>
            <w:tcW w:type="dxa" w:w="1020"/>
            <w:shd w:val="clear" w:color="auto" w:fill="E1058C"/>
            <w:vAlign w:val="center"/>
          </w:tcPr>
          <w:p>
            <w:pPr>
              <w:spacing w:after="0"/>
            </w:pPr>
            <w:r>
              <w:rPr>
                <w:b/>
                <w:i w:val="0"/>
                <w:color w:val="FFFFFF"/>
                <w:sz w:val="17"/>
              </w:rPr>
              <w:t>Cases</w:t>
            </w:r>
          </w:p>
        </w:tc>
        <w:tc>
          <w:tcPr>
            <w:tcW w:type="dxa" w:w="1020"/>
            <w:shd w:val="clear" w:color="auto" w:fill="E1058C"/>
            <w:vAlign w:val="center"/>
          </w:tcPr>
          <w:p>
            <w:pPr>
              <w:spacing w:after="0"/>
            </w:pPr>
            <w:r>
              <w:rPr>
                <w:b/>
                <w:i w:val="0"/>
                <w:color w:val="FFFFFF"/>
                <w:sz w:val="17"/>
              </w:rPr>
              <w:t>Passed</w:t>
            </w:r>
          </w:p>
        </w:tc>
        <w:tc>
          <w:tcPr>
            <w:tcW w:type="dxa" w:w="1020"/>
            <w:shd w:val="clear" w:color="auto" w:fill="E1058C"/>
            <w:vAlign w:val="center"/>
          </w:tcPr>
          <w:p>
            <w:pPr>
              <w:spacing w:after="0"/>
            </w:pPr>
            <w:r>
              <w:rPr>
                <w:b/>
                <w:i w:val="0"/>
                <w:color w:val="FFFFFF"/>
                <w:sz w:val="17"/>
              </w:rPr>
              <w:t>Failed</w:t>
            </w:r>
          </w:p>
        </w:tc>
        <w:tc>
          <w:tcPr>
            <w:tcW w:type="dxa" w:w="1020"/>
            <w:shd w:val="clear" w:color="auto" w:fill="E1058C"/>
            <w:vAlign w:val="center"/>
          </w:tcPr>
          <w:p>
            <w:pPr>
              <w:spacing w:after="0"/>
            </w:pPr>
            <w:r>
              <w:rPr>
                <w:b/>
                <w:i w:val="0"/>
                <w:color w:val="FFFFFF"/>
                <w:sz w:val="17"/>
              </w:rPr>
              <w:t>Blocked</w:t>
            </w:r>
          </w:p>
        </w:tc>
        <w:tc>
          <w:tcPr>
            <w:tcW w:type="dxa" w:w="1474"/>
            <w:shd w:val="clear" w:color="auto" w:fill="E1058C"/>
            <w:vAlign w:val="center"/>
          </w:tcPr>
          <w:p>
            <w:pPr>
              <w:spacing w:after="0"/>
            </w:pPr>
            <w:r>
              <w:rPr>
                <w:b/>
                <w:i w:val="0"/>
                <w:color w:val="FFFFFF"/>
                <w:sz w:val="17"/>
              </w:rPr>
              <w:t>Not executed</w:t>
            </w:r>
          </w:p>
        </w:tc>
      </w:tr>
      <w:tr>
        <w:trPr>
          <w:cantSplit/>
        </w:trPr>
        <w:tc>
          <w:tcPr>
            <w:tcW w:type="dxa" w:w="3742"/>
            <w:vAlign w:val="top"/>
          </w:tcPr>
          <w:p>
            <w:pPr>
              <w:spacing w:after="20" w:line="252" w:lineRule="auto"/>
            </w:pPr>
            <w:r>
              <w:rPr>
                <w:b/>
                <w:i w:val="0"/>
                <w:sz w:val="17"/>
              </w:rPr>
              <w:t>Unit (API and web components)</w:t>
            </w:r>
          </w:p>
        </w:tc>
        <w:tc>
          <w:tcPr>
            <w:tcW w:type="dxa" w:w="1020"/>
            <w:vAlign w:val="top"/>
          </w:tcPr>
          <w:p>
            <w:pPr>
              <w:spacing w:after="20" w:line="252" w:lineRule="auto"/>
              <w:jc w:val="center"/>
            </w:pPr>
            <w:r>
              <w:rPr>
                <w:b w:val="0"/>
                <w:i w:val="0"/>
                <w:sz w:val="17"/>
              </w:rPr>
              <w:t>150</w:t>
            </w:r>
          </w:p>
        </w:tc>
        <w:tc>
          <w:tcPr>
            <w:tcW w:type="dxa" w:w="1020"/>
            <w:vAlign w:val="top"/>
          </w:tcPr>
          <w:p>
            <w:pPr>
              <w:spacing w:after="20" w:line="252" w:lineRule="auto"/>
              <w:jc w:val="center"/>
            </w:pPr>
            <w:r>
              <w:rPr>
                <w:b w:val="0"/>
                <w:i w:val="0"/>
                <w:sz w:val="17"/>
              </w:rPr>
              <w:t>150</w:t>
            </w:r>
          </w:p>
        </w:tc>
        <w:tc>
          <w:tcPr>
            <w:tcW w:type="dxa" w:w="1020"/>
            <w:vAlign w:val="top"/>
          </w:tcPr>
          <w:p>
            <w:pPr>
              <w:spacing w:after="20" w:line="252" w:lineRule="auto"/>
              <w:jc w:val="center"/>
            </w:pPr>
            <w:r>
              <w:rPr>
                <w:b w:val="0"/>
                <w:i w:val="0"/>
                <w:sz w:val="17"/>
              </w:rPr>
              <w:t>0</w:t>
            </w:r>
          </w:p>
        </w:tc>
        <w:tc>
          <w:tcPr>
            <w:tcW w:type="dxa" w:w="1020"/>
            <w:vAlign w:val="top"/>
          </w:tcPr>
          <w:p>
            <w:pPr>
              <w:spacing w:after="20" w:line="252" w:lineRule="auto"/>
              <w:jc w:val="center"/>
            </w:pPr>
            <w:r>
              <w:rPr>
                <w:b w:val="0"/>
                <w:i w:val="0"/>
                <w:sz w:val="17"/>
              </w:rPr>
              <w:t>0</w:t>
            </w:r>
          </w:p>
        </w:tc>
        <w:tc>
          <w:tcPr>
            <w:tcW w:type="dxa" w:w="1474"/>
            <w:vAlign w:val="top"/>
          </w:tcPr>
          <w:p>
            <w:pPr>
              <w:spacing w:after="20" w:line="252" w:lineRule="auto"/>
              <w:jc w:val="center"/>
            </w:pPr>
            <w:r>
              <w:rPr>
                <w:b w:val="0"/>
                <w:i w:val="0"/>
                <w:sz w:val="17"/>
              </w:rPr>
              <w:t>0</w:t>
            </w:r>
          </w:p>
        </w:tc>
      </w:tr>
      <w:tr>
        <w:trPr>
          <w:cantSplit/>
        </w:trPr>
        <w:tc>
          <w:tcPr>
            <w:tcW w:type="dxa" w:w="3742"/>
            <w:vAlign w:val="top"/>
            <w:shd w:val="clear" w:color="auto" w:fill="FDF0F7"/>
          </w:tcPr>
          <w:p>
            <w:pPr>
              <w:spacing w:after="20" w:line="252" w:lineRule="auto"/>
            </w:pPr>
            <w:r>
              <w:rPr>
                <w:b/>
                <w:i w:val="0"/>
                <w:sz w:val="17"/>
              </w:rPr>
              <w:t>API system cases executed against the running system</w:t>
            </w:r>
          </w:p>
        </w:tc>
        <w:tc>
          <w:tcPr>
            <w:tcW w:type="dxa" w:w="1020"/>
            <w:vAlign w:val="top"/>
            <w:shd w:val="clear" w:color="auto" w:fill="FDF0F7"/>
          </w:tcPr>
          <w:p>
            <w:pPr>
              <w:spacing w:after="20" w:line="252" w:lineRule="auto"/>
              <w:jc w:val="center"/>
            </w:pPr>
            <w:r>
              <w:rPr>
                <w:b w:val="0"/>
                <w:i w:val="0"/>
                <w:sz w:val="17"/>
              </w:rPr>
              <w:t>122</w:t>
            </w:r>
          </w:p>
        </w:tc>
        <w:tc>
          <w:tcPr>
            <w:tcW w:type="dxa" w:w="1020"/>
            <w:vAlign w:val="top"/>
            <w:shd w:val="clear" w:color="auto" w:fill="FDF0F7"/>
          </w:tcPr>
          <w:p>
            <w:pPr>
              <w:spacing w:after="20" w:line="252" w:lineRule="auto"/>
              <w:jc w:val="center"/>
            </w:pPr>
            <w:r>
              <w:rPr>
                <w:b w:val="0"/>
                <w:i w:val="0"/>
                <w:sz w:val="17"/>
              </w:rPr>
              <w:t>111</w:t>
            </w:r>
          </w:p>
        </w:tc>
        <w:tc>
          <w:tcPr>
            <w:tcW w:type="dxa" w:w="1020"/>
            <w:vAlign w:val="top"/>
            <w:shd w:val="clear" w:color="auto" w:fill="FDF0F7"/>
          </w:tcPr>
          <w:p>
            <w:pPr>
              <w:spacing w:after="20" w:line="252" w:lineRule="auto"/>
              <w:jc w:val="center"/>
            </w:pPr>
            <w:r>
              <w:rPr>
                <w:b w:val="0"/>
                <w:i w:val="0"/>
                <w:sz w:val="17"/>
              </w:rPr>
              <w:t>1</w:t>
            </w:r>
          </w:p>
        </w:tc>
        <w:tc>
          <w:tcPr>
            <w:tcW w:type="dxa" w:w="1020"/>
            <w:vAlign w:val="top"/>
            <w:shd w:val="clear" w:color="auto" w:fill="FDF0F7"/>
          </w:tcPr>
          <w:p>
            <w:pPr>
              <w:spacing w:after="20" w:line="252" w:lineRule="auto"/>
              <w:jc w:val="center"/>
            </w:pPr>
            <w:r>
              <w:rPr>
                <w:b w:val="0"/>
                <w:i w:val="0"/>
                <w:sz w:val="17"/>
              </w:rPr>
              <w:t>1</w:t>
            </w:r>
          </w:p>
        </w:tc>
        <w:tc>
          <w:tcPr>
            <w:tcW w:type="dxa" w:w="1474"/>
            <w:vAlign w:val="top"/>
            <w:shd w:val="clear" w:color="auto" w:fill="FDF0F7"/>
          </w:tcPr>
          <w:p>
            <w:pPr>
              <w:spacing w:after="20" w:line="252" w:lineRule="auto"/>
              <w:jc w:val="center"/>
            </w:pPr>
            <w:r>
              <w:rPr>
                <w:b w:val="0"/>
                <w:i w:val="0"/>
                <w:sz w:val="17"/>
              </w:rPr>
              <w:t>9</w:t>
            </w:r>
          </w:p>
        </w:tc>
      </w:tr>
      <w:tr>
        <w:trPr>
          <w:cantSplit/>
        </w:trPr>
        <w:tc>
          <w:tcPr>
            <w:tcW w:type="dxa" w:w="3742"/>
            <w:vAlign w:val="top"/>
          </w:tcPr>
          <w:p>
            <w:pPr>
              <w:spacing w:after="20" w:line="252" w:lineRule="auto"/>
            </w:pPr>
            <w:r>
              <w:rPr>
                <w:b/>
                <w:i w:val="0"/>
                <w:sz w:val="17"/>
              </w:rPr>
              <w:t>End-to-end API suite (business journeys)</w:t>
            </w:r>
          </w:p>
        </w:tc>
        <w:tc>
          <w:tcPr>
            <w:tcW w:type="dxa" w:w="1020"/>
            <w:vAlign w:val="top"/>
          </w:tcPr>
          <w:p>
            <w:pPr>
              <w:spacing w:after="20" w:line="252" w:lineRule="auto"/>
              <w:jc w:val="center"/>
            </w:pPr>
            <w:r>
              <w:rPr>
                <w:b w:val="0"/>
                <w:i w:val="0"/>
                <w:sz w:val="17"/>
              </w:rPr>
              <w:t>44</w:t>
            </w:r>
          </w:p>
        </w:tc>
        <w:tc>
          <w:tcPr>
            <w:tcW w:type="dxa" w:w="1020"/>
            <w:vAlign w:val="top"/>
          </w:tcPr>
          <w:p>
            <w:pPr>
              <w:spacing w:after="20" w:line="252" w:lineRule="auto"/>
              <w:jc w:val="center"/>
            </w:pPr>
            <w:r>
              <w:rPr>
                <w:b w:val="0"/>
                <w:i w:val="0"/>
                <w:sz w:val="17"/>
              </w:rPr>
              <w:t>43</w:t>
            </w:r>
          </w:p>
        </w:tc>
        <w:tc>
          <w:tcPr>
            <w:tcW w:type="dxa" w:w="1020"/>
            <w:vAlign w:val="top"/>
          </w:tcPr>
          <w:p>
            <w:pPr>
              <w:spacing w:after="20" w:line="252" w:lineRule="auto"/>
              <w:jc w:val="center"/>
            </w:pPr>
            <w:r>
              <w:rPr>
                <w:b w:val="0"/>
                <w:i w:val="0"/>
                <w:sz w:val="17"/>
              </w:rPr>
              <w:t>1</w:t>
            </w:r>
          </w:p>
        </w:tc>
        <w:tc>
          <w:tcPr>
            <w:tcW w:type="dxa" w:w="1020"/>
            <w:vAlign w:val="top"/>
          </w:tcPr>
          <w:p>
            <w:pPr>
              <w:spacing w:after="20" w:line="252" w:lineRule="auto"/>
              <w:jc w:val="center"/>
            </w:pPr>
            <w:r>
              <w:rPr>
                <w:b w:val="0"/>
                <w:i w:val="0"/>
                <w:sz w:val="17"/>
              </w:rPr>
              <w:t>0</w:t>
            </w:r>
          </w:p>
        </w:tc>
        <w:tc>
          <w:tcPr>
            <w:tcW w:type="dxa" w:w="1474"/>
            <w:vAlign w:val="top"/>
          </w:tcPr>
          <w:p>
            <w:pPr>
              <w:spacing w:after="20" w:line="252" w:lineRule="auto"/>
              <w:jc w:val="center"/>
            </w:pPr>
            <w:r>
              <w:rPr>
                <w:b w:val="0"/>
                <w:i w:val="0"/>
                <w:sz w:val="17"/>
              </w:rPr>
              <w:t>0</w:t>
            </w:r>
          </w:p>
        </w:tc>
      </w:tr>
      <w:tr>
        <w:trPr>
          <w:cantSplit/>
        </w:trPr>
        <w:tc>
          <w:tcPr>
            <w:tcW w:type="dxa" w:w="3742"/>
            <w:vAlign w:val="top"/>
            <w:shd w:val="clear" w:color="auto" w:fill="FDF0F7"/>
          </w:tcPr>
          <w:p>
            <w:pPr>
              <w:spacing w:after="20" w:line="252" w:lineRule="auto"/>
            </w:pPr>
            <w:r>
              <w:rPr>
                <w:b/>
                <w:i w:val="0"/>
                <w:sz w:val="17"/>
              </w:rPr>
              <w:t>User interface (manual, exploratory)</w:t>
            </w:r>
          </w:p>
        </w:tc>
        <w:tc>
          <w:tcPr>
            <w:tcW w:type="dxa" w:w="1020"/>
            <w:vAlign w:val="top"/>
            <w:shd w:val="clear" w:color="auto" w:fill="FDF0F7"/>
          </w:tcPr>
          <w:p>
            <w:pPr>
              <w:spacing w:after="20" w:line="252" w:lineRule="auto"/>
              <w:jc w:val="center"/>
            </w:pPr>
            <w:r>
              <w:rPr>
                <w:b w:val="0"/>
                <w:i w:val="0"/>
                <w:sz w:val="17"/>
              </w:rPr>
              <w:t>57</w:t>
            </w:r>
          </w:p>
        </w:tc>
        <w:tc>
          <w:tcPr>
            <w:tcW w:type="dxa" w:w="1020"/>
            <w:vAlign w:val="top"/>
            <w:shd w:val="clear" w:color="auto" w:fill="FDF0F7"/>
          </w:tcPr>
          <w:p>
            <w:pPr>
              <w:spacing w:after="20" w:line="252" w:lineRule="auto"/>
              <w:jc w:val="center"/>
            </w:pPr>
            <w:r>
              <w:rPr>
                <w:b w:val="0"/>
                <w:i w:val="0"/>
                <w:sz w:val="17"/>
              </w:rPr>
              <w:t>51</w:t>
            </w:r>
          </w:p>
        </w:tc>
        <w:tc>
          <w:tcPr>
            <w:tcW w:type="dxa" w:w="1020"/>
            <w:vAlign w:val="top"/>
            <w:shd w:val="clear" w:color="auto" w:fill="FDF0F7"/>
          </w:tcPr>
          <w:p>
            <w:pPr>
              <w:spacing w:after="20" w:line="252" w:lineRule="auto"/>
              <w:jc w:val="center"/>
            </w:pPr>
            <w:r>
              <w:rPr>
                <w:b w:val="0"/>
                <w:i w:val="0"/>
                <w:sz w:val="17"/>
              </w:rPr>
              <w:t>0</w:t>
            </w:r>
          </w:p>
        </w:tc>
        <w:tc>
          <w:tcPr>
            <w:tcW w:type="dxa" w:w="1020"/>
            <w:vAlign w:val="top"/>
            <w:shd w:val="clear" w:color="auto" w:fill="FDF0F7"/>
          </w:tcPr>
          <w:p>
            <w:pPr>
              <w:spacing w:after="20" w:line="252" w:lineRule="auto"/>
              <w:jc w:val="center"/>
            </w:pPr>
            <w:r>
              <w:rPr>
                <w:b w:val="0"/>
                <w:i w:val="0"/>
                <w:sz w:val="17"/>
              </w:rPr>
              <w:t>0</w:t>
            </w:r>
          </w:p>
        </w:tc>
        <w:tc>
          <w:tcPr>
            <w:tcW w:type="dxa" w:w="1474"/>
            <w:vAlign w:val="top"/>
            <w:shd w:val="clear" w:color="auto" w:fill="FDF0F7"/>
          </w:tcPr>
          <w:p>
            <w:pPr>
              <w:spacing w:after="20" w:line="252" w:lineRule="auto"/>
              <w:jc w:val="center"/>
            </w:pPr>
            <w:r>
              <w:rPr>
                <w:b w:val="0"/>
                <w:i w:val="0"/>
                <w:sz w:val="17"/>
              </w:rPr>
              <w:t>6</w:t>
            </w:r>
          </w:p>
        </w:tc>
      </w:tr>
      <w:tr>
        <w:trPr>
          <w:cantSplit/>
        </w:trPr>
        <w:tc>
          <w:tcPr>
            <w:tcW w:type="dxa" w:w="3742"/>
            <w:vAlign w:val="top"/>
          </w:tcPr>
          <w:p>
            <w:pPr>
              <w:spacing w:after="20" w:line="252" w:lineRule="auto"/>
            </w:pPr>
            <w:r>
              <w:rPr>
                <w:b/>
                <w:i w:val="0"/>
                <w:sz w:val="17"/>
              </w:rPr>
              <w:t>Security checks (OWASP Top 10)</w:t>
            </w:r>
          </w:p>
        </w:tc>
        <w:tc>
          <w:tcPr>
            <w:tcW w:type="dxa" w:w="1020"/>
            <w:vAlign w:val="top"/>
          </w:tcPr>
          <w:p>
            <w:pPr>
              <w:spacing w:after="20" w:line="252" w:lineRule="auto"/>
              <w:jc w:val="center"/>
            </w:pPr>
            <w:r>
              <w:rPr>
                <w:b w:val="0"/>
                <w:i w:val="0"/>
                <w:sz w:val="17"/>
              </w:rPr>
              <w:t>34</w:t>
            </w:r>
          </w:p>
        </w:tc>
        <w:tc>
          <w:tcPr>
            <w:tcW w:type="dxa" w:w="1020"/>
            <w:vAlign w:val="top"/>
          </w:tcPr>
          <w:p>
            <w:pPr>
              <w:spacing w:after="20" w:line="252" w:lineRule="auto"/>
              <w:jc w:val="center"/>
            </w:pPr>
            <w:r>
              <w:rPr>
                <w:b w:val="0"/>
                <w:i w:val="0"/>
                <w:sz w:val="17"/>
              </w:rPr>
              <w:t>29</w:t>
            </w:r>
          </w:p>
        </w:tc>
        <w:tc>
          <w:tcPr>
            <w:tcW w:type="dxa" w:w="1020"/>
            <w:vAlign w:val="top"/>
          </w:tcPr>
          <w:p>
            <w:pPr>
              <w:spacing w:after="20" w:line="252" w:lineRule="auto"/>
              <w:jc w:val="center"/>
            </w:pPr>
            <w:r>
              <w:rPr>
                <w:b w:val="0"/>
                <w:i w:val="0"/>
                <w:sz w:val="17"/>
              </w:rPr>
              <w:t>0</w:t>
            </w:r>
          </w:p>
        </w:tc>
        <w:tc>
          <w:tcPr>
            <w:tcW w:type="dxa" w:w="1020"/>
            <w:vAlign w:val="top"/>
          </w:tcPr>
          <w:p>
            <w:pPr>
              <w:spacing w:after="20" w:line="252" w:lineRule="auto"/>
              <w:jc w:val="center"/>
            </w:pPr>
            <w:r>
              <w:rPr>
                <w:b w:val="0"/>
                <w:i w:val="0"/>
                <w:sz w:val="17"/>
              </w:rPr>
              <w:t>0</w:t>
            </w:r>
          </w:p>
        </w:tc>
        <w:tc>
          <w:tcPr>
            <w:tcW w:type="dxa" w:w="1474"/>
            <w:vAlign w:val="top"/>
          </w:tcPr>
          <w:p>
            <w:pPr>
              <w:spacing w:after="20" w:line="252" w:lineRule="auto"/>
              <w:jc w:val="center"/>
            </w:pPr>
            <w:r>
              <w:rPr>
                <w:b w:val="0"/>
                <w:i w:val="0"/>
                <w:sz w:val="17"/>
              </w:rPr>
              <w:t>5</w:t>
            </w:r>
          </w:p>
        </w:tc>
      </w:tr>
      <w:tr>
        <w:trPr>
          <w:cantSplit/>
        </w:trPr>
        <w:tc>
          <w:tcPr>
            <w:tcW w:type="dxa" w:w="3742"/>
            <w:vAlign w:val="top"/>
            <w:shd w:val="clear" w:color="auto" w:fill="FDF0F7"/>
          </w:tcPr>
          <w:p>
            <w:pPr>
              <w:spacing w:after="20" w:line="252" w:lineRule="auto"/>
            </w:pPr>
            <w:r>
              <w:rPr>
                <w:b/>
                <w:i w:val="0"/>
                <w:sz w:val="17"/>
              </w:rPr>
              <w:t>System integration test with IIFT systems</w:t>
            </w:r>
          </w:p>
        </w:tc>
        <w:tc>
          <w:tcPr>
            <w:tcW w:type="dxa" w:w="1020"/>
            <w:vAlign w:val="top"/>
            <w:shd w:val="clear" w:color="auto" w:fill="FDF0F7"/>
          </w:tcPr>
          <w:p>
            <w:pPr>
              <w:spacing w:after="20" w:line="252" w:lineRule="auto"/>
              <w:jc w:val="center"/>
            </w:pPr>
            <w:r>
              <w:rPr>
                <w:b w:val="0"/>
                <w:i w:val="0"/>
                <w:sz w:val="17"/>
              </w:rPr>
              <w:t>25</w:t>
            </w:r>
          </w:p>
        </w:tc>
        <w:tc>
          <w:tcPr>
            <w:tcW w:type="dxa" w:w="1020"/>
            <w:vAlign w:val="top"/>
            <w:shd w:val="clear" w:color="auto" w:fill="FDF0F7"/>
          </w:tcPr>
          <w:p>
            <w:pPr>
              <w:spacing w:after="20" w:line="252" w:lineRule="auto"/>
              <w:jc w:val="center"/>
            </w:pPr>
            <w:r>
              <w:rPr>
                <w:b w:val="0"/>
                <w:i w:val="0"/>
                <w:sz w:val="17"/>
              </w:rPr>
              <w:t>0</w:t>
            </w:r>
          </w:p>
        </w:tc>
        <w:tc>
          <w:tcPr>
            <w:tcW w:type="dxa" w:w="1020"/>
            <w:vAlign w:val="top"/>
            <w:shd w:val="clear" w:color="auto" w:fill="FDF0F7"/>
          </w:tcPr>
          <w:p>
            <w:pPr>
              <w:spacing w:after="20" w:line="252" w:lineRule="auto"/>
              <w:jc w:val="center"/>
            </w:pPr>
            <w:r>
              <w:rPr>
                <w:b w:val="0"/>
                <w:i w:val="0"/>
                <w:sz w:val="17"/>
              </w:rPr>
              <w:t>0</w:t>
            </w:r>
          </w:p>
        </w:tc>
        <w:tc>
          <w:tcPr>
            <w:tcW w:type="dxa" w:w="1020"/>
            <w:vAlign w:val="top"/>
            <w:shd w:val="clear" w:color="auto" w:fill="FDF0F7"/>
          </w:tcPr>
          <w:p>
            <w:pPr>
              <w:spacing w:after="20" w:line="252" w:lineRule="auto"/>
              <w:jc w:val="center"/>
            </w:pPr>
            <w:r>
              <w:rPr>
                <w:b w:val="0"/>
                <w:i w:val="0"/>
                <w:sz w:val="17"/>
              </w:rPr>
              <w:t>0</w:t>
            </w:r>
          </w:p>
        </w:tc>
        <w:tc>
          <w:tcPr>
            <w:tcW w:type="dxa" w:w="1474"/>
            <w:vAlign w:val="top"/>
            <w:shd w:val="clear" w:color="auto" w:fill="FDF0F7"/>
          </w:tcPr>
          <w:p>
            <w:pPr>
              <w:spacing w:after="20" w:line="252" w:lineRule="auto"/>
              <w:jc w:val="center"/>
            </w:pPr>
            <w:r>
              <w:rPr>
                <w:b w:val="0"/>
                <w:i w:val="0"/>
                <w:sz w:val="17"/>
              </w:rPr>
              <w:t>25</w:t>
            </w:r>
          </w:p>
        </w:tc>
      </w:tr>
      <w:tr>
        <w:trPr>
          <w:cantSplit/>
        </w:trPr>
        <w:tc>
          <w:tcPr>
            <w:tcW w:type="dxa" w:w="3742"/>
            <w:vAlign w:val="top"/>
          </w:tcPr>
          <w:p>
            <w:pPr>
              <w:spacing w:after="20" w:line="252" w:lineRule="auto"/>
            </w:pPr>
            <w:r>
              <w:rPr>
                <w:b/>
                <w:i w:val="0"/>
                <w:sz w:val="17"/>
              </w:rPr>
              <w:t>Performance</w:t>
            </w:r>
          </w:p>
        </w:tc>
        <w:tc>
          <w:tcPr>
            <w:tcW w:type="dxa" w:w="1020"/>
            <w:vAlign w:val="top"/>
          </w:tcPr>
          <w:p>
            <w:pPr>
              <w:spacing w:after="20" w:line="252" w:lineRule="auto"/>
              <w:jc w:val="center"/>
            </w:pPr>
            <w:r>
              <w:rPr>
                <w:b w:val="0"/>
                <w:i w:val="0"/>
                <w:sz w:val="17"/>
              </w:rPr>
              <w:t>3</w:t>
            </w:r>
          </w:p>
        </w:tc>
        <w:tc>
          <w:tcPr>
            <w:tcW w:type="dxa" w:w="1020"/>
            <w:vAlign w:val="top"/>
          </w:tcPr>
          <w:p>
            <w:pPr>
              <w:spacing w:after="20" w:line="252" w:lineRule="auto"/>
              <w:jc w:val="center"/>
            </w:pPr>
            <w:r>
              <w:rPr>
                <w:b w:val="0"/>
                <w:i w:val="0"/>
                <w:sz w:val="17"/>
              </w:rPr>
              <w:t>0</w:t>
            </w:r>
          </w:p>
        </w:tc>
        <w:tc>
          <w:tcPr>
            <w:tcW w:type="dxa" w:w="1020"/>
            <w:vAlign w:val="top"/>
          </w:tcPr>
          <w:p>
            <w:pPr>
              <w:spacing w:after="20" w:line="252" w:lineRule="auto"/>
              <w:jc w:val="center"/>
            </w:pPr>
            <w:r>
              <w:rPr>
                <w:b w:val="0"/>
                <w:i w:val="0"/>
                <w:sz w:val="17"/>
              </w:rPr>
              <w:t>0</w:t>
            </w:r>
          </w:p>
        </w:tc>
        <w:tc>
          <w:tcPr>
            <w:tcW w:type="dxa" w:w="1020"/>
            <w:vAlign w:val="top"/>
          </w:tcPr>
          <w:p>
            <w:pPr>
              <w:spacing w:after="20" w:line="252" w:lineRule="auto"/>
              <w:jc w:val="center"/>
            </w:pPr>
            <w:r>
              <w:rPr>
                <w:b w:val="0"/>
                <w:i w:val="0"/>
                <w:sz w:val="17"/>
              </w:rPr>
              <w:t>0</w:t>
            </w:r>
          </w:p>
        </w:tc>
        <w:tc>
          <w:tcPr>
            <w:tcW w:type="dxa" w:w="1474"/>
            <w:vAlign w:val="top"/>
          </w:tcPr>
          <w:p>
            <w:pPr>
              <w:spacing w:after="20" w:line="252" w:lineRule="auto"/>
              <w:jc w:val="center"/>
            </w:pPr>
            <w:r>
              <w:rPr>
                <w:b w:val="0"/>
                <w:i w:val="0"/>
                <w:sz w:val="17"/>
              </w:rPr>
              <w:t>3</w:t>
            </w:r>
          </w:p>
        </w:tc>
      </w:tr>
      <w:tr>
        <w:trPr>
          <w:cantSplit/>
        </w:trPr>
        <w:tc>
          <w:tcPr>
            <w:tcW w:type="dxa" w:w="3742"/>
            <w:vAlign w:val="top"/>
            <w:shd w:val="clear" w:color="auto" w:fill="FDF0F7"/>
          </w:tcPr>
          <w:p>
            <w:pPr>
              <w:spacing w:after="20" w:line="252" w:lineRule="auto"/>
            </w:pPr>
            <w:r>
              <w:rPr>
                <w:b/>
                <w:i w:val="0"/>
                <w:sz w:val="17"/>
              </w:rPr>
              <w:t>User acceptance</w:t>
            </w:r>
          </w:p>
        </w:tc>
        <w:tc>
          <w:tcPr>
            <w:tcW w:type="dxa" w:w="1020"/>
            <w:vAlign w:val="top"/>
            <w:shd w:val="clear" w:color="auto" w:fill="FDF0F7"/>
          </w:tcPr>
          <w:p>
            <w:pPr>
              <w:spacing w:after="20" w:line="252" w:lineRule="auto"/>
              <w:jc w:val="center"/>
            </w:pPr>
            <w:r>
              <w:rPr>
                <w:b w:val="0"/>
                <w:i w:val="0"/>
                <w:sz w:val="17"/>
              </w:rPr>
              <w:t>3</w:t>
            </w:r>
          </w:p>
        </w:tc>
        <w:tc>
          <w:tcPr>
            <w:tcW w:type="dxa" w:w="1020"/>
            <w:vAlign w:val="top"/>
            <w:shd w:val="clear" w:color="auto" w:fill="FDF0F7"/>
          </w:tcPr>
          <w:p>
            <w:pPr>
              <w:spacing w:after="20" w:line="252" w:lineRule="auto"/>
              <w:jc w:val="center"/>
            </w:pPr>
            <w:r>
              <w:rPr>
                <w:b w:val="0"/>
                <w:i w:val="0"/>
                <w:sz w:val="17"/>
              </w:rPr>
              <w:t>0</w:t>
            </w:r>
          </w:p>
        </w:tc>
        <w:tc>
          <w:tcPr>
            <w:tcW w:type="dxa" w:w="1020"/>
            <w:vAlign w:val="top"/>
            <w:shd w:val="clear" w:color="auto" w:fill="FDF0F7"/>
          </w:tcPr>
          <w:p>
            <w:pPr>
              <w:spacing w:after="20" w:line="252" w:lineRule="auto"/>
              <w:jc w:val="center"/>
            </w:pPr>
            <w:r>
              <w:rPr>
                <w:b w:val="0"/>
                <w:i w:val="0"/>
                <w:sz w:val="17"/>
              </w:rPr>
              <w:t>0</w:t>
            </w:r>
          </w:p>
        </w:tc>
        <w:tc>
          <w:tcPr>
            <w:tcW w:type="dxa" w:w="1020"/>
            <w:vAlign w:val="top"/>
            <w:shd w:val="clear" w:color="auto" w:fill="FDF0F7"/>
          </w:tcPr>
          <w:p>
            <w:pPr>
              <w:spacing w:after="20" w:line="252" w:lineRule="auto"/>
              <w:jc w:val="center"/>
            </w:pPr>
            <w:r>
              <w:rPr>
                <w:b w:val="0"/>
                <w:i w:val="0"/>
                <w:sz w:val="17"/>
              </w:rPr>
              <w:t>0</w:t>
            </w:r>
          </w:p>
        </w:tc>
        <w:tc>
          <w:tcPr>
            <w:tcW w:type="dxa" w:w="1474"/>
            <w:vAlign w:val="top"/>
            <w:shd w:val="clear" w:color="auto" w:fill="FDF0F7"/>
          </w:tcPr>
          <w:p>
            <w:pPr>
              <w:spacing w:after="20" w:line="252" w:lineRule="auto"/>
              <w:jc w:val="center"/>
            </w:pPr>
            <w:r>
              <w:rPr>
                <w:b w:val="0"/>
                <w:i w:val="0"/>
                <w:sz w:val="17"/>
              </w:rPr>
              <w:t>3</w:t>
            </w:r>
          </w:p>
        </w:tc>
      </w:tr>
    </w:tbl>
    <w:p>
      <w:pPr>
        <w:pStyle w:val="Caption"/>
        <w:jc w:val="center"/>
      </w:pPr>
      <w:r>
        <w:rPr>
          <w:b w:val="0"/>
          <w:i w:val="0"/>
        </w:rPr>
        <w:t>Table 14: Cases by level</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5103"/>
        <w:gridCol w:w="4536"/>
      </w:tblGrid>
      <w:tr>
        <w:trPr>
          <w:cantSplit/>
          <w:tblHeader/>
        </w:trPr>
        <w:tc>
          <w:tcPr>
            <w:tcW w:type="dxa" w:w="5102"/>
            <w:shd w:val="clear" w:color="auto" w:fill="E1058C"/>
            <w:vAlign w:val="center"/>
          </w:tcPr>
          <w:p>
            <w:pPr>
              <w:spacing w:after="0"/>
            </w:pPr>
            <w:r>
              <w:rPr>
                <w:b/>
                <w:i w:val="0"/>
                <w:color w:val="FFFFFF"/>
                <w:sz w:val="17"/>
              </w:rPr>
              <w:t>Automation</w:t>
            </w:r>
          </w:p>
        </w:tc>
        <w:tc>
          <w:tcPr>
            <w:tcW w:type="dxa" w:w="4535"/>
            <w:shd w:val="clear" w:color="auto" w:fill="E1058C"/>
            <w:vAlign w:val="center"/>
          </w:tcPr>
          <w:p>
            <w:pPr>
              <w:spacing w:after="0"/>
            </w:pPr>
            <w:r>
              <w:rPr>
                <w:b/>
                <w:i w:val="0"/>
                <w:color w:val="FFFFFF"/>
                <w:sz w:val="17"/>
              </w:rPr>
              <w:t>Cases</w:t>
            </w:r>
          </w:p>
        </w:tc>
      </w:tr>
      <w:tr>
        <w:trPr>
          <w:cantSplit/>
        </w:trPr>
        <w:tc>
          <w:tcPr>
            <w:tcW w:type="dxa" w:w="5102"/>
            <w:vAlign w:val="top"/>
          </w:tcPr>
          <w:p>
            <w:pPr>
              <w:spacing w:after="20" w:line="252" w:lineRule="auto"/>
            </w:pPr>
            <w:r>
              <w:rPr>
                <w:b/>
                <w:i w:val="0"/>
                <w:sz w:val="17"/>
              </w:rPr>
              <w:t>Automated</w:t>
            </w:r>
          </w:p>
        </w:tc>
        <w:tc>
          <w:tcPr>
            <w:tcW w:type="dxa" w:w="4535"/>
            <w:vAlign w:val="top"/>
          </w:tcPr>
          <w:p>
            <w:pPr>
              <w:spacing w:after="20" w:line="252" w:lineRule="auto"/>
              <w:jc w:val="center"/>
            </w:pPr>
            <w:r>
              <w:rPr>
                <w:b w:val="0"/>
                <w:i w:val="0"/>
                <w:sz w:val="17"/>
              </w:rPr>
              <w:t>223</w:t>
            </w:r>
          </w:p>
        </w:tc>
      </w:tr>
      <w:tr>
        <w:trPr>
          <w:cantSplit/>
        </w:trPr>
        <w:tc>
          <w:tcPr>
            <w:tcW w:type="dxa" w:w="5102"/>
            <w:vAlign w:val="top"/>
            <w:shd w:val="clear" w:color="auto" w:fill="FDF0F7"/>
          </w:tcPr>
          <w:p>
            <w:pPr>
              <w:spacing w:after="20" w:line="252" w:lineRule="auto"/>
            </w:pPr>
            <w:r>
              <w:rPr>
                <w:b/>
                <w:i w:val="0"/>
                <w:sz w:val="17"/>
              </w:rPr>
              <w:t>Executed – API run</w:t>
            </w:r>
          </w:p>
        </w:tc>
        <w:tc>
          <w:tcPr>
            <w:tcW w:type="dxa" w:w="4535"/>
            <w:vAlign w:val="top"/>
            <w:shd w:val="clear" w:color="auto" w:fill="FDF0F7"/>
          </w:tcPr>
          <w:p>
            <w:pPr>
              <w:spacing w:after="20" w:line="252" w:lineRule="auto"/>
              <w:jc w:val="center"/>
            </w:pPr>
            <w:r>
              <w:rPr>
                <w:b w:val="0"/>
                <w:i w:val="0"/>
                <w:sz w:val="17"/>
              </w:rPr>
              <w:t>113</w:t>
            </w:r>
          </w:p>
        </w:tc>
      </w:tr>
      <w:tr>
        <w:trPr>
          <w:cantSplit/>
        </w:trPr>
        <w:tc>
          <w:tcPr>
            <w:tcW w:type="dxa" w:w="5102"/>
            <w:vAlign w:val="top"/>
          </w:tcPr>
          <w:p>
            <w:pPr>
              <w:spacing w:after="20" w:line="252" w:lineRule="auto"/>
            </w:pPr>
            <w:r>
              <w:rPr>
                <w:b/>
                <w:i w:val="0"/>
                <w:sz w:val="17"/>
              </w:rPr>
              <w:t>Manual</w:t>
            </w:r>
          </w:p>
        </w:tc>
        <w:tc>
          <w:tcPr>
            <w:tcW w:type="dxa" w:w="4535"/>
            <w:vAlign w:val="top"/>
          </w:tcPr>
          <w:p>
            <w:pPr>
              <w:spacing w:after="20" w:line="252" w:lineRule="auto"/>
              <w:jc w:val="center"/>
            </w:pPr>
            <w:r>
              <w:rPr>
                <w:b w:val="0"/>
                <w:i w:val="0"/>
                <w:sz w:val="17"/>
              </w:rPr>
              <w:t>51</w:t>
            </w:r>
          </w:p>
        </w:tc>
      </w:tr>
      <w:tr>
        <w:trPr>
          <w:cantSplit/>
        </w:trPr>
        <w:tc>
          <w:tcPr>
            <w:tcW w:type="dxa" w:w="5102"/>
            <w:vAlign w:val="top"/>
            <w:shd w:val="clear" w:color="auto" w:fill="FDF0F7"/>
          </w:tcPr>
          <w:p>
            <w:pPr>
              <w:spacing w:after="20" w:line="252" w:lineRule="auto"/>
            </w:pPr>
            <w:r>
              <w:rPr>
                <w:b/>
                <w:i w:val="0"/>
                <w:sz w:val="17"/>
              </w:rPr>
              <w:t>Not automated</w:t>
            </w:r>
          </w:p>
        </w:tc>
        <w:tc>
          <w:tcPr>
            <w:tcW w:type="dxa" w:w="4535"/>
            <w:vAlign w:val="top"/>
            <w:shd w:val="clear" w:color="auto" w:fill="FDF0F7"/>
          </w:tcPr>
          <w:p>
            <w:pPr>
              <w:spacing w:after="20" w:line="252" w:lineRule="auto"/>
              <w:jc w:val="center"/>
            </w:pPr>
            <w:r>
              <w:rPr>
                <w:b w:val="0"/>
                <w:i w:val="0"/>
                <w:sz w:val="17"/>
              </w:rPr>
              <w:t>51</w:t>
            </w:r>
          </w:p>
        </w:tc>
      </w:tr>
    </w:tbl>
    <w:p>
      <w:pPr>
        <w:pStyle w:val="Caption"/>
        <w:jc w:val="center"/>
      </w:pPr>
      <w:r>
        <w:rPr>
          <w:b w:val="0"/>
          <w:i w:val="0"/>
        </w:rPr>
        <w:t>Table 15: Cases by automation</w:t>
      </w:r>
    </w:p>
    <w:p>
      <w:pPr>
        <w:pStyle w:val="Heading2"/>
      </w:pPr>
      <w:r>
        <w:t>12.1 What was executed</w:t>
      </w:r>
    </w:p>
    <w:p>
      <w:pPr>
        <w:pStyle w:val="ListBullet"/>
      </w:pPr>
      <w:r>
        <w:rPr>
          <w:b w:val="0"/>
          <w:i w:val="0"/>
        </w:rPr>
        <w:t>Unit tests: 59 of 59 API tests and 91 of 91 web tests passed in the re-run of 2 October 2026.</w:t>
      </w:r>
    </w:p>
    <w:p>
      <w:pPr>
        <w:pStyle w:val="ListBullet"/>
      </w:pPr>
      <w:r>
        <w:rPr>
          <w:b w:val="0"/>
          <w:i w:val="0"/>
        </w:rPr>
        <w:t>End-to-end suite: 31 of 32 journeys passed in the re-run; all 32 passed in the earlier evidence run of the same day (see DEF-001).</w:t>
      </w:r>
    </w:p>
    <w:p>
      <w:pPr>
        <w:pStyle w:val="ListBullet"/>
      </w:pPr>
      <w:r>
        <w:rPr>
          <w:b w:val="0"/>
          <w:i w:val="0"/>
        </w:rPr>
        <w:t>API run: 111 of 113 system cases passed against the running demonstration instance (http://localhost:3000), executed by iorta TechNXT QA (API run) on 2026-10-02 starting 22:12 UTC; every request and response is in the Execution log sheet.</w:t>
      </w:r>
    </w:p>
    <w:p>
      <w:pPr>
        <w:pStyle w:val="ListBullet"/>
      </w:pPr>
      <w:r>
        <w:rPr>
          <w:b w:val="0"/>
          <w:i w:val="0"/>
        </w:rPr>
        <w:t>Security: 29 of 29 OWASP checks passed (2 October 2026, 14:57 UTC); details in the Security Assessment Report.</w:t>
      </w:r>
    </w:p>
    <w:p>
      <w:pPr>
        <w:pStyle w:val="ListBullet"/>
      </w:pPr>
      <w:r>
        <w:rPr>
          <w:b w:val="0"/>
          <w:i w:val="0"/>
        </w:rPr>
        <w:t>Manual exploratory runs of the portal and back-office screens with screen captures held in evidence/ui-screens.</w:t>
      </w:r>
    </w:p>
    <w:p>
      <w:pPr>
        <w:pStyle w:val="Heading2"/>
      </w:pPr>
      <w:r>
        <w:t>12.2 Defects</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907"/>
        <w:gridCol w:w="4762"/>
        <w:gridCol w:w="1134"/>
        <w:gridCol w:w="2835"/>
      </w:tblGrid>
      <w:tr>
        <w:trPr>
          <w:cantSplit/>
          <w:tblHeader/>
        </w:trPr>
        <w:tc>
          <w:tcPr>
            <w:tcW w:type="dxa" w:w="907"/>
            <w:shd w:val="clear" w:color="auto" w:fill="E1058C"/>
            <w:vAlign w:val="center"/>
          </w:tcPr>
          <w:p>
            <w:pPr>
              <w:spacing w:after="0"/>
            </w:pPr>
            <w:r>
              <w:rPr>
                <w:b/>
                <w:i w:val="0"/>
                <w:color w:val="FFFFFF"/>
                <w:sz w:val="16"/>
              </w:rPr>
              <w:t>ID</w:t>
            </w:r>
          </w:p>
        </w:tc>
        <w:tc>
          <w:tcPr>
            <w:tcW w:type="dxa" w:w="4762"/>
            <w:shd w:val="clear" w:color="auto" w:fill="E1058C"/>
            <w:vAlign w:val="center"/>
          </w:tcPr>
          <w:p>
            <w:pPr>
              <w:spacing w:after="0"/>
            </w:pPr>
            <w:r>
              <w:rPr>
                <w:b/>
                <w:i w:val="0"/>
                <w:color w:val="FFFFFF"/>
                <w:sz w:val="16"/>
              </w:rPr>
              <w:t>Title</w:t>
            </w:r>
          </w:p>
        </w:tc>
        <w:tc>
          <w:tcPr>
            <w:tcW w:type="dxa" w:w="1134"/>
            <w:shd w:val="clear" w:color="auto" w:fill="E1058C"/>
            <w:vAlign w:val="center"/>
          </w:tcPr>
          <w:p>
            <w:pPr>
              <w:spacing w:after="0"/>
            </w:pPr>
            <w:r>
              <w:rPr>
                <w:b/>
                <w:i w:val="0"/>
                <w:color w:val="FFFFFF"/>
                <w:sz w:val="16"/>
              </w:rPr>
              <w:t>Severity</w:t>
            </w:r>
          </w:p>
        </w:tc>
        <w:tc>
          <w:tcPr>
            <w:tcW w:type="dxa" w:w="2835"/>
            <w:shd w:val="clear" w:color="auto" w:fill="E1058C"/>
            <w:vAlign w:val="center"/>
          </w:tcPr>
          <w:p>
            <w:pPr>
              <w:spacing w:after="0"/>
            </w:pPr>
            <w:r>
              <w:rPr>
                <w:b/>
                <w:i w:val="0"/>
                <w:color w:val="FFFFFF"/>
                <w:sz w:val="16"/>
              </w:rPr>
              <w:t>Status</w:t>
            </w:r>
          </w:p>
        </w:tc>
      </w:tr>
      <w:tr>
        <w:trPr>
          <w:cantSplit/>
        </w:trPr>
        <w:tc>
          <w:tcPr>
            <w:tcW w:type="dxa" w:w="907"/>
            <w:vAlign w:val="top"/>
          </w:tcPr>
          <w:p>
            <w:pPr>
              <w:spacing w:after="20" w:line="252" w:lineRule="auto"/>
            </w:pPr>
            <w:r>
              <w:rPr>
                <w:b/>
                <w:i w:val="0"/>
                <w:sz w:val="16"/>
              </w:rPr>
              <w:t>DEF-001</w:t>
            </w:r>
          </w:p>
        </w:tc>
        <w:tc>
          <w:tcPr>
            <w:tcW w:type="dxa" w:w="4762"/>
            <w:vAlign w:val="top"/>
          </w:tcPr>
          <w:p>
            <w:pPr>
              <w:spacing w:after="20" w:line="252" w:lineRule="auto"/>
            </w:pPr>
            <w:r>
              <w:rPr>
                <w:b w:val="0"/>
                <w:i w:val="0"/>
                <w:sz w:val="16"/>
              </w:rPr>
              <w:t>End-to-end claim test uses the UTC calendar day instead of the Brunei business day</w:t>
            </w:r>
          </w:p>
        </w:tc>
        <w:tc>
          <w:tcPr>
            <w:tcW w:type="dxa" w:w="1134"/>
            <w:vAlign w:val="top"/>
          </w:tcPr>
          <w:p>
            <w:pPr>
              <w:spacing w:after="20" w:line="252" w:lineRule="auto"/>
            </w:pPr>
            <w:r>
              <w:rPr>
                <w:b w:val="0"/>
                <w:i w:val="0"/>
                <w:sz w:val="16"/>
              </w:rPr>
              <w:t>Low</w:t>
            </w:r>
          </w:p>
        </w:tc>
        <w:tc>
          <w:tcPr>
            <w:tcW w:type="dxa" w:w="2835"/>
            <w:vAlign w:val="top"/>
          </w:tcPr>
          <w:p>
            <w:pPr>
              <w:spacing w:after="20" w:line="252" w:lineRule="auto"/>
            </w:pPr>
            <w:r>
              <w:rPr>
                <w:b w:val="0"/>
                <w:i w:val="0"/>
                <w:sz w:val="16"/>
              </w:rPr>
              <w:t>Open – fix in test code (use the business-day helper); no product change</w:t>
            </w:r>
          </w:p>
        </w:tc>
      </w:tr>
      <w:tr>
        <w:trPr>
          <w:cantSplit/>
        </w:trPr>
        <w:tc>
          <w:tcPr>
            <w:tcW w:type="dxa" w:w="907"/>
            <w:vAlign w:val="top"/>
            <w:shd w:val="clear" w:color="auto" w:fill="FDF0F7"/>
          </w:tcPr>
          <w:p>
            <w:pPr>
              <w:spacing w:after="20" w:line="252" w:lineRule="auto"/>
            </w:pPr>
            <w:r>
              <w:rPr>
                <w:b/>
                <w:i w:val="0"/>
                <w:sz w:val="16"/>
              </w:rPr>
              <w:t>DEF-002</w:t>
            </w:r>
          </w:p>
        </w:tc>
        <w:tc>
          <w:tcPr>
            <w:tcW w:type="dxa" w:w="4762"/>
            <w:vAlign w:val="top"/>
            <w:shd w:val="clear" w:color="auto" w:fill="FDF0F7"/>
          </w:tcPr>
          <w:p>
            <w:pPr>
              <w:spacing w:after="20" w:line="252" w:lineRule="auto"/>
            </w:pPr>
            <w:r>
              <w:rPr>
                <w:b w:val="0"/>
                <w:i w:val="0"/>
                <w:sz w:val="16"/>
              </w:rPr>
              <w:t>Administrator password reset re-activates a disabled account</w:t>
            </w:r>
          </w:p>
        </w:tc>
        <w:tc>
          <w:tcPr>
            <w:tcW w:type="dxa" w:w="1134"/>
            <w:vAlign w:val="top"/>
            <w:shd w:val="clear" w:color="auto" w:fill="FDF0F7"/>
          </w:tcPr>
          <w:p>
            <w:pPr>
              <w:spacing w:after="20" w:line="252" w:lineRule="auto"/>
            </w:pPr>
            <w:r>
              <w:rPr>
                <w:b w:val="0"/>
                <w:i w:val="0"/>
                <w:sz w:val="16"/>
              </w:rPr>
              <w:t>Medium</w:t>
            </w:r>
          </w:p>
        </w:tc>
        <w:tc>
          <w:tcPr>
            <w:tcW w:type="dxa" w:w="2835"/>
            <w:vAlign w:val="top"/>
            <w:shd w:val="clear" w:color="auto" w:fill="FDF0F7"/>
          </w:tcPr>
          <w:p>
            <w:pPr>
              <w:spacing w:after="20" w:line="252" w:lineRule="auto"/>
            </w:pPr>
            <w:r>
              <w:rPr>
                <w:b w:val="0"/>
                <w:i w:val="0"/>
                <w:sz w:val="16"/>
              </w:rPr>
              <w:t>Open – fix proposed: keep the status on reset and audit any re-activation; to be confirmed with IIFT</w:t>
            </w:r>
          </w:p>
        </w:tc>
      </w:tr>
    </w:tbl>
    <w:p>
      <w:pPr>
        <w:pStyle w:val="Caption"/>
        <w:jc w:val="center"/>
      </w:pPr>
      <w:r>
        <w:rPr>
          <w:b w:val="0"/>
          <w:i w:val="0"/>
        </w:rPr>
        <w:t>Table 16: Defects found</w:t>
      </w:r>
    </w:p>
    <w:p>
      <w:pPr>
        <w:keepNext w:val="0"/>
      </w:pPr>
      <w:r>
        <w:rPr>
          <w:b/>
          <w:i w:val="0"/>
          <w:sz w:val="17"/>
        </w:rPr>
        <w:t>DEF-001</w:t>
      </w:r>
      <w:r>
        <w:rPr>
          <w:b w:val="0"/>
          <w:i w:val="0"/>
          <w:sz w:val="17"/>
        </w:rPr>
        <w:t xml:space="preserve"> – The test 'accepts claim notifications only within the period of cover' notifies a claim dated today() in UTC. Policies seeded after 16:00 UTC start on the next Brunei day, so the claim is refused with CLAIM_NOT_VALID and the test fails when the suite runs between 16:00 and 24:00 UTC. The application behaves correctly (the same case passed in the API run with the Brunei date, EX-067). The evidence run at 14:50 UTC passed; the re-run at 22:00 UTC failed.</w:t>
      </w:r>
    </w:p>
    <w:p>
      <w:pPr>
        <w:keepNext w:val="0"/>
      </w:pPr>
      <w:r>
        <w:rPr>
          <w:b/>
          <w:i w:val="0"/>
          <w:sz w:val="17"/>
        </w:rPr>
        <w:t>DEF-002</w:t>
      </w:r>
      <w:r>
        <w:rPr>
          <w:b w:val="0"/>
          <w:i w:val="0"/>
          <w:sz w:val="17"/>
        </w:rPr>
        <w:t xml:space="preserve"> – Resetting the password of a user whose status is DISABLED sets the status back to ACTIVE, and the user can sign in with the temporary password (EX-134: reset 200, sign-in 200). The audit trail records USER_PASSWORD_RESET only, not a re-activation. An administrator who resets a password should not silently re-enable an account that another administrator disabled; re-activation should be an explicit, separately audited status change (BO-03, NFR-10). The unlock function behaves correctly (it refuses disabled accounts).</w:t>
      </w:r>
    </w:p>
    <w:p>
      <w:pPr>
        <w:pStyle w:val="Heading2"/>
      </w:pPr>
      <w:r>
        <w:t>12.3 Not executed and why</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20" w:type="dxa"/>
          <w:left w:w="90" w:type="dxa"/>
          <w:bottom w:w="20" w:type="dxa"/>
          <w:right w:w="90" w:type="dxa"/>
        </w:tblCellMar>
        <w:tblLayout w:type="fixed"/>
      </w:tblPr>
      <w:tblGrid>
        <w:gridCol w:w="2268"/>
        <w:gridCol w:w="793"/>
        <w:gridCol w:w="6577"/>
      </w:tblGrid>
      <w:tr>
        <w:trPr>
          <w:cantSplit/>
          <w:tblHeader/>
        </w:trPr>
        <w:tc>
          <w:tcPr>
            <w:tcW w:type="dxa" w:w="2268"/>
            <w:shd w:val="clear" w:color="auto" w:fill="E1058C"/>
            <w:vAlign w:val="center"/>
          </w:tcPr>
          <w:p>
            <w:pPr>
              <w:spacing w:after="0"/>
            </w:pPr>
            <w:r>
              <w:rPr>
                <w:b/>
                <w:i w:val="0"/>
                <w:color w:val="FFFFFF"/>
                <w:sz w:val="15"/>
              </w:rPr>
              <w:t>Reason</w:t>
            </w:r>
          </w:p>
        </w:tc>
        <w:tc>
          <w:tcPr>
            <w:tcW w:type="dxa" w:w="794"/>
            <w:shd w:val="clear" w:color="auto" w:fill="E1058C"/>
            <w:vAlign w:val="center"/>
          </w:tcPr>
          <w:p>
            <w:pPr>
              <w:spacing w:after="0"/>
            </w:pPr>
            <w:r>
              <w:rPr>
                <w:b/>
                <w:i w:val="0"/>
                <w:color w:val="FFFFFF"/>
                <w:sz w:val="15"/>
              </w:rPr>
              <w:t>Cases</w:t>
            </w:r>
          </w:p>
        </w:tc>
        <w:tc>
          <w:tcPr>
            <w:tcW w:type="dxa" w:w="6576"/>
            <w:shd w:val="clear" w:color="auto" w:fill="E1058C"/>
            <w:vAlign w:val="center"/>
          </w:tcPr>
          <w:p>
            <w:pPr>
              <w:spacing w:after="0"/>
            </w:pPr>
            <w:r>
              <w:rPr>
                <w:b/>
                <w:i w:val="0"/>
                <w:color w:val="FFFFFF"/>
                <w:sz w:val="15"/>
              </w:rPr>
              <w:t>Cases concerned</w:t>
            </w:r>
          </w:p>
        </w:tc>
      </w:tr>
      <w:tr>
        <w:trPr>
          <w:cantSplit/>
        </w:trPr>
        <w:tc>
          <w:tcPr>
            <w:tcW w:type="dxa" w:w="2268"/>
            <w:vAlign w:val="top"/>
          </w:tcPr>
          <w:p>
            <w:pPr>
              <w:spacing w:after="20" w:line="252" w:lineRule="auto"/>
            </w:pPr>
            <w:r>
              <w:rPr>
                <w:b/>
                <w:i w:val="0"/>
                <w:sz w:val="15"/>
              </w:rPr>
              <w:t>Requires IIFT environment</w:t>
            </w:r>
          </w:p>
        </w:tc>
        <w:tc>
          <w:tcPr>
            <w:tcW w:type="dxa" w:w="794"/>
            <w:vAlign w:val="top"/>
          </w:tcPr>
          <w:p>
            <w:pPr>
              <w:spacing w:after="20" w:line="252" w:lineRule="auto"/>
              <w:jc w:val="center"/>
            </w:pPr>
            <w:r>
              <w:rPr>
                <w:b w:val="0"/>
                <w:i w:val="0"/>
                <w:sz w:val="15"/>
              </w:rPr>
              <w:t>21</w:t>
            </w:r>
          </w:p>
        </w:tc>
        <w:tc>
          <w:tcPr>
            <w:tcW w:type="dxa" w:w="6576"/>
            <w:vAlign w:val="top"/>
          </w:tcPr>
          <w:p>
            <w:pPr>
              <w:spacing w:after="20" w:line="252" w:lineRule="auto"/>
            </w:pPr>
            <w:r>
              <w:rPr>
                <w:b w:val="0"/>
                <w:i w:val="0"/>
                <w:sz w:val="15"/>
              </w:rPr>
              <w:t>Application instance and database failover; Back-office sign-on through IIFT Active Directory; Backup and restore drill; Browser matrix on IIFT devices; Core and FIN live delivery; DR failover drill; Deployment rehearsal and rollback; E-mail and SMS delivery through IIFT gateways; External AML service screening; Independent VAPT and re-test; Load test: p95 response time at 100 concurrent users; Mi</w:t>
            </w:r>
          </w:p>
        </w:tc>
      </w:tr>
      <w:tr>
        <w:trPr>
          <w:cantSplit/>
        </w:trPr>
        <w:tc>
          <w:tcPr>
            <w:tcW w:type="dxa" w:w="2268"/>
            <w:vAlign w:val="top"/>
            <w:shd w:val="clear" w:color="auto" w:fill="FDF0F7"/>
          </w:tcPr>
          <w:p>
            <w:pPr>
              <w:spacing w:after="20" w:line="252" w:lineRule="auto"/>
            </w:pPr>
            <w:r>
              <w:rPr>
                <w:b/>
                <w:i w:val="0"/>
                <w:sz w:val="15"/>
              </w:rPr>
              <w:t>Other</w:t>
            </w:r>
          </w:p>
        </w:tc>
        <w:tc>
          <w:tcPr>
            <w:tcW w:type="dxa" w:w="794"/>
            <w:vAlign w:val="top"/>
            <w:shd w:val="clear" w:color="auto" w:fill="FDF0F7"/>
          </w:tcPr>
          <w:p>
            <w:pPr>
              <w:spacing w:after="20" w:line="252" w:lineRule="auto"/>
              <w:jc w:val="center"/>
            </w:pPr>
            <w:r>
              <w:rPr>
                <w:b w:val="0"/>
                <w:i w:val="0"/>
                <w:sz w:val="15"/>
              </w:rPr>
              <w:t>11</w:t>
            </w:r>
          </w:p>
        </w:tc>
        <w:tc>
          <w:tcPr>
            <w:tcW w:type="dxa" w:w="6576"/>
            <w:vAlign w:val="top"/>
            <w:shd w:val="clear" w:color="auto" w:fill="FDF0F7"/>
          </w:tcPr>
          <w:p>
            <w:pPr>
              <w:spacing w:after="20" w:line="252" w:lineRule="auto"/>
            </w:pPr>
            <w:r>
              <w:rPr>
                <w:b w:val="0"/>
                <w:i w:val="0"/>
                <w:sz w:val="15"/>
              </w:rPr>
              <w:t>CI security gates; Dead-letter alert e-mail; Grace-period job blocks and unblocks an agency; LDAP filter escaping; Malware scan refuses an infected upload; Manual lift of a payment block; OWASP check script before release; Overseas Student Tertiary plan; Property financing with profit basis NONE; Retention and archival policy; Sign-in rate limit per client address</w:t>
            </w:r>
          </w:p>
        </w:tc>
      </w:tr>
      <w:tr>
        <w:trPr>
          <w:cantSplit/>
        </w:trPr>
        <w:tc>
          <w:tcPr>
            <w:tcW w:type="dxa" w:w="2268"/>
            <w:vAlign w:val="top"/>
          </w:tcPr>
          <w:p>
            <w:pPr>
              <w:spacing w:after="20" w:line="252" w:lineRule="auto"/>
            </w:pPr>
            <w:r>
              <w:rPr>
                <w:b/>
                <w:i w:val="0"/>
                <w:sz w:val="15"/>
              </w:rPr>
              <w:t>Scheduled for SIT regression</w:t>
            </w:r>
          </w:p>
        </w:tc>
        <w:tc>
          <w:tcPr>
            <w:tcW w:type="dxa" w:w="794"/>
            <w:vAlign w:val="top"/>
          </w:tcPr>
          <w:p>
            <w:pPr>
              <w:spacing w:after="20" w:line="252" w:lineRule="auto"/>
              <w:jc w:val="center"/>
            </w:pPr>
            <w:r>
              <w:rPr>
                <w:b w:val="0"/>
                <w:i w:val="0"/>
                <w:sz w:val="15"/>
              </w:rPr>
              <w:t>9</w:t>
            </w:r>
          </w:p>
        </w:tc>
        <w:tc>
          <w:tcPr>
            <w:tcW w:type="dxa" w:w="6576"/>
            <w:vAlign w:val="top"/>
          </w:tcPr>
          <w:p>
            <w:pPr>
              <w:spacing w:after="20" w:line="252" w:lineRule="auto"/>
            </w:pPr>
            <w:r>
              <w:rPr>
                <w:b w:val="0"/>
                <w:i w:val="0"/>
                <w:sz w:val="15"/>
              </w:rPr>
              <w:t>Atomic issuance under failure; Cancellation approved sets CANCELLED; Document expiry warning; Expired quotation cannot be submitted; Expiry job and renewal notices; Optimistic locking on concurrent edits; Password history and expiry; Rates re-applied at submission after a rate change; Second approval level above B$300,000</w:t>
            </w:r>
          </w:p>
        </w:tc>
      </w:tr>
      <w:tr>
        <w:trPr>
          <w:cantSplit/>
        </w:trPr>
        <w:tc>
          <w:tcPr>
            <w:tcW w:type="dxa" w:w="2268"/>
            <w:vAlign w:val="top"/>
            <w:shd w:val="clear" w:color="auto" w:fill="FDF0F7"/>
          </w:tcPr>
          <w:p>
            <w:pPr>
              <w:spacing w:after="20" w:line="252" w:lineRule="auto"/>
            </w:pPr>
            <w:r>
              <w:rPr>
                <w:b/>
                <w:i w:val="0"/>
                <w:sz w:val="15"/>
              </w:rPr>
              <w:t>UI under restyling at the time of the run</w:t>
            </w:r>
          </w:p>
        </w:tc>
        <w:tc>
          <w:tcPr>
            <w:tcW w:type="dxa" w:w="794"/>
            <w:vAlign w:val="top"/>
            <w:shd w:val="clear" w:color="auto" w:fill="FDF0F7"/>
          </w:tcPr>
          <w:p>
            <w:pPr>
              <w:spacing w:after="20" w:line="252" w:lineRule="auto"/>
              <w:jc w:val="center"/>
            </w:pPr>
            <w:r>
              <w:rPr>
                <w:b w:val="0"/>
                <w:i w:val="0"/>
                <w:sz w:val="15"/>
              </w:rPr>
              <w:t>6</w:t>
            </w:r>
          </w:p>
        </w:tc>
        <w:tc>
          <w:tcPr>
            <w:tcW w:type="dxa" w:w="6576"/>
            <w:vAlign w:val="top"/>
            <w:shd w:val="clear" w:color="auto" w:fill="FDF0F7"/>
          </w:tcPr>
          <w:p>
            <w:pPr>
              <w:spacing w:after="20" w:line="252" w:lineRule="auto"/>
            </w:pPr>
            <w:r>
              <w:rPr>
                <w:b w:val="0"/>
                <w:i w:val="0"/>
                <w:sz w:val="15"/>
              </w:rPr>
              <w:t>Accessibility review; Agent search filters; Attachments on issues; Billing figures reconcile with the policy list; Khairat renewal unavailable in the portal UI; Participant search in the back-office</w:t>
            </w:r>
          </w:p>
        </w:tc>
      </w:tr>
      <w:tr>
        <w:trPr>
          <w:cantSplit/>
        </w:trPr>
        <w:tc>
          <w:tcPr>
            <w:tcW w:type="dxa" w:w="2268"/>
            <w:vAlign w:val="top"/>
          </w:tcPr>
          <w:p>
            <w:pPr>
              <w:spacing w:after="20" w:line="252" w:lineRule="auto"/>
            </w:pPr>
            <w:r>
              <w:rPr>
                <w:b/>
                <w:i w:val="0"/>
                <w:sz w:val="15"/>
              </w:rPr>
              <w:t>Time-based job or timeout</w:t>
            </w:r>
          </w:p>
        </w:tc>
        <w:tc>
          <w:tcPr>
            <w:tcW w:type="dxa" w:w="794"/>
            <w:vAlign w:val="top"/>
          </w:tcPr>
          <w:p>
            <w:pPr>
              <w:spacing w:after="20" w:line="252" w:lineRule="auto"/>
              <w:jc w:val="center"/>
            </w:pPr>
            <w:r>
              <w:rPr>
                <w:b w:val="0"/>
                <w:i w:val="0"/>
                <w:sz w:val="15"/>
              </w:rPr>
              <w:t>3</w:t>
            </w:r>
          </w:p>
        </w:tc>
        <w:tc>
          <w:tcPr>
            <w:tcW w:type="dxa" w:w="6576"/>
            <w:vAlign w:val="top"/>
          </w:tcPr>
          <w:p>
            <w:pPr>
              <w:spacing w:after="20" w:line="252" w:lineRule="auto"/>
            </w:pPr>
            <w:r>
              <w:rPr>
                <w:b w:val="0"/>
                <w:i w:val="0"/>
                <w:sz w:val="15"/>
              </w:rPr>
              <w:t>Absolute timeout ends the session after 8 hours; Idle timeout ends the session after 15 minutes; Scheduled EOD at 23:30 Brunei time</w:t>
            </w:r>
          </w:p>
        </w:tc>
      </w:tr>
      <w:tr>
        <w:trPr>
          <w:cantSplit/>
        </w:trPr>
        <w:tc>
          <w:tcPr>
            <w:tcW w:type="dxa" w:w="2268"/>
            <w:vAlign w:val="top"/>
            <w:shd w:val="clear" w:color="auto" w:fill="FDF0F7"/>
          </w:tcPr>
          <w:p>
            <w:pPr>
              <w:spacing w:after="20" w:line="252" w:lineRule="auto"/>
            </w:pPr>
            <w:r>
              <w:rPr>
                <w:b/>
                <w:i w:val="0"/>
                <w:sz w:val="15"/>
              </w:rPr>
              <w:t>Not yet built</w:t>
            </w:r>
          </w:p>
        </w:tc>
        <w:tc>
          <w:tcPr>
            <w:tcW w:type="dxa" w:w="794"/>
            <w:vAlign w:val="top"/>
            <w:shd w:val="clear" w:color="auto" w:fill="FDF0F7"/>
          </w:tcPr>
          <w:p>
            <w:pPr>
              <w:spacing w:after="20" w:line="252" w:lineRule="auto"/>
              <w:jc w:val="center"/>
            </w:pPr>
            <w:r>
              <w:rPr>
                <w:b w:val="0"/>
                <w:i w:val="0"/>
                <w:sz w:val="15"/>
              </w:rPr>
              <w:t>1</w:t>
            </w:r>
          </w:p>
        </w:tc>
        <w:tc>
          <w:tcPr>
            <w:tcW w:type="dxa" w:w="6576"/>
            <w:vAlign w:val="top"/>
            <w:shd w:val="clear" w:color="auto" w:fill="FDF0F7"/>
          </w:tcPr>
          <w:p>
            <w:pPr>
              <w:spacing w:after="20" w:line="252" w:lineRule="auto"/>
            </w:pPr>
            <w:r>
              <w:rPr>
                <w:b w:val="0"/>
                <w:i w:val="0"/>
                <w:sz w:val="15"/>
              </w:rPr>
              <w:t>Back-office MFA</w:t>
            </w:r>
          </w:p>
        </w:tc>
      </w:tr>
    </w:tbl>
    <w:p>
      <w:pPr>
        <w:pStyle w:val="Caption"/>
        <w:jc w:val="center"/>
      </w:pPr>
      <w:r>
        <w:rPr>
          <w:b w:val="0"/>
          <w:i w:val="0"/>
        </w:rPr>
        <w:t>Table 17: Cases not executed in the iorta test environment</w:t>
      </w:r>
    </w:p>
    <w:tbl>
      <w:tblPr>
        <w:tblW w:type="dxa" w:w="9639"/>
        <w:jc w:val="center"/>
        <w:tblLook w:firstColumn="1" w:firstRow="1" w:lastColumn="0" w:lastRow="0" w:noHBand="0" w:noVBand="1" w:val="04A0"/>
        <w:tblBorders>
          <w:top w:val="nil"/>
          <w:left w:val="nil"/>
          <w:bottom w:val="nil"/>
          <w:right w:val="nil"/>
          <w:insideH w:val="nil"/>
          <w:insideV w:val="nil"/>
        </w:tblBorders>
        <w:tblLayout w:type="fixed"/>
        <w:tblCellMar>
          <w:top w:w="100" w:type="dxa"/>
          <w:left w:w="180" w:type="dxa"/>
          <w:bottom w:w="100" w:type="dxa"/>
          <w:right w:w="160" w:type="dxa"/>
        </w:tblCellMar>
        <w:tblLayout w:type="fixed"/>
      </w:tblPr>
      <w:tblGrid>
        <w:gridCol w:w="9639"/>
      </w:tblGrid>
      <w:tr>
        <w:tc>
          <w:tcPr>
            <w:tcW w:type="dxa" w:w="9638"/>
            <w:shd w:val="clear" w:color="auto" w:fill="FFF4EC"/>
            <w:tcBorders>
              <w:left w:val="single" w:sz="36" w:color="F58220"/>
              <w:top w:val="nil"/>
              <w:bottom w:val="nil"/>
              <w:right w:val="nil"/>
            </w:tcBorders>
          </w:tcPr>
          <w:p>
            <w:pPr>
              <w:spacing w:after="60"/>
            </w:pPr>
            <w:r>
              <w:rPr>
                <w:b/>
                <w:i w:val="0"/>
                <w:color w:val="E1058C"/>
                <w:sz w:val="21"/>
              </w:rPr>
              <w:t>Reading the status</w:t>
            </w:r>
          </w:p>
          <w:p>
            <w:pPr>
              <w:spacing w:after="40"/>
            </w:pPr>
            <w:r>
              <w:rPr>
                <w:b w:val="0"/>
                <w:i w:val="0"/>
                <w:sz w:val="19"/>
              </w:rPr>
              <w:t>Everything that can be proven on the application alone has been executed. Two cases failed: the end-to-end claim test affected by DEF-001 (a test-code issue) and the password-reset case that found DEF-002 (a disabled account is re-activated by a reset). One renewal case was blocked by exhausted test data. What remains needs IIFT's interfaces, scale, devices or users, or a scheduled job observed at its time, and is planned for SIT, performance testing, VAPT and UAT in weeks 16 to 22.</w:t>
            </w:r>
          </w:p>
          <w:p>
            <w:pPr>
              <w:spacing w:after="40"/>
            </w:pPr>
            <w:r>
              <w:rPr>
                <w:b w:val="0"/>
                <w:i w:val="0"/>
                <w:sz w:val="19"/>
              </w:rPr>
              <w:t>During the first API run on 2 October 2026, other engineers signed in to the shared demonstration accounts from the user interface; the single-active-session rule ended the run's sessions. The script now signs in again when that happens and the run was repeated; the recorded run is the final one.</w:t>
            </w:r>
          </w:p>
        </w:tc>
      </w:tr>
    </w:tbl>
    <w:p>
      <w:pPr>
        <w:spacing w:after="0" w:before="0"/>
      </w:pPr>
      <w:r>
        <w:rPr>
          <w:sz w:val="12"/>
        </w:rPr>
      </w:r>
    </w:p>
    <w:p>
      <w:pPr>
        <w:pStyle w:val="Heading1"/>
        <w:pageBreakBefore/>
        <w:pBdr>
          <w:bottom w:val="single" w:sz="12" w:space="4" w:color="F58220"/>
        </w:pBdr>
      </w:pPr>
      <w:r>
        <w:t>Annex – Evidence files</w:t>
      </w:r>
    </w:p>
    <w:p>
      <w:pPr>
        <w:keepNext w:val="0"/>
      </w:pPr>
      <w:r>
        <w:rPr>
          <w:b w:val="0"/>
          <w:i w:val="0"/>
        </w:rPr>
        <w:t>Results in this report are read from the evidence files below when the report is built. The fingerprint is the start of each file's SHA-256 hash, so a reader can confirm which evidence a given version of the report was built from.</w:t>
      </w:r>
    </w:p>
    <w:tbl>
      <w:tblPr>
        <w:tblW w:type="dxa" w:w="9639"/>
        <w:jc w:val="center"/>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Layout w:type="fixed"/>
        <w:tblCellMar>
          <w:top w:w="50" w:type="dxa"/>
          <w:left w:w="90" w:type="dxa"/>
          <w:bottom w:w="50" w:type="dxa"/>
          <w:right w:w="90" w:type="dxa"/>
        </w:tblCellMar>
        <w:tblLayout w:type="fixed"/>
      </w:tblPr>
      <w:tblGrid>
        <w:gridCol w:w="4082"/>
        <w:gridCol w:w="1701"/>
        <w:gridCol w:w="3855"/>
      </w:tblGrid>
      <w:tr>
        <w:trPr>
          <w:cantSplit/>
          <w:tblHeader/>
        </w:trPr>
        <w:tc>
          <w:tcPr>
            <w:tcW w:type="dxa" w:w="4082"/>
            <w:shd w:val="clear" w:color="auto" w:fill="E1058C"/>
            <w:vAlign w:val="center"/>
          </w:tcPr>
          <w:p>
            <w:pPr>
              <w:spacing w:after="0"/>
            </w:pPr>
            <w:r>
              <w:rPr>
                <w:b/>
                <w:i w:val="0"/>
                <w:color w:val="FFFFFF"/>
                <w:sz w:val="16"/>
              </w:rPr>
              <w:t>Evidence file</w:t>
            </w:r>
          </w:p>
        </w:tc>
        <w:tc>
          <w:tcPr>
            <w:tcW w:type="dxa" w:w="1701"/>
            <w:shd w:val="clear" w:color="auto" w:fill="E1058C"/>
            <w:vAlign w:val="center"/>
          </w:tcPr>
          <w:p>
            <w:pPr>
              <w:spacing w:after="0"/>
            </w:pPr>
            <w:r>
              <w:rPr>
                <w:b/>
                <w:i w:val="0"/>
                <w:color w:val="FFFFFF"/>
                <w:sz w:val="16"/>
              </w:rPr>
              <w:t>Size</w:t>
            </w:r>
          </w:p>
        </w:tc>
        <w:tc>
          <w:tcPr>
            <w:tcW w:type="dxa" w:w="3855"/>
            <w:shd w:val="clear" w:color="auto" w:fill="E1058C"/>
            <w:vAlign w:val="center"/>
          </w:tcPr>
          <w:p>
            <w:pPr>
              <w:spacing w:after="0"/>
            </w:pPr>
            <w:r>
              <w:rPr>
                <w:b/>
                <w:i w:val="0"/>
                <w:color w:val="FFFFFF"/>
                <w:sz w:val="16"/>
              </w:rPr>
              <w:t>SHA-256 (first 16 characters)</w:t>
            </w:r>
          </w:p>
        </w:tc>
      </w:tr>
      <w:tr>
        <w:trPr>
          <w:cantSplit/>
        </w:trPr>
        <w:tc>
          <w:tcPr>
            <w:tcW w:type="dxa" w:w="4082"/>
            <w:vAlign w:val="top"/>
          </w:tcPr>
          <w:p>
            <w:pPr>
              <w:spacing w:after="20" w:line="252" w:lineRule="auto"/>
            </w:pPr>
            <w:r>
              <w:rPr>
                <w:b w:val="0"/>
                <w:i w:val="0"/>
                <w:sz w:val="16"/>
              </w:rPr>
              <w:t>api-e2e-coverage-summary.json</w:t>
            </w:r>
          </w:p>
        </w:tc>
        <w:tc>
          <w:tcPr>
            <w:tcW w:type="dxa" w:w="1701"/>
            <w:vAlign w:val="top"/>
          </w:tcPr>
          <w:p>
            <w:pPr>
              <w:spacing w:after="20" w:line="252" w:lineRule="auto"/>
            </w:pPr>
            <w:r>
              <w:rPr>
                <w:b w:val="0"/>
                <w:i w:val="0"/>
                <w:sz w:val="16"/>
              </w:rPr>
              <w:t>42,784 bytes</w:t>
            </w:r>
          </w:p>
        </w:tc>
        <w:tc>
          <w:tcPr>
            <w:tcW w:type="dxa" w:w="3855"/>
            <w:vAlign w:val="top"/>
          </w:tcPr>
          <w:p>
            <w:pPr>
              <w:spacing w:after="20" w:line="252" w:lineRule="auto"/>
            </w:pPr>
            <w:r>
              <w:rPr>
                <w:b w:val="0"/>
                <w:i w:val="0"/>
                <w:sz w:val="16"/>
              </w:rPr>
              <w:t>74b2c247a495d346…</w:t>
            </w:r>
          </w:p>
        </w:tc>
      </w:tr>
      <w:tr>
        <w:trPr>
          <w:cantSplit/>
        </w:trPr>
        <w:tc>
          <w:tcPr>
            <w:tcW w:type="dxa" w:w="4082"/>
            <w:vAlign w:val="top"/>
            <w:shd w:val="clear" w:color="auto" w:fill="FDF0F7"/>
          </w:tcPr>
          <w:p>
            <w:pPr>
              <w:spacing w:after="20" w:line="252" w:lineRule="auto"/>
            </w:pPr>
            <w:r>
              <w:rPr>
                <w:b w:val="0"/>
                <w:i w:val="0"/>
                <w:sz w:val="16"/>
              </w:rPr>
              <w:t>api-e2e-tests.json</w:t>
            </w:r>
          </w:p>
        </w:tc>
        <w:tc>
          <w:tcPr>
            <w:tcW w:type="dxa" w:w="1701"/>
            <w:vAlign w:val="top"/>
            <w:shd w:val="clear" w:color="auto" w:fill="FDF0F7"/>
          </w:tcPr>
          <w:p>
            <w:pPr>
              <w:spacing w:after="20" w:line="252" w:lineRule="auto"/>
            </w:pPr>
            <w:r>
              <w:rPr>
                <w:b w:val="0"/>
                <w:i w:val="0"/>
                <w:sz w:val="16"/>
              </w:rPr>
              <w:t>895,673 bytes</w:t>
            </w:r>
          </w:p>
        </w:tc>
        <w:tc>
          <w:tcPr>
            <w:tcW w:type="dxa" w:w="3855"/>
            <w:vAlign w:val="top"/>
            <w:shd w:val="clear" w:color="auto" w:fill="FDF0F7"/>
          </w:tcPr>
          <w:p>
            <w:pPr>
              <w:spacing w:after="20" w:line="252" w:lineRule="auto"/>
            </w:pPr>
            <w:r>
              <w:rPr>
                <w:b w:val="0"/>
                <w:i w:val="0"/>
                <w:sz w:val="16"/>
              </w:rPr>
              <w:t>bb1381c4fef07679…</w:t>
            </w:r>
          </w:p>
        </w:tc>
      </w:tr>
      <w:tr>
        <w:trPr>
          <w:cantSplit/>
        </w:trPr>
        <w:tc>
          <w:tcPr>
            <w:tcW w:type="dxa" w:w="4082"/>
            <w:vAlign w:val="top"/>
          </w:tcPr>
          <w:p>
            <w:pPr>
              <w:spacing w:after="20" w:line="252" w:lineRule="auto"/>
            </w:pPr>
            <w:r>
              <w:rPr>
                <w:b w:val="0"/>
                <w:i w:val="0"/>
                <w:sz w:val="16"/>
              </w:rPr>
              <w:t>api-static-analysis.json</w:t>
            </w:r>
          </w:p>
        </w:tc>
        <w:tc>
          <w:tcPr>
            <w:tcW w:type="dxa" w:w="1701"/>
            <w:vAlign w:val="top"/>
          </w:tcPr>
          <w:p>
            <w:pPr>
              <w:spacing w:after="20" w:line="252" w:lineRule="auto"/>
            </w:pPr>
            <w:r>
              <w:rPr>
                <w:b w:val="0"/>
                <w:i w:val="0"/>
                <w:sz w:val="16"/>
              </w:rPr>
              <w:t>796 bytes</w:t>
            </w:r>
          </w:p>
        </w:tc>
        <w:tc>
          <w:tcPr>
            <w:tcW w:type="dxa" w:w="3855"/>
            <w:vAlign w:val="top"/>
          </w:tcPr>
          <w:p>
            <w:pPr>
              <w:spacing w:after="20" w:line="252" w:lineRule="auto"/>
            </w:pPr>
            <w:r>
              <w:rPr>
                <w:b w:val="0"/>
                <w:i w:val="0"/>
                <w:sz w:val="16"/>
              </w:rPr>
              <w:t>38c06cf62d020977…</w:t>
            </w:r>
          </w:p>
        </w:tc>
      </w:tr>
      <w:tr>
        <w:trPr>
          <w:cantSplit/>
        </w:trPr>
        <w:tc>
          <w:tcPr>
            <w:tcW w:type="dxa" w:w="4082"/>
            <w:vAlign w:val="top"/>
            <w:shd w:val="clear" w:color="auto" w:fill="FDF0F7"/>
          </w:tcPr>
          <w:p>
            <w:pPr>
              <w:spacing w:after="20" w:line="252" w:lineRule="auto"/>
            </w:pPr>
            <w:r>
              <w:rPr>
                <w:b w:val="0"/>
                <w:i w:val="0"/>
                <w:sz w:val="16"/>
              </w:rPr>
              <w:t>api-test-run.json</w:t>
            </w:r>
          </w:p>
        </w:tc>
        <w:tc>
          <w:tcPr>
            <w:tcW w:type="dxa" w:w="1701"/>
            <w:vAlign w:val="top"/>
            <w:shd w:val="clear" w:color="auto" w:fill="FDF0F7"/>
          </w:tcPr>
          <w:p>
            <w:pPr>
              <w:spacing w:after="20" w:line="252" w:lineRule="auto"/>
            </w:pPr>
            <w:r>
              <w:rPr>
                <w:b w:val="0"/>
                <w:i w:val="0"/>
                <w:sz w:val="16"/>
              </w:rPr>
              <w:t>62,933 bytes</w:t>
            </w:r>
          </w:p>
        </w:tc>
        <w:tc>
          <w:tcPr>
            <w:tcW w:type="dxa" w:w="3855"/>
            <w:vAlign w:val="top"/>
            <w:shd w:val="clear" w:color="auto" w:fill="FDF0F7"/>
          </w:tcPr>
          <w:p>
            <w:pPr>
              <w:spacing w:after="20" w:line="252" w:lineRule="auto"/>
            </w:pPr>
            <w:r>
              <w:rPr>
                <w:b w:val="0"/>
                <w:i w:val="0"/>
                <w:sz w:val="16"/>
              </w:rPr>
              <w:t>bf46e22aaf170745…</w:t>
            </w:r>
          </w:p>
        </w:tc>
      </w:tr>
      <w:tr>
        <w:trPr>
          <w:cantSplit/>
        </w:trPr>
        <w:tc>
          <w:tcPr>
            <w:tcW w:type="dxa" w:w="4082"/>
            <w:vAlign w:val="top"/>
          </w:tcPr>
          <w:p>
            <w:pPr>
              <w:spacing w:after="20" w:line="252" w:lineRule="auto"/>
            </w:pPr>
            <w:r>
              <w:rPr>
                <w:b w:val="0"/>
                <w:i w:val="0"/>
                <w:sz w:val="16"/>
              </w:rPr>
              <w:t>api-unit-coverage-summary.json</w:t>
            </w:r>
          </w:p>
        </w:tc>
        <w:tc>
          <w:tcPr>
            <w:tcW w:type="dxa" w:w="1701"/>
            <w:vAlign w:val="top"/>
          </w:tcPr>
          <w:p>
            <w:pPr>
              <w:spacing w:after="20" w:line="252" w:lineRule="auto"/>
            </w:pPr>
            <w:r>
              <w:rPr>
                <w:b w:val="0"/>
                <w:i w:val="0"/>
                <w:sz w:val="16"/>
              </w:rPr>
              <w:t>41,871 bytes</w:t>
            </w:r>
          </w:p>
        </w:tc>
        <w:tc>
          <w:tcPr>
            <w:tcW w:type="dxa" w:w="3855"/>
            <w:vAlign w:val="top"/>
          </w:tcPr>
          <w:p>
            <w:pPr>
              <w:spacing w:after="20" w:line="252" w:lineRule="auto"/>
            </w:pPr>
            <w:r>
              <w:rPr>
                <w:b w:val="0"/>
                <w:i w:val="0"/>
                <w:sz w:val="16"/>
              </w:rPr>
              <w:t>501662d3899973ad…</w:t>
            </w:r>
          </w:p>
        </w:tc>
      </w:tr>
      <w:tr>
        <w:trPr>
          <w:cantSplit/>
        </w:trPr>
        <w:tc>
          <w:tcPr>
            <w:tcW w:type="dxa" w:w="4082"/>
            <w:vAlign w:val="top"/>
            <w:shd w:val="clear" w:color="auto" w:fill="FDF0F7"/>
          </w:tcPr>
          <w:p>
            <w:pPr>
              <w:spacing w:after="20" w:line="252" w:lineRule="auto"/>
            </w:pPr>
            <w:r>
              <w:rPr>
                <w:b w:val="0"/>
                <w:i w:val="0"/>
                <w:sz w:val="16"/>
              </w:rPr>
              <w:t>api-unit-tests.json</w:t>
            </w:r>
          </w:p>
        </w:tc>
        <w:tc>
          <w:tcPr>
            <w:tcW w:type="dxa" w:w="1701"/>
            <w:vAlign w:val="top"/>
            <w:shd w:val="clear" w:color="auto" w:fill="FDF0F7"/>
          </w:tcPr>
          <w:p>
            <w:pPr>
              <w:spacing w:after="20" w:line="252" w:lineRule="auto"/>
            </w:pPr>
            <w:r>
              <w:rPr>
                <w:b w:val="0"/>
                <w:i w:val="0"/>
                <w:sz w:val="16"/>
              </w:rPr>
              <w:t>901,653 bytes</w:t>
            </w:r>
          </w:p>
        </w:tc>
        <w:tc>
          <w:tcPr>
            <w:tcW w:type="dxa" w:w="3855"/>
            <w:vAlign w:val="top"/>
            <w:shd w:val="clear" w:color="auto" w:fill="FDF0F7"/>
          </w:tcPr>
          <w:p>
            <w:pPr>
              <w:spacing w:after="20" w:line="252" w:lineRule="auto"/>
            </w:pPr>
            <w:r>
              <w:rPr>
                <w:b w:val="0"/>
                <w:i w:val="0"/>
                <w:sz w:val="16"/>
              </w:rPr>
              <w:t>04b9d616f28c707b…</w:t>
            </w:r>
          </w:p>
        </w:tc>
      </w:tr>
      <w:tr>
        <w:trPr>
          <w:cantSplit/>
        </w:trPr>
        <w:tc>
          <w:tcPr>
            <w:tcW w:type="dxa" w:w="4082"/>
            <w:vAlign w:val="top"/>
          </w:tcPr>
          <w:p>
            <w:pPr>
              <w:spacing w:after="20" w:line="252" w:lineRule="auto"/>
            </w:pPr>
            <w:r>
              <w:rPr>
                <w:b w:val="0"/>
                <w:i w:val="0"/>
                <w:sz w:val="16"/>
              </w:rPr>
              <w:t>code-metrics-api.json</w:t>
            </w:r>
          </w:p>
        </w:tc>
        <w:tc>
          <w:tcPr>
            <w:tcW w:type="dxa" w:w="1701"/>
            <w:vAlign w:val="top"/>
          </w:tcPr>
          <w:p>
            <w:pPr>
              <w:spacing w:after="20" w:line="252" w:lineRule="auto"/>
            </w:pPr>
            <w:r>
              <w:rPr>
                <w:b w:val="0"/>
                <w:i w:val="0"/>
                <w:sz w:val="16"/>
              </w:rPr>
              <w:t>760 bytes</w:t>
            </w:r>
          </w:p>
        </w:tc>
        <w:tc>
          <w:tcPr>
            <w:tcW w:type="dxa" w:w="3855"/>
            <w:vAlign w:val="top"/>
          </w:tcPr>
          <w:p>
            <w:pPr>
              <w:spacing w:after="20" w:line="252" w:lineRule="auto"/>
            </w:pPr>
            <w:r>
              <w:rPr>
                <w:b w:val="0"/>
                <w:i w:val="0"/>
                <w:sz w:val="16"/>
              </w:rPr>
              <w:t>ec37c59d47c8708c…</w:t>
            </w:r>
          </w:p>
        </w:tc>
      </w:tr>
      <w:tr>
        <w:trPr>
          <w:cantSplit/>
        </w:trPr>
        <w:tc>
          <w:tcPr>
            <w:tcW w:type="dxa" w:w="4082"/>
            <w:vAlign w:val="top"/>
            <w:shd w:val="clear" w:color="auto" w:fill="FDF0F7"/>
          </w:tcPr>
          <w:p>
            <w:pPr>
              <w:spacing w:after="20" w:line="252" w:lineRule="auto"/>
            </w:pPr>
            <w:r>
              <w:rPr>
                <w:b w:val="0"/>
                <w:i w:val="0"/>
                <w:sz w:val="16"/>
              </w:rPr>
              <w:t>npm-audit.json</w:t>
            </w:r>
          </w:p>
        </w:tc>
        <w:tc>
          <w:tcPr>
            <w:tcW w:type="dxa" w:w="1701"/>
            <w:vAlign w:val="top"/>
            <w:shd w:val="clear" w:color="auto" w:fill="FDF0F7"/>
          </w:tcPr>
          <w:p>
            <w:pPr>
              <w:spacing w:after="20" w:line="252" w:lineRule="auto"/>
            </w:pPr>
            <w:r>
              <w:rPr>
                <w:b w:val="0"/>
                <w:i w:val="0"/>
                <w:sz w:val="16"/>
              </w:rPr>
              <w:t>366 bytes</w:t>
            </w:r>
          </w:p>
        </w:tc>
        <w:tc>
          <w:tcPr>
            <w:tcW w:type="dxa" w:w="3855"/>
            <w:vAlign w:val="top"/>
            <w:shd w:val="clear" w:color="auto" w:fill="FDF0F7"/>
          </w:tcPr>
          <w:p>
            <w:pPr>
              <w:spacing w:after="20" w:line="252" w:lineRule="auto"/>
            </w:pPr>
            <w:r>
              <w:rPr>
                <w:b w:val="0"/>
                <w:i w:val="0"/>
                <w:sz w:val="16"/>
              </w:rPr>
              <w:t>1cf279e9ef691d09…</w:t>
            </w:r>
          </w:p>
        </w:tc>
      </w:tr>
      <w:tr>
        <w:trPr>
          <w:cantSplit/>
        </w:trPr>
        <w:tc>
          <w:tcPr>
            <w:tcW w:type="dxa" w:w="4082"/>
            <w:vAlign w:val="top"/>
          </w:tcPr>
          <w:p>
            <w:pPr>
              <w:spacing w:after="20" w:line="252" w:lineRule="auto"/>
            </w:pPr>
            <w:r>
              <w:rPr>
                <w:b w:val="0"/>
                <w:i w:val="0"/>
                <w:sz w:val="16"/>
              </w:rPr>
              <w:t>runtime-dependency-licences.json</w:t>
            </w:r>
          </w:p>
        </w:tc>
        <w:tc>
          <w:tcPr>
            <w:tcW w:type="dxa" w:w="1701"/>
            <w:vAlign w:val="top"/>
          </w:tcPr>
          <w:p>
            <w:pPr>
              <w:spacing w:after="20" w:line="252" w:lineRule="auto"/>
            </w:pPr>
            <w:r>
              <w:rPr>
                <w:b w:val="0"/>
                <w:i w:val="0"/>
                <w:sz w:val="16"/>
              </w:rPr>
              <w:t>40,391 bytes</w:t>
            </w:r>
          </w:p>
        </w:tc>
        <w:tc>
          <w:tcPr>
            <w:tcW w:type="dxa" w:w="3855"/>
            <w:vAlign w:val="top"/>
          </w:tcPr>
          <w:p>
            <w:pPr>
              <w:spacing w:after="20" w:line="252" w:lineRule="auto"/>
            </w:pPr>
            <w:r>
              <w:rPr>
                <w:b w:val="0"/>
                <w:i w:val="0"/>
                <w:sz w:val="16"/>
              </w:rPr>
              <w:t>b003a0dc1a75e06f…</w:t>
            </w:r>
          </w:p>
        </w:tc>
      </w:tr>
      <w:tr>
        <w:trPr>
          <w:cantSplit/>
        </w:trPr>
        <w:tc>
          <w:tcPr>
            <w:tcW w:type="dxa" w:w="4082"/>
            <w:vAlign w:val="top"/>
            <w:shd w:val="clear" w:color="auto" w:fill="FDF0F7"/>
          </w:tcPr>
          <w:p>
            <w:pPr>
              <w:spacing w:after="20" w:line="252" w:lineRule="auto"/>
            </w:pPr>
            <w:r>
              <w:rPr>
                <w:b w:val="0"/>
                <w:i w:val="0"/>
                <w:sz w:val="16"/>
              </w:rPr>
              <w:t>security-checks.json</w:t>
            </w:r>
          </w:p>
        </w:tc>
        <w:tc>
          <w:tcPr>
            <w:tcW w:type="dxa" w:w="1701"/>
            <w:vAlign w:val="top"/>
            <w:shd w:val="clear" w:color="auto" w:fill="FDF0F7"/>
          </w:tcPr>
          <w:p>
            <w:pPr>
              <w:spacing w:after="20" w:line="252" w:lineRule="auto"/>
            </w:pPr>
            <w:r>
              <w:rPr>
                <w:b w:val="0"/>
                <w:i w:val="0"/>
                <w:sz w:val="16"/>
              </w:rPr>
              <w:t>9,685 bytes</w:t>
            </w:r>
          </w:p>
        </w:tc>
        <w:tc>
          <w:tcPr>
            <w:tcW w:type="dxa" w:w="3855"/>
            <w:vAlign w:val="top"/>
            <w:shd w:val="clear" w:color="auto" w:fill="FDF0F7"/>
          </w:tcPr>
          <w:p>
            <w:pPr>
              <w:spacing w:after="20" w:line="252" w:lineRule="auto"/>
            </w:pPr>
            <w:r>
              <w:rPr>
                <w:b w:val="0"/>
                <w:i w:val="0"/>
                <w:sz w:val="16"/>
              </w:rPr>
              <w:t>5ab9bdeea3c926fd…</w:t>
            </w:r>
          </w:p>
        </w:tc>
      </w:tr>
      <w:tr>
        <w:trPr>
          <w:cantSplit/>
        </w:trPr>
        <w:tc>
          <w:tcPr>
            <w:tcW w:type="dxa" w:w="4082"/>
            <w:vAlign w:val="top"/>
          </w:tcPr>
          <w:p>
            <w:pPr>
              <w:spacing w:after="20" w:line="252" w:lineRule="auto"/>
            </w:pPr>
            <w:r>
              <w:rPr>
                <w:b w:val="0"/>
                <w:i w:val="0"/>
                <w:sz w:val="16"/>
              </w:rPr>
              <w:t>test-reruns.json</w:t>
            </w:r>
          </w:p>
        </w:tc>
        <w:tc>
          <w:tcPr>
            <w:tcW w:type="dxa" w:w="1701"/>
            <w:vAlign w:val="top"/>
          </w:tcPr>
          <w:p>
            <w:pPr>
              <w:spacing w:after="20" w:line="252" w:lineRule="auto"/>
            </w:pPr>
            <w:r>
              <w:rPr>
                <w:b w:val="0"/>
                <w:i w:val="0"/>
                <w:sz w:val="16"/>
              </w:rPr>
              <w:t>40,047 bytes</w:t>
            </w:r>
          </w:p>
        </w:tc>
        <w:tc>
          <w:tcPr>
            <w:tcW w:type="dxa" w:w="3855"/>
            <w:vAlign w:val="top"/>
          </w:tcPr>
          <w:p>
            <w:pPr>
              <w:spacing w:after="20" w:line="252" w:lineRule="auto"/>
            </w:pPr>
            <w:r>
              <w:rPr>
                <w:b w:val="0"/>
                <w:i w:val="0"/>
                <w:sz w:val="16"/>
              </w:rPr>
              <w:t>99a7e747f67f05b0…</w:t>
            </w:r>
          </w:p>
        </w:tc>
      </w:tr>
      <w:tr>
        <w:trPr>
          <w:cantSplit/>
        </w:trPr>
        <w:tc>
          <w:tcPr>
            <w:tcW w:type="dxa" w:w="4082"/>
            <w:vAlign w:val="top"/>
            <w:shd w:val="clear" w:color="auto" w:fill="FDF0F7"/>
          </w:tcPr>
          <w:p>
            <w:pPr>
              <w:spacing w:after="20" w:line="252" w:lineRule="auto"/>
            </w:pPr>
            <w:r>
              <w:rPr>
                <w:b w:val="0"/>
                <w:i w:val="0"/>
                <w:sz w:val="16"/>
              </w:rPr>
              <w:t>web-build.txt</w:t>
            </w:r>
          </w:p>
        </w:tc>
        <w:tc>
          <w:tcPr>
            <w:tcW w:type="dxa" w:w="1701"/>
            <w:vAlign w:val="top"/>
            <w:shd w:val="clear" w:color="auto" w:fill="FDF0F7"/>
          </w:tcPr>
          <w:p>
            <w:pPr>
              <w:spacing w:after="20" w:line="252" w:lineRule="auto"/>
            </w:pPr>
            <w:r>
              <w:rPr>
                <w:b w:val="0"/>
                <w:i w:val="0"/>
                <w:sz w:val="16"/>
              </w:rPr>
              <w:t>9,886 bytes</w:t>
            </w:r>
          </w:p>
        </w:tc>
        <w:tc>
          <w:tcPr>
            <w:tcW w:type="dxa" w:w="3855"/>
            <w:vAlign w:val="top"/>
            <w:shd w:val="clear" w:color="auto" w:fill="FDF0F7"/>
          </w:tcPr>
          <w:p>
            <w:pPr>
              <w:spacing w:after="20" w:line="252" w:lineRule="auto"/>
            </w:pPr>
            <w:r>
              <w:rPr>
                <w:b w:val="0"/>
                <w:i w:val="0"/>
                <w:sz w:val="16"/>
              </w:rPr>
              <w:t>78590222981eafd9…</w:t>
            </w:r>
          </w:p>
        </w:tc>
      </w:tr>
      <w:tr>
        <w:trPr>
          <w:cantSplit/>
        </w:trPr>
        <w:tc>
          <w:tcPr>
            <w:tcW w:type="dxa" w:w="4082"/>
            <w:vAlign w:val="top"/>
          </w:tcPr>
          <w:p>
            <w:pPr>
              <w:spacing w:after="20" w:line="252" w:lineRule="auto"/>
            </w:pPr>
            <w:r>
              <w:rPr>
                <w:b w:val="0"/>
                <w:i w:val="0"/>
                <w:sz w:val="16"/>
              </w:rPr>
              <w:t>web-lint.json</w:t>
            </w:r>
          </w:p>
        </w:tc>
        <w:tc>
          <w:tcPr>
            <w:tcW w:type="dxa" w:w="1701"/>
            <w:vAlign w:val="top"/>
          </w:tcPr>
          <w:p>
            <w:pPr>
              <w:spacing w:after="20" w:line="252" w:lineRule="auto"/>
            </w:pPr>
            <w:r>
              <w:rPr>
                <w:b w:val="0"/>
                <w:i w:val="0"/>
                <w:sz w:val="16"/>
              </w:rPr>
              <w:t>197 bytes</w:t>
            </w:r>
          </w:p>
        </w:tc>
        <w:tc>
          <w:tcPr>
            <w:tcW w:type="dxa" w:w="3855"/>
            <w:vAlign w:val="top"/>
          </w:tcPr>
          <w:p>
            <w:pPr>
              <w:spacing w:after="20" w:line="252" w:lineRule="auto"/>
            </w:pPr>
            <w:r>
              <w:rPr>
                <w:b w:val="0"/>
                <w:i w:val="0"/>
                <w:sz w:val="16"/>
              </w:rPr>
              <w:t>21a8be1488eb17d7…</w:t>
            </w:r>
          </w:p>
        </w:tc>
      </w:tr>
      <w:tr>
        <w:trPr>
          <w:cantSplit/>
        </w:trPr>
        <w:tc>
          <w:tcPr>
            <w:tcW w:type="dxa" w:w="4082"/>
            <w:vAlign w:val="top"/>
            <w:shd w:val="clear" w:color="auto" w:fill="FDF0F7"/>
          </w:tcPr>
          <w:p>
            <w:pPr>
              <w:spacing w:after="20" w:line="252" w:lineRule="auto"/>
            </w:pPr>
            <w:r>
              <w:rPr>
                <w:b w:val="0"/>
                <w:i w:val="0"/>
                <w:sz w:val="16"/>
              </w:rPr>
              <w:t>web-typecheck.txt</w:t>
            </w:r>
          </w:p>
        </w:tc>
        <w:tc>
          <w:tcPr>
            <w:tcW w:type="dxa" w:w="1701"/>
            <w:vAlign w:val="top"/>
            <w:shd w:val="clear" w:color="auto" w:fill="FDF0F7"/>
          </w:tcPr>
          <w:p>
            <w:pPr>
              <w:spacing w:after="20" w:line="252" w:lineRule="auto"/>
            </w:pPr>
            <w:r>
              <w:rPr>
                <w:b w:val="0"/>
                <w:i w:val="0"/>
                <w:sz w:val="16"/>
              </w:rPr>
              <w:t>26 bytes</w:t>
            </w:r>
          </w:p>
        </w:tc>
        <w:tc>
          <w:tcPr>
            <w:tcW w:type="dxa" w:w="3855"/>
            <w:vAlign w:val="top"/>
            <w:shd w:val="clear" w:color="auto" w:fill="FDF0F7"/>
          </w:tcPr>
          <w:p>
            <w:pPr>
              <w:spacing w:after="20" w:line="252" w:lineRule="auto"/>
            </w:pPr>
            <w:r>
              <w:rPr>
                <w:b w:val="0"/>
                <w:i w:val="0"/>
                <w:sz w:val="16"/>
              </w:rPr>
              <w:t>e5073c15448438bb…</w:t>
            </w:r>
          </w:p>
        </w:tc>
      </w:tr>
      <w:tr>
        <w:trPr>
          <w:cantSplit/>
        </w:trPr>
        <w:tc>
          <w:tcPr>
            <w:tcW w:type="dxa" w:w="4082"/>
            <w:vAlign w:val="top"/>
          </w:tcPr>
          <w:p>
            <w:pPr>
              <w:spacing w:after="20" w:line="252" w:lineRule="auto"/>
            </w:pPr>
            <w:r>
              <w:rPr>
                <w:b w:val="0"/>
                <w:i w:val="0"/>
                <w:sz w:val="16"/>
              </w:rPr>
              <w:t>web-unit-tests.json</w:t>
            </w:r>
          </w:p>
        </w:tc>
        <w:tc>
          <w:tcPr>
            <w:tcW w:type="dxa" w:w="1701"/>
            <w:vAlign w:val="top"/>
          </w:tcPr>
          <w:p>
            <w:pPr>
              <w:spacing w:after="20" w:line="252" w:lineRule="auto"/>
            </w:pPr>
            <w:r>
              <w:rPr>
                <w:b w:val="0"/>
                <w:i w:val="0"/>
                <w:sz w:val="16"/>
              </w:rPr>
              <w:t>24,628 bytes</w:t>
            </w:r>
          </w:p>
        </w:tc>
        <w:tc>
          <w:tcPr>
            <w:tcW w:type="dxa" w:w="3855"/>
            <w:vAlign w:val="top"/>
          </w:tcPr>
          <w:p>
            <w:pPr>
              <w:spacing w:after="20" w:line="252" w:lineRule="auto"/>
            </w:pPr>
            <w:r>
              <w:rPr>
                <w:b w:val="0"/>
                <w:i w:val="0"/>
                <w:sz w:val="16"/>
              </w:rPr>
              <w:t>7dac851fc00c909f…</w:t>
            </w:r>
          </w:p>
        </w:tc>
      </w:tr>
    </w:tbl>
    <w:p>
      <w:pPr>
        <w:pStyle w:val="Caption"/>
        <w:jc w:val="center"/>
      </w:pPr>
      <w:r>
        <w:rPr>
          <w:b w:val="0"/>
          <w:i w:val="0"/>
        </w:rPr>
        <w:t>Table 18: Evidence files</w:t>
      </w:r>
    </w:p>
    <w:sectPr w:rsidR="00FC693F" w:rsidRPr="0006063C" w:rsidSect="00034616">
      <w:headerReference w:type="default" r:id="rId9"/>
      <w:footerReference w:type="default" r:id="rId10"/>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E1058C"/>
      </w:pBdr>
    </w:pPr>
    <w:r>
      <w:rPr>
        <w:b w:val="0"/>
        <w:i w:val="0"/>
        <w:color w:val="6B6B6B"/>
        <w:sz w:val="16"/>
      </w:rPr>
      <w:t xml:space="preserve">Commercial-in-Confidence | IIFT-SV2-TST v1.0 | Page </w:t>
    </w:r>
    <w:r>
      <w:rPr>
        <w:b w:val="0"/>
        <w:color w:val="6B6B6B"/>
        <w:sz w:val="16"/>
      </w:rPr>
      <w:fldChar w:fldCharType="begin" w:dirty="true"/>
    </w:r>
    <w:r>
      <w:rPr>
        <w:b w:val="0"/>
        <w:color w:val="6B6B6B"/>
        <w:sz w:val="16"/>
      </w:rPr>
      <w:instrText xml:space="preserve"> PAGE </w:instrText>
    </w:r>
    <w:r>
      <w:rPr>
        <w:b w:val="0"/>
        <w:color w:val="6B6B6B"/>
        <w:sz w:val="16"/>
      </w:rPr>
      <w:fldChar w:fldCharType="separate"/>
    </w:r>
    <w:r>
      <w:rPr>
        <w:b w:val="0"/>
        <w:color w:val="6B6B6B"/>
        <w:sz w:val="16"/>
      </w:rPr>
      <w:t>1</w:t>
    </w:r>
    <w:r>
      <w:rPr>
        <w:b w:val="0"/>
        <w:color w:val="6B6B6B"/>
        <w:sz w:val="16"/>
      </w:rPr>
      <w:fldChar w:fldCharType="end"/>
    </w:r>
    <w:r>
      <w:rPr>
        <w:b w:val="0"/>
        <w:i w:val="0"/>
        <w:color w:val="6B6B6B"/>
        <w:sz w:val="16"/>
      </w:rPr>
      <w:t xml:space="preserve"> of </w:t>
    </w:r>
    <w:r>
      <w:rPr>
        <w:b w:val="0"/>
        <w:color w:val="6B6B6B"/>
        <w:sz w:val="16"/>
      </w:rPr>
      <w:fldChar w:fldCharType="begin" w:dirty="true"/>
    </w:r>
    <w:r>
      <w:rPr>
        <w:b w:val="0"/>
        <w:color w:val="6B6B6B"/>
        <w:sz w:val="16"/>
      </w:rPr>
      <w:instrText xml:space="preserve"> NUMPAGES </w:instrText>
    </w:r>
    <w:r>
      <w:rPr>
        <w:b w:val="0"/>
        <w:color w:val="6B6B6B"/>
        <w:sz w:val="16"/>
      </w:rPr>
      <w:fldChar w:fldCharType="separate"/>
    </w:r>
    <w:r>
      <w:rPr>
        <w:b w:val="0"/>
        <w:color w:val="6B6B6B"/>
        <w:sz w:val="16"/>
      </w:rPr>
      <w:t>1</w:t>
    </w:r>
    <w:r>
      <w:rPr>
        <w:b w:val="0"/>
        <w:color w:val="6B6B6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jc w:val="left"/>
      <w:pBdr>
        <w:bottom w:val="single" w:sz="6" w:space="2" w:color="F58220"/>
      </w:pBdr>
    </w:pPr>
    <w:r>
      <w:drawing>
        <wp:inline xmlns:a="http://schemas.openxmlformats.org/drawingml/2006/main" xmlns:pic="http://schemas.openxmlformats.org/drawingml/2006/picture">
          <wp:extent cx="643238" cy="198000"/>
          <wp:docPr id="1" name="Picture 1"/>
          <wp:cNvGraphicFramePr>
            <a:graphicFrameLocks noChangeAspect="1"/>
          </wp:cNvGraphicFramePr>
          <a:graphic>
            <a:graphicData uri="http://schemas.openxmlformats.org/drawingml/2006/picture">
              <pic:pic>
                <pic:nvPicPr>
                  <pic:cNvPr id="0" name="iorta-logo.png"/>
                  <pic:cNvPicPr/>
                </pic:nvPicPr>
                <pic:blipFill>
                  <a:blip r:embed="rId1"/>
                  <a:stretch>
                    <a:fillRect/>
                  </a:stretch>
                </pic:blipFill>
                <pic:spPr>
                  <a:xfrm>
                    <a:off x="0" y="0"/>
                    <a:ext cx="643238" cy="198000"/>
                  </a:xfrm>
                  <a:prstGeom prst="rect"/>
                </pic:spPr>
              </pic:pic>
            </a:graphicData>
          </a:graphic>
        </wp:inline>
      </w:drawing>
    </w:r>
    <w:r>
      <w:tab/>
    </w:r>
    <w:r>
      <w:rPr>
        <w:b w:val="0"/>
        <w:i w:val="0"/>
        <w:color w:val="6B6B6B"/>
        <w:sz w:val="16"/>
      </w:rPr>
      <w:t>SalesVerse 2.0 Test Strategy | IIFT Agent/Banca Portal &amp; Back-office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00"/>
      <w:outlineLvl w:val="0"/>
    </w:pPr>
    <w:rPr>
      <w:rFonts w:ascii="Arial" w:hAnsi="Arial" w:cs="Arial" w:eastAsia="Arial"/>
      <w:b/>
      <w:bCs/>
      <w:i w:val="0"/>
      <w:color w:val="E1058C"/>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Arial" w:hAnsi="Arial" w:cs="Arial" w:eastAsia="Arial"/>
      <w:b/>
      <w:bCs/>
      <w:i w:val="0"/>
      <w:color w:val="E1058C"/>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80"/>
      <w:outlineLvl w:val="2"/>
    </w:pPr>
    <w:rPr>
      <w:rFonts w:ascii="Arial" w:hAnsi="Arial" w:cs="Arial" w:eastAsia="Arial"/>
      <w:b/>
      <w:bCs/>
      <w:i w:val="0"/>
      <w:color w:val="F58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cs="Arial" w:eastAsia="Arial"/>
      <w:sz w:val="20"/>
    </w:rPr>
  </w:style>
  <w:style w:type="paragraph" w:styleId="ListBullet2">
    <w:name w:val="List Bullet 2"/>
    <w:basedOn w:val="Normal"/>
    <w:uiPriority w:val="99"/>
    <w:unhideWhenUsed/>
    <w:rsid w:val="00326F90"/>
    <w:pPr>
      <w:numPr>
        <w:numId w:val="2"/>
      </w:numPr>
      <w:spacing w:after="40"/>
      <w:contextualSpacing/>
    </w:pPr>
    <w:rPr>
      <w:rFonts w:ascii="Arial" w:hAnsi="Arial" w:cs="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cs="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B6B6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SalesVerse 2.0 Test Strategy</dc:title>
  <dc:subject>IIFT Agent/Banca Portal &amp; Back-office – Test Strategy</dc:subject>
  <dc:creator>iorta TechNXT</dc:creator>
  <cp:keywords>test strategy; SIT; UAT; performance; VAPT; traceability; SalesVerse 2.0; IIFT</cp:keywords>
  <dc:description/>
  <cp:lastModifiedBy>iorta TechNXT</cp:lastModifiedBy>
  <cp:revision>1</cp:revision>
  <dcterms:created xsi:type="dcterms:W3CDTF">2026-10-03T02:17:50Z</dcterms:created>
  <dcterms:modified xsi:type="dcterms:W3CDTF">2026-10-03T02:17:50Z</dcterms:modified>
  <cp:category>Commercial-in-Confidence</cp:category>
  <dc:identifier>IIFT-SV2-TST</dc:identifier>
  <cp:version>1.0</cp:version>
</cp:coreProperties>
</file>