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Solution Architecture</w:t>
      </w:r>
    </w:p>
    <w:p>
      <w:pPr>
        <w:keepNext w:val="0"/>
        <w:spacing w:after="120"/>
      </w:pPr>
      <w:r>
        <w:rPr>
          <w:b w:val="0"/>
          <w:i w:val="0"/>
          <w:color w:val="333333"/>
          <w:sz w:val="26"/>
        </w:rPr>
        <w:t>Application, data, integration, security, deployment and infrastructure architecture</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2" name="Picture 2"/>
                  <wp:cNvGraphicFramePr>
                    <a:graphicFrameLocks noChangeAspect="1"/>
                  </wp:cNvGraphicFramePr>
                  <a:graphic>
                    <a:graphicData uri="http://schemas.openxmlformats.org/drawingml/2006/picture">
                      <pic:pic>
                        <pic:nvPicPr>
                          <pic:cNvPr id="0" name="iift-logo.png"/>
                          <pic:cNvPicPr/>
                        </pic:nvPicPr>
                        <pic:blipFill>
                          <a:blip r:embed="rId12"/>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IIFT-SV2-SAD</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DEL-06 (Solution Architecture)</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document is the Solution Architecture for SalesVerse 2.0 as configured for IIFT. It is maintained throughout the contract and updated after every material change (NFR-21, MNT-27).</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This document</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SalesVerse-2.0-Data-Dictionary (.docx and .xlsx): every table and column.</w:t>
      </w:r>
    </w:p>
    <w:p>
      <w:pPr>
        <w:pStyle w:val="ListBullet"/>
      </w:pPr>
      <w:r>
        <w:rPr>
          <w:b w:val="0"/>
          <w:i w:val="0"/>
        </w:rPr>
        <w:t>SalesVerse-2.0-Production-Support-Handover: support model, runbooks and configuration reference.</w:t>
      </w:r>
    </w:p>
    <w:p>
      <w:pPr>
        <w:pStyle w:val="ListBullet"/>
      </w:pPr>
      <w:r>
        <w:rPr>
          <w:b w:val="0"/>
          <w:i w:val="0"/>
        </w:rPr>
        <w:t>docs/api/openapi.json: API description generated from the code.</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Purpose and Scope</w:t>
      </w:r>
    </w:p>
    <w:p>
      <w:pPr>
        <w:pStyle w:val="Heading2"/>
      </w:pPr>
      <w:r>
        <w:t>1.1 Purpose</w:t>
      </w:r>
    </w:p>
    <w:p>
      <w:pPr>
        <w:keepNext w:val="0"/>
      </w:pPr>
      <w:r>
        <w:rPr>
          <w:b w:val="0"/>
          <w:i w:val="0"/>
        </w:rPr>
        <w:t>This document describes the solution architecture of SalesVerse 2.0 as configured for Insurans Islam Family Takaful Sendirian Berhad (IIFT) as the Agent/Banca Portal and Back-office. It explains how the solution is structured, how it handles data, integration and security, how it is deployed and sized, and why the main design decisions were taken. It is the Solution Architecture deliverable (DEL-06) and the reference for the Technical Design (DEL-07), the Interface Specification (DEL-09) and the deployment plan (DEL-20).</w:t>
      </w:r>
    </w:p>
    <w:p>
      <w:pPr>
        <w:pStyle w:val="Heading2"/>
      </w:pPr>
      <w:r>
        <w:t>1.2 Scope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819"/>
        <w:gridCol w:w="4819"/>
      </w:tblGrid>
      <w:tr>
        <w:trPr>
          <w:cantSplit/>
          <w:tblHeader/>
        </w:trPr>
        <w:tc>
          <w:tcPr>
            <w:tcW w:type="dxa" w:w="4819"/>
            <w:shd w:val="clear" w:color="auto" w:fill="E1058C"/>
            <w:vAlign w:val="center"/>
          </w:tcPr>
          <w:p>
            <w:pPr>
              <w:spacing w:after="0"/>
            </w:pPr>
            <w:r>
              <w:rPr>
                <w:b/>
                <w:i w:val="0"/>
                <w:color w:val="FFFFFF"/>
                <w:sz w:val="17"/>
              </w:rPr>
              <w:t>In scope</w:t>
            </w:r>
          </w:p>
        </w:tc>
        <w:tc>
          <w:tcPr>
            <w:tcW w:type="dxa" w:w="4819"/>
            <w:shd w:val="clear" w:color="auto" w:fill="E1058C"/>
            <w:vAlign w:val="center"/>
          </w:tcPr>
          <w:p>
            <w:pPr>
              <w:spacing w:after="0"/>
            </w:pPr>
            <w:r>
              <w:rPr>
                <w:b/>
                <w:i w:val="0"/>
                <w:color w:val="FFFFFF"/>
                <w:sz w:val="17"/>
              </w:rPr>
              <w:t>Out of scope</w:t>
            </w:r>
          </w:p>
        </w:tc>
      </w:tr>
      <w:tr>
        <w:trPr>
          <w:cantSplit/>
        </w:trPr>
        <w:tc>
          <w:tcPr>
            <w:tcW w:type="dxa" w:w="4819"/>
            <w:vAlign w:val="top"/>
          </w:tcPr>
          <w:p>
            <w:pPr>
              <w:spacing w:after="20" w:line="252" w:lineRule="auto"/>
            </w:pPr>
            <w:r>
              <w:rPr>
                <w:b w:val="0"/>
                <w:i w:val="0"/>
                <w:sz w:val="17"/>
              </w:rPr>
              <w:t>Agent/Banca Portal for agents, main agents and bank officers</w:t>
            </w:r>
          </w:p>
          <w:p>
            <w:pPr>
              <w:spacing w:after="20" w:line="252" w:lineRule="auto"/>
            </w:pPr>
            <w:r>
              <w:rPr>
                <w:b w:val="0"/>
                <w:i w:val="0"/>
                <w:sz w:val="17"/>
              </w:rPr>
              <w:t>Back-office for IIFT staff</w:t>
            </w:r>
          </w:p>
          <w:p>
            <w:pPr>
              <w:spacing w:after="20" w:line="252" w:lineRule="auto"/>
            </w:pPr>
            <w:r>
              <w:rPr>
                <w:b w:val="0"/>
                <w:i w:val="0"/>
                <w:sz w:val="17"/>
              </w:rPr>
              <w:t>Participant e-signature page</w:t>
            </w:r>
          </w:p>
          <w:p>
            <w:pPr>
              <w:spacing w:after="20" w:line="252" w:lineRule="auto"/>
            </w:pPr>
            <w:r>
              <w:rPr>
                <w:b w:val="0"/>
                <w:i w:val="0"/>
                <w:sz w:val="17"/>
              </w:rPr>
              <w:t>REST API, database, document store, scheduled jobs</w:t>
            </w:r>
          </w:p>
          <w:p>
            <w:pPr>
              <w:spacing w:after="20" w:line="252" w:lineRule="auto"/>
            </w:pPr>
            <w:r>
              <w:rPr>
                <w:b w:val="0"/>
                <w:i w:val="0"/>
                <w:sz w:val="17"/>
              </w:rPr>
              <w:t>Integration with Core, FIN, AML provider, SMTP, SMS and Active Directory</w:t>
            </w:r>
          </w:p>
          <w:p>
            <w:pPr>
              <w:spacing w:after="20" w:line="252" w:lineRule="auto"/>
            </w:pPr>
            <w:r>
              <w:rPr>
                <w:b w:val="0"/>
                <w:i w:val="0"/>
                <w:sz w:val="17"/>
              </w:rPr>
              <w:t>Deployment, sizing, security, monitoring and DR design</w:t>
            </w:r>
          </w:p>
        </w:tc>
        <w:tc>
          <w:tcPr>
            <w:tcW w:type="dxa" w:w="4819"/>
            <w:vAlign w:val="top"/>
          </w:tcPr>
          <w:p>
            <w:pPr>
              <w:spacing w:after="20" w:line="252" w:lineRule="auto"/>
            </w:pPr>
            <w:r>
              <w:rPr>
                <w:b w:val="0"/>
                <w:i w:val="0"/>
                <w:sz w:val="17"/>
              </w:rPr>
              <w:t>Changes inside IITH core and financial systems</w:t>
            </w:r>
          </w:p>
          <w:p>
            <w:pPr>
              <w:spacing w:after="20" w:line="252" w:lineRule="auto"/>
            </w:pPr>
            <w:r>
              <w:rPr>
                <w:b w:val="0"/>
                <w:i w:val="0"/>
                <w:sz w:val="17"/>
              </w:rPr>
              <w:t>Claims assessment and payment (core system)</w:t>
            </w:r>
          </w:p>
          <w:p>
            <w:pPr>
              <w:spacing w:after="20" w:line="252" w:lineRule="auto"/>
            </w:pPr>
            <w:r>
              <w:rPr>
                <w:b w:val="0"/>
                <w:i w:val="0"/>
                <w:sz w:val="17"/>
              </w:rPr>
              <w:t>Infrastructure procurement and data-centre operation (IIFT/IITH)</w:t>
            </w:r>
          </w:p>
          <w:p>
            <w:pPr>
              <w:spacing w:after="20" w:line="252" w:lineRule="auto"/>
            </w:pPr>
            <w:r>
              <w:rPr>
                <w:b w:val="0"/>
                <w:i w:val="0"/>
                <w:sz w:val="17"/>
              </w:rPr>
              <w:t>Commercial terms (see the proposal)</w:t>
            </w:r>
          </w:p>
        </w:tc>
      </w:tr>
    </w:tbl>
    <w:p>
      <w:pPr>
        <w:spacing w:after="0" w:before="0"/>
      </w:pPr>
      <w:r>
        <w:rPr>
          <w:sz w:val="8"/>
        </w:rPr>
      </w:r>
    </w:p>
    <w:p>
      <w:pPr>
        <w:pStyle w:val="Heading2"/>
      </w:pPr>
      <w:r>
        <w:t>1.3 Audience</w:t>
      </w:r>
    </w:p>
    <w:p>
      <w:pPr>
        <w:keepNext w:val="0"/>
      </w:pPr>
      <w:r>
        <w:rPr>
          <w:b w:val="0"/>
          <w:i w:val="0"/>
        </w:rPr>
        <w:t>IIFT and IITH IT architecture, infrastructure, security and operations teams; the IIFT project team; iorta TechNXT engineering and support. Readers are assumed to know web applications and relational databases.</w:t>
      </w:r>
    </w:p>
    <w:p>
      <w:pPr>
        <w:pStyle w:val="Heading2"/>
      </w:pPr>
      <w:r>
        <w:t>1.4 Status of the solution</w:t>
      </w:r>
    </w:p>
    <w:p>
      <w:pPr>
        <w:keepNext w:val="0"/>
      </w:pPr>
      <w:r>
        <w:rPr>
          <w:b w:val="0"/>
          <w:i w:val="0"/>
        </w:rPr>
        <w:t>SalesVerse 2.0 is a working application. The table separates what runs in the current build from what is completed during implementation, so that every statement in this document can be checked against the source code.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762"/>
        <w:gridCol w:w="2041"/>
        <w:gridCol w:w="2835"/>
      </w:tblGrid>
      <w:tr>
        <w:trPr>
          <w:cantSplit/>
          <w:tblHeader/>
        </w:trPr>
        <w:tc>
          <w:tcPr>
            <w:tcW w:type="dxa" w:w="4762"/>
            <w:shd w:val="clear" w:color="auto" w:fill="E1058C"/>
            <w:vAlign w:val="center"/>
          </w:tcPr>
          <w:p>
            <w:pPr>
              <w:spacing w:after="0"/>
            </w:pPr>
            <w:r>
              <w:rPr>
                <w:b/>
                <w:i w:val="0"/>
                <w:color w:val="FFFFFF"/>
                <w:sz w:val="16"/>
              </w:rPr>
              <w:t>Capability</w:t>
            </w:r>
          </w:p>
        </w:tc>
        <w:tc>
          <w:tcPr>
            <w:tcW w:type="dxa" w:w="2041"/>
            <w:shd w:val="clear" w:color="auto" w:fill="E1058C"/>
            <w:vAlign w:val="center"/>
          </w:tcPr>
          <w:p>
            <w:pPr>
              <w:spacing w:after="0"/>
            </w:pPr>
            <w:r>
              <w:rPr>
                <w:b/>
                <w:i w:val="0"/>
                <w:color w:val="FFFFFF"/>
                <w:sz w:val="16"/>
              </w:rPr>
              <w:t>Today</w:t>
            </w:r>
          </w:p>
        </w:tc>
        <w:tc>
          <w:tcPr>
            <w:tcW w:type="dxa" w:w="2835"/>
            <w:shd w:val="clear" w:color="auto" w:fill="E1058C"/>
            <w:vAlign w:val="center"/>
          </w:tcPr>
          <w:p>
            <w:pPr>
              <w:spacing w:after="0"/>
            </w:pPr>
            <w:r>
              <w:rPr>
                <w:b/>
                <w:i w:val="0"/>
                <w:color w:val="FFFFFF"/>
                <w:sz w:val="16"/>
              </w:rPr>
              <w:t>Implementation work</w:t>
            </w:r>
          </w:p>
        </w:tc>
      </w:tr>
      <w:tr>
        <w:trPr>
          <w:cantSplit/>
        </w:trPr>
        <w:tc>
          <w:tcPr>
            <w:tcW w:type="dxa" w:w="4762"/>
            <w:vAlign w:val="top"/>
          </w:tcPr>
          <w:p>
            <w:pPr>
              <w:spacing w:after="20" w:line="252" w:lineRule="auto"/>
            </w:pPr>
            <w:r>
              <w:rPr>
                <w:b w:val="0"/>
                <w:i w:val="0"/>
                <w:sz w:val="16"/>
              </w:rPr>
              <w:t>Agent/Banca Portal and Back-office web application (React SPA)</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w:t>
            </w:r>
          </w:p>
        </w:tc>
      </w:tr>
      <w:tr>
        <w:trPr>
          <w:cantSplit/>
        </w:trPr>
        <w:tc>
          <w:tcPr>
            <w:tcW w:type="dxa" w:w="4762"/>
            <w:vAlign w:val="top"/>
            <w:shd w:val="clear" w:color="auto" w:fill="FDF0F7"/>
          </w:tcPr>
          <w:p>
            <w:pPr>
              <w:spacing w:after="20" w:line="252" w:lineRule="auto"/>
            </w:pPr>
            <w:r>
              <w:rPr>
                <w:b w:val="0"/>
                <w:i w:val="0"/>
                <w:sz w:val="16"/>
              </w:rPr>
              <w:t>REST API with all functional modules listed in chapter 4</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w:t>
            </w:r>
          </w:p>
        </w:tc>
      </w:tr>
      <w:tr>
        <w:trPr>
          <w:cantSplit/>
        </w:trPr>
        <w:tc>
          <w:tcPr>
            <w:tcW w:type="dxa" w:w="4762"/>
            <w:vAlign w:val="top"/>
          </w:tcPr>
          <w:p>
            <w:pPr>
              <w:spacing w:after="20" w:line="252" w:lineRule="auto"/>
            </w:pPr>
            <w:r>
              <w:rPr>
                <w:b w:val="0"/>
                <w:i w:val="0"/>
                <w:sz w:val="16"/>
              </w:rPr>
              <w:t>PostgreSQL schema, migrations, reference data and demonstration data</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w:t>
            </w:r>
          </w:p>
        </w:tc>
      </w:tr>
      <w:tr>
        <w:trPr>
          <w:cantSplit/>
        </w:trPr>
        <w:tc>
          <w:tcPr>
            <w:tcW w:type="dxa" w:w="4762"/>
            <w:vAlign w:val="top"/>
            <w:shd w:val="clear" w:color="auto" w:fill="FDF0F7"/>
          </w:tcPr>
          <w:p>
            <w:pPr>
              <w:spacing w:after="20" w:line="252" w:lineRule="auto"/>
            </w:pPr>
            <w:r>
              <w:rPr>
                <w:b w:val="0"/>
                <w:i w:val="0"/>
                <w:sz w:val="16"/>
              </w:rPr>
              <w:t>Sessions, CSRF, Argon2id, lockout, RBAC, data scoping, maker-checker</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w:t>
            </w:r>
          </w:p>
        </w:tc>
      </w:tr>
      <w:tr>
        <w:trPr>
          <w:cantSplit/>
        </w:trPr>
        <w:tc>
          <w:tcPr>
            <w:tcW w:type="dxa" w:w="4762"/>
            <w:vAlign w:val="top"/>
          </w:tcPr>
          <w:p>
            <w:pPr>
              <w:spacing w:after="20" w:line="252" w:lineRule="auto"/>
            </w:pPr>
            <w:r>
              <w:rPr>
                <w:b w:val="0"/>
                <w:i w:val="0"/>
                <w:sz w:val="16"/>
              </w:rPr>
              <w:t>Field-level and document encryption, append-only audit trigger</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w:t>
            </w:r>
          </w:p>
        </w:tc>
      </w:tr>
      <w:tr>
        <w:trPr>
          <w:cantSplit/>
        </w:trPr>
        <w:tc>
          <w:tcPr>
            <w:tcW w:type="dxa" w:w="4762"/>
            <w:vAlign w:val="top"/>
            <w:shd w:val="clear" w:color="auto" w:fill="FDF0F7"/>
          </w:tcPr>
          <w:p>
            <w:pPr>
              <w:spacing w:after="20" w:line="252" w:lineRule="auto"/>
            </w:pPr>
            <w:r>
              <w:rPr>
                <w:b w:val="0"/>
                <w:i w:val="0"/>
                <w:sz w:val="16"/>
              </w:rPr>
              <w:t>Transactional outbox, retry, dead-letter, integration monitor, reconciliation</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w:t>
            </w:r>
          </w:p>
        </w:tc>
      </w:tr>
      <w:tr>
        <w:trPr>
          <w:cantSplit/>
        </w:trPr>
        <w:tc>
          <w:tcPr>
            <w:tcW w:type="dxa" w:w="4762"/>
            <w:vAlign w:val="top"/>
          </w:tcPr>
          <w:p>
            <w:pPr>
              <w:spacing w:after="20" w:line="252" w:lineRule="auto"/>
            </w:pPr>
            <w:r>
              <w:rPr>
                <w:b w:val="0"/>
                <w:i w:val="0"/>
                <w:sz w:val="16"/>
              </w:rPr>
              <w:t>Core, FIN, AML, SMS, SMTP and LDAP adapters</w:t>
            </w:r>
          </w:p>
        </w:tc>
        <w:tc>
          <w:tcPr>
            <w:tcW w:type="dxa" w:w="2041"/>
            <w:vAlign w:val="top"/>
          </w:tcPr>
          <w:p>
            <w:pPr>
              <w:spacing w:after="20" w:line="252" w:lineRule="auto"/>
            </w:pPr>
            <w:r>
              <w:rPr>
                <w:b w:val="0"/>
                <w:i w:val="0"/>
                <w:sz w:val="16"/>
              </w:rPr>
              <w:t>Running in simulated mode</w:t>
            </w:r>
          </w:p>
        </w:tc>
        <w:tc>
          <w:tcPr>
            <w:tcW w:type="dxa" w:w="2835"/>
            <w:vAlign w:val="top"/>
          </w:tcPr>
          <w:p>
            <w:pPr>
              <w:spacing w:after="20" w:line="252" w:lineRule="auto"/>
            </w:pPr>
            <w:r>
              <w:rPr>
                <w:b w:val="0"/>
                <w:i w:val="0"/>
                <w:sz w:val="16"/>
              </w:rPr>
              <w:t>Endpoint mapping and payload formats agreed in the interface specification (DEL-09)</w:t>
            </w:r>
          </w:p>
        </w:tc>
      </w:tr>
      <w:tr>
        <w:trPr>
          <w:cantSplit/>
        </w:trPr>
        <w:tc>
          <w:tcPr>
            <w:tcW w:type="dxa" w:w="4762"/>
            <w:vAlign w:val="top"/>
            <w:shd w:val="clear" w:color="auto" w:fill="FDF0F7"/>
          </w:tcPr>
          <w:p>
            <w:pPr>
              <w:spacing w:after="20" w:line="252" w:lineRule="auto"/>
            </w:pPr>
            <w:r>
              <w:rPr>
                <w:b w:val="0"/>
                <w:i w:val="0"/>
                <w:sz w:val="16"/>
              </w:rPr>
              <w:t>Container images, nginx web tier, Docker Compose, CI pipeline</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CD stages to SIT, UAT and PROD</w:t>
            </w:r>
          </w:p>
        </w:tc>
      </w:tr>
      <w:tr>
        <w:trPr>
          <w:cantSplit/>
        </w:trPr>
        <w:tc>
          <w:tcPr>
            <w:tcW w:type="dxa" w:w="4762"/>
            <w:vAlign w:val="top"/>
          </w:tcPr>
          <w:p>
            <w:pPr>
              <w:spacing w:after="20" w:line="252" w:lineRule="auto"/>
            </w:pPr>
            <w:r>
              <w:rPr>
                <w:b w:val="0"/>
                <w:i w:val="0"/>
                <w:sz w:val="16"/>
              </w:rPr>
              <w:t>Health endpoints and Prometheus metrics</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Dashboards, alert rules and log shipping</w:t>
            </w:r>
          </w:p>
        </w:tc>
      </w:tr>
      <w:tr>
        <w:trPr>
          <w:cantSplit/>
        </w:trPr>
        <w:tc>
          <w:tcPr>
            <w:tcW w:type="dxa" w:w="4762"/>
            <w:vAlign w:val="top"/>
            <w:shd w:val="clear" w:color="auto" w:fill="FDF0F7"/>
          </w:tcPr>
          <w:p>
            <w:pPr>
              <w:spacing w:after="20" w:line="252" w:lineRule="auto"/>
            </w:pPr>
            <w:r>
              <w:rPr>
                <w:b w:val="0"/>
                <w:i w:val="0"/>
                <w:sz w:val="16"/>
              </w:rPr>
              <w:t>Multi-factor authentication for back-office users</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w:t>
            </w:r>
          </w:p>
        </w:tc>
      </w:tr>
      <w:tr>
        <w:trPr>
          <w:cantSplit/>
        </w:trPr>
        <w:tc>
          <w:tcPr>
            <w:tcW w:type="dxa" w:w="4762"/>
            <w:vAlign w:val="top"/>
          </w:tcPr>
          <w:p>
            <w:pPr>
              <w:spacing w:after="20" w:line="252" w:lineRule="auto"/>
            </w:pPr>
            <w:r>
              <w:rPr>
                <w:b w:val="0"/>
                <w:i w:val="0"/>
                <w:sz w:val="16"/>
              </w:rPr>
              <w:t>PostgreSQL streaming replication, pgBackRest backups, DR site</w:t>
            </w:r>
          </w:p>
        </w:tc>
        <w:tc>
          <w:tcPr>
            <w:tcW w:type="dxa" w:w="2041"/>
            <w:vAlign w:val="top"/>
          </w:tcPr>
          <w:p>
            <w:pPr>
              <w:spacing w:after="20" w:line="252" w:lineRule="auto"/>
            </w:pPr>
            <w:r>
              <w:rPr>
                <w:b w:val="0"/>
                <w:i w:val="0"/>
                <w:sz w:val="16"/>
              </w:rPr>
              <w:t>–</w:t>
            </w:r>
          </w:p>
        </w:tc>
        <w:tc>
          <w:tcPr>
            <w:tcW w:type="dxa" w:w="2835"/>
            <w:vAlign w:val="top"/>
          </w:tcPr>
          <w:p>
            <w:pPr>
              <w:spacing w:after="20" w:line="252" w:lineRule="auto"/>
            </w:pPr>
            <w:r>
              <w:rPr>
                <w:b w:val="0"/>
                <w:i w:val="0"/>
                <w:sz w:val="16"/>
              </w:rPr>
              <w:t>Delivered during implementation</w:t>
            </w:r>
          </w:p>
        </w:tc>
      </w:tr>
      <w:tr>
        <w:trPr>
          <w:cantSplit/>
        </w:trPr>
        <w:tc>
          <w:tcPr>
            <w:tcW w:type="dxa" w:w="4762"/>
            <w:vAlign w:val="top"/>
            <w:shd w:val="clear" w:color="auto" w:fill="FDF0F7"/>
          </w:tcPr>
          <w:p>
            <w:pPr>
              <w:spacing w:after="20" w:line="252" w:lineRule="auto"/>
            </w:pPr>
            <w:r>
              <w:rPr>
                <w:b w:val="0"/>
                <w:i w:val="0"/>
                <w:sz w:val="16"/>
              </w:rPr>
              <w:t>Data retention and archival job; key rotation tooling</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w:t>
            </w:r>
          </w:p>
        </w:tc>
      </w:tr>
      <w:tr>
        <w:trPr>
          <w:cantSplit/>
        </w:trPr>
        <w:tc>
          <w:tcPr>
            <w:tcW w:type="dxa" w:w="4762"/>
            <w:vAlign w:val="top"/>
          </w:tcPr>
          <w:p>
            <w:pPr>
              <w:spacing w:after="20" w:line="252" w:lineRule="auto"/>
            </w:pPr>
            <w:r>
              <w:rPr>
                <w:b w:val="0"/>
                <w:i w:val="0"/>
                <w:sz w:val="16"/>
              </w:rPr>
              <w:t>S3-compatible document storage adapter (only if object storage is chosen)</w:t>
            </w:r>
          </w:p>
        </w:tc>
        <w:tc>
          <w:tcPr>
            <w:tcW w:type="dxa" w:w="2041"/>
            <w:vAlign w:val="top"/>
          </w:tcPr>
          <w:p>
            <w:pPr>
              <w:spacing w:after="20" w:line="252" w:lineRule="auto"/>
            </w:pPr>
            <w:r>
              <w:rPr>
                <w:b w:val="0"/>
                <w:i w:val="0"/>
                <w:sz w:val="16"/>
              </w:rPr>
              <w:t>–</w:t>
            </w:r>
          </w:p>
        </w:tc>
        <w:tc>
          <w:tcPr>
            <w:tcW w:type="dxa" w:w="2835"/>
            <w:vAlign w:val="top"/>
          </w:tcPr>
          <w:p>
            <w:pPr>
              <w:spacing w:after="20" w:line="252" w:lineRule="auto"/>
            </w:pPr>
            <w:r>
              <w:rPr>
                <w:b w:val="0"/>
                <w:i w:val="0"/>
                <w:sz w:val="16"/>
              </w:rPr>
              <w:t>Delivered during implementation</w:t>
            </w:r>
          </w:p>
        </w:tc>
      </w:tr>
      <w:tr>
        <w:trPr>
          <w:cantSplit/>
        </w:trPr>
        <w:tc>
          <w:tcPr>
            <w:tcW w:type="dxa" w:w="4762"/>
            <w:vAlign w:val="top"/>
            <w:shd w:val="clear" w:color="auto" w:fill="FDF0F7"/>
          </w:tcPr>
          <w:p>
            <w:pPr>
              <w:spacing w:after="20" w:line="252" w:lineRule="auto"/>
            </w:pPr>
            <w:r>
              <w:rPr>
                <w:b w:val="0"/>
                <w:i w:val="0"/>
                <w:sz w:val="16"/>
              </w:rPr>
              <w:t>IIFT actuarial rates, wakalah and tabarru' parameters</w:t>
            </w:r>
          </w:p>
        </w:tc>
        <w:tc>
          <w:tcPr>
            <w:tcW w:type="dxa" w:w="2041"/>
            <w:vAlign w:val="top"/>
            <w:shd w:val="clear" w:color="auto" w:fill="FDF0F7"/>
          </w:tcPr>
          <w:p>
            <w:pPr>
              <w:spacing w:after="20" w:line="252" w:lineRule="auto"/>
            </w:pPr>
            <w:r>
              <w:rPr>
                <w:b w:val="0"/>
                <w:i w:val="0"/>
                <w:sz w:val="16"/>
              </w:rPr>
              <w:t>Indicative values loaded</w:t>
            </w:r>
          </w:p>
        </w:tc>
        <w:tc>
          <w:tcPr>
            <w:tcW w:type="dxa" w:w="2835"/>
            <w:vAlign w:val="top"/>
            <w:shd w:val="clear" w:color="auto" w:fill="FDF0F7"/>
          </w:tcPr>
          <w:p>
            <w:pPr>
              <w:spacing w:after="20" w:line="252" w:lineRule="auto"/>
            </w:pPr>
            <w:r>
              <w:rPr>
                <w:b w:val="0"/>
                <w:i w:val="0"/>
                <w:sz w:val="16"/>
              </w:rPr>
              <w:t>IIFT values loaded and verified in design and SIT</w:t>
            </w:r>
          </w:p>
        </w:tc>
      </w:tr>
      <w:tr>
        <w:trPr>
          <w:cantSplit/>
        </w:trPr>
        <w:tc>
          <w:tcPr>
            <w:tcW w:type="dxa" w:w="4762"/>
            <w:vAlign w:val="top"/>
          </w:tcPr>
          <w:p>
            <w:pPr>
              <w:spacing w:after="20" w:line="252" w:lineRule="auto"/>
            </w:pPr>
            <w:r>
              <w:rPr>
                <w:b w:val="0"/>
                <w:i w:val="0"/>
                <w:sz w:val="16"/>
              </w:rPr>
              <w:t>Legacy data migration</w:t>
            </w:r>
          </w:p>
        </w:tc>
        <w:tc>
          <w:tcPr>
            <w:tcW w:type="dxa" w:w="2041"/>
            <w:vAlign w:val="top"/>
          </w:tcPr>
          <w:p>
            <w:pPr>
              <w:spacing w:after="20" w:line="252" w:lineRule="auto"/>
            </w:pPr>
            <w:r>
              <w:rPr>
                <w:b w:val="0"/>
                <w:i w:val="0"/>
                <w:sz w:val="16"/>
              </w:rPr>
              <w:t>–</w:t>
            </w:r>
          </w:p>
        </w:tc>
        <w:tc>
          <w:tcPr>
            <w:tcW w:type="dxa" w:w="2835"/>
            <w:vAlign w:val="top"/>
          </w:tcPr>
          <w:p>
            <w:pPr>
              <w:spacing w:after="20" w:line="252" w:lineRule="auto"/>
            </w:pPr>
            <w:r>
              <w:rPr>
                <w:b w:val="0"/>
                <w:i w:val="0"/>
                <w:sz w:val="16"/>
              </w:rPr>
              <w:t>Delivered during implementation (DEL-19)</w:t>
            </w:r>
          </w:p>
        </w:tc>
      </w:tr>
    </w:tbl>
    <w:p>
      <w:pPr>
        <w:pStyle w:val="Caption"/>
        <w:jc w:val="center"/>
      </w:pPr>
      <w:r>
        <w:rPr>
          <w:b w:val="0"/>
          <w:i w:val="0"/>
        </w:rPr>
        <w:t>Table 1: Solution status at proposal submission</w:t>
      </w:r>
    </w:p>
    <w:p>
      <w:pPr>
        <w:pStyle w:val="Heading2"/>
      </w:pPr>
      <w:r>
        <w:t>1.5 Sources</w:t>
      </w:r>
    </w:p>
    <w:p>
      <w:pPr>
        <w:pStyle w:val="ListBullet"/>
      </w:pPr>
      <w:r>
        <w:rPr>
          <w:b w:val="0"/>
          <w:i w:val="0"/>
        </w:rPr>
        <w:t>Source code: apps/api (NestJS API, Prisma schema and migrations), apps/web (React SPA), deploy (Docker Compose), .github/workflows (CI).</w:t>
      </w:r>
    </w:p>
    <w:p>
      <w:pPr>
        <w:pStyle w:val="ListBullet"/>
      </w:pPr>
      <w:r>
        <w:rPr>
          <w:b w:val="0"/>
          <w:i w:val="0"/>
        </w:rPr>
        <w:t>docs/api/openapi.json: the API description produced from the code.</w:t>
      </w:r>
    </w:p>
    <w:p>
      <w:pPr>
        <w:pStyle w:val="ListBullet"/>
      </w:pPr>
      <w:r>
        <w:rPr>
          <w:b w:val="0"/>
          <w:i w:val="0"/>
        </w:rPr>
        <w:t>IIFT Request for Proposal, including Appendix 1 (users), Appendix 2 (policy volumes) and Appendix 3 (product flows).</w:t>
      </w:r>
    </w:p>
    <w:p>
      <w:pPr>
        <w:pStyle w:val="ListBullet"/>
      </w:pPr>
      <w:r>
        <w:rPr>
          <w:b w:val="0"/>
          <w:i w:val="0"/>
        </w:rPr>
        <w:t>Companion documents: Data Dictionary and Production Support Handover.</w:t>
      </w:r>
    </w:p>
    <w:p>
      <w:pPr>
        <w:pStyle w:val="Heading1"/>
        <w:pageBreakBefore/>
        <w:pBdr>
          <w:bottom w:val="single" w:sz="12" w:space="4" w:color="F58220"/>
        </w:pBdr>
      </w:pPr>
      <w:r>
        <w:t>2. Architecture Principles</w:t>
      </w:r>
    </w:p>
    <w:p>
      <w:pPr>
        <w:keepNext w:val="0"/>
      </w:pPr>
      <w:r>
        <w:rPr>
          <w:b w:val="0"/>
          <w:i w:val="0"/>
        </w:rPr>
        <w:t>These principles guided every design decision recorded in chapter 13.</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3175"/>
        <w:gridCol w:w="4536"/>
      </w:tblGrid>
      <w:tr>
        <w:trPr>
          <w:cantSplit/>
          <w:tblHeader/>
        </w:trPr>
        <w:tc>
          <w:tcPr>
            <w:tcW w:type="dxa" w:w="1928"/>
            <w:shd w:val="clear" w:color="auto" w:fill="E1058C"/>
            <w:vAlign w:val="center"/>
          </w:tcPr>
          <w:p>
            <w:pPr>
              <w:spacing w:after="0"/>
            </w:pPr>
            <w:r>
              <w:rPr>
                <w:b/>
                <w:i w:val="0"/>
                <w:color w:val="FFFFFF"/>
                <w:sz w:val="17"/>
              </w:rPr>
              <w:t>Principle</w:t>
            </w:r>
          </w:p>
        </w:tc>
        <w:tc>
          <w:tcPr>
            <w:tcW w:type="dxa" w:w="3175"/>
            <w:shd w:val="clear" w:color="auto" w:fill="E1058C"/>
            <w:vAlign w:val="center"/>
          </w:tcPr>
          <w:p>
            <w:pPr>
              <w:spacing w:after="0"/>
            </w:pPr>
            <w:r>
              <w:rPr>
                <w:b/>
                <w:i w:val="0"/>
                <w:color w:val="FFFFFF"/>
                <w:sz w:val="17"/>
              </w:rPr>
              <w:t>Rationale</w:t>
            </w:r>
          </w:p>
        </w:tc>
        <w:tc>
          <w:tcPr>
            <w:tcW w:type="dxa" w:w="4535"/>
            <w:shd w:val="clear" w:color="auto" w:fill="E1058C"/>
            <w:vAlign w:val="center"/>
          </w:tcPr>
          <w:p>
            <w:pPr>
              <w:spacing w:after="0"/>
            </w:pPr>
            <w:r>
              <w:rPr>
                <w:b/>
                <w:i w:val="0"/>
                <w:color w:val="FFFFFF"/>
                <w:sz w:val="17"/>
              </w:rPr>
              <w:t>Implication</w:t>
            </w:r>
          </w:p>
        </w:tc>
      </w:tr>
      <w:tr>
        <w:trPr>
          <w:cantSplit/>
        </w:trPr>
        <w:tc>
          <w:tcPr>
            <w:tcW w:type="dxa" w:w="1928"/>
            <w:vAlign w:val="top"/>
          </w:tcPr>
          <w:p>
            <w:pPr>
              <w:spacing w:after="20" w:line="252" w:lineRule="auto"/>
            </w:pPr>
            <w:r>
              <w:rPr>
                <w:b/>
                <w:i w:val="0"/>
                <w:sz w:val="17"/>
              </w:rPr>
              <w:t>One system of record</w:t>
            </w:r>
          </w:p>
        </w:tc>
        <w:tc>
          <w:tcPr>
            <w:tcW w:type="dxa" w:w="3175"/>
            <w:vAlign w:val="top"/>
          </w:tcPr>
          <w:p>
            <w:pPr>
              <w:spacing w:after="20" w:line="252" w:lineRule="auto"/>
            </w:pPr>
            <w:r>
              <w:rPr>
                <w:b w:val="0"/>
                <w:i w:val="0"/>
                <w:sz w:val="17"/>
              </w:rPr>
              <w:t>Every business fact lives in PostgreSQL; external systems receive copies through the outbox.</w:t>
            </w:r>
          </w:p>
        </w:tc>
        <w:tc>
          <w:tcPr>
            <w:tcW w:type="dxa" w:w="4535"/>
            <w:vAlign w:val="top"/>
          </w:tcPr>
          <w:p>
            <w:pPr>
              <w:spacing w:after="20" w:line="252" w:lineRule="auto"/>
            </w:pPr>
            <w:r>
              <w:rPr>
                <w:b w:val="0"/>
                <w:i w:val="0"/>
                <w:sz w:val="17"/>
              </w:rPr>
              <w:t>No dual writes; integrations are replayable; reconciliation compares against one source.</w:t>
            </w:r>
          </w:p>
        </w:tc>
      </w:tr>
      <w:tr>
        <w:trPr>
          <w:cantSplit/>
        </w:trPr>
        <w:tc>
          <w:tcPr>
            <w:tcW w:type="dxa" w:w="1928"/>
            <w:vAlign w:val="top"/>
            <w:shd w:val="clear" w:color="auto" w:fill="FDF0F7"/>
          </w:tcPr>
          <w:p>
            <w:pPr>
              <w:spacing w:after="20" w:line="252" w:lineRule="auto"/>
            </w:pPr>
            <w:r>
              <w:rPr>
                <w:b/>
                <w:i w:val="0"/>
                <w:sz w:val="17"/>
              </w:rPr>
              <w:t>Modular monolith</w:t>
            </w:r>
          </w:p>
        </w:tc>
        <w:tc>
          <w:tcPr>
            <w:tcW w:type="dxa" w:w="3175"/>
            <w:vAlign w:val="top"/>
            <w:shd w:val="clear" w:color="auto" w:fill="FDF0F7"/>
          </w:tcPr>
          <w:p>
            <w:pPr>
              <w:spacing w:after="20" w:line="252" w:lineRule="auto"/>
            </w:pPr>
            <w:r>
              <w:rPr>
                <w:b w:val="0"/>
                <w:i w:val="0"/>
                <w:sz w:val="17"/>
              </w:rPr>
              <w:t>26 named users and about 600 policies a year do not justify microservices.</w:t>
            </w:r>
          </w:p>
        </w:tc>
        <w:tc>
          <w:tcPr>
            <w:tcW w:type="dxa" w:w="4535"/>
            <w:vAlign w:val="top"/>
            <w:shd w:val="clear" w:color="auto" w:fill="FDF0F7"/>
          </w:tcPr>
          <w:p>
            <w:pPr>
              <w:spacing w:after="20" w:line="252" w:lineRule="auto"/>
            </w:pPr>
            <w:r>
              <w:rPr>
                <w:b w:val="0"/>
                <w:i w:val="0"/>
                <w:sz w:val="17"/>
              </w:rPr>
              <w:t>One deployable unit; modules follow RFP areas and talk through services, so a module can be split out later (NFR-20).</w:t>
            </w:r>
          </w:p>
        </w:tc>
      </w:tr>
      <w:tr>
        <w:trPr>
          <w:cantSplit/>
        </w:trPr>
        <w:tc>
          <w:tcPr>
            <w:tcW w:type="dxa" w:w="1928"/>
            <w:vAlign w:val="top"/>
          </w:tcPr>
          <w:p>
            <w:pPr>
              <w:spacing w:after="20" w:line="252" w:lineRule="auto"/>
            </w:pPr>
            <w:r>
              <w:rPr>
                <w:b/>
                <w:i w:val="0"/>
                <w:sz w:val="17"/>
              </w:rPr>
              <w:t>Server-side enforcement</w:t>
            </w:r>
          </w:p>
        </w:tc>
        <w:tc>
          <w:tcPr>
            <w:tcW w:type="dxa" w:w="3175"/>
            <w:vAlign w:val="top"/>
          </w:tcPr>
          <w:p>
            <w:pPr>
              <w:spacing w:after="20" w:line="252" w:lineRule="auto"/>
            </w:pPr>
            <w:r>
              <w:rPr>
                <w:b w:val="0"/>
                <w:i w:val="0"/>
                <w:sz w:val="17"/>
              </w:rPr>
              <w:t>The browser is untrusted.</w:t>
            </w:r>
          </w:p>
        </w:tc>
        <w:tc>
          <w:tcPr>
            <w:tcW w:type="dxa" w:w="4535"/>
            <w:vAlign w:val="top"/>
          </w:tcPr>
          <w:p>
            <w:pPr>
              <w:spacing w:after="20" w:line="252" w:lineRule="auto"/>
            </w:pPr>
            <w:r>
              <w:rPr>
                <w:b w:val="0"/>
                <w:i w:val="0"/>
                <w:sz w:val="17"/>
              </w:rPr>
              <w:t>Authentication, permissions, data scope, maker-checker and every business rule are enforced by the API; the SPA only hides what a user cannot do.</w:t>
            </w:r>
          </w:p>
        </w:tc>
      </w:tr>
      <w:tr>
        <w:trPr>
          <w:cantSplit/>
        </w:trPr>
        <w:tc>
          <w:tcPr>
            <w:tcW w:type="dxa" w:w="1928"/>
            <w:vAlign w:val="top"/>
            <w:shd w:val="clear" w:color="auto" w:fill="FDF0F7"/>
          </w:tcPr>
          <w:p>
            <w:pPr>
              <w:spacing w:after="20" w:line="252" w:lineRule="auto"/>
            </w:pPr>
            <w:r>
              <w:rPr>
                <w:b/>
                <w:i w:val="0"/>
                <w:sz w:val="17"/>
              </w:rPr>
              <w:t>Atomic business transactions</w:t>
            </w:r>
          </w:p>
        </w:tc>
        <w:tc>
          <w:tcPr>
            <w:tcW w:type="dxa" w:w="3175"/>
            <w:vAlign w:val="top"/>
            <w:shd w:val="clear" w:color="auto" w:fill="FDF0F7"/>
          </w:tcPr>
          <w:p>
            <w:pPr>
              <w:spacing w:after="20" w:line="252" w:lineRule="auto"/>
            </w:pPr>
            <w:r>
              <w:rPr>
                <w:b w:val="0"/>
                <w:i w:val="0"/>
                <w:sz w:val="17"/>
              </w:rPr>
              <w:t>NFR-16 requires no partial updates.</w:t>
            </w:r>
          </w:p>
        </w:tc>
        <w:tc>
          <w:tcPr>
            <w:tcW w:type="dxa" w:w="4535"/>
            <w:vAlign w:val="top"/>
            <w:shd w:val="clear" w:color="auto" w:fill="FDF0F7"/>
          </w:tcPr>
          <w:p>
            <w:pPr>
              <w:spacing w:after="20" w:line="252" w:lineRule="auto"/>
            </w:pPr>
            <w:r>
              <w:rPr>
                <w:b w:val="0"/>
                <w:i w:val="0"/>
                <w:sz w:val="17"/>
              </w:rPr>
              <w:t>A business change, its audit row and its outbox message commit in one database transaction.</w:t>
            </w:r>
          </w:p>
        </w:tc>
      </w:tr>
      <w:tr>
        <w:trPr>
          <w:cantSplit/>
        </w:trPr>
        <w:tc>
          <w:tcPr>
            <w:tcW w:type="dxa" w:w="1928"/>
            <w:vAlign w:val="top"/>
          </w:tcPr>
          <w:p>
            <w:pPr>
              <w:spacing w:after="20" w:line="252" w:lineRule="auto"/>
            </w:pPr>
            <w:r>
              <w:rPr>
                <w:b/>
                <w:i w:val="0"/>
                <w:sz w:val="17"/>
              </w:rPr>
              <w:t>Configuration over code</w:t>
            </w:r>
          </w:p>
        </w:tc>
        <w:tc>
          <w:tcPr>
            <w:tcW w:type="dxa" w:w="3175"/>
            <w:vAlign w:val="top"/>
          </w:tcPr>
          <w:p>
            <w:pPr>
              <w:spacing w:after="20" w:line="252" w:lineRule="auto"/>
            </w:pPr>
            <w:r>
              <w:rPr>
                <w:b w:val="0"/>
                <w:i w:val="0"/>
                <w:sz w:val="17"/>
              </w:rPr>
              <w:t>Rates, parameters, workflows and master data change more often than code.</w:t>
            </w:r>
          </w:p>
        </w:tc>
        <w:tc>
          <w:tcPr>
            <w:tcW w:type="dxa" w:w="4535"/>
            <w:vAlign w:val="top"/>
          </w:tcPr>
          <w:p>
            <w:pPr>
              <w:spacing w:after="20" w:line="252" w:lineRule="auto"/>
            </w:pPr>
            <w:r>
              <w:rPr>
                <w:b w:val="0"/>
                <w:i w:val="0"/>
                <w:sz w:val="17"/>
              </w:rPr>
              <w:t>Products, parameters, roles, workflows and code lists are maintained in the back-office and audited.</w:t>
            </w:r>
          </w:p>
        </w:tc>
      </w:tr>
      <w:tr>
        <w:trPr>
          <w:cantSplit/>
        </w:trPr>
        <w:tc>
          <w:tcPr>
            <w:tcW w:type="dxa" w:w="1928"/>
            <w:vAlign w:val="top"/>
            <w:shd w:val="clear" w:color="auto" w:fill="FDF0F7"/>
          </w:tcPr>
          <w:p>
            <w:pPr>
              <w:spacing w:after="20" w:line="252" w:lineRule="auto"/>
            </w:pPr>
            <w:r>
              <w:rPr>
                <w:b/>
                <w:i w:val="0"/>
                <w:sz w:val="17"/>
              </w:rPr>
              <w:t>Secure by default</w:t>
            </w:r>
          </w:p>
        </w:tc>
        <w:tc>
          <w:tcPr>
            <w:tcW w:type="dxa" w:w="3175"/>
            <w:vAlign w:val="top"/>
            <w:shd w:val="clear" w:color="auto" w:fill="FDF0F7"/>
          </w:tcPr>
          <w:p>
            <w:pPr>
              <w:spacing w:after="20" w:line="252" w:lineRule="auto"/>
            </w:pPr>
            <w:r>
              <w:rPr>
                <w:b w:val="0"/>
                <w:i w:val="0"/>
                <w:sz w:val="17"/>
              </w:rPr>
              <w:t>Regulated personal and financial data.</w:t>
            </w:r>
          </w:p>
        </w:tc>
        <w:tc>
          <w:tcPr>
            <w:tcW w:type="dxa" w:w="4535"/>
            <w:vAlign w:val="top"/>
            <w:shd w:val="clear" w:color="auto" w:fill="FDF0F7"/>
          </w:tcPr>
          <w:p>
            <w:pPr>
              <w:spacing w:after="20" w:line="252" w:lineRule="auto"/>
            </w:pPr>
            <w:r>
              <w:rPr>
                <w:b w:val="0"/>
                <w:i w:val="0"/>
                <w:sz w:val="17"/>
              </w:rPr>
              <w:t>Deny by default; encrypted identifiers; production start-up refuses insecure settings; generic errors with correlation id.</w:t>
            </w:r>
          </w:p>
        </w:tc>
      </w:tr>
      <w:tr>
        <w:trPr>
          <w:cantSplit/>
        </w:trPr>
        <w:tc>
          <w:tcPr>
            <w:tcW w:type="dxa" w:w="1928"/>
            <w:vAlign w:val="top"/>
          </w:tcPr>
          <w:p>
            <w:pPr>
              <w:spacing w:after="20" w:line="252" w:lineRule="auto"/>
            </w:pPr>
            <w:r>
              <w:rPr>
                <w:b/>
                <w:i w:val="0"/>
                <w:sz w:val="17"/>
              </w:rPr>
              <w:t>Operable</w:t>
            </w:r>
          </w:p>
        </w:tc>
        <w:tc>
          <w:tcPr>
            <w:tcW w:type="dxa" w:w="3175"/>
            <w:vAlign w:val="top"/>
          </w:tcPr>
          <w:p>
            <w:pPr>
              <w:spacing w:after="20" w:line="252" w:lineRule="auto"/>
            </w:pPr>
            <w:r>
              <w:rPr>
                <w:b w:val="0"/>
                <w:i w:val="0"/>
                <w:sz w:val="17"/>
              </w:rPr>
              <w:t>IIFT and IITH must be able to run it.</w:t>
            </w:r>
          </w:p>
        </w:tc>
        <w:tc>
          <w:tcPr>
            <w:tcW w:type="dxa" w:w="4535"/>
            <w:vAlign w:val="top"/>
          </w:tcPr>
          <w:p>
            <w:pPr>
              <w:spacing w:after="20" w:line="252" w:lineRule="auto"/>
            </w:pPr>
            <w:r>
              <w:rPr>
                <w:b w:val="0"/>
                <w:i w:val="0"/>
                <w:sz w:val="17"/>
              </w:rPr>
              <w:t>Standard containers, JSON logs, health and metrics endpoints, documented runbooks, open-source stack without licence fees.</w:t>
            </w:r>
          </w:p>
        </w:tc>
      </w:tr>
      <w:tr>
        <w:trPr>
          <w:cantSplit/>
        </w:trPr>
        <w:tc>
          <w:tcPr>
            <w:tcW w:type="dxa" w:w="1928"/>
            <w:vAlign w:val="top"/>
            <w:shd w:val="clear" w:color="auto" w:fill="FDF0F7"/>
          </w:tcPr>
          <w:p>
            <w:pPr>
              <w:spacing w:after="20" w:line="252" w:lineRule="auto"/>
            </w:pPr>
            <w:r>
              <w:rPr>
                <w:b/>
                <w:i w:val="0"/>
                <w:sz w:val="17"/>
              </w:rPr>
              <w:t>Testable</w:t>
            </w:r>
          </w:p>
        </w:tc>
        <w:tc>
          <w:tcPr>
            <w:tcW w:type="dxa" w:w="3175"/>
            <w:vAlign w:val="top"/>
            <w:shd w:val="clear" w:color="auto" w:fill="FDF0F7"/>
          </w:tcPr>
          <w:p>
            <w:pPr>
              <w:spacing w:after="20" w:line="252" w:lineRule="auto"/>
            </w:pPr>
            <w:r>
              <w:rPr>
                <w:b w:val="0"/>
                <w:i w:val="0"/>
                <w:sz w:val="17"/>
              </w:rPr>
              <w:t>Changes must be safe to release.</w:t>
            </w:r>
          </w:p>
        </w:tc>
        <w:tc>
          <w:tcPr>
            <w:tcW w:type="dxa" w:w="4535"/>
            <w:vAlign w:val="top"/>
            <w:shd w:val="clear" w:color="auto" w:fill="FDF0F7"/>
          </w:tcPr>
          <w:p>
            <w:pPr>
              <w:spacing w:after="20" w:line="252" w:lineRule="auto"/>
            </w:pPr>
            <w:r>
              <w:rPr>
                <w:b w:val="0"/>
                <w:i w:val="0"/>
                <w:sz w:val="17"/>
              </w:rPr>
              <w:t>Unit and end-to-end tests against a real PostgreSQL database run in CI on every change.</w:t>
            </w:r>
          </w:p>
        </w:tc>
      </w:tr>
    </w:tbl>
    <w:p>
      <w:pPr>
        <w:pStyle w:val="Caption"/>
        <w:jc w:val="center"/>
      </w:pPr>
      <w:r>
        <w:rPr>
          <w:b w:val="0"/>
          <w:i w:val="0"/>
        </w:rPr>
        <w:t>Table 2: Architecture principles</w:t>
      </w:r>
    </w:p>
    <w:p>
      <w:pPr>
        <w:pStyle w:val="Heading1"/>
        <w:pageBreakBefore/>
        <w:pBdr>
          <w:bottom w:val="single" w:sz="12" w:space="4" w:color="F58220"/>
        </w:pBdr>
      </w:pPr>
      <w:r>
        <w:t>3. System Context</w:t>
      </w:r>
    </w:p>
    <w:p>
      <w:pPr>
        <w:keepNext w:val="0"/>
      </w:pPr>
      <w:r>
        <w:rPr>
          <w:b w:val="0"/>
          <w:i w:val="0"/>
        </w:rPr>
        <w:t>SalesVerse 2.0 sits between IIFT's distribution partners and the IITH group systems. Agents and bank officers work in the portal; IIFT staff work in the back-office on the internal network; participants only see a one-time e-signature page. The core and financial systems stay the systems of record for in-force business and accounting, and receive every relevant event from the portal.</w:t>
      </w:r>
    </w:p>
    <w:p>
      <w:pPr>
        <w:keepNext/>
        <w:spacing w:after="0"/>
        <w:jc w:val="center"/>
      </w:pPr>
      <w:r>
        <w:drawing>
          <wp:inline xmlns:a="http://schemas.openxmlformats.org/drawingml/2006/main" xmlns:pic="http://schemas.openxmlformats.org/drawingml/2006/picture">
            <wp:extent cx="5940000" cy="4752000"/>
            <wp:docPr id="3" name="Picture 3"/>
            <wp:cNvGraphicFramePr>
              <a:graphicFrameLocks noChangeAspect="1"/>
            </wp:cNvGraphicFramePr>
            <a:graphic>
              <a:graphicData uri="http://schemas.openxmlformats.org/drawingml/2006/picture">
                <pic:pic>
                  <pic:nvPicPr>
                    <pic:cNvPr id="0" name="tech-context.png"/>
                    <pic:cNvPicPr/>
                  </pic:nvPicPr>
                  <pic:blipFill>
                    <a:blip r:embed="rId13"/>
                    <a:stretch>
                      <a:fillRect/>
                    </a:stretch>
                  </pic:blipFill>
                  <pic:spPr>
                    <a:xfrm>
                      <a:off x="0" y="0"/>
                      <a:ext cx="5940000" cy="4752000"/>
                    </a:xfrm>
                    <a:prstGeom prst="rect"/>
                  </pic:spPr>
                </pic:pic>
              </a:graphicData>
            </a:graphic>
          </wp:inline>
        </w:drawing>
      </w:r>
    </w:p>
    <w:p>
      <w:pPr>
        <w:pStyle w:val="Caption"/>
        <w:jc w:val="center"/>
      </w:pPr>
      <w:r>
        <w:rPr>
          <w:b w:val="0"/>
          <w:i w:val="0"/>
        </w:rPr>
        <w:t>Figure 1: System context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1134"/>
        <w:gridCol w:w="1814"/>
        <w:gridCol w:w="3175"/>
        <w:gridCol w:w="1587"/>
      </w:tblGrid>
      <w:tr>
        <w:trPr>
          <w:cantSplit/>
          <w:tblHeader/>
        </w:trPr>
        <w:tc>
          <w:tcPr>
            <w:tcW w:type="dxa" w:w="1928"/>
            <w:shd w:val="clear" w:color="auto" w:fill="E1058C"/>
            <w:vAlign w:val="center"/>
          </w:tcPr>
          <w:p>
            <w:pPr>
              <w:spacing w:after="0"/>
            </w:pPr>
            <w:r>
              <w:rPr>
                <w:b/>
                <w:i w:val="0"/>
                <w:color w:val="FFFFFF"/>
                <w:sz w:val="16"/>
              </w:rPr>
              <w:t>Actor or system</w:t>
            </w:r>
          </w:p>
        </w:tc>
        <w:tc>
          <w:tcPr>
            <w:tcW w:type="dxa" w:w="1134"/>
            <w:shd w:val="clear" w:color="auto" w:fill="E1058C"/>
            <w:vAlign w:val="center"/>
          </w:tcPr>
          <w:p>
            <w:pPr>
              <w:spacing w:after="0"/>
            </w:pPr>
            <w:r>
              <w:rPr>
                <w:b/>
                <w:i w:val="0"/>
                <w:color w:val="FFFFFF"/>
                <w:sz w:val="16"/>
              </w:rPr>
              <w:t>Type</w:t>
            </w:r>
          </w:p>
        </w:tc>
        <w:tc>
          <w:tcPr>
            <w:tcW w:type="dxa" w:w="1814"/>
            <w:shd w:val="clear" w:color="auto" w:fill="E1058C"/>
            <w:vAlign w:val="center"/>
          </w:tcPr>
          <w:p>
            <w:pPr>
              <w:spacing w:after="0"/>
            </w:pPr>
            <w:r>
              <w:rPr>
                <w:b/>
                <w:i w:val="0"/>
                <w:color w:val="FFFFFF"/>
                <w:sz w:val="16"/>
              </w:rPr>
              <w:t>Channel</w:t>
            </w:r>
          </w:p>
        </w:tc>
        <w:tc>
          <w:tcPr>
            <w:tcW w:type="dxa" w:w="3175"/>
            <w:shd w:val="clear" w:color="auto" w:fill="E1058C"/>
            <w:vAlign w:val="center"/>
          </w:tcPr>
          <w:p>
            <w:pPr>
              <w:spacing w:after="0"/>
            </w:pPr>
            <w:r>
              <w:rPr>
                <w:b/>
                <w:i w:val="0"/>
                <w:color w:val="FFFFFF"/>
                <w:sz w:val="16"/>
              </w:rPr>
              <w:t>Interaction</w:t>
            </w:r>
          </w:p>
        </w:tc>
        <w:tc>
          <w:tcPr>
            <w:tcW w:type="dxa" w:w="1587"/>
            <w:shd w:val="clear" w:color="auto" w:fill="E1058C"/>
            <w:vAlign w:val="center"/>
          </w:tcPr>
          <w:p>
            <w:pPr>
              <w:spacing w:after="0"/>
            </w:pPr>
            <w:r>
              <w:rPr>
                <w:b/>
                <w:i w:val="0"/>
                <w:color w:val="FFFFFF"/>
                <w:sz w:val="16"/>
              </w:rPr>
              <w:t>RFP</w:t>
            </w:r>
          </w:p>
        </w:tc>
      </w:tr>
      <w:tr>
        <w:trPr>
          <w:cantSplit/>
        </w:trPr>
        <w:tc>
          <w:tcPr>
            <w:tcW w:type="dxa" w:w="1928"/>
            <w:vAlign w:val="top"/>
          </w:tcPr>
          <w:p>
            <w:pPr>
              <w:spacing w:after="20" w:line="252" w:lineRule="auto"/>
            </w:pPr>
            <w:r>
              <w:rPr>
                <w:b w:val="0"/>
                <w:i w:val="0"/>
                <w:sz w:val="16"/>
              </w:rPr>
              <w:t>Agents and main agents</w:t>
            </w:r>
          </w:p>
        </w:tc>
        <w:tc>
          <w:tcPr>
            <w:tcW w:type="dxa" w:w="1134"/>
            <w:vAlign w:val="top"/>
          </w:tcPr>
          <w:p>
            <w:pPr>
              <w:spacing w:after="20" w:line="252" w:lineRule="auto"/>
            </w:pPr>
            <w:r>
              <w:rPr>
                <w:b w:val="0"/>
                <w:i w:val="0"/>
                <w:sz w:val="16"/>
              </w:rPr>
              <w:t>Person</w:t>
            </w:r>
          </w:p>
        </w:tc>
        <w:tc>
          <w:tcPr>
            <w:tcW w:type="dxa" w:w="1814"/>
            <w:vAlign w:val="top"/>
          </w:tcPr>
          <w:p>
            <w:pPr>
              <w:spacing w:after="20" w:line="252" w:lineRule="auto"/>
            </w:pPr>
            <w:r>
              <w:rPr>
                <w:b w:val="0"/>
                <w:i w:val="0"/>
                <w:sz w:val="16"/>
              </w:rPr>
              <w:t>Agent/Banca Portal over HTTPS</w:t>
            </w:r>
          </w:p>
        </w:tc>
        <w:tc>
          <w:tcPr>
            <w:tcW w:type="dxa" w:w="3175"/>
            <w:vAlign w:val="top"/>
          </w:tcPr>
          <w:p>
            <w:pPr>
              <w:spacing w:after="20" w:line="252" w:lineRule="auto"/>
            </w:pPr>
            <w:r>
              <w:rPr>
                <w:b w:val="0"/>
                <w:i w:val="0"/>
                <w:sz w:val="16"/>
              </w:rPr>
              <w:t>Quotations, participants, policies, payments, claims, issues, reports</w:t>
            </w:r>
          </w:p>
        </w:tc>
        <w:tc>
          <w:tcPr>
            <w:tcW w:type="dxa" w:w="1587"/>
            <w:vAlign w:val="top"/>
          </w:tcPr>
          <w:p>
            <w:pPr>
              <w:spacing w:after="20" w:line="252" w:lineRule="auto"/>
            </w:pPr>
            <w:r>
              <w:rPr>
                <w:b w:val="0"/>
                <w:i w:val="0"/>
                <w:sz w:val="16"/>
              </w:rPr>
              <w:t>AP-01 to AP-62</w:t>
            </w:r>
          </w:p>
        </w:tc>
      </w:tr>
      <w:tr>
        <w:trPr>
          <w:cantSplit/>
        </w:trPr>
        <w:tc>
          <w:tcPr>
            <w:tcW w:type="dxa" w:w="1928"/>
            <w:vAlign w:val="top"/>
            <w:shd w:val="clear" w:color="auto" w:fill="FDF0F7"/>
          </w:tcPr>
          <w:p>
            <w:pPr>
              <w:spacing w:after="20" w:line="252" w:lineRule="auto"/>
            </w:pPr>
            <w:r>
              <w:rPr>
                <w:b w:val="0"/>
                <w:i w:val="0"/>
                <w:sz w:val="16"/>
              </w:rPr>
              <w:t>Bank officers and supervisors</w:t>
            </w:r>
          </w:p>
        </w:tc>
        <w:tc>
          <w:tcPr>
            <w:tcW w:type="dxa" w:w="1134"/>
            <w:vAlign w:val="top"/>
            <w:shd w:val="clear" w:color="auto" w:fill="FDF0F7"/>
          </w:tcPr>
          <w:p>
            <w:pPr>
              <w:spacing w:after="20" w:line="252" w:lineRule="auto"/>
            </w:pPr>
            <w:r>
              <w:rPr>
                <w:b w:val="0"/>
                <w:i w:val="0"/>
                <w:sz w:val="16"/>
              </w:rPr>
              <w:t>Person</w:t>
            </w:r>
          </w:p>
        </w:tc>
        <w:tc>
          <w:tcPr>
            <w:tcW w:type="dxa" w:w="1814"/>
            <w:vAlign w:val="top"/>
            <w:shd w:val="clear" w:color="auto" w:fill="FDF0F7"/>
          </w:tcPr>
          <w:p>
            <w:pPr>
              <w:spacing w:after="20" w:line="252" w:lineRule="auto"/>
            </w:pPr>
            <w:r>
              <w:rPr>
                <w:b w:val="0"/>
                <w:i w:val="0"/>
                <w:sz w:val="16"/>
              </w:rPr>
              <w:t>Agent/Banca Portal over HTTPS</w:t>
            </w:r>
          </w:p>
        </w:tc>
        <w:tc>
          <w:tcPr>
            <w:tcW w:type="dxa" w:w="3175"/>
            <w:vAlign w:val="top"/>
            <w:shd w:val="clear" w:color="auto" w:fill="FDF0F7"/>
          </w:tcPr>
          <w:p>
            <w:pPr>
              <w:spacing w:after="20" w:line="252" w:lineRule="auto"/>
            </w:pPr>
            <w:r>
              <w:rPr>
                <w:b w:val="0"/>
                <w:i w:val="0"/>
                <w:sz w:val="16"/>
              </w:rPr>
              <w:t>Financing takaful sales at bank branches; bank-wide view for supervisors</w:t>
            </w:r>
          </w:p>
        </w:tc>
        <w:tc>
          <w:tcPr>
            <w:tcW w:type="dxa" w:w="1587"/>
            <w:vAlign w:val="top"/>
            <w:shd w:val="clear" w:color="auto" w:fill="FDF0F7"/>
          </w:tcPr>
          <w:p>
            <w:pPr>
              <w:spacing w:after="20" w:line="252" w:lineRule="auto"/>
            </w:pPr>
            <w:r>
              <w:rPr>
                <w:b w:val="0"/>
                <w:i w:val="0"/>
                <w:sz w:val="16"/>
              </w:rPr>
              <w:t>AP-09, AP-59</w:t>
            </w:r>
          </w:p>
        </w:tc>
      </w:tr>
      <w:tr>
        <w:trPr>
          <w:cantSplit/>
        </w:trPr>
        <w:tc>
          <w:tcPr>
            <w:tcW w:type="dxa" w:w="1928"/>
            <w:vAlign w:val="top"/>
          </w:tcPr>
          <w:p>
            <w:pPr>
              <w:spacing w:after="20" w:line="252" w:lineRule="auto"/>
            </w:pPr>
            <w:r>
              <w:rPr>
                <w:b w:val="0"/>
                <w:i w:val="0"/>
                <w:sz w:val="16"/>
              </w:rPr>
              <w:t>IIFT staff</w:t>
            </w:r>
          </w:p>
        </w:tc>
        <w:tc>
          <w:tcPr>
            <w:tcW w:type="dxa" w:w="1134"/>
            <w:vAlign w:val="top"/>
          </w:tcPr>
          <w:p>
            <w:pPr>
              <w:spacing w:after="20" w:line="252" w:lineRule="auto"/>
            </w:pPr>
            <w:r>
              <w:rPr>
                <w:b w:val="0"/>
                <w:i w:val="0"/>
                <w:sz w:val="16"/>
              </w:rPr>
              <w:t>Person</w:t>
            </w:r>
          </w:p>
        </w:tc>
        <w:tc>
          <w:tcPr>
            <w:tcW w:type="dxa" w:w="1814"/>
            <w:vAlign w:val="top"/>
          </w:tcPr>
          <w:p>
            <w:pPr>
              <w:spacing w:after="20" w:line="252" w:lineRule="auto"/>
            </w:pPr>
            <w:r>
              <w:rPr>
                <w:b w:val="0"/>
                <w:i w:val="0"/>
                <w:sz w:val="16"/>
              </w:rPr>
              <w:t>Back-office over HTTPS on the internal network</w:t>
            </w:r>
          </w:p>
        </w:tc>
        <w:tc>
          <w:tcPr>
            <w:tcW w:type="dxa" w:w="3175"/>
            <w:vAlign w:val="top"/>
          </w:tcPr>
          <w:p>
            <w:pPr>
              <w:spacing w:after="20" w:line="252" w:lineRule="auto"/>
            </w:pPr>
            <w:r>
              <w:rPr>
                <w:b w:val="0"/>
                <w:i w:val="0"/>
                <w:sz w:val="16"/>
              </w:rPr>
              <w:t>Approvals, administration, compliance, finance, support, reporting</w:t>
            </w:r>
          </w:p>
        </w:tc>
        <w:tc>
          <w:tcPr>
            <w:tcW w:type="dxa" w:w="1587"/>
            <w:vAlign w:val="top"/>
          </w:tcPr>
          <w:p>
            <w:pPr>
              <w:spacing w:after="20" w:line="252" w:lineRule="auto"/>
            </w:pPr>
            <w:r>
              <w:rPr>
                <w:b w:val="0"/>
                <w:i w:val="0"/>
                <w:sz w:val="16"/>
              </w:rPr>
              <w:t>BO-01 to BO-33</w:t>
            </w:r>
          </w:p>
        </w:tc>
      </w:tr>
      <w:tr>
        <w:trPr>
          <w:cantSplit/>
        </w:trPr>
        <w:tc>
          <w:tcPr>
            <w:tcW w:type="dxa" w:w="1928"/>
            <w:vAlign w:val="top"/>
            <w:shd w:val="clear" w:color="auto" w:fill="FDF0F7"/>
          </w:tcPr>
          <w:p>
            <w:pPr>
              <w:spacing w:after="20" w:line="252" w:lineRule="auto"/>
            </w:pPr>
            <w:r>
              <w:rPr>
                <w:b w:val="0"/>
                <w:i w:val="0"/>
                <w:sz w:val="16"/>
              </w:rPr>
              <w:t>Participants</w:t>
            </w:r>
          </w:p>
        </w:tc>
        <w:tc>
          <w:tcPr>
            <w:tcW w:type="dxa" w:w="1134"/>
            <w:vAlign w:val="top"/>
            <w:shd w:val="clear" w:color="auto" w:fill="FDF0F7"/>
          </w:tcPr>
          <w:p>
            <w:pPr>
              <w:spacing w:after="20" w:line="252" w:lineRule="auto"/>
            </w:pPr>
            <w:r>
              <w:rPr>
                <w:b w:val="0"/>
                <w:i w:val="0"/>
                <w:sz w:val="16"/>
              </w:rPr>
              <w:t>Person</w:t>
            </w:r>
          </w:p>
        </w:tc>
        <w:tc>
          <w:tcPr>
            <w:tcW w:type="dxa" w:w="1814"/>
            <w:vAlign w:val="top"/>
            <w:shd w:val="clear" w:color="auto" w:fill="FDF0F7"/>
          </w:tcPr>
          <w:p>
            <w:pPr>
              <w:spacing w:after="20" w:line="252" w:lineRule="auto"/>
            </w:pPr>
            <w:r>
              <w:rPr>
                <w:b w:val="0"/>
                <w:i w:val="0"/>
                <w:sz w:val="16"/>
              </w:rPr>
              <w:t>One-time e-signature page, e-mail</w:t>
            </w:r>
          </w:p>
        </w:tc>
        <w:tc>
          <w:tcPr>
            <w:tcW w:type="dxa" w:w="3175"/>
            <w:vAlign w:val="top"/>
            <w:shd w:val="clear" w:color="auto" w:fill="FDF0F7"/>
          </w:tcPr>
          <w:p>
            <w:pPr>
              <w:spacing w:after="20" w:line="252" w:lineRule="auto"/>
            </w:pPr>
            <w:r>
              <w:rPr>
                <w:b w:val="0"/>
                <w:i w:val="0"/>
                <w:sz w:val="16"/>
              </w:rPr>
              <w:t>Review and sign the application; receive documents</w:t>
            </w:r>
          </w:p>
        </w:tc>
        <w:tc>
          <w:tcPr>
            <w:tcW w:type="dxa" w:w="1587"/>
            <w:vAlign w:val="top"/>
            <w:shd w:val="clear" w:color="auto" w:fill="FDF0F7"/>
          </w:tcPr>
          <w:p>
            <w:pPr>
              <w:spacing w:after="20" w:line="252" w:lineRule="auto"/>
            </w:pPr>
            <w:r>
              <w:rPr>
                <w:b w:val="0"/>
                <w:i w:val="0"/>
                <w:sz w:val="16"/>
              </w:rPr>
              <w:t>AP-45, AP-62</w:t>
            </w:r>
          </w:p>
        </w:tc>
      </w:tr>
      <w:tr>
        <w:trPr>
          <w:cantSplit/>
        </w:trPr>
        <w:tc>
          <w:tcPr>
            <w:tcW w:type="dxa" w:w="1928"/>
            <w:vAlign w:val="top"/>
          </w:tcPr>
          <w:p>
            <w:pPr>
              <w:spacing w:after="20" w:line="252" w:lineRule="auto"/>
            </w:pPr>
            <w:r>
              <w:rPr>
                <w:b w:val="0"/>
                <w:i w:val="0"/>
                <w:sz w:val="16"/>
              </w:rPr>
              <w:t>IITH core takaful system</w:t>
            </w:r>
          </w:p>
        </w:tc>
        <w:tc>
          <w:tcPr>
            <w:tcW w:type="dxa" w:w="1134"/>
            <w:vAlign w:val="top"/>
          </w:tcPr>
          <w:p>
            <w:pPr>
              <w:spacing w:after="20" w:line="252" w:lineRule="auto"/>
            </w:pPr>
            <w:r>
              <w:rPr>
                <w:b w:val="0"/>
                <w:i w:val="0"/>
                <w:sz w:val="16"/>
              </w:rPr>
              <w:t>System</w:t>
            </w:r>
          </w:p>
        </w:tc>
        <w:tc>
          <w:tcPr>
            <w:tcW w:type="dxa" w:w="1814"/>
            <w:vAlign w:val="top"/>
          </w:tcPr>
          <w:p>
            <w:pPr>
              <w:spacing w:after="20" w:line="252" w:lineRule="auto"/>
            </w:pPr>
            <w:r>
              <w:rPr>
                <w:b w:val="0"/>
                <w:i w:val="0"/>
                <w:sz w:val="16"/>
              </w:rPr>
              <w:t>REST/JSON both ways</w:t>
            </w:r>
          </w:p>
        </w:tc>
        <w:tc>
          <w:tcPr>
            <w:tcW w:type="dxa" w:w="3175"/>
            <w:vAlign w:val="top"/>
          </w:tcPr>
          <w:p>
            <w:pPr>
              <w:spacing w:after="20" w:line="252" w:lineRule="auto"/>
            </w:pPr>
            <w:r>
              <w:rPr>
                <w:b w:val="0"/>
                <w:i w:val="0"/>
                <w:sz w:val="16"/>
              </w:rPr>
              <w:t>Agent, participant, policy, endorsement, cancellation and claim events out; agent status and issued-policy queries in</w:t>
            </w:r>
          </w:p>
        </w:tc>
        <w:tc>
          <w:tcPr>
            <w:tcW w:type="dxa" w:w="1587"/>
            <w:vAlign w:val="top"/>
          </w:tcPr>
          <w:p>
            <w:pPr>
              <w:spacing w:after="20" w:line="252" w:lineRule="auto"/>
            </w:pPr>
            <w:r>
              <w:rPr>
                <w:b w:val="0"/>
                <w:i w:val="0"/>
                <w:sz w:val="16"/>
              </w:rPr>
              <w:t>INT-01 to INT-03, INT-09</w:t>
            </w:r>
          </w:p>
        </w:tc>
      </w:tr>
      <w:tr>
        <w:trPr>
          <w:cantSplit/>
        </w:trPr>
        <w:tc>
          <w:tcPr>
            <w:tcW w:type="dxa" w:w="1928"/>
            <w:vAlign w:val="top"/>
            <w:shd w:val="clear" w:color="auto" w:fill="FDF0F7"/>
          </w:tcPr>
          <w:p>
            <w:pPr>
              <w:spacing w:after="20" w:line="252" w:lineRule="auto"/>
            </w:pPr>
            <w:r>
              <w:rPr>
                <w:b w:val="0"/>
                <w:i w:val="0"/>
                <w:sz w:val="16"/>
              </w:rPr>
              <w:t>Financial system (FIN)</w:t>
            </w:r>
          </w:p>
        </w:tc>
        <w:tc>
          <w:tcPr>
            <w:tcW w:type="dxa" w:w="1134"/>
            <w:vAlign w:val="top"/>
            <w:shd w:val="clear" w:color="auto" w:fill="FDF0F7"/>
          </w:tcPr>
          <w:p>
            <w:pPr>
              <w:spacing w:after="20" w:line="252" w:lineRule="auto"/>
            </w:pPr>
            <w:r>
              <w:rPr>
                <w:b w:val="0"/>
                <w:i w:val="0"/>
                <w:sz w:val="16"/>
              </w:rPr>
              <w:t>System</w:t>
            </w:r>
          </w:p>
        </w:tc>
        <w:tc>
          <w:tcPr>
            <w:tcW w:type="dxa" w:w="1814"/>
            <w:vAlign w:val="top"/>
            <w:shd w:val="clear" w:color="auto" w:fill="FDF0F7"/>
          </w:tcPr>
          <w:p>
            <w:pPr>
              <w:spacing w:after="20" w:line="252" w:lineRule="auto"/>
            </w:pPr>
            <w:r>
              <w:rPr>
                <w:b w:val="0"/>
                <w:i w:val="0"/>
                <w:sz w:val="16"/>
              </w:rPr>
              <w:t>REST/JSON and EOD file</w:t>
            </w:r>
          </w:p>
        </w:tc>
        <w:tc>
          <w:tcPr>
            <w:tcW w:type="dxa" w:w="3175"/>
            <w:vAlign w:val="top"/>
            <w:shd w:val="clear" w:color="auto" w:fill="FDF0F7"/>
          </w:tcPr>
          <w:p>
            <w:pPr>
              <w:spacing w:after="20" w:line="252" w:lineRule="auto"/>
            </w:pPr>
            <w:r>
              <w:rPr>
                <w:b w:val="0"/>
                <w:i w:val="0"/>
                <w:sz w:val="16"/>
              </w:rPr>
              <w:t>Receipts, refunds, commission accruals and EOD postings out; posted receipts and commission payments in</w:t>
            </w:r>
          </w:p>
        </w:tc>
        <w:tc>
          <w:tcPr>
            <w:tcW w:type="dxa" w:w="1587"/>
            <w:vAlign w:val="top"/>
            <w:shd w:val="clear" w:color="auto" w:fill="FDF0F7"/>
          </w:tcPr>
          <w:p>
            <w:pPr>
              <w:spacing w:after="20" w:line="252" w:lineRule="auto"/>
            </w:pPr>
            <w:r>
              <w:rPr>
                <w:b w:val="0"/>
                <w:i w:val="0"/>
                <w:sz w:val="16"/>
              </w:rPr>
              <w:t>INT-04, INT-05, INT-15</w:t>
            </w:r>
          </w:p>
        </w:tc>
      </w:tr>
      <w:tr>
        <w:trPr>
          <w:cantSplit/>
        </w:trPr>
        <w:tc>
          <w:tcPr>
            <w:tcW w:type="dxa" w:w="1928"/>
            <w:vAlign w:val="top"/>
          </w:tcPr>
          <w:p>
            <w:pPr>
              <w:spacing w:after="20" w:line="252" w:lineRule="auto"/>
            </w:pPr>
            <w:r>
              <w:rPr>
                <w:b w:val="0"/>
                <w:i w:val="0"/>
                <w:sz w:val="16"/>
              </w:rPr>
              <w:t>AML screening provider</w:t>
            </w:r>
          </w:p>
        </w:tc>
        <w:tc>
          <w:tcPr>
            <w:tcW w:type="dxa" w:w="1134"/>
            <w:vAlign w:val="top"/>
          </w:tcPr>
          <w:p>
            <w:pPr>
              <w:spacing w:after="20" w:line="252" w:lineRule="auto"/>
            </w:pPr>
            <w:r>
              <w:rPr>
                <w:b w:val="0"/>
                <w:i w:val="0"/>
                <w:sz w:val="16"/>
              </w:rPr>
              <w:t>System (optional)</w:t>
            </w:r>
          </w:p>
        </w:tc>
        <w:tc>
          <w:tcPr>
            <w:tcW w:type="dxa" w:w="1814"/>
            <w:vAlign w:val="top"/>
          </w:tcPr>
          <w:p>
            <w:pPr>
              <w:spacing w:after="20" w:line="252" w:lineRule="auto"/>
            </w:pPr>
            <w:r>
              <w:rPr>
                <w:b w:val="0"/>
                <w:i w:val="0"/>
                <w:sz w:val="16"/>
              </w:rPr>
              <w:t>REST/JSON</w:t>
            </w:r>
          </w:p>
        </w:tc>
        <w:tc>
          <w:tcPr>
            <w:tcW w:type="dxa" w:w="3175"/>
            <w:vAlign w:val="top"/>
          </w:tcPr>
          <w:p>
            <w:pPr>
              <w:spacing w:after="20" w:line="252" w:lineRule="auto"/>
            </w:pPr>
            <w:r>
              <w:rPr>
                <w:b w:val="0"/>
                <w:i w:val="0"/>
                <w:sz w:val="16"/>
              </w:rPr>
              <w:t>Name and identifier screening in addition to Compliance watch-lists</w:t>
            </w:r>
          </w:p>
        </w:tc>
        <w:tc>
          <w:tcPr>
            <w:tcW w:type="dxa" w:w="1587"/>
            <w:vAlign w:val="top"/>
          </w:tcPr>
          <w:p>
            <w:pPr>
              <w:spacing w:after="20" w:line="252" w:lineRule="auto"/>
            </w:pPr>
            <w:r>
              <w:rPr>
                <w:b w:val="0"/>
                <w:i w:val="0"/>
                <w:sz w:val="16"/>
              </w:rPr>
              <w:t>AP-16, BO-13</w:t>
            </w:r>
          </w:p>
        </w:tc>
      </w:tr>
      <w:tr>
        <w:trPr>
          <w:cantSplit/>
        </w:trPr>
        <w:tc>
          <w:tcPr>
            <w:tcW w:type="dxa" w:w="1928"/>
            <w:vAlign w:val="top"/>
            <w:shd w:val="clear" w:color="auto" w:fill="FDF0F7"/>
          </w:tcPr>
          <w:p>
            <w:pPr>
              <w:spacing w:after="20" w:line="252" w:lineRule="auto"/>
            </w:pPr>
            <w:r>
              <w:rPr>
                <w:b w:val="0"/>
                <w:i w:val="0"/>
                <w:sz w:val="16"/>
              </w:rPr>
              <w:t>SMTP relay</w:t>
            </w:r>
          </w:p>
        </w:tc>
        <w:tc>
          <w:tcPr>
            <w:tcW w:type="dxa" w:w="1134"/>
            <w:vAlign w:val="top"/>
            <w:shd w:val="clear" w:color="auto" w:fill="FDF0F7"/>
          </w:tcPr>
          <w:p>
            <w:pPr>
              <w:spacing w:after="20" w:line="252" w:lineRule="auto"/>
            </w:pPr>
            <w:r>
              <w:rPr>
                <w:b w:val="0"/>
                <w:i w:val="0"/>
                <w:sz w:val="16"/>
              </w:rPr>
              <w:t>System</w:t>
            </w:r>
          </w:p>
        </w:tc>
        <w:tc>
          <w:tcPr>
            <w:tcW w:type="dxa" w:w="1814"/>
            <w:vAlign w:val="top"/>
            <w:shd w:val="clear" w:color="auto" w:fill="FDF0F7"/>
          </w:tcPr>
          <w:p>
            <w:pPr>
              <w:spacing w:after="20" w:line="252" w:lineRule="auto"/>
            </w:pPr>
            <w:r>
              <w:rPr>
                <w:b w:val="0"/>
                <w:i w:val="0"/>
                <w:sz w:val="16"/>
              </w:rPr>
              <w:t>SMTP with STARTTLS</w:t>
            </w:r>
          </w:p>
        </w:tc>
        <w:tc>
          <w:tcPr>
            <w:tcW w:type="dxa" w:w="3175"/>
            <w:vAlign w:val="top"/>
            <w:shd w:val="clear" w:color="auto" w:fill="FDF0F7"/>
          </w:tcPr>
          <w:p>
            <w:pPr>
              <w:spacing w:after="20" w:line="252" w:lineRule="auto"/>
            </w:pPr>
            <w:r>
              <w:rPr>
                <w:b w:val="0"/>
                <w:i w:val="0"/>
                <w:sz w:val="16"/>
              </w:rPr>
              <w:t>Notifications, documents, e-signature links, scheduled reports</w:t>
            </w:r>
          </w:p>
        </w:tc>
        <w:tc>
          <w:tcPr>
            <w:tcW w:type="dxa" w:w="1587"/>
            <w:vAlign w:val="top"/>
            <w:shd w:val="clear" w:color="auto" w:fill="FDF0F7"/>
          </w:tcPr>
          <w:p>
            <w:pPr>
              <w:spacing w:after="20" w:line="252" w:lineRule="auto"/>
            </w:pPr>
            <w:r>
              <w:rPr>
                <w:b w:val="0"/>
                <w:i w:val="0"/>
                <w:sz w:val="16"/>
              </w:rPr>
              <w:t>INT-07</w:t>
            </w:r>
          </w:p>
        </w:tc>
      </w:tr>
      <w:tr>
        <w:trPr>
          <w:cantSplit/>
        </w:trPr>
        <w:tc>
          <w:tcPr>
            <w:tcW w:type="dxa" w:w="1928"/>
            <w:vAlign w:val="top"/>
          </w:tcPr>
          <w:p>
            <w:pPr>
              <w:spacing w:after="20" w:line="252" w:lineRule="auto"/>
            </w:pPr>
            <w:r>
              <w:rPr>
                <w:b w:val="0"/>
                <w:i w:val="0"/>
                <w:sz w:val="16"/>
              </w:rPr>
              <w:t>SMS gateway</w:t>
            </w:r>
          </w:p>
        </w:tc>
        <w:tc>
          <w:tcPr>
            <w:tcW w:type="dxa" w:w="1134"/>
            <w:vAlign w:val="top"/>
          </w:tcPr>
          <w:p>
            <w:pPr>
              <w:spacing w:after="20" w:line="252" w:lineRule="auto"/>
            </w:pPr>
            <w:r>
              <w:rPr>
                <w:b w:val="0"/>
                <w:i w:val="0"/>
                <w:sz w:val="16"/>
              </w:rPr>
              <w:t>System</w:t>
            </w:r>
          </w:p>
        </w:tc>
        <w:tc>
          <w:tcPr>
            <w:tcW w:type="dxa" w:w="1814"/>
            <w:vAlign w:val="top"/>
          </w:tcPr>
          <w:p>
            <w:pPr>
              <w:spacing w:after="20" w:line="252" w:lineRule="auto"/>
            </w:pPr>
            <w:r>
              <w:rPr>
                <w:b w:val="0"/>
                <w:i w:val="0"/>
                <w:sz w:val="16"/>
              </w:rPr>
              <w:t>HTTPS API</w:t>
            </w:r>
          </w:p>
        </w:tc>
        <w:tc>
          <w:tcPr>
            <w:tcW w:type="dxa" w:w="3175"/>
            <w:vAlign w:val="top"/>
          </w:tcPr>
          <w:p>
            <w:pPr>
              <w:spacing w:after="20" w:line="252" w:lineRule="auto"/>
            </w:pPr>
            <w:r>
              <w:rPr>
                <w:b w:val="0"/>
                <w:i w:val="0"/>
                <w:sz w:val="16"/>
              </w:rPr>
              <w:t>Short notifications (agency block, approvals)</w:t>
            </w:r>
          </w:p>
        </w:tc>
        <w:tc>
          <w:tcPr>
            <w:tcW w:type="dxa" w:w="1587"/>
            <w:vAlign w:val="top"/>
          </w:tcPr>
          <w:p>
            <w:pPr>
              <w:spacing w:after="20" w:line="252" w:lineRule="auto"/>
            </w:pPr>
            <w:r>
              <w:rPr>
                <w:b w:val="0"/>
                <w:i w:val="0"/>
                <w:sz w:val="16"/>
              </w:rPr>
              <w:t>INT-08</w:t>
            </w:r>
          </w:p>
        </w:tc>
      </w:tr>
      <w:tr>
        <w:trPr>
          <w:cantSplit/>
        </w:trPr>
        <w:tc>
          <w:tcPr>
            <w:tcW w:type="dxa" w:w="1928"/>
            <w:vAlign w:val="top"/>
            <w:shd w:val="clear" w:color="auto" w:fill="FDF0F7"/>
          </w:tcPr>
          <w:p>
            <w:pPr>
              <w:spacing w:after="20" w:line="252" w:lineRule="auto"/>
            </w:pPr>
            <w:r>
              <w:rPr>
                <w:b w:val="0"/>
                <w:i w:val="0"/>
                <w:sz w:val="16"/>
              </w:rPr>
              <w:t>Active Directory / LDAP</w:t>
            </w:r>
          </w:p>
        </w:tc>
        <w:tc>
          <w:tcPr>
            <w:tcW w:type="dxa" w:w="1134"/>
            <w:vAlign w:val="top"/>
            <w:shd w:val="clear" w:color="auto" w:fill="FDF0F7"/>
          </w:tcPr>
          <w:p>
            <w:pPr>
              <w:spacing w:after="20" w:line="252" w:lineRule="auto"/>
            </w:pPr>
            <w:r>
              <w:rPr>
                <w:b w:val="0"/>
                <w:i w:val="0"/>
                <w:sz w:val="16"/>
              </w:rPr>
              <w:t>System</w:t>
            </w:r>
          </w:p>
        </w:tc>
        <w:tc>
          <w:tcPr>
            <w:tcW w:type="dxa" w:w="1814"/>
            <w:vAlign w:val="top"/>
            <w:shd w:val="clear" w:color="auto" w:fill="FDF0F7"/>
          </w:tcPr>
          <w:p>
            <w:pPr>
              <w:spacing w:after="20" w:line="252" w:lineRule="auto"/>
            </w:pPr>
            <w:r>
              <w:rPr>
                <w:b w:val="0"/>
                <w:i w:val="0"/>
                <w:sz w:val="16"/>
              </w:rPr>
              <w:t>LDAPS bind</w:t>
            </w:r>
          </w:p>
        </w:tc>
        <w:tc>
          <w:tcPr>
            <w:tcW w:type="dxa" w:w="3175"/>
            <w:vAlign w:val="top"/>
            <w:shd w:val="clear" w:color="auto" w:fill="FDF0F7"/>
          </w:tcPr>
          <w:p>
            <w:pPr>
              <w:spacing w:after="20" w:line="252" w:lineRule="auto"/>
            </w:pPr>
            <w:r>
              <w:rPr>
                <w:b w:val="0"/>
                <w:i w:val="0"/>
                <w:sz w:val="16"/>
              </w:rPr>
              <w:t>Back-office sign-in for directory accounts</w:t>
            </w:r>
          </w:p>
        </w:tc>
        <w:tc>
          <w:tcPr>
            <w:tcW w:type="dxa" w:w="1587"/>
            <w:vAlign w:val="top"/>
            <w:shd w:val="clear" w:color="auto" w:fill="FDF0F7"/>
          </w:tcPr>
          <w:p>
            <w:pPr>
              <w:spacing w:after="20" w:line="252" w:lineRule="auto"/>
            </w:pPr>
            <w:r>
              <w:rPr>
                <w:b w:val="0"/>
                <w:i w:val="0"/>
                <w:sz w:val="16"/>
              </w:rPr>
              <w:t>INT-06</w:t>
            </w:r>
          </w:p>
        </w:tc>
      </w:tr>
    </w:tbl>
    <w:p>
      <w:pPr>
        <w:pStyle w:val="Caption"/>
        <w:jc w:val="center"/>
      </w:pPr>
      <w:r>
        <w:rPr>
          <w:b w:val="0"/>
          <w:i w:val="0"/>
        </w:rPr>
        <w:t>Table 3: Actors and external systems</w:t>
      </w:r>
    </w:p>
    <w:p>
      <w:pPr>
        <w:pStyle w:val="Heading1"/>
        <w:pageBreakBefore/>
        <w:pBdr>
          <w:bottom w:val="single" w:sz="12" w:space="4" w:color="F58220"/>
        </w:pBdr>
      </w:pPr>
      <w:r>
        <w:t>4. Functional Architecture</w:t>
      </w:r>
    </w:p>
    <w:p>
      <w:pPr>
        <w:keepNext w:val="0"/>
      </w:pPr>
      <w:r>
        <w:rPr>
          <w:b w:val="0"/>
          <w:i w:val="0"/>
        </w:rPr>
        <w:t>The API is split into modules that follow the RFP functional areas. Each module owns its controllers, services, data-transfer objects and tests; shared concerns (database access, encryption, numbering, data scope, request context, error handling) live in apps/api/src/common.</w:t>
      </w:r>
    </w:p>
    <w:p>
      <w:pPr>
        <w:keepNext/>
        <w:spacing w:after="0"/>
        <w:jc w:val="center"/>
      </w:pPr>
      <w:r>
        <w:drawing>
          <wp:inline xmlns:a="http://schemas.openxmlformats.org/drawingml/2006/main" xmlns:pic="http://schemas.openxmlformats.org/drawingml/2006/picture">
            <wp:extent cx="5760000" cy="5019428"/>
            <wp:docPr id="4" name="Picture 4"/>
            <wp:cNvGraphicFramePr>
              <a:graphicFrameLocks noChangeAspect="1"/>
            </wp:cNvGraphicFramePr>
            <a:graphic>
              <a:graphicData uri="http://schemas.openxmlformats.org/drawingml/2006/picture">
                <pic:pic>
                  <pic:nvPicPr>
                    <pic:cNvPr id="0" name="tech-module-map.png"/>
                    <pic:cNvPicPr/>
                  </pic:nvPicPr>
                  <pic:blipFill>
                    <a:blip r:embed="rId14"/>
                    <a:stretch>
                      <a:fillRect/>
                    </a:stretch>
                  </pic:blipFill>
                  <pic:spPr>
                    <a:xfrm>
                      <a:off x="0" y="0"/>
                      <a:ext cx="5760000" cy="5019428"/>
                    </a:xfrm>
                    <a:prstGeom prst="rect"/>
                  </pic:spPr>
                </pic:pic>
              </a:graphicData>
            </a:graphic>
          </wp:inline>
        </w:drawing>
      </w:r>
    </w:p>
    <w:p>
      <w:pPr>
        <w:pStyle w:val="Caption"/>
        <w:jc w:val="center"/>
      </w:pPr>
      <w:r>
        <w:rPr>
          <w:b w:val="0"/>
          <w:i w:val="0"/>
        </w:rPr>
        <w:t>Figure 2: Functional module map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1474"/>
        <w:gridCol w:w="3742"/>
        <w:gridCol w:w="2608"/>
      </w:tblGrid>
      <w:tr>
        <w:trPr>
          <w:cantSplit/>
          <w:tblHeader/>
        </w:trPr>
        <w:tc>
          <w:tcPr>
            <w:tcW w:type="dxa" w:w="1814"/>
            <w:shd w:val="clear" w:color="auto" w:fill="E1058C"/>
            <w:vAlign w:val="center"/>
          </w:tcPr>
          <w:p>
            <w:pPr>
              <w:spacing w:after="0"/>
            </w:pPr>
            <w:r>
              <w:rPr>
                <w:b/>
                <w:i w:val="0"/>
                <w:color w:val="FFFFFF"/>
                <w:sz w:val="16"/>
              </w:rPr>
              <w:t>Module</w:t>
            </w:r>
          </w:p>
        </w:tc>
        <w:tc>
          <w:tcPr>
            <w:tcW w:type="dxa" w:w="1474"/>
            <w:shd w:val="clear" w:color="auto" w:fill="E1058C"/>
            <w:vAlign w:val="center"/>
          </w:tcPr>
          <w:p>
            <w:pPr>
              <w:spacing w:after="0"/>
            </w:pPr>
            <w:r>
              <w:rPr>
                <w:b/>
                <w:i w:val="0"/>
                <w:color w:val="FFFFFF"/>
                <w:sz w:val="16"/>
              </w:rPr>
              <w:t>Code</w:t>
            </w:r>
          </w:p>
        </w:tc>
        <w:tc>
          <w:tcPr>
            <w:tcW w:type="dxa" w:w="3742"/>
            <w:shd w:val="clear" w:color="auto" w:fill="E1058C"/>
            <w:vAlign w:val="center"/>
          </w:tcPr>
          <w:p>
            <w:pPr>
              <w:spacing w:after="0"/>
            </w:pPr>
            <w:r>
              <w:rPr>
                <w:b/>
                <w:i w:val="0"/>
                <w:color w:val="FFFFFF"/>
                <w:sz w:val="16"/>
              </w:rPr>
              <w:t>Responsibilities</w:t>
            </w:r>
          </w:p>
        </w:tc>
        <w:tc>
          <w:tcPr>
            <w:tcW w:type="dxa" w:w="2608"/>
            <w:shd w:val="clear" w:color="auto" w:fill="E1058C"/>
            <w:vAlign w:val="center"/>
          </w:tcPr>
          <w:p>
            <w:pPr>
              <w:spacing w:after="0"/>
            </w:pPr>
            <w:r>
              <w:rPr>
                <w:b/>
                <w:i w:val="0"/>
                <w:color w:val="FFFFFF"/>
                <w:sz w:val="16"/>
              </w:rPr>
              <w:t>RFP requirements</w:t>
            </w:r>
          </w:p>
        </w:tc>
      </w:tr>
      <w:tr>
        <w:trPr>
          <w:cantSplit/>
        </w:trPr>
        <w:tc>
          <w:tcPr>
            <w:tcW w:type="dxa" w:w="1814"/>
            <w:vAlign w:val="top"/>
          </w:tcPr>
          <w:p>
            <w:pPr>
              <w:spacing w:after="20" w:line="252" w:lineRule="auto"/>
            </w:pPr>
            <w:r>
              <w:rPr>
                <w:b/>
                <w:i w:val="0"/>
                <w:sz w:val="16"/>
              </w:rPr>
              <w:t>Identity &amp; access</w:t>
            </w:r>
          </w:p>
        </w:tc>
        <w:tc>
          <w:tcPr>
            <w:tcW w:type="dxa" w:w="1474"/>
            <w:vAlign w:val="top"/>
          </w:tcPr>
          <w:p>
            <w:pPr>
              <w:spacing w:after="20" w:line="252" w:lineRule="auto"/>
            </w:pPr>
            <w:r>
              <w:rPr>
                <w:b w:val="0"/>
                <w:i w:val="0"/>
                <w:sz w:val="16"/>
              </w:rPr>
              <w:t>auth, access</w:t>
            </w:r>
          </w:p>
        </w:tc>
        <w:tc>
          <w:tcPr>
            <w:tcW w:type="dxa" w:w="3742"/>
            <w:vAlign w:val="top"/>
          </w:tcPr>
          <w:p>
            <w:pPr>
              <w:spacing w:after="20" w:line="252" w:lineRule="auto"/>
            </w:pPr>
            <w:r>
              <w:rPr>
                <w:b w:val="0"/>
                <w:i w:val="0"/>
                <w:sz w:val="16"/>
              </w:rPr>
              <w:t>Sign-in, sessions, password policy and history, lockout, directory sign-in, users, roles, permissions</w:t>
            </w:r>
          </w:p>
        </w:tc>
        <w:tc>
          <w:tcPr>
            <w:tcW w:type="dxa" w:w="2608"/>
            <w:vAlign w:val="top"/>
          </w:tcPr>
          <w:p>
            <w:pPr>
              <w:spacing w:after="20" w:line="252" w:lineRule="auto"/>
            </w:pPr>
            <w:r>
              <w:rPr>
                <w:b w:val="0"/>
                <w:i w:val="0"/>
                <w:sz w:val="16"/>
              </w:rPr>
              <w:t>AP-01 to AP-04, AP-59, BO-01 to BO-04, INT-06, COM-02</w:t>
            </w:r>
          </w:p>
        </w:tc>
      </w:tr>
      <w:tr>
        <w:trPr>
          <w:cantSplit/>
        </w:trPr>
        <w:tc>
          <w:tcPr>
            <w:tcW w:type="dxa" w:w="1814"/>
            <w:vAlign w:val="top"/>
            <w:shd w:val="clear" w:color="auto" w:fill="FDF0F7"/>
          </w:tcPr>
          <w:p>
            <w:pPr>
              <w:spacing w:after="20" w:line="252" w:lineRule="auto"/>
            </w:pPr>
            <w:r>
              <w:rPr>
                <w:b/>
                <w:i w:val="0"/>
                <w:sz w:val="16"/>
              </w:rPr>
              <w:t>Agency &amp; agents</w:t>
            </w:r>
          </w:p>
        </w:tc>
        <w:tc>
          <w:tcPr>
            <w:tcW w:type="dxa" w:w="1474"/>
            <w:vAlign w:val="top"/>
            <w:shd w:val="clear" w:color="auto" w:fill="FDF0F7"/>
          </w:tcPr>
          <w:p>
            <w:pPr>
              <w:spacing w:after="20" w:line="252" w:lineRule="auto"/>
            </w:pPr>
            <w:r>
              <w:rPr>
                <w:b w:val="0"/>
                <w:i w:val="0"/>
                <w:sz w:val="16"/>
              </w:rPr>
              <w:t>agency</w:t>
            </w:r>
          </w:p>
        </w:tc>
        <w:tc>
          <w:tcPr>
            <w:tcW w:type="dxa" w:w="3742"/>
            <w:vAlign w:val="top"/>
            <w:shd w:val="clear" w:color="auto" w:fill="FDF0F7"/>
          </w:tcPr>
          <w:p>
            <w:pPr>
              <w:spacing w:after="20" w:line="252" w:lineRule="auto"/>
            </w:pPr>
            <w:r>
              <w:rPr>
                <w:b w:val="0"/>
                <w:i w:val="0"/>
                <w:sz w:val="16"/>
              </w:rPr>
              <w:t>Agencies and banks, agent registration and approval, hierarchy, status, authority limits, issuance block override</w:t>
            </w:r>
          </w:p>
        </w:tc>
        <w:tc>
          <w:tcPr>
            <w:tcW w:type="dxa" w:w="2608"/>
            <w:vAlign w:val="top"/>
            <w:shd w:val="clear" w:color="auto" w:fill="FDF0F7"/>
          </w:tcPr>
          <w:p>
            <w:pPr>
              <w:spacing w:after="20" w:line="252" w:lineRule="auto"/>
            </w:pPr>
            <w:r>
              <w:rPr>
                <w:b w:val="0"/>
                <w:i w:val="0"/>
                <w:sz w:val="16"/>
              </w:rPr>
              <w:t>AP-05 to AP-10, AP-42, BO-05 to BO-12</w:t>
            </w:r>
          </w:p>
        </w:tc>
      </w:tr>
      <w:tr>
        <w:trPr>
          <w:cantSplit/>
        </w:trPr>
        <w:tc>
          <w:tcPr>
            <w:tcW w:type="dxa" w:w="1814"/>
            <w:vAlign w:val="top"/>
          </w:tcPr>
          <w:p>
            <w:pPr>
              <w:spacing w:after="20" w:line="252" w:lineRule="auto"/>
            </w:pPr>
            <w:r>
              <w:rPr>
                <w:b/>
                <w:i w:val="0"/>
                <w:sz w:val="16"/>
              </w:rPr>
              <w:t>Participants &amp; AML</w:t>
            </w:r>
          </w:p>
        </w:tc>
        <w:tc>
          <w:tcPr>
            <w:tcW w:type="dxa" w:w="1474"/>
            <w:vAlign w:val="top"/>
          </w:tcPr>
          <w:p>
            <w:pPr>
              <w:spacing w:after="20" w:line="252" w:lineRule="auto"/>
            </w:pPr>
            <w:r>
              <w:rPr>
                <w:b w:val="0"/>
                <w:i w:val="0"/>
                <w:sz w:val="16"/>
              </w:rPr>
              <w:t>participants, aml</w:t>
            </w:r>
          </w:p>
        </w:tc>
        <w:tc>
          <w:tcPr>
            <w:tcW w:type="dxa" w:w="3742"/>
            <w:vAlign w:val="top"/>
          </w:tcPr>
          <w:p>
            <w:pPr>
              <w:spacing w:after="20" w:line="252" w:lineRule="auto"/>
            </w:pPr>
            <w:r>
              <w:rPr>
                <w:b w:val="0"/>
                <w:i w:val="0"/>
                <w:sz w:val="16"/>
              </w:rPr>
              <w:t>Shared participant master with duplicate check, update requests, watch-list screening, Compliance review</w:t>
            </w:r>
          </w:p>
        </w:tc>
        <w:tc>
          <w:tcPr>
            <w:tcW w:type="dxa" w:w="2608"/>
            <w:vAlign w:val="top"/>
          </w:tcPr>
          <w:p>
            <w:pPr>
              <w:spacing w:after="20" w:line="252" w:lineRule="auto"/>
            </w:pPr>
            <w:r>
              <w:rPr>
                <w:b w:val="0"/>
                <w:i w:val="0"/>
                <w:sz w:val="16"/>
              </w:rPr>
              <w:t>AP-11 to AP-16, AP-48, BO-13 to BO-15</w:t>
            </w:r>
          </w:p>
        </w:tc>
      </w:tr>
      <w:tr>
        <w:trPr>
          <w:cantSplit/>
        </w:trPr>
        <w:tc>
          <w:tcPr>
            <w:tcW w:type="dxa" w:w="1814"/>
            <w:vAlign w:val="top"/>
            <w:shd w:val="clear" w:color="auto" w:fill="FDF0F7"/>
          </w:tcPr>
          <w:p>
            <w:pPr>
              <w:spacing w:after="20" w:line="252" w:lineRule="auto"/>
            </w:pPr>
            <w:r>
              <w:rPr>
                <w:b/>
                <w:i w:val="0"/>
                <w:sz w:val="16"/>
              </w:rPr>
              <w:t>Products &amp; rating</w:t>
            </w:r>
          </w:p>
        </w:tc>
        <w:tc>
          <w:tcPr>
            <w:tcW w:type="dxa" w:w="1474"/>
            <w:vAlign w:val="top"/>
            <w:shd w:val="clear" w:color="auto" w:fill="FDF0F7"/>
          </w:tcPr>
          <w:p>
            <w:pPr>
              <w:spacing w:after="20" w:line="252" w:lineRule="auto"/>
            </w:pPr>
            <w:r>
              <w:rPr>
                <w:b w:val="0"/>
                <w:i w:val="0"/>
                <w:sz w:val="16"/>
              </w:rPr>
              <w:t>products</w:t>
            </w:r>
          </w:p>
        </w:tc>
        <w:tc>
          <w:tcPr>
            <w:tcW w:type="dxa" w:w="3742"/>
            <w:vAlign w:val="top"/>
            <w:shd w:val="clear" w:color="auto" w:fill="FDF0F7"/>
          </w:tcPr>
          <w:p>
            <w:pPr>
              <w:spacing w:after="20" w:line="252" w:lineRule="auto"/>
            </w:pPr>
            <w:r>
              <w:rPr>
                <w:b w:val="0"/>
                <w:i w:val="0"/>
                <w:sz w:val="16"/>
              </w:rPr>
              <w:t>Catalogue, FINANCING and FIXED_PLAN rating engines, required documents, questionnaires</w:t>
            </w:r>
          </w:p>
        </w:tc>
        <w:tc>
          <w:tcPr>
            <w:tcW w:type="dxa" w:w="2608"/>
            <w:vAlign w:val="top"/>
            <w:shd w:val="clear" w:color="auto" w:fill="FDF0F7"/>
          </w:tcPr>
          <w:p>
            <w:pPr>
              <w:spacing w:after="20" w:line="252" w:lineRule="auto"/>
            </w:pPr>
            <w:r>
              <w:rPr>
                <w:b w:val="0"/>
                <w:i w:val="0"/>
                <w:sz w:val="16"/>
              </w:rPr>
              <w:t>AP-17 to AP-19, BO-33</w:t>
            </w:r>
          </w:p>
        </w:tc>
      </w:tr>
      <w:tr>
        <w:trPr>
          <w:cantSplit/>
        </w:trPr>
        <w:tc>
          <w:tcPr>
            <w:tcW w:type="dxa" w:w="1814"/>
            <w:vAlign w:val="top"/>
          </w:tcPr>
          <w:p>
            <w:pPr>
              <w:spacing w:after="20" w:line="252" w:lineRule="auto"/>
            </w:pPr>
            <w:r>
              <w:rPr>
                <w:b/>
                <w:i w:val="0"/>
                <w:sz w:val="16"/>
              </w:rPr>
              <w:t>Quotation &amp; policy lifecycle</w:t>
            </w:r>
          </w:p>
        </w:tc>
        <w:tc>
          <w:tcPr>
            <w:tcW w:type="dxa" w:w="1474"/>
            <w:vAlign w:val="top"/>
          </w:tcPr>
          <w:p>
            <w:pPr>
              <w:spacing w:after="20" w:line="252" w:lineRule="auto"/>
            </w:pPr>
            <w:r>
              <w:rPr>
                <w:b w:val="0"/>
                <w:i w:val="0"/>
                <w:sz w:val="16"/>
              </w:rPr>
              <w:t>policies</w:t>
            </w:r>
          </w:p>
        </w:tc>
        <w:tc>
          <w:tcPr>
            <w:tcW w:type="dxa" w:w="3742"/>
            <w:vAlign w:val="top"/>
          </w:tcPr>
          <w:p>
            <w:pPr>
              <w:spacing w:after="20" w:line="252" w:lineRule="auto"/>
            </w:pPr>
            <w:r>
              <w:rPr>
                <w:b w:val="0"/>
                <w:i w:val="0"/>
                <w:sz w:val="16"/>
              </w:rPr>
              <w:t>Quotations, validation, referral, issuance, e-Policy, renewal, endorsement, cancellation, expiry, history</w:t>
            </w:r>
          </w:p>
        </w:tc>
        <w:tc>
          <w:tcPr>
            <w:tcW w:type="dxa" w:w="2608"/>
            <w:vAlign w:val="top"/>
          </w:tcPr>
          <w:p>
            <w:pPr>
              <w:spacing w:after="20" w:line="252" w:lineRule="auto"/>
            </w:pPr>
            <w:r>
              <w:rPr>
                <w:b w:val="0"/>
                <w:i w:val="0"/>
                <w:sz w:val="16"/>
              </w:rPr>
              <w:t>AP-20 to AP-36, AP-44, AP-49 to AP-51, AP-60</w:t>
            </w:r>
          </w:p>
        </w:tc>
      </w:tr>
      <w:tr>
        <w:trPr>
          <w:cantSplit/>
        </w:trPr>
        <w:tc>
          <w:tcPr>
            <w:tcW w:type="dxa" w:w="1814"/>
            <w:vAlign w:val="top"/>
            <w:shd w:val="clear" w:color="auto" w:fill="FDF0F7"/>
          </w:tcPr>
          <w:p>
            <w:pPr>
              <w:spacing w:after="20" w:line="252" w:lineRule="auto"/>
            </w:pPr>
            <w:r>
              <w:rPr>
                <w:b/>
                <w:i w:val="0"/>
                <w:sz w:val="16"/>
              </w:rPr>
              <w:t>Billing &amp; receipts</w:t>
            </w:r>
          </w:p>
        </w:tc>
        <w:tc>
          <w:tcPr>
            <w:tcW w:type="dxa" w:w="1474"/>
            <w:vAlign w:val="top"/>
            <w:shd w:val="clear" w:color="auto" w:fill="FDF0F7"/>
          </w:tcPr>
          <w:p>
            <w:pPr>
              <w:spacing w:after="20" w:line="252" w:lineRule="auto"/>
            </w:pPr>
            <w:r>
              <w:rPr>
                <w:b w:val="0"/>
                <w:i w:val="0"/>
                <w:sz w:val="16"/>
              </w:rPr>
              <w:t>billing</w:t>
            </w:r>
          </w:p>
        </w:tc>
        <w:tc>
          <w:tcPr>
            <w:tcW w:type="dxa" w:w="3742"/>
            <w:vAlign w:val="top"/>
            <w:shd w:val="clear" w:color="auto" w:fill="FDF0F7"/>
          </w:tcPr>
          <w:p>
            <w:pPr>
              <w:spacing w:after="20" w:line="252" w:lineRule="auto"/>
            </w:pPr>
            <w:r>
              <w:rPr>
                <w:b w:val="0"/>
                <w:i w:val="0"/>
                <w:sz w:val="16"/>
              </w:rPr>
              <w:t>Outstanding contributions, bulk payments with allocation, proof, verification, e-Receipts, commission, grace-period block</w:t>
            </w:r>
          </w:p>
        </w:tc>
        <w:tc>
          <w:tcPr>
            <w:tcW w:type="dxa" w:w="2608"/>
            <w:vAlign w:val="top"/>
            <w:shd w:val="clear" w:color="auto" w:fill="FDF0F7"/>
          </w:tcPr>
          <w:p>
            <w:pPr>
              <w:spacing w:after="20" w:line="252" w:lineRule="auto"/>
            </w:pPr>
            <w:r>
              <w:rPr>
                <w:b w:val="0"/>
                <w:i w:val="0"/>
                <w:sz w:val="16"/>
              </w:rPr>
              <w:t>AP-30, AP-37 to AP-42, INT-05</w:t>
            </w:r>
          </w:p>
        </w:tc>
      </w:tr>
      <w:tr>
        <w:trPr>
          <w:cantSplit/>
        </w:trPr>
        <w:tc>
          <w:tcPr>
            <w:tcW w:type="dxa" w:w="1814"/>
            <w:vAlign w:val="top"/>
          </w:tcPr>
          <w:p>
            <w:pPr>
              <w:spacing w:after="20" w:line="252" w:lineRule="auto"/>
            </w:pPr>
            <w:r>
              <w:rPr>
                <w:b/>
                <w:i w:val="0"/>
                <w:sz w:val="16"/>
              </w:rPr>
              <w:t>Claims</w:t>
            </w:r>
          </w:p>
        </w:tc>
        <w:tc>
          <w:tcPr>
            <w:tcW w:type="dxa" w:w="1474"/>
            <w:vAlign w:val="top"/>
          </w:tcPr>
          <w:p>
            <w:pPr>
              <w:spacing w:after="20" w:line="252" w:lineRule="auto"/>
            </w:pPr>
            <w:r>
              <w:rPr>
                <w:b w:val="0"/>
                <w:i w:val="0"/>
                <w:sz w:val="16"/>
              </w:rPr>
              <w:t>claims</w:t>
            </w:r>
          </w:p>
        </w:tc>
        <w:tc>
          <w:tcPr>
            <w:tcW w:type="dxa" w:w="3742"/>
            <w:vAlign w:val="top"/>
          </w:tcPr>
          <w:p>
            <w:pPr>
              <w:spacing w:after="20" w:line="252" w:lineRule="auto"/>
            </w:pPr>
            <w:r>
              <w:rPr>
                <w:b w:val="0"/>
                <w:i w:val="0"/>
                <w:sz w:val="16"/>
              </w:rPr>
              <w:t>Claim notification with policy validation and documents; back-office status updates</w:t>
            </w:r>
          </w:p>
        </w:tc>
        <w:tc>
          <w:tcPr>
            <w:tcW w:type="dxa" w:w="2608"/>
            <w:vAlign w:val="top"/>
          </w:tcPr>
          <w:p>
            <w:pPr>
              <w:spacing w:after="20" w:line="252" w:lineRule="auto"/>
            </w:pPr>
            <w:r>
              <w:rPr>
                <w:b w:val="0"/>
                <w:i w:val="0"/>
                <w:sz w:val="16"/>
              </w:rPr>
              <w:t>AP-43</w:t>
            </w:r>
          </w:p>
        </w:tc>
      </w:tr>
      <w:tr>
        <w:trPr>
          <w:cantSplit/>
        </w:trPr>
        <w:tc>
          <w:tcPr>
            <w:tcW w:type="dxa" w:w="1814"/>
            <w:vAlign w:val="top"/>
            <w:shd w:val="clear" w:color="auto" w:fill="FDF0F7"/>
          </w:tcPr>
          <w:p>
            <w:pPr>
              <w:spacing w:after="20" w:line="252" w:lineRule="auto"/>
            </w:pPr>
            <w:r>
              <w:rPr>
                <w:b/>
                <w:i w:val="0"/>
                <w:sz w:val="16"/>
              </w:rPr>
              <w:t>Documents &amp; e-signature</w:t>
            </w:r>
          </w:p>
        </w:tc>
        <w:tc>
          <w:tcPr>
            <w:tcW w:type="dxa" w:w="1474"/>
            <w:vAlign w:val="top"/>
            <w:shd w:val="clear" w:color="auto" w:fill="FDF0F7"/>
          </w:tcPr>
          <w:p>
            <w:pPr>
              <w:spacing w:after="20" w:line="252" w:lineRule="auto"/>
            </w:pPr>
            <w:r>
              <w:rPr>
                <w:b w:val="0"/>
                <w:i w:val="0"/>
                <w:sz w:val="16"/>
              </w:rPr>
              <w:t>documents, esign</w:t>
            </w:r>
          </w:p>
        </w:tc>
        <w:tc>
          <w:tcPr>
            <w:tcW w:type="dxa" w:w="3742"/>
            <w:vAlign w:val="top"/>
            <w:shd w:val="clear" w:color="auto" w:fill="FDF0F7"/>
          </w:tcPr>
          <w:p>
            <w:pPr>
              <w:spacing w:after="20" w:line="252" w:lineRule="auto"/>
            </w:pPr>
            <w:r>
              <w:rPr>
                <w:b w:val="0"/>
                <w:i w:val="0"/>
                <w:sz w:val="16"/>
              </w:rPr>
              <w:t>Encrypted document store, upload checks, verification queue, PDF output, e-mail of documents, on-screen and link signatures</w:t>
            </w:r>
          </w:p>
        </w:tc>
        <w:tc>
          <w:tcPr>
            <w:tcW w:type="dxa" w:w="2608"/>
            <w:vAlign w:val="top"/>
            <w:shd w:val="clear" w:color="auto" w:fill="FDF0F7"/>
          </w:tcPr>
          <w:p>
            <w:pPr>
              <w:spacing w:after="20" w:line="252" w:lineRule="auto"/>
            </w:pPr>
            <w:r>
              <w:rPr>
                <w:b w:val="0"/>
                <w:i w:val="0"/>
                <w:sz w:val="16"/>
              </w:rPr>
              <w:t>AP-29, AP-39, AP-44 to AP-47, AP-62, BO-11, BO-12, COM-06</w:t>
            </w:r>
          </w:p>
        </w:tc>
      </w:tr>
      <w:tr>
        <w:trPr>
          <w:cantSplit/>
        </w:trPr>
        <w:tc>
          <w:tcPr>
            <w:tcW w:type="dxa" w:w="1814"/>
            <w:vAlign w:val="top"/>
          </w:tcPr>
          <w:p>
            <w:pPr>
              <w:spacing w:after="20" w:line="252" w:lineRule="auto"/>
            </w:pPr>
            <w:r>
              <w:rPr>
                <w:b/>
                <w:i w:val="0"/>
                <w:sz w:val="16"/>
              </w:rPr>
              <w:t>Workflow / maker-checker</w:t>
            </w:r>
          </w:p>
        </w:tc>
        <w:tc>
          <w:tcPr>
            <w:tcW w:type="dxa" w:w="1474"/>
            <w:vAlign w:val="top"/>
          </w:tcPr>
          <w:p>
            <w:pPr>
              <w:spacing w:after="20" w:line="252" w:lineRule="auto"/>
            </w:pPr>
            <w:r>
              <w:rPr>
                <w:b w:val="0"/>
                <w:i w:val="0"/>
                <w:sz w:val="16"/>
              </w:rPr>
              <w:t>workflow</w:t>
            </w:r>
          </w:p>
        </w:tc>
        <w:tc>
          <w:tcPr>
            <w:tcW w:type="dxa" w:w="3742"/>
            <w:vAlign w:val="top"/>
          </w:tcPr>
          <w:p>
            <w:pPr>
              <w:spacing w:after="20" w:line="252" w:lineRule="auto"/>
            </w:pPr>
            <w:r>
              <w:rPr>
                <w:b w:val="0"/>
                <w:i w:val="0"/>
                <w:sz w:val="16"/>
              </w:rPr>
              <w:t>Workflow definitions, approval requests and actions, inbox, handlers</w:t>
            </w:r>
          </w:p>
        </w:tc>
        <w:tc>
          <w:tcPr>
            <w:tcW w:type="dxa" w:w="2608"/>
            <w:vAlign w:val="top"/>
          </w:tcPr>
          <w:p>
            <w:pPr>
              <w:spacing w:after="20" w:line="252" w:lineRule="auto"/>
            </w:pPr>
            <w:r>
              <w:rPr>
                <w:b w:val="0"/>
                <w:i w:val="0"/>
                <w:sz w:val="16"/>
              </w:rPr>
              <w:t>AP-33, AP-49 to AP-51, AP-61, BO-10, BO-16 to BO-19, COM-04</w:t>
            </w:r>
          </w:p>
        </w:tc>
      </w:tr>
      <w:tr>
        <w:trPr>
          <w:cantSplit/>
        </w:trPr>
        <w:tc>
          <w:tcPr>
            <w:tcW w:type="dxa" w:w="1814"/>
            <w:vAlign w:val="top"/>
            <w:shd w:val="clear" w:color="auto" w:fill="FDF0F7"/>
          </w:tcPr>
          <w:p>
            <w:pPr>
              <w:spacing w:after="20" w:line="252" w:lineRule="auto"/>
            </w:pPr>
            <w:r>
              <w:rPr>
                <w:b/>
                <w:i w:val="0"/>
                <w:sz w:val="16"/>
              </w:rPr>
              <w:t>Issues</w:t>
            </w:r>
          </w:p>
        </w:tc>
        <w:tc>
          <w:tcPr>
            <w:tcW w:type="dxa" w:w="1474"/>
            <w:vAlign w:val="top"/>
            <w:shd w:val="clear" w:color="auto" w:fill="FDF0F7"/>
          </w:tcPr>
          <w:p>
            <w:pPr>
              <w:spacing w:after="20" w:line="252" w:lineRule="auto"/>
            </w:pPr>
            <w:r>
              <w:rPr>
                <w:b w:val="0"/>
                <w:i w:val="0"/>
                <w:sz w:val="16"/>
              </w:rPr>
              <w:t>issues</w:t>
            </w:r>
          </w:p>
        </w:tc>
        <w:tc>
          <w:tcPr>
            <w:tcW w:type="dxa" w:w="3742"/>
            <w:vAlign w:val="top"/>
            <w:shd w:val="clear" w:color="auto" w:fill="FDF0F7"/>
          </w:tcPr>
          <w:p>
            <w:pPr>
              <w:spacing w:after="20" w:line="252" w:lineRule="auto"/>
            </w:pPr>
            <w:r>
              <w:rPr>
                <w:b w:val="0"/>
                <w:i w:val="0"/>
                <w:sz w:val="16"/>
              </w:rPr>
              <w:t>Issue logging, comments, attachments, assignment, priority, SLA monitoring</w:t>
            </w:r>
          </w:p>
        </w:tc>
        <w:tc>
          <w:tcPr>
            <w:tcW w:type="dxa" w:w="2608"/>
            <w:vAlign w:val="top"/>
            <w:shd w:val="clear" w:color="auto" w:fill="FDF0F7"/>
          </w:tcPr>
          <w:p>
            <w:pPr>
              <w:spacing w:after="20" w:line="252" w:lineRule="auto"/>
            </w:pPr>
            <w:r>
              <w:rPr>
                <w:b w:val="0"/>
                <w:i w:val="0"/>
                <w:sz w:val="16"/>
              </w:rPr>
              <w:t>AP-55 to AP-57, BO-29 to BO-31</w:t>
            </w:r>
          </w:p>
        </w:tc>
      </w:tr>
      <w:tr>
        <w:trPr>
          <w:cantSplit/>
        </w:trPr>
        <w:tc>
          <w:tcPr>
            <w:tcW w:type="dxa" w:w="1814"/>
            <w:vAlign w:val="top"/>
          </w:tcPr>
          <w:p>
            <w:pPr>
              <w:spacing w:after="20" w:line="252" w:lineRule="auto"/>
            </w:pPr>
            <w:r>
              <w:rPr>
                <w:b/>
                <w:i w:val="0"/>
                <w:sz w:val="16"/>
              </w:rPr>
              <w:t>Notifications</w:t>
            </w:r>
          </w:p>
        </w:tc>
        <w:tc>
          <w:tcPr>
            <w:tcW w:type="dxa" w:w="1474"/>
            <w:vAlign w:val="top"/>
          </w:tcPr>
          <w:p>
            <w:pPr>
              <w:spacing w:after="20" w:line="252" w:lineRule="auto"/>
            </w:pPr>
            <w:r>
              <w:rPr>
                <w:b w:val="0"/>
                <w:i w:val="0"/>
                <w:sz w:val="16"/>
              </w:rPr>
              <w:t>notifications</w:t>
            </w:r>
          </w:p>
        </w:tc>
        <w:tc>
          <w:tcPr>
            <w:tcW w:type="dxa" w:w="3742"/>
            <w:vAlign w:val="top"/>
          </w:tcPr>
          <w:p>
            <w:pPr>
              <w:spacing w:after="20" w:line="252" w:lineRule="auto"/>
            </w:pPr>
            <w:r>
              <w:rPr>
                <w:b w:val="0"/>
                <w:i w:val="0"/>
                <w:sz w:val="16"/>
              </w:rPr>
              <w:t>In-app, e-mail and SMS notifications with retry and delivery log</w:t>
            </w:r>
          </w:p>
        </w:tc>
        <w:tc>
          <w:tcPr>
            <w:tcW w:type="dxa" w:w="2608"/>
            <w:vAlign w:val="top"/>
          </w:tcPr>
          <w:p>
            <w:pPr>
              <w:spacing w:after="20" w:line="252" w:lineRule="auto"/>
            </w:pPr>
            <w:r>
              <w:rPr>
                <w:b w:val="0"/>
                <w:i w:val="0"/>
                <w:sz w:val="16"/>
              </w:rPr>
              <w:t>AP-34, AP-54, INT-07, INT-08, COM-05</w:t>
            </w:r>
          </w:p>
        </w:tc>
      </w:tr>
      <w:tr>
        <w:trPr>
          <w:cantSplit/>
        </w:trPr>
        <w:tc>
          <w:tcPr>
            <w:tcW w:type="dxa" w:w="1814"/>
            <w:vAlign w:val="top"/>
            <w:shd w:val="clear" w:color="auto" w:fill="FDF0F7"/>
          </w:tcPr>
          <w:p>
            <w:pPr>
              <w:spacing w:after="20" w:line="252" w:lineRule="auto"/>
            </w:pPr>
            <w:r>
              <w:rPr>
                <w:b/>
                <w:i w:val="0"/>
                <w:sz w:val="16"/>
              </w:rPr>
              <w:t>Reporting</w:t>
            </w:r>
          </w:p>
        </w:tc>
        <w:tc>
          <w:tcPr>
            <w:tcW w:type="dxa" w:w="1474"/>
            <w:vAlign w:val="top"/>
            <w:shd w:val="clear" w:color="auto" w:fill="FDF0F7"/>
          </w:tcPr>
          <w:p>
            <w:pPr>
              <w:spacing w:after="20" w:line="252" w:lineRule="auto"/>
            </w:pPr>
            <w:r>
              <w:rPr>
                <w:b w:val="0"/>
                <w:i w:val="0"/>
                <w:sz w:val="16"/>
              </w:rPr>
              <w:t>reports</w:t>
            </w:r>
          </w:p>
        </w:tc>
        <w:tc>
          <w:tcPr>
            <w:tcW w:type="dxa" w:w="3742"/>
            <w:vAlign w:val="top"/>
            <w:shd w:val="clear" w:color="auto" w:fill="FDF0F7"/>
          </w:tcPr>
          <w:p>
            <w:pPr>
              <w:spacing w:after="20" w:line="252" w:lineRule="auto"/>
            </w:pPr>
            <w:r>
              <w:rPr>
                <w:b w:val="0"/>
                <w:i w:val="0"/>
                <w:sz w:val="16"/>
              </w:rPr>
              <w:t>Report catalogue, filters, preview, export (XLSX, CSV, PDF), schedules</w:t>
            </w:r>
          </w:p>
        </w:tc>
        <w:tc>
          <w:tcPr>
            <w:tcW w:type="dxa" w:w="2608"/>
            <w:vAlign w:val="top"/>
            <w:shd w:val="clear" w:color="auto" w:fill="FDF0F7"/>
          </w:tcPr>
          <w:p>
            <w:pPr>
              <w:spacing w:after="20" w:line="252" w:lineRule="auto"/>
            </w:pPr>
            <w:r>
              <w:rPr>
                <w:b w:val="0"/>
                <w:i w:val="0"/>
                <w:sz w:val="16"/>
              </w:rPr>
              <w:t>AP-58, BO-22 to BO-25, COM-08</w:t>
            </w:r>
          </w:p>
        </w:tc>
      </w:tr>
      <w:tr>
        <w:trPr>
          <w:cantSplit/>
        </w:trPr>
        <w:tc>
          <w:tcPr>
            <w:tcW w:type="dxa" w:w="1814"/>
            <w:vAlign w:val="top"/>
          </w:tcPr>
          <w:p>
            <w:pPr>
              <w:spacing w:after="20" w:line="252" w:lineRule="auto"/>
            </w:pPr>
            <w:r>
              <w:rPr>
                <w:b/>
                <w:i w:val="0"/>
                <w:sz w:val="16"/>
              </w:rPr>
              <w:t>Dashboards</w:t>
            </w:r>
          </w:p>
        </w:tc>
        <w:tc>
          <w:tcPr>
            <w:tcW w:type="dxa" w:w="1474"/>
            <w:vAlign w:val="top"/>
          </w:tcPr>
          <w:p>
            <w:pPr>
              <w:spacing w:after="20" w:line="252" w:lineRule="auto"/>
            </w:pPr>
            <w:r>
              <w:rPr>
                <w:b w:val="0"/>
                <w:i w:val="0"/>
                <w:sz w:val="16"/>
              </w:rPr>
              <w:t>dashboard</w:t>
            </w:r>
          </w:p>
        </w:tc>
        <w:tc>
          <w:tcPr>
            <w:tcW w:type="dxa" w:w="3742"/>
            <w:vAlign w:val="top"/>
          </w:tcPr>
          <w:p>
            <w:pPr>
              <w:spacing w:after="20" w:line="252" w:lineRule="auto"/>
            </w:pPr>
            <w:r>
              <w:rPr>
                <w:b w:val="0"/>
                <w:i w:val="0"/>
                <w:sz w:val="16"/>
              </w:rPr>
              <w:t>Agent dashboard, pending actions, management KPIs</w:t>
            </w:r>
          </w:p>
        </w:tc>
        <w:tc>
          <w:tcPr>
            <w:tcW w:type="dxa" w:w="2608"/>
            <w:vAlign w:val="top"/>
          </w:tcPr>
          <w:p>
            <w:pPr>
              <w:spacing w:after="20" w:line="252" w:lineRule="auto"/>
            </w:pPr>
            <w:r>
              <w:rPr>
                <w:b w:val="0"/>
                <w:i w:val="0"/>
                <w:sz w:val="16"/>
              </w:rPr>
              <w:t>AP-52, AP-53, BO-20, BO-21</w:t>
            </w:r>
          </w:p>
        </w:tc>
      </w:tr>
      <w:tr>
        <w:trPr>
          <w:cantSplit/>
        </w:trPr>
        <w:tc>
          <w:tcPr>
            <w:tcW w:type="dxa" w:w="1814"/>
            <w:vAlign w:val="top"/>
            <w:shd w:val="clear" w:color="auto" w:fill="FDF0F7"/>
          </w:tcPr>
          <w:p>
            <w:pPr>
              <w:spacing w:after="20" w:line="252" w:lineRule="auto"/>
            </w:pPr>
            <w:r>
              <w:rPr>
                <w:b/>
                <w:i w:val="0"/>
                <w:sz w:val="16"/>
              </w:rPr>
              <w:t>Audit</w:t>
            </w:r>
          </w:p>
        </w:tc>
        <w:tc>
          <w:tcPr>
            <w:tcW w:type="dxa" w:w="1474"/>
            <w:vAlign w:val="top"/>
            <w:shd w:val="clear" w:color="auto" w:fill="FDF0F7"/>
          </w:tcPr>
          <w:p>
            <w:pPr>
              <w:spacing w:after="20" w:line="252" w:lineRule="auto"/>
            </w:pPr>
            <w:r>
              <w:rPr>
                <w:b w:val="0"/>
                <w:i w:val="0"/>
                <w:sz w:val="16"/>
              </w:rPr>
              <w:t>audit</w:t>
            </w:r>
          </w:p>
        </w:tc>
        <w:tc>
          <w:tcPr>
            <w:tcW w:type="dxa" w:w="3742"/>
            <w:vAlign w:val="top"/>
            <w:shd w:val="clear" w:color="auto" w:fill="FDF0F7"/>
          </w:tcPr>
          <w:p>
            <w:pPr>
              <w:spacing w:after="20" w:line="252" w:lineRule="auto"/>
            </w:pPr>
            <w:r>
              <w:rPr>
                <w:b w:val="0"/>
                <w:i w:val="0"/>
                <w:sz w:val="16"/>
              </w:rPr>
              <w:t>Append-only audit trail, search and facets</w:t>
            </w:r>
          </w:p>
        </w:tc>
        <w:tc>
          <w:tcPr>
            <w:tcW w:type="dxa" w:w="2608"/>
            <w:vAlign w:val="top"/>
            <w:shd w:val="clear" w:color="auto" w:fill="FDF0F7"/>
          </w:tcPr>
          <w:p>
            <w:pPr>
              <w:spacing w:after="20" w:line="252" w:lineRule="auto"/>
            </w:pPr>
            <w:r>
              <w:rPr>
                <w:b w:val="0"/>
                <w:i w:val="0"/>
                <w:sz w:val="16"/>
              </w:rPr>
              <w:t>AP-35, BO-26 to BO-28, COM-03, NFR-11</w:t>
            </w:r>
          </w:p>
        </w:tc>
      </w:tr>
      <w:tr>
        <w:trPr>
          <w:cantSplit/>
        </w:trPr>
        <w:tc>
          <w:tcPr>
            <w:tcW w:type="dxa" w:w="1814"/>
            <w:vAlign w:val="top"/>
          </w:tcPr>
          <w:p>
            <w:pPr>
              <w:spacing w:after="20" w:line="252" w:lineRule="auto"/>
            </w:pPr>
            <w:r>
              <w:rPr>
                <w:b/>
                <w:i w:val="0"/>
                <w:sz w:val="16"/>
              </w:rPr>
              <w:t>Configuration &amp; master data</w:t>
            </w:r>
          </w:p>
        </w:tc>
        <w:tc>
          <w:tcPr>
            <w:tcW w:type="dxa" w:w="1474"/>
            <w:vAlign w:val="top"/>
          </w:tcPr>
          <w:p>
            <w:pPr>
              <w:spacing w:after="20" w:line="252" w:lineRule="auto"/>
            </w:pPr>
            <w:r>
              <w:rPr>
                <w:b w:val="0"/>
                <w:i w:val="0"/>
                <w:sz w:val="16"/>
              </w:rPr>
              <w:t>settings</w:t>
            </w:r>
          </w:p>
        </w:tc>
        <w:tc>
          <w:tcPr>
            <w:tcW w:type="dxa" w:w="3742"/>
            <w:vAlign w:val="top"/>
          </w:tcPr>
          <w:p>
            <w:pPr>
              <w:spacing w:after="20" w:line="252" w:lineRule="auto"/>
            </w:pPr>
            <w:r>
              <w:rPr>
                <w:b w:val="0"/>
                <w:i w:val="0"/>
                <w:sz w:val="16"/>
              </w:rPr>
              <w:t>Business parameters with ranges, code lists</w:t>
            </w:r>
          </w:p>
        </w:tc>
        <w:tc>
          <w:tcPr>
            <w:tcW w:type="dxa" w:w="2608"/>
            <w:vAlign w:val="top"/>
          </w:tcPr>
          <w:p>
            <w:pPr>
              <w:spacing w:after="20" w:line="252" w:lineRule="auto"/>
            </w:pPr>
            <w:r>
              <w:rPr>
                <w:b w:val="0"/>
                <w:i w:val="0"/>
                <w:sz w:val="16"/>
              </w:rPr>
              <w:t>BO-32, BO-33, COM-09</w:t>
            </w:r>
          </w:p>
        </w:tc>
      </w:tr>
      <w:tr>
        <w:trPr>
          <w:cantSplit/>
        </w:trPr>
        <w:tc>
          <w:tcPr>
            <w:tcW w:type="dxa" w:w="1814"/>
            <w:vAlign w:val="top"/>
            <w:shd w:val="clear" w:color="auto" w:fill="FDF0F7"/>
          </w:tcPr>
          <w:p>
            <w:pPr>
              <w:spacing w:after="20" w:line="252" w:lineRule="auto"/>
            </w:pPr>
            <w:r>
              <w:rPr>
                <w:b/>
                <w:i w:val="0"/>
                <w:sz w:val="16"/>
              </w:rPr>
              <w:t>Integration &amp; outbox</w:t>
            </w:r>
          </w:p>
        </w:tc>
        <w:tc>
          <w:tcPr>
            <w:tcW w:type="dxa" w:w="1474"/>
            <w:vAlign w:val="top"/>
            <w:shd w:val="clear" w:color="auto" w:fill="FDF0F7"/>
          </w:tcPr>
          <w:p>
            <w:pPr>
              <w:spacing w:after="20" w:line="252" w:lineRule="auto"/>
            </w:pPr>
            <w:r>
              <w:rPr>
                <w:b w:val="0"/>
                <w:i w:val="0"/>
                <w:sz w:val="16"/>
              </w:rPr>
              <w:t>integration, integration-api</w:t>
            </w:r>
          </w:p>
        </w:tc>
        <w:tc>
          <w:tcPr>
            <w:tcW w:type="dxa" w:w="3742"/>
            <w:vAlign w:val="top"/>
            <w:shd w:val="clear" w:color="auto" w:fill="FDF0F7"/>
          </w:tcPr>
          <w:p>
            <w:pPr>
              <w:spacing w:after="20" w:line="252" w:lineRule="auto"/>
            </w:pPr>
            <w:r>
              <w:rPr>
                <w:b w:val="0"/>
                <w:i w:val="0"/>
                <w:sz w:val="16"/>
              </w:rPr>
              <w:t>Outbox, dispatcher, gateways, integration log, monitor and retry, reconciliation, inbound system APIs</w:t>
            </w:r>
          </w:p>
        </w:tc>
        <w:tc>
          <w:tcPr>
            <w:tcW w:type="dxa" w:w="2608"/>
            <w:vAlign w:val="top"/>
            <w:shd w:val="clear" w:color="auto" w:fill="FDF0F7"/>
          </w:tcPr>
          <w:p>
            <w:pPr>
              <w:spacing w:after="20" w:line="252" w:lineRule="auto"/>
            </w:pPr>
            <w:r>
              <w:rPr>
                <w:b w:val="0"/>
                <w:i w:val="0"/>
                <w:sz w:val="16"/>
              </w:rPr>
              <w:t>INT-01 to INT-05, INT-09 to INT-15</w:t>
            </w:r>
          </w:p>
        </w:tc>
      </w:tr>
      <w:tr>
        <w:trPr>
          <w:cantSplit/>
        </w:trPr>
        <w:tc>
          <w:tcPr>
            <w:tcW w:type="dxa" w:w="1814"/>
            <w:vAlign w:val="top"/>
          </w:tcPr>
          <w:p>
            <w:pPr>
              <w:spacing w:after="20" w:line="252" w:lineRule="auto"/>
            </w:pPr>
            <w:r>
              <w:rPr>
                <w:b/>
                <w:i w:val="0"/>
                <w:sz w:val="16"/>
              </w:rPr>
              <w:t>End-of-day</w:t>
            </w:r>
          </w:p>
        </w:tc>
        <w:tc>
          <w:tcPr>
            <w:tcW w:type="dxa" w:w="1474"/>
            <w:vAlign w:val="top"/>
          </w:tcPr>
          <w:p>
            <w:pPr>
              <w:spacing w:after="20" w:line="252" w:lineRule="auto"/>
            </w:pPr>
            <w:r>
              <w:rPr>
                <w:b w:val="0"/>
                <w:i w:val="0"/>
                <w:sz w:val="16"/>
              </w:rPr>
              <w:t>eod</w:t>
            </w:r>
          </w:p>
        </w:tc>
        <w:tc>
          <w:tcPr>
            <w:tcW w:type="dxa" w:w="3742"/>
            <w:vAlign w:val="top"/>
          </w:tcPr>
          <w:p>
            <w:pPr>
              <w:spacing w:after="20" w:line="252" w:lineRule="auto"/>
            </w:pPr>
            <w:r>
              <w:rPr>
                <w:b w:val="0"/>
                <w:i w:val="0"/>
                <w:sz w:val="16"/>
              </w:rPr>
              <w:t>EOD issuance report, FIN interface file, EOD posting, reconciliation, re-run</w:t>
            </w:r>
          </w:p>
        </w:tc>
        <w:tc>
          <w:tcPr>
            <w:tcW w:type="dxa" w:w="2608"/>
            <w:vAlign w:val="top"/>
          </w:tcPr>
          <w:p>
            <w:pPr>
              <w:spacing w:after="20" w:line="252" w:lineRule="auto"/>
            </w:pPr>
            <w:r>
              <w:rPr>
                <w:b w:val="0"/>
                <w:i w:val="0"/>
                <w:sz w:val="16"/>
              </w:rPr>
              <w:t>Appendix 3 (FFR01-08 to FFR05-08), INT-04, INT-15</w:t>
            </w:r>
          </w:p>
        </w:tc>
      </w:tr>
      <w:tr>
        <w:trPr>
          <w:cantSplit/>
        </w:trPr>
        <w:tc>
          <w:tcPr>
            <w:tcW w:type="dxa" w:w="1814"/>
            <w:vAlign w:val="top"/>
            <w:shd w:val="clear" w:color="auto" w:fill="FDF0F7"/>
          </w:tcPr>
          <w:p>
            <w:pPr>
              <w:spacing w:after="20" w:line="252" w:lineRule="auto"/>
            </w:pPr>
            <w:r>
              <w:rPr>
                <w:b/>
                <w:i w:val="0"/>
                <w:sz w:val="16"/>
              </w:rPr>
              <w:t>Health &amp; metrics</w:t>
            </w:r>
          </w:p>
        </w:tc>
        <w:tc>
          <w:tcPr>
            <w:tcW w:type="dxa" w:w="1474"/>
            <w:vAlign w:val="top"/>
            <w:shd w:val="clear" w:color="auto" w:fill="FDF0F7"/>
          </w:tcPr>
          <w:p>
            <w:pPr>
              <w:spacing w:after="20" w:line="252" w:lineRule="auto"/>
            </w:pPr>
            <w:r>
              <w:rPr>
                <w:b w:val="0"/>
                <w:i w:val="0"/>
                <w:sz w:val="16"/>
              </w:rPr>
              <w:t>health</w:t>
            </w:r>
          </w:p>
        </w:tc>
        <w:tc>
          <w:tcPr>
            <w:tcW w:type="dxa" w:w="3742"/>
            <w:vAlign w:val="top"/>
            <w:shd w:val="clear" w:color="auto" w:fill="FDF0F7"/>
          </w:tcPr>
          <w:p>
            <w:pPr>
              <w:spacing w:after="20" w:line="252" w:lineRule="auto"/>
            </w:pPr>
            <w:r>
              <w:rPr>
                <w:b w:val="0"/>
                <w:i w:val="0"/>
                <w:sz w:val="16"/>
              </w:rPr>
              <w:t>Liveness, readiness, Prometheus metrics</w:t>
            </w:r>
          </w:p>
        </w:tc>
        <w:tc>
          <w:tcPr>
            <w:tcW w:type="dxa" w:w="2608"/>
            <w:vAlign w:val="top"/>
            <w:shd w:val="clear" w:color="auto" w:fill="FDF0F7"/>
          </w:tcPr>
          <w:p>
            <w:pPr>
              <w:spacing w:after="20" w:line="252" w:lineRule="auto"/>
            </w:pPr>
            <w:r>
              <w:rPr>
                <w:b w:val="0"/>
                <w:i w:val="0"/>
                <w:sz w:val="16"/>
              </w:rPr>
              <w:t>NFR-26, NFR-27</w:t>
            </w:r>
          </w:p>
        </w:tc>
      </w:tr>
    </w:tbl>
    <w:p>
      <w:pPr>
        <w:pStyle w:val="Caption"/>
        <w:jc w:val="center"/>
      </w:pPr>
      <w:r>
        <w:rPr>
          <w:b w:val="0"/>
          <w:i w:val="0"/>
        </w:rPr>
        <w:t>Table 4: Modules and the requirements they cover</w:t>
      </w:r>
    </w:p>
    <w:p>
      <w:pPr>
        <w:pStyle w:val="Heading2"/>
      </w:pPr>
      <w:r>
        <w:t>4.1 Policy lifecycle</w:t>
      </w:r>
    </w:p>
    <w:p>
      <w:pPr>
        <w:keepNext w:val="0"/>
      </w:pPr>
      <w:r>
        <w:rPr>
          <w:b w:val="0"/>
          <w:i w:val="0"/>
        </w:rPr>
        <w:t>A quotation and the policy it becomes are one record, so history, documents and payments stay attached from first quote to expiry. On submission the API re-rates the quotation with current rates, checks validity (30 days by default), the agency issuance block, required documents, nominees, participant signature and AML status, then decides whether the application must be referred.</w:t>
      </w:r>
    </w:p>
    <w:p>
      <w:pPr>
        <w:keepNext/>
        <w:spacing w:after="0"/>
        <w:jc w:val="center"/>
      </w:pPr>
      <w:r>
        <w:drawing>
          <wp:inline xmlns:a="http://schemas.openxmlformats.org/drawingml/2006/main" xmlns:pic="http://schemas.openxmlformats.org/drawingml/2006/picture">
            <wp:extent cx="5760000" cy="3702857"/>
            <wp:docPr id="5" name="Picture 5"/>
            <wp:cNvGraphicFramePr>
              <a:graphicFrameLocks noChangeAspect="1"/>
            </wp:cNvGraphicFramePr>
            <a:graphic>
              <a:graphicData uri="http://schemas.openxmlformats.org/drawingml/2006/picture">
                <pic:pic>
                  <pic:nvPicPr>
                    <pic:cNvPr id="0" name="tech-lifecycle.png"/>
                    <pic:cNvPicPr/>
                  </pic:nvPicPr>
                  <pic:blipFill>
                    <a:blip r:embed="rId15"/>
                    <a:stretch>
                      <a:fillRect/>
                    </a:stretch>
                  </pic:blipFill>
                  <pic:spPr>
                    <a:xfrm>
                      <a:off x="0" y="0"/>
                      <a:ext cx="5760000" cy="3702857"/>
                    </a:xfrm>
                    <a:prstGeom prst="rect"/>
                  </pic:spPr>
                </pic:pic>
              </a:graphicData>
            </a:graphic>
          </wp:inline>
        </w:drawing>
      </w:r>
    </w:p>
    <w:p>
      <w:pPr>
        <w:pStyle w:val="Caption"/>
        <w:jc w:val="center"/>
      </w:pPr>
      <w:r>
        <w:rPr>
          <w:b w:val="0"/>
          <w:i w:val="0"/>
        </w:rPr>
        <w:t>Figure 3: Quotation and policy lifecycle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670"/>
        <w:gridCol w:w="3969"/>
      </w:tblGrid>
      <w:tr>
        <w:trPr>
          <w:cantSplit/>
          <w:tblHeader/>
        </w:trPr>
        <w:tc>
          <w:tcPr>
            <w:tcW w:type="dxa" w:w="5669"/>
            <w:shd w:val="clear" w:color="auto" w:fill="E1058C"/>
            <w:vAlign w:val="center"/>
          </w:tcPr>
          <w:p>
            <w:pPr>
              <w:spacing w:after="0"/>
            </w:pPr>
            <w:r>
              <w:rPr>
                <w:b/>
                <w:i w:val="0"/>
                <w:color w:val="FFFFFF"/>
                <w:sz w:val="17"/>
              </w:rPr>
              <w:t>Referral reason</w:t>
            </w:r>
          </w:p>
        </w:tc>
        <w:tc>
          <w:tcPr>
            <w:tcW w:type="dxa" w:w="3969"/>
            <w:shd w:val="clear" w:color="auto" w:fill="E1058C"/>
            <w:vAlign w:val="center"/>
          </w:tcPr>
          <w:p>
            <w:pPr>
              <w:spacing w:after="0"/>
            </w:pPr>
            <w:r>
              <w:rPr>
                <w:b/>
                <w:i w:val="0"/>
                <w:color w:val="FFFFFF"/>
                <w:sz w:val="17"/>
              </w:rPr>
              <w:t>Source</w:t>
            </w:r>
          </w:p>
        </w:tc>
      </w:tr>
      <w:tr>
        <w:trPr>
          <w:cantSplit/>
        </w:trPr>
        <w:tc>
          <w:tcPr>
            <w:tcW w:type="dxa" w:w="5669"/>
            <w:vAlign w:val="top"/>
          </w:tcPr>
          <w:p>
            <w:pPr>
              <w:spacing w:after="20" w:line="252" w:lineRule="auto"/>
            </w:pPr>
            <w:r>
              <w:rPr>
                <w:b w:val="0"/>
                <w:i w:val="0"/>
                <w:sz w:val="17"/>
              </w:rPr>
              <w:t>Sum covered above the agent's authority limit</w:t>
            </w:r>
          </w:p>
        </w:tc>
        <w:tc>
          <w:tcPr>
            <w:tcW w:type="dxa" w:w="3969"/>
            <w:vAlign w:val="top"/>
          </w:tcPr>
          <w:p>
            <w:pPr>
              <w:spacing w:after="20" w:line="252" w:lineRule="auto"/>
            </w:pPr>
            <w:r>
              <w:rPr>
                <w:b w:val="0"/>
                <w:i w:val="0"/>
                <w:sz w:val="17"/>
              </w:rPr>
              <w:t>agent.authority_limit (AP-60)</w:t>
            </w:r>
          </w:p>
        </w:tc>
      </w:tr>
      <w:tr>
        <w:trPr>
          <w:cantSplit/>
        </w:trPr>
        <w:tc>
          <w:tcPr>
            <w:tcW w:type="dxa" w:w="5669"/>
            <w:vAlign w:val="top"/>
            <w:shd w:val="clear" w:color="auto" w:fill="FDF0F7"/>
          </w:tcPr>
          <w:p>
            <w:pPr>
              <w:spacing w:after="20" w:line="252" w:lineRule="auto"/>
            </w:pPr>
            <w:r>
              <w:rPr>
                <w:b w:val="0"/>
                <w:i w:val="0"/>
                <w:sz w:val="17"/>
              </w:rPr>
              <w:t>Product limit, e.g. financing amount above B$150,000 (high-risk limit)</w:t>
            </w:r>
          </w:p>
        </w:tc>
        <w:tc>
          <w:tcPr>
            <w:tcW w:type="dxa" w:w="3969"/>
            <w:vAlign w:val="top"/>
            <w:shd w:val="clear" w:color="auto" w:fill="FDF0F7"/>
          </w:tcPr>
          <w:p>
            <w:pPr>
              <w:spacing w:after="20" w:line="252" w:lineRule="auto"/>
            </w:pPr>
            <w:r>
              <w:rPr>
                <w:b w:val="0"/>
                <w:i w:val="0"/>
                <w:sz w:val="17"/>
              </w:rPr>
              <w:t>Product configuration</w:t>
            </w:r>
          </w:p>
        </w:tc>
      </w:tr>
      <w:tr>
        <w:trPr>
          <w:cantSplit/>
        </w:trPr>
        <w:tc>
          <w:tcPr>
            <w:tcW w:type="dxa" w:w="5669"/>
            <w:vAlign w:val="top"/>
          </w:tcPr>
          <w:p>
            <w:pPr>
              <w:spacing w:after="20" w:line="252" w:lineRule="auto"/>
            </w:pPr>
            <w:r>
              <w:rPr>
                <w:b w:val="0"/>
                <w:i w:val="0"/>
                <w:sz w:val="17"/>
              </w:rPr>
              <w:t>Questionnaire answer marked 'refer if yes'</w:t>
            </w:r>
          </w:p>
        </w:tc>
        <w:tc>
          <w:tcPr>
            <w:tcW w:type="dxa" w:w="3969"/>
            <w:vAlign w:val="top"/>
          </w:tcPr>
          <w:p>
            <w:pPr>
              <w:spacing w:after="20" w:line="252" w:lineRule="auto"/>
            </w:pPr>
            <w:r>
              <w:rPr>
                <w:b w:val="0"/>
                <w:i w:val="0"/>
                <w:sz w:val="17"/>
              </w:rPr>
              <w:t>product.questionnaire</w:t>
            </w:r>
          </w:p>
        </w:tc>
      </w:tr>
      <w:tr>
        <w:trPr>
          <w:cantSplit/>
        </w:trPr>
        <w:tc>
          <w:tcPr>
            <w:tcW w:type="dxa" w:w="5669"/>
            <w:vAlign w:val="top"/>
            <w:shd w:val="clear" w:color="auto" w:fill="FDF0F7"/>
          </w:tcPr>
          <w:p>
            <w:pPr>
              <w:spacing w:after="20" w:line="252" w:lineRule="auto"/>
            </w:pPr>
            <w:r>
              <w:rPr>
                <w:b w:val="0"/>
                <w:i w:val="0"/>
                <w:sz w:val="17"/>
              </w:rPr>
              <w:t>Quality check before issuance for products that require it</w:t>
            </w:r>
          </w:p>
        </w:tc>
        <w:tc>
          <w:tcPr>
            <w:tcW w:type="dxa" w:w="3969"/>
            <w:vAlign w:val="top"/>
            <w:shd w:val="clear" w:color="auto" w:fill="FDF0F7"/>
          </w:tcPr>
          <w:p>
            <w:pPr>
              <w:spacing w:after="20" w:line="252" w:lineRule="auto"/>
            </w:pPr>
            <w:r>
              <w:rPr>
                <w:b w:val="0"/>
                <w:i w:val="0"/>
                <w:sz w:val="17"/>
              </w:rPr>
              <w:t>Product rules</w:t>
            </w:r>
          </w:p>
        </w:tc>
      </w:tr>
    </w:tbl>
    <w:p>
      <w:pPr>
        <w:pStyle w:val="Caption"/>
        <w:jc w:val="center"/>
      </w:pPr>
      <w:r>
        <w:rPr>
          <w:b w:val="0"/>
          <w:i w:val="0"/>
        </w:rPr>
        <w:t>Table 5: Referral triggers</w:t>
      </w:r>
    </w:p>
    <w:p>
      <w:pPr>
        <w:keepNext w:val="0"/>
      </w:pPr>
      <w:r>
        <w:rPr>
          <w:b w:val="0"/>
          <w:i w:val="0"/>
        </w:rPr>
        <w:t>Pay-first products (the annual plans) wait in PENDING_PAYMENT until Finance verifies payment, then issue. Issue-then-pay products (the financing plans) issue immediately with a payment due date of issuance plus the grace period (7 days by default). A daily job blocks every agent of an agency from submitting new business while any of its issued policies is unpaid beyond the due date, and lifts the block automatically once nothing is overdue (AP-42). An administrator can lift a block manually with a reason; the next daily run re-applies it if contributions are still overdue.</w:t>
      </w:r>
    </w:p>
    <w:p>
      <w:pPr>
        <w:pStyle w:val="Heading2"/>
      </w:pPr>
      <w:r>
        <w:t>4.2 Maker-checker workflows</w:t>
      </w:r>
    </w:p>
    <w:p>
      <w:pPr>
        <w:keepNext w:val="0"/>
      </w:pPr>
      <w:r>
        <w:rPr>
          <w:b w:val="0"/>
          <w:i w:val="0"/>
        </w:rPr>
        <w:t>Eight transaction types run through the workflow engine. Each type has a configurable sequence of levels; each level names the permission a checker needs and, optionally, an amount threshold from which it applies. The levels are resolved when the request is raised and stored with it, so a later configuration change does not alter requests already in flight. When no level applies the request is approved immediately and the change is applied in the same transaction.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3402"/>
        <w:gridCol w:w="3855"/>
      </w:tblGrid>
      <w:tr>
        <w:trPr>
          <w:cantSplit/>
          <w:tblHeader/>
        </w:trPr>
        <w:tc>
          <w:tcPr>
            <w:tcW w:type="dxa" w:w="2381"/>
            <w:shd w:val="clear" w:color="auto" w:fill="E1058C"/>
            <w:vAlign w:val="center"/>
          </w:tcPr>
          <w:p>
            <w:pPr>
              <w:spacing w:after="0"/>
            </w:pPr>
            <w:r>
              <w:rPr>
                <w:b/>
                <w:i w:val="0"/>
                <w:color w:val="FFFFFF"/>
                <w:sz w:val="16"/>
              </w:rPr>
              <w:t>Type</w:t>
            </w:r>
          </w:p>
        </w:tc>
        <w:tc>
          <w:tcPr>
            <w:tcW w:type="dxa" w:w="3402"/>
            <w:shd w:val="clear" w:color="auto" w:fill="E1058C"/>
            <w:vAlign w:val="center"/>
          </w:tcPr>
          <w:p>
            <w:pPr>
              <w:spacing w:after="0"/>
            </w:pPr>
            <w:r>
              <w:rPr>
                <w:b/>
                <w:i w:val="0"/>
                <w:color w:val="FFFFFF"/>
                <w:sz w:val="16"/>
              </w:rPr>
              <w:t>Default levels (seed data)</w:t>
            </w:r>
          </w:p>
        </w:tc>
        <w:tc>
          <w:tcPr>
            <w:tcW w:type="dxa" w:w="3855"/>
            <w:shd w:val="clear" w:color="auto" w:fill="E1058C"/>
            <w:vAlign w:val="center"/>
          </w:tcPr>
          <w:p>
            <w:pPr>
              <w:spacing w:after="0"/>
            </w:pPr>
            <w:r>
              <w:rPr>
                <w:b/>
                <w:i w:val="0"/>
                <w:color w:val="FFFFFF"/>
                <w:sz w:val="16"/>
              </w:rPr>
              <w:t>Effect on final approval</w:t>
            </w:r>
          </w:p>
        </w:tc>
      </w:tr>
      <w:tr>
        <w:trPr>
          <w:cantSplit/>
        </w:trPr>
        <w:tc>
          <w:tcPr>
            <w:tcW w:type="dxa" w:w="2381"/>
            <w:vAlign w:val="top"/>
          </w:tcPr>
          <w:p>
            <w:pPr>
              <w:spacing w:after="20" w:line="252" w:lineRule="auto"/>
            </w:pPr>
            <w:r>
              <w:rPr>
                <w:b w:val="0"/>
                <w:i w:val="0"/>
                <w:sz w:val="16"/>
              </w:rPr>
              <w:t>AGENT_REGISTRATION</w:t>
            </w:r>
          </w:p>
        </w:tc>
        <w:tc>
          <w:tcPr>
            <w:tcW w:type="dxa" w:w="3402"/>
            <w:vAlign w:val="top"/>
          </w:tcPr>
          <w:p>
            <w:pPr>
              <w:spacing w:after="20" w:line="252" w:lineRule="auto"/>
            </w:pPr>
            <w:r>
              <w:rPr>
                <w:b w:val="0"/>
                <w:i w:val="0"/>
                <w:sz w:val="16"/>
              </w:rPr>
              <w:t>Operations supervisor approval (bo.approve.agents)</w:t>
            </w:r>
          </w:p>
        </w:tc>
        <w:tc>
          <w:tcPr>
            <w:tcW w:type="dxa" w:w="3855"/>
            <w:vAlign w:val="top"/>
          </w:tcPr>
          <w:p>
            <w:pPr>
              <w:spacing w:after="20" w:line="252" w:lineRule="auto"/>
            </w:pPr>
            <w:r>
              <w:rPr>
                <w:b w:val="0"/>
                <w:i w:val="0"/>
                <w:sz w:val="16"/>
              </w:rPr>
              <w:t>Agent ACTIVE, portal user and role created, AGENT_UPSERT to Core</w:t>
            </w:r>
          </w:p>
        </w:tc>
      </w:tr>
      <w:tr>
        <w:trPr>
          <w:cantSplit/>
        </w:trPr>
        <w:tc>
          <w:tcPr>
            <w:tcW w:type="dxa" w:w="2381"/>
            <w:vAlign w:val="top"/>
            <w:shd w:val="clear" w:color="auto" w:fill="FDF0F7"/>
          </w:tcPr>
          <w:p>
            <w:pPr>
              <w:spacing w:after="20" w:line="252" w:lineRule="auto"/>
            </w:pPr>
            <w:r>
              <w:rPr>
                <w:b w:val="0"/>
                <w:i w:val="0"/>
                <w:sz w:val="16"/>
              </w:rPr>
              <w:t>AGENT_PROFILE_UPDATE</w:t>
            </w:r>
          </w:p>
        </w:tc>
        <w:tc>
          <w:tcPr>
            <w:tcW w:type="dxa" w:w="3402"/>
            <w:vAlign w:val="top"/>
            <w:shd w:val="clear" w:color="auto" w:fill="FDF0F7"/>
          </w:tcPr>
          <w:p>
            <w:pPr>
              <w:spacing w:after="20" w:line="252" w:lineRule="auto"/>
            </w:pPr>
            <w:r>
              <w:rPr>
                <w:b w:val="0"/>
                <w:i w:val="0"/>
                <w:sz w:val="16"/>
              </w:rPr>
              <w:t>Operations supervisor approval</w:t>
            </w:r>
          </w:p>
        </w:tc>
        <w:tc>
          <w:tcPr>
            <w:tcW w:type="dxa" w:w="3855"/>
            <w:vAlign w:val="top"/>
            <w:shd w:val="clear" w:color="auto" w:fill="FDF0F7"/>
          </w:tcPr>
          <w:p>
            <w:pPr>
              <w:spacing w:after="20" w:line="252" w:lineRule="auto"/>
            </w:pPr>
            <w:r>
              <w:rPr>
                <w:b w:val="0"/>
                <w:i w:val="0"/>
                <w:sz w:val="16"/>
              </w:rPr>
              <w:t>Changes applied, AGENT_UPSERT to Core</w:t>
            </w:r>
          </w:p>
        </w:tc>
      </w:tr>
      <w:tr>
        <w:trPr>
          <w:cantSplit/>
        </w:trPr>
        <w:tc>
          <w:tcPr>
            <w:tcW w:type="dxa" w:w="2381"/>
            <w:vAlign w:val="top"/>
          </w:tcPr>
          <w:p>
            <w:pPr>
              <w:spacing w:after="20" w:line="252" w:lineRule="auto"/>
            </w:pPr>
            <w:r>
              <w:rPr>
                <w:b w:val="0"/>
                <w:i w:val="0"/>
                <w:sz w:val="16"/>
              </w:rPr>
              <w:t>AGENT_STATUS_CHANGE</w:t>
            </w:r>
          </w:p>
        </w:tc>
        <w:tc>
          <w:tcPr>
            <w:tcW w:type="dxa" w:w="3402"/>
            <w:vAlign w:val="top"/>
          </w:tcPr>
          <w:p>
            <w:pPr>
              <w:spacing w:after="20" w:line="252" w:lineRule="auto"/>
            </w:pPr>
            <w:r>
              <w:rPr>
                <w:b w:val="0"/>
                <w:i w:val="0"/>
                <w:sz w:val="16"/>
              </w:rPr>
              <w:t>Operations supervisor approval</w:t>
            </w:r>
          </w:p>
        </w:tc>
        <w:tc>
          <w:tcPr>
            <w:tcW w:type="dxa" w:w="3855"/>
            <w:vAlign w:val="top"/>
          </w:tcPr>
          <w:p>
            <w:pPr>
              <w:spacing w:after="20" w:line="252" w:lineRule="auto"/>
            </w:pPr>
            <w:r>
              <w:rPr>
                <w:b w:val="0"/>
                <w:i w:val="0"/>
                <w:sz w:val="16"/>
              </w:rPr>
              <w:t>Status applied; sessions revoked when deactivated</w:t>
            </w:r>
          </w:p>
        </w:tc>
      </w:tr>
      <w:tr>
        <w:trPr>
          <w:cantSplit/>
        </w:trPr>
        <w:tc>
          <w:tcPr>
            <w:tcW w:type="dxa" w:w="2381"/>
            <w:vAlign w:val="top"/>
            <w:shd w:val="clear" w:color="auto" w:fill="FDF0F7"/>
          </w:tcPr>
          <w:p>
            <w:pPr>
              <w:spacing w:after="20" w:line="252" w:lineRule="auto"/>
            </w:pPr>
            <w:r>
              <w:rPr>
                <w:b w:val="0"/>
                <w:i w:val="0"/>
                <w:sz w:val="16"/>
              </w:rPr>
              <w:t>PARTICIPANT_UPDATE</w:t>
            </w:r>
          </w:p>
        </w:tc>
        <w:tc>
          <w:tcPr>
            <w:tcW w:type="dxa" w:w="3402"/>
            <w:vAlign w:val="top"/>
            <w:shd w:val="clear" w:color="auto" w:fill="FDF0F7"/>
          </w:tcPr>
          <w:p>
            <w:pPr>
              <w:spacing w:after="20" w:line="252" w:lineRule="auto"/>
            </w:pPr>
            <w:r>
              <w:rPr>
                <w:b w:val="0"/>
                <w:i w:val="0"/>
                <w:sz w:val="16"/>
              </w:rPr>
              <w:t>Operations supervisor approval (bo.approve.participants)</w:t>
            </w:r>
          </w:p>
        </w:tc>
        <w:tc>
          <w:tcPr>
            <w:tcW w:type="dxa" w:w="3855"/>
            <w:vAlign w:val="top"/>
            <w:shd w:val="clear" w:color="auto" w:fill="FDF0F7"/>
          </w:tcPr>
          <w:p>
            <w:pPr>
              <w:spacing w:after="20" w:line="252" w:lineRule="auto"/>
            </w:pPr>
            <w:r>
              <w:rPr>
                <w:b w:val="0"/>
                <w:i w:val="0"/>
                <w:sz w:val="16"/>
              </w:rPr>
              <w:t>Changes applied; re-screened on name change; PARTICIPANT_UPSERT to Core</w:t>
            </w:r>
          </w:p>
        </w:tc>
      </w:tr>
      <w:tr>
        <w:trPr>
          <w:cantSplit/>
        </w:trPr>
        <w:tc>
          <w:tcPr>
            <w:tcW w:type="dxa" w:w="2381"/>
            <w:vAlign w:val="top"/>
          </w:tcPr>
          <w:p>
            <w:pPr>
              <w:spacing w:after="20" w:line="252" w:lineRule="auto"/>
            </w:pPr>
            <w:r>
              <w:rPr>
                <w:b w:val="0"/>
                <w:i w:val="0"/>
                <w:sz w:val="16"/>
              </w:rPr>
              <w:t>POLICY_REFERRAL</w:t>
            </w:r>
          </w:p>
        </w:tc>
        <w:tc>
          <w:tcPr>
            <w:tcW w:type="dxa" w:w="3402"/>
            <w:vAlign w:val="top"/>
          </w:tcPr>
          <w:p>
            <w:pPr>
              <w:spacing w:after="20" w:line="252" w:lineRule="auto"/>
            </w:pPr>
            <w:r>
              <w:rPr>
                <w:b w:val="0"/>
                <w:i w:val="0"/>
                <w:sz w:val="16"/>
              </w:rPr>
              <w:t>Underwriting / quality check; second approval from sum covered B$300,000</w:t>
            </w:r>
          </w:p>
        </w:tc>
        <w:tc>
          <w:tcPr>
            <w:tcW w:type="dxa" w:w="3855"/>
            <w:vAlign w:val="top"/>
          </w:tcPr>
          <w:p>
            <w:pPr>
              <w:spacing w:after="20" w:line="252" w:lineRule="auto"/>
            </w:pPr>
            <w:r>
              <w:rPr>
                <w:b w:val="0"/>
                <w:i w:val="0"/>
                <w:sz w:val="16"/>
              </w:rPr>
              <w:t>Policy proceeds to PENDING_PAYMENT or ACTIVE; rejection returns it with remarks</w:t>
            </w:r>
          </w:p>
        </w:tc>
      </w:tr>
      <w:tr>
        <w:trPr>
          <w:cantSplit/>
        </w:trPr>
        <w:tc>
          <w:tcPr>
            <w:tcW w:type="dxa" w:w="2381"/>
            <w:vAlign w:val="top"/>
            <w:shd w:val="clear" w:color="auto" w:fill="FDF0F7"/>
          </w:tcPr>
          <w:p>
            <w:pPr>
              <w:spacing w:after="20" w:line="252" w:lineRule="auto"/>
            </w:pPr>
            <w:r>
              <w:rPr>
                <w:b w:val="0"/>
                <w:i w:val="0"/>
                <w:sz w:val="16"/>
              </w:rPr>
              <w:t>POLICY_ENDORSEMENT</w:t>
            </w:r>
          </w:p>
        </w:tc>
        <w:tc>
          <w:tcPr>
            <w:tcW w:type="dxa" w:w="3402"/>
            <w:vAlign w:val="top"/>
            <w:shd w:val="clear" w:color="auto" w:fill="FDF0F7"/>
          </w:tcPr>
          <w:p>
            <w:pPr>
              <w:spacing w:after="20" w:line="252" w:lineRule="auto"/>
            </w:pPr>
            <w:r>
              <w:rPr>
                <w:b w:val="0"/>
                <w:i w:val="0"/>
                <w:sz w:val="16"/>
              </w:rPr>
              <w:t>Policy servicing approval (bo.approve.servicing)</w:t>
            </w:r>
          </w:p>
        </w:tc>
        <w:tc>
          <w:tcPr>
            <w:tcW w:type="dxa" w:w="3855"/>
            <w:vAlign w:val="top"/>
            <w:shd w:val="clear" w:color="auto" w:fill="FDF0F7"/>
          </w:tcPr>
          <w:p>
            <w:pPr>
              <w:spacing w:after="20" w:line="252" w:lineRule="auto"/>
            </w:pPr>
            <w:r>
              <w:rPr>
                <w:b w:val="0"/>
                <w:i w:val="0"/>
                <w:sz w:val="16"/>
              </w:rPr>
              <w:t>Endorsement applied, POLICY_ENDORSED</w:t>
            </w:r>
          </w:p>
        </w:tc>
      </w:tr>
      <w:tr>
        <w:trPr>
          <w:cantSplit/>
        </w:trPr>
        <w:tc>
          <w:tcPr>
            <w:tcW w:type="dxa" w:w="2381"/>
            <w:vAlign w:val="top"/>
          </w:tcPr>
          <w:p>
            <w:pPr>
              <w:spacing w:after="20" w:line="252" w:lineRule="auto"/>
            </w:pPr>
            <w:r>
              <w:rPr>
                <w:b w:val="0"/>
                <w:i w:val="0"/>
                <w:sz w:val="16"/>
              </w:rPr>
              <w:t>POLICY_CANCELLATION</w:t>
            </w:r>
          </w:p>
        </w:tc>
        <w:tc>
          <w:tcPr>
            <w:tcW w:type="dxa" w:w="3402"/>
            <w:vAlign w:val="top"/>
          </w:tcPr>
          <w:p>
            <w:pPr>
              <w:spacing w:after="20" w:line="252" w:lineRule="auto"/>
            </w:pPr>
            <w:r>
              <w:rPr>
                <w:b w:val="0"/>
                <w:i w:val="0"/>
                <w:sz w:val="16"/>
              </w:rPr>
              <w:t>Policy servicing approval</w:t>
            </w:r>
          </w:p>
        </w:tc>
        <w:tc>
          <w:tcPr>
            <w:tcW w:type="dxa" w:w="3855"/>
            <w:vAlign w:val="top"/>
          </w:tcPr>
          <w:p>
            <w:pPr>
              <w:spacing w:after="20" w:line="252" w:lineRule="auto"/>
            </w:pPr>
            <w:r>
              <w:rPr>
                <w:b w:val="0"/>
                <w:i w:val="0"/>
                <w:sz w:val="16"/>
              </w:rPr>
              <w:t>CANCELLED, POLICY_CANCELLED, REFUND_REQUESTED when a refund is due</w:t>
            </w:r>
          </w:p>
        </w:tc>
      </w:tr>
      <w:tr>
        <w:trPr>
          <w:cantSplit/>
        </w:trPr>
        <w:tc>
          <w:tcPr>
            <w:tcW w:type="dxa" w:w="2381"/>
            <w:vAlign w:val="top"/>
            <w:shd w:val="clear" w:color="auto" w:fill="FDF0F7"/>
          </w:tcPr>
          <w:p>
            <w:pPr>
              <w:spacing w:after="20" w:line="252" w:lineRule="auto"/>
            </w:pPr>
            <w:r>
              <w:rPr>
                <w:b w:val="0"/>
                <w:i w:val="0"/>
                <w:sz w:val="16"/>
              </w:rPr>
              <w:t>PAYMENT_VERIFICATION</w:t>
            </w:r>
          </w:p>
        </w:tc>
        <w:tc>
          <w:tcPr>
            <w:tcW w:type="dxa" w:w="3402"/>
            <w:vAlign w:val="top"/>
            <w:shd w:val="clear" w:color="auto" w:fill="FDF0F7"/>
          </w:tcPr>
          <w:p>
            <w:pPr>
              <w:spacing w:after="20" w:line="252" w:lineRule="auto"/>
            </w:pPr>
            <w:r>
              <w:rPr>
                <w:b w:val="0"/>
                <w:i w:val="0"/>
                <w:sz w:val="16"/>
              </w:rPr>
              <w:t>Finance verification (bo.approve.payments)</w:t>
            </w:r>
          </w:p>
        </w:tc>
        <w:tc>
          <w:tcPr>
            <w:tcW w:type="dxa" w:w="3855"/>
            <w:vAlign w:val="top"/>
            <w:shd w:val="clear" w:color="auto" w:fill="FDF0F7"/>
          </w:tcPr>
          <w:p>
            <w:pPr>
              <w:spacing w:after="20" w:line="252" w:lineRule="auto"/>
            </w:pPr>
            <w:r>
              <w:rPr>
                <w:b w:val="0"/>
                <w:i w:val="0"/>
                <w:sz w:val="16"/>
              </w:rPr>
              <w:t>Receipts issued, RECEIPT_POSTED, pay-first policies issued</w:t>
            </w:r>
          </w:p>
        </w:tc>
      </w:tr>
    </w:tbl>
    <w:p>
      <w:pPr>
        <w:pStyle w:val="Caption"/>
        <w:jc w:val="center"/>
      </w:pPr>
      <w:r>
        <w:rPr>
          <w:b w:val="0"/>
          <w:i w:val="0"/>
        </w:rPr>
        <w:t>Table 6: Approval types</w:t>
      </w:r>
    </w:p>
    <w:p>
      <w:pPr>
        <w:keepNext w:val="0"/>
      </w:pPr>
      <w:r>
        <w:rPr>
          <w:b w:val="0"/>
          <w:i w:val="0"/>
        </w:rPr>
        <w:t>Rules enforced by the server: the maker can never approve their own request; the same person cannot approve two levels of one request; rejection requires remarks; a request can be withdrawn by its maker until decided; only one pending request per record and type is allowed; and a decision fails with STALE_RECORD if another checker decided the same level first.</w:t>
      </w:r>
    </w:p>
    <w:p>
      <w:pPr>
        <w:pStyle w:val="Heading2"/>
      </w:pPr>
      <w:r>
        <w:t>4.3 Scheduled processing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30"/>
        <w:gridCol w:w="1701"/>
        <w:gridCol w:w="1530"/>
        <w:gridCol w:w="2608"/>
        <w:gridCol w:w="2268"/>
      </w:tblGrid>
      <w:tr>
        <w:trPr>
          <w:cantSplit/>
          <w:tblHeader/>
        </w:trPr>
        <w:tc>
          <w:tcPr>
            <w:tcW w:type="dxa" w:w="1531"/>
            <w:shd w:val="clear" w:color="auto" w:fill="E1058C"/>
            <w:vAlign w:val="center"/>
          </w:tcPr>
          <w:p>
            <w:pPr>
              <w:spacing w:after="0"/>
            </w:pPr>
            <w:r>
              <w:rPr>
                <w:b/>
                <w:i w:val="0"/>
                <w:color w:val="FFFFFF"/>
                <w:sz w:val="15"/>
              </w:rPr>
              <w:t>Job</w:t>
            </w:r>
          </w:p>
        </w:tc>
        <w:tc>
          <w:tcPr>
            <w:tcW w:type="dxa" w:w="1701"/>
            <w:shd w:val="clear" w:color="auto" w:fill="E1058C"/>
            <w:vAlign w:val="center"/>
          </w:tcPr>
          <w:p>
            <w:pPr>
              <w:spacing w:after="0"/>
            </w:pPr>
            <w:r>
              <w:rPr>
                <w:b/>
                <w:i w:val="0"/>
                <w:color w:val="FFFFFF"/>
                <w:sz w:val="15"/>
              </w:rPr>
              <w:t>Schedule (Brunei time)</w:t>
            </w:r>
          </w:p>
        </w:tc>
        <w:tc>
          <w:tcPr>
            <w:tcW w:type="dxa" w:w="1531"/>
            <w:shd w:val="clear" w:color="auto" w:fill="E1058C"/>
            <w:vAlign w:val="center"/>
          </w:tcPr>
          <w:p>
            <w:pPr>
              <w:spacing w:after="0"/>
            </w:pPr>
            <w:r>
              <w:rPr>
                <w:b/>
                <w:i w:val="0"/>
                <w:color w:val="FFFFFF"/>
                <w:sz w:val="15"/>
              </w:rPr>
              <w:t>Lock</w:t>
            </w:r>
          </w:p>
        </w:tc>
        <w:tc>
          <w:tcPr>
            <w:tcW w:type="dxa" w:w="2608"/>
            <w:shd w:val="clear" w:color="auto" w:fill="E1058C"/>
            <w:vAlign w:val="center"/>
          </w:tcPr>
          <w:p>
            <w:pPr>
              <w:spacing w:after="0"/>
            </w:pPr>
            <w:r>
              <w:rPr>
                <w:b/>
                <w:i w:val="0"/>
                <w:color w:val="FFFFFF"/>
                <w:sz w:val="15"/>
              </w:rPr>
              <w:t>Purpose</w:t>
            </w:r>
          </w:p>
        </w:tc>
        <w:tc>
          <w:tcPr>
            <w:tcW w:type="dxa" w:w="2268"/>
            <w:shd w:val="clear" w:color="auto" w:fill="E1058C"/>
            <w:vAlign w:val="center"/>
          </w:tcPr>
          <w:p>
            <w:pPr>
              <w:spacing w:after="0"/>
            </w:pPr>
            <w:r>
              <w:rPr>
                <w:b/>
                <w:i w:val="0"/>
                <w:color w:val="FFFFFF"/>
                <w:sz w:val="15"/>
              </w:rPr>
              <w:t>Source</w:t>
            </w:r>
          </w:p>
        </w:tc>
      </w:tr>
      <w:tr>
        <w:trPr>
          <w:cantSplit/>
        </w:trPr>
        <w:tc>
          <w:tcPr>
            <w:tcW w:type="dxa" w:w="1531"/>
            <w:vAlign w:val="top"/>
          </w:tcPr>
          <w:p>
            <w:pPr>
              <w:spacing w:after="20" w:line="252" w:lineRule="auto"/>
            </w:pPr>
            <w:r>
              <w:rPr>
                <w:b w:val="0"/>
                <w:i w:val="0"/>
                <w:sz w:val="15"/>
              </w:rPr>
              <w:t>end-of-day</w:t>
            </w:r>
          </w:p>
        </w:tc>
        <w:tc>
          <w:tcPr>
            <w:tcW w:type="dxa" w:w="1701"/>
            <w:vAlign w:val="top"/>
          </w:tcPr>
          <w:p>
            <w:pPr>
              <w:spacing w:after="20" w:line="252" w:lineRule="auto"/>
            </w:pPr>
            <w:r>
              <w:rPr>
                <w:b w:val="0"/>
                <w:i w:val="0"/>
                <w:sz w:val="15"/>
              </w:rPr>
              <w:t>Daily 23:30 (EOD_CRON, JOBS_TIMEZONE)</w:t>
            </w:r>
          </w:p>
        </w:tc>
        <w:tc>
          <w:tcPr>
            <w:tcW w:type="dxa" w:w="1531"/>
            <w:vAlign w:val="top"/>
          </w:tcPr>
          <w:p>
            <w:pPr>
              <w:spacing w:after="20" w:line="252" w:lineRule="auto"/>
            </w:pPr>
            <w:r>
              <w:rPr>
                <w:b w:val="0"/>
                <w:i w:val="0"/>
                <w:sz w:val="15"/>
              </w:rPr>
              <w:t>end-of-day</w:t>
            </w:r>
          </w:p>
        </w:tc>
        <w:tc>
          <w:tcPr>
            <w:tcW w:type="dxa" w:w="2608"/>
            <w:vAlign w:val="top"/>
          </w:tcPr>
          <w:p>
            <w:pPr>
              <w:spacing w:after="20" w:line="252" w:lineRule="auto"/>
            </w:pPr>
            <w:r>
              <w:rPr>
                <w:b w:val="0"/>
                <w:i w:val="0"/>
                <w:sz w:val="15"/>
              </w:rPr>
              <w:t>EOD report, FIN file, EOD_POSTING message, receipt reconciliation</w:t>
            </w:r>
          </w:p>
        </w:tc>
        <w:tc>
          <w:tcPr>
            <w:tcW w:type="dxa" w:w="2268"/>
            <w:vAlign w:val="top"/>
          </w:tcPr>
          <w:p>
            <w:pPr>
              <w:spacing w:after="20" w:line="252" w:lineRule="auto"/>
            </w:pPr>
            <w:r>
              <w:rPr>
                <w:b w:val="0"/>
                <w:i w:val="0"/>
                <w:sz w:val="15"/>
              </w:rPr>
              <w:t>eod/eod.service.ts</w:t>
            </w:r>
          </w:p>
        </w:tc>
      </w:tr>
      <w:tr>
        <w:trPr>
          <w:cantSplit/>
        </w:trPr>
        <w:tc>
          <w:tcPr>
            <w:tcW w:type="dxa" w:w="1531"/>
            <w:vAlign w:val="top"/>
            <w:shd w:val="clear" w:color="auto" w:fill="FDF0F7"/>
          </w:tcPr>
          <w:p>
            <w:pPr>
              <w:spacing w:after="20" w:line="252" w:lineRule="auto"/>
            </w:pPr>
            <w:r>
              <w:rPr>
                <w:b w:val="0"/>
                <w:i w:val="0"/>
                <w:sz w:val="15"/>
              </w:rPr>
              <w:t>policy-expiry</w:t>
            </w:r>
          </w:p>
        </w:tc>
        <w:tc>
          <w:tcPr>
            <w:tcW w:type="dxa" w:w="1701"/>
            <w:vAlign w:val="top"/>
            <w:shd w:val="clear" w:color="auto" w:fill="FDF0F7"/>
          </w:tcPr>
          <w:p>
            <w:pPr>
              <w:spacing w:after="20" w:line="252" w:lineRule="auto"/>
            </w:pPr>
            <w:r>
              <w:rPr>
                <w:b w:val="0"/>
                <w:i w:val="0"/>
                <w:sz w:val="15"/>
              </w:rPr>
              <w:t>Daily 00:05</w:t>
            </w:r>
          </w:p>
        </w:tc>
        <w:tc>
          <w:tcPr>
            <w:tcW w:type="dxa" w:w="1531"/>
            <w:vAlign w:val="top"/>
            <w:shd w:val="clear" w:color="auto" w:fill="FDF0F7"/>
          </w:tcPr>
          <w:p>
            <w:pPr>
              <w:spacing w:after="20" w:line="252" w:lineRule="auto"/>
            </w:pPr>
            <w:r>
              <w:rPr>
                <w:b w:val="0"/>
                <w:i w:val="0"/>
                <w:sz w:val="15"/>
              </w:rPr>
              <w:t>policy-expiry</w:t>
            </w:r>
          </w:p>
        </w:tc>
        <w:tc>
          <w:tcPr>
            <w:tcW w:type="dxa" w:w="2608"/>
            <w:vAlign w:val="top"/>
            <w:shd w:val="clear" w:color="auto" w:fill="FDF0F7"/>
          </w:tcPr>
          <w:p>
            <w:pPr>
              <w:spacing w:after="20" w:line="252" w:lineRule="auto"/>
            </w:pPr>
            <w:r>
              <w:rPr>
                <w:b w:val="0"/>
                <w:i w:val="0"/>
                <w:sz w:val="15"/>
              </w:rPr>
              <w:t>ACTIVE policies past end date become EXPIRED; agent notified</w:t>
            </w:r>
          </w:p>
        </w:tc>
        <w:tc>
          <w:tcPr>
            <w:tcW w:type="dxa" w:w="2268"/>
            <w:vAlign w:val="top"/>
            <w:shd w:val="clear" w:color="auto" w:fill="FDF0F7"/>
          </w:tcPr>
          <w:p>
            <w:pPr>
              <w:spacing w:after="20" w:line="252" w:lineRule="auto"/>
            </w:pPr>
            <w:r>
              <w:rPr>
                <w:b w:val="0"/>
                <w:i w:val="0"/>
                <w:sz w:val="15"/>
              </w:rPr>
              <w:t>policies/policy.jobs.ts</w:t>
            </w:r>
          </w:p>
        </w:tc>
      </w:tr>
      <w:tr>
        <w:trPr>
          <w:cantSplit/>
        </w:trPr>
        <w:tc>
          <w:tcPr>
            <w:tcW w:type="dxa" w:w="1531"/>
            <w:vAlign w:val="top"/>
          </w:tcPr>
          <w:p>
            <w:pPr>
              <w:spacing w:after="20" w:line="252" w:lineRule="auto"/>
            </w:pPr>
            <w:r>
              <w:rPr>
                <w:b w:val="0"/>
                <w:i w:val="0"/>
                <w:sz w:val="15"/>
              </w:rPr>
              <w:t>payment-grace-period</w:t>
            </w:r>
          </w:p>
        </w:tc>
        <w:tc>
          <w:tcPr>
            <w:tcW w:type="dxa" w:w="1701"/>
            <w:vAlign w:val="top"/>
          </w:tcPr>
          <w:p>
            <w:pPr>
              <w:spacing w:after="20" w:line="252" w:lineRule="auto"/>
            </w:pPr>
            <w:r>
              <w:rPr>
                <w:b w:val="0"/>
                <w:i w:val="0"/>
                <w:sz w:val="15"/>
              </w:rPr>
              <w:t>Daily 01:00</w:t>
            </w:r>
          </w:p>
        </w:tc>
        <w:tc>
          <w:tcPr>
            <w:tcW w:type="dxa" w:w="1531"/>
            <w:vAlign w:val="top"/>
          </w:tcPr>
          <w:p>
            <w:pPr>
              <w:spacing w:after="20" w:line="252" w:lineRule="auto"/>
            </w:pPr>
            <w:r>
              <w:rPr>
                <w:b w:val="0"/>
                <w:i w:val="0"/>
                <w:sz w:val="15"/>
              </w:rPr>
              <w:t>payment-grace-period</w:t>
            </w:r>
          </w:p>
        </w:tc>
        <w:tc>
          <w:tcPr>
            <w:tcW w:type="dxa" w:w="2608"/>
            <w:vAlign w:val="top"/>
          </w:tcPr>
          <w:p>
            <w:pPr>
              <w:spacing w:after="20" w:line="252" w:lineRule="auto"/>
            </w:pPr>
            <w:r>
              <w:rPr>
                <w:b w:val="0"/>
                <w:i w:val="0"/>
                <w:sz w:val="15"/>
              </w:rPr>
              <w:t>Blocks agencies with overdue issue-then-pay policies; lifts the block when settled</w:t>
            </w:r>
          </w:p>
        </w:tc>
        <w:tc>
          <w:tcPr>
            <w:tcW w:type="dxa" w:w="2268"/>
            <w:vAlign w:val="top"/>
          </w:tcPr>
          <w:p>
            <w:pPr>
              <w:spacing w:after="20" w:line="252" w:lineRule="auto"/>
            </w:pPr>
            <w:r>
              <w:rPr>
                <w:b w:val="0"/>
                <w:i w:val="0"/>
                <w:sz w:val="15"/>
              </w:rPr>
              <w:t>billing/grace-period.service.ts</w:t>
            </w:r>
          </w:p>
        </w:tc>
      </w:tr>
      <w:tr>
        <w:trPr>
          <w:cantSplit/>
        </w:trPr>
        <w:tc>
          <w:tcPr>
            <w:tcW w:type="dxa" w:w="1531"/>
            <w:vAlign w:val="top"/>
            <w:shd w:val="clear" w:color="auto" w:fill="FDF0F7"/>
          </w:tcPr>
          <w:p>
            <w:pPr>
              <w:spacing w:after="20" w:line="252" w:lineRule="auto"/>
            </w:pPr>
            <w:r>
              <w:rPr>
                <w:b w:val="0"/>
                <w:i w:val="0"/>
                <w:sz w:val="15"/>
              </w:rPr>
              <w:t>outbox-dispatch</w:t>
            </w:r>
          </w:p>
        </w:tc>
        <w:tc>
          <w:tcPr>
            <w:tcW w:type="dxa" w:w="1701"/>
            <w:vAlign w:val="top"/>
            <w:shd w:val="clear" w:color="auto" w:fill="FDF0F7"/>
          </w:tcPr>
          <w:p>
            <w:pPr>
              <w:spacing w:after="20" w:line="252" w:lineRule="auto"/>
            </w:pPr>
            <w:r>
              <w:rPr>
                <w:b w:val="0"/>
                <w:i w:val="0"/>
                <w:sz w:val="15"/>
              </w:rPr>
              <w:t>Every 20 seconds</w:t>
            </w:r>
          </w:p>
        </w:tc>
        <w:tc>
          <w:tcPr>
            <w:tcW w:type="dxa" w:w="1531"/>
            <w:vAlign w:val="top"/>
            <w:shd w:val="clear" w:color="auto" w:fill="FDF0F7"/>
          </w:tcPr>
          <w:p>
            <w:pPr>
              <w:spacing w:after="20" w:line="252" w:lineRule="auto"/>
            </w:pPr>
            <w:r>
              <w:rPr>
                <w:b w:val="0"/>
                <w:i w:val="0"/>
                <w:sz w:val="15"/>
              </w:rPr>
              <w:t>outbox-dispatch</w:t>
            </w:r>
          </w:p>
        </w:tc>
        <w:tc>
          <w:tcPr>
            <w:tcW w:type="dxa" w:w="2608"/>
            <w:vAlign w:val="top"/>
            <w:shd w:val="clear" w:color="auto" w:fill="FDF0F7"/>
          </w:tcPr>
          <w:p>
            <w:pPr>
              <w:spacing w:after="20" w:line="252" w:lineRule="auto"/>
            </w:pPr>
            <w:r>
              <w:rPr>
                <w:b w:val="0"/>
                <w:i w:val="0"/>
                <w:sz w:val="15"/>
              </w:rPr>
              <w:t>Delivers up to 25 due outbox messages to Core and FIN</w:t>
            </w:r>
          </w:p>
        </w:tc>
        <w:tc>
          <w:tcPr>
            <w:tcW w:type="dxa" w:w="2268"/>
            <w:vAlign w:val="top"/>
            <w:shd w:val="clear" w:color="auto" w:fill="FDF0F7"/>
          </w:tcPr>
          <w:p>
            <w:pPr>
              <w:spacing w:after="20" w:line="252" w:lineRule="auto"/>
            </w:pPr>
            <w:r>
              <w:rPr>
                <w:b w:val="0"/>
                <w:i w:val="0"/>
                <w:sz w:val="15"/>
              </w:rPr>
              <w:t>integration/outbox.dispatcher.ts</w:t>
            </w:r>
          </w:p>
        </w:tc>
      </w:tr>
      <w:tr>
        <w:trPr>
          <w:cantSplit/>
        </w:trPr>
        <w:tc>
          <w:tcPr>
            <w:tcW w:type="dxa" w:w="1531"/>
            <w:vAlign w:val="top"/>
          </w:tcPr>
          <w:p>
            <w:pPr>
              <w:spacing w:after="20" w:line="252" w:lineRule="auto"/>
            </w:pPr>
            <w:r>
              <w:rPr>
                <w:b w:val="0"/>
                <w:i w:val="0"/>
                <w:sz w:val="15"/>
              </w:rPr>
              <w:t>notification-dispatch</w:t>
            </w:r>
          </w:p>
        </w:tc>
        <w:tc>
          <w:tcPr>
            <w:tcW w:type="dxa" w:w="1701"/>
            <w:vAlign w:val="top"/>
          </w:tcPr>
          <w:p>
            <w:pPr>
              <w:spacing w:after="20" w:line="252" w:lineRule="auto"/>
            </w:pPr>
            <w:r>
              <w:rPr>
                <w:b w:val="0"/>
                <w:i w:val="0"/>
                <w:sz w:val="15"/>
              </w:rPr>
              <w:t>Every 30 seconds</w:t>
            </w:r>
          </w:p>
        </w:tc>
        <w:tc>
          <w:tcPr>
            <w:tcW w:type="dxa" w:w="1531"/>
            <w:vAlign w:val="top"/>
          </w:tcPr>
          <w:p>
            <w:pPr>
              <w:spacing w:after="20" w:line="252" w:lineRule="auto"/>
            </w:pPr>
            <w:r>
              <w:rPr>
                <w:b w:val="0"/>
                <w:i w:val="0"/>
                <w:sz w:val="15"/>
              </w:rPr>
              <w:t>notification-dispatch</w:t>
            </w:r>
          </w:p>
        </w:tc>
        <w:tc>
          <w:tcPr>
            <w:tcW w:type="dxa" w:w="2608"/>
            <w:vAlign w:val="top"/>
          </w:tcPr>
          <w:p>
            <w:pPr>
              <w:spacing w:after="20" w:line="252" w:lineRule="auto"/>
            </w:pPr>
            <w:r>
              <w:rPr>
                <w:b w:val="0"/>
                <w:i w:val="0"/>
                <w:sz w:val="15"/>
              </w:rPr>
              <w:t>Sends up to 50 pending e-mail and SMS notifications</w:t>
            </w:r>
          </w:p>
        </w:tc>
        <w:tc>
          <w:tcPr>
            <w:tcW w:type="dxa" w:w="2268"/>
            <w:vAlign w:val="top"/>
          </w:tcPr>
          <w:p>
            <w:pPr>
              <w:spacing w:after="20" w:line="252" w:lineRule="auto"/>
            </w:pPr>
            <w:r>
              <w:rPr>
                <w:b w:val="0"/>
                <w:i w:val="0"/>
                <w:sz w:val="15"/>
              </w:rPr>
              <w:t>notifications/notification.dispatcher.ts</w:t>
            </w:r>
          </w:p>
        </w:tc>
      </w:tr>
      <w:tr>
        <w:trPr>
          <w:cantSplit/>
        </w:trPr>
        <w:tc>
          <w:tcPr>
            <w:tcW w:type="dxa" w:w="1531"/>
            <w:vAlign w:val="top"/>
            <w:shd w:val="clear" w:color="auto" w:fill="FDF0F7"/>
          </w:tcPr>
          <w:p>
            <w:pPr>
              <w:spacing w:after="20" w:line="252" w:lineRule="auto"/>
            </w:pPr>
            <w:r>
              <w:rPr>
                <w:b w:val="0"/>
                <w:i w:val="0"/>
                <w:sz w:val="15"/>
              </w:rPr>
              <w:t>issue-sla-monitor</w:t>
            </w:r>
          </w:p>
        </w:tc>
        <w:tc>
          <w:tcPr>
            <w:tcW w:type="dxa" w:w="1701"/>
            <w:vAlign w:val="top"/>
            <w:shd w:val="clear" w:color="auto" w:fill="FDF0F7"/>
          </w:tcPr>
          <w:p>
            <w:pPr>
              <w:spacing w:after="20" w:line="252" w:lineRule="auto"/>
            </w:pPr>
            <w:r>
              <w:rPr>
                <w:b w:val="0"/>
                <w:i w:val="0"/>
                <w:sz w:val="15"/>
              </w:rPr>
              <w:t>Every 5 minutes</w:t>
            </w:r>
          </w:p>
        </w:tc>
        <w:tc>
          <w:tcPr>
            <w:tcW w:type="dxa" w:w="1531"/>
            <w:vAlign w:val="top"/>
            <w:shd w:val="clear" w:color="auto" w:fill="FDF0F7"/>
          </w:tcPr>
          <w:p>
            <w:pPr>
              <w:spacing w:after="20" w:line="252" w:lineRule="auto"/>
            </w:pPr>
            <w:r>
              <w:rPr>
                <w:b w:val="0"/>
                <w:i w:val="0"/>
                <w:sz w:val="15"/>
              </w:rPr>
              <w:t>issue-sla-monitor</w:t>
            </w:r>
          </w:p>
        </w:tc>
        <w:tc>
          <w:tcPr>
            <w:tcW w:type="dxa" w:w="2608"/>
            <w:vAlign w:val="top"/>
            <w:shd w:val="clear" w:color="auto" w:fill="FDF0F7"/>
          </w:tcPr>
          <w:p>
            <w:pPr>
              <w:spacing w:after="20" w:line="252" w:lineRule="auto"/>
            </w:pPr>
            <w:r>
              <w:rPr>
                <w:b w:val="0"/>
                <w:i w:val="0"/>
                <w:sz w:val="15"/>
              </w:rPr>
              <w:t>Flags issues past their response or resolution target and alerts support</w:t>
            </w:r>
          </w:p>
        </w:tc>
        <w:tc>
          <w:tcPr>
            <w:tcW w:type="dxa" w:w="2268"/>
            <w:vAlign w:val="top"/>
            <w:shd w:val="clear" w:color="auto" w:fill="FDF0F7"/>
          </w:tcPr>
          <w:p>
            <w:pPr>
              <w:spacing w:after="20" w:line="252" w:lineRule="auto"/>
            </w:pPr>
            <w:r>
              <w:rPr>
                <w:b w:val="0"/>
                <w:i w:val="0"/>
                <w:sz w:val="15"/>
              </w:rPr>
              <w:t>issues/issues.service.ts</w:t>
            </w:r>
          </w:p>
        </w:tc>
      </w:tr>
      <w:tr>
        <w:trPr>
          <w:cantSplit/>
        </w:trPr>
        <w:tc>
          <w:tcPr>
            <w:tcW w:type="dxa" w:w="1531"/>
            <w:vAlign w:val="top"/>
          </w:tcPr>
          <w:p>
            <w:pPr>
              <w:spacing w:after="20" w:line="252" w:lineRule="auto"/>
            </w:pPr>
            <w:r>
              <w:rPr>
                <w:b w:val="0"/>
                <w:i w:val="0"/>
                <w:sz w:val="15"/>
              </w:rPr>
              <w:t>scheduled-reports</w:t>
            </w:r>
          </w:p>
        </w:tc>
        <w:tc>
          <w:tcPr>
            <w:tcW w:type="dxa" w:w="1701"/>
            <w:vAlign w:val="top"/>
          </w:tcPr>
          <w:p>
            <w:pPr>
              <w:spacing w:after="20" w:line="252" w:lineRule="auto"/>
            </w:pPr>
            <w:r>
              <w:rPr>
                <w:b w:val="0"/>
                <w:i w:val="0"/>
                <w:sz w:val="15"/>
              </w:rPr>
              <w:t>Every 15 minutes</w:t>
            </w:r>
          </w:p>
        </w:tc>
        <w:tc>
          <w:tcPr>
            <w:tcW w:type="dxa" w:w="1531"/>
            <w:vAlign w:val="top"/>
          </w:tcPr>
          <w:p>
            <w:pPr>
              <w:spacing w:after="20" w:line="252" w:lineRule="auto"/>
            </w:pPr>
            <w:r>
              <w:rPr>
                <w:b w:val="0"/>
                <w:i w:val="0"/>
                <w:sz w:val="15"/>
              </w:rPr>
              <w:t>scheduled-reports</w:t>
            </w:r>
          </w:p>
        </w:tc>
        <w:tc>
          <w:tcPr>
            <w:tcW w:type="dxa" w:w="2608"/>
            <w:vAlign w:val="top"/>
          </w:tcPr>
          <w:p>
            <w:pPr>
              <w:spacing w:after="20" w:line="252" w:lineRule="auto"/>
            </w:pPr>
            <w:r>
              <w:rPr>
                <w:b w:val="0"/>
                <w:i w:val="0"/>
                <w:sz w:val="15"/>
              </w:rPr>
              <w:t>Runs due report schedules and e-mails the files</w:t>
            </w:r>
          </w:p>
        </w:tc>
        <w:tc>
          <w:tcPr>
            <w:tcW w:type="dxa" w:w="2268"/>
            <w:vAlign w:val="top"/>
          </w:tcPr>
          <w:p>
            <w:pPr>
              <w:spacing w:after="20" w:line="252" w:lineRule="auto"/>
            </w:pPr>
            <w:r>
              <w:rPr>
                <w:b w:val="0"/>
                <w:i w:val="0"/>
                <w:sz w:val="15"/>
              </w:rPr>
              <w:t>reports/reports.service.ts</w:t>
            </w:r>
          </w:p>
        </w:tc>
      </w:tr>
      <w:tr>
        <w:trPr>
          <w:cantSplit/>
        </w:trPr>
        <w:tc>
          <w:tcPr>
            <w:tcW w:type="dxa" w:w="1531"/>
            <w:vAlign w:val="top"/>
            <w:shd w:val="clear" w:color="auto" w:fill="FDF0F7"/>
          </w:tcPr>
          <w:p>
            <w:pPr>
              <w:spacing w:after="20" w:line="252" w:lineRule="auto"/>
            </w:pPr>
            <w:r>
              <w:rPr>
                <w:b w:val="0"/>
                <w:i w:val="0"/>
                <w:sz w:val="15"/>
              </w:rPr>
              <w:t>session pruning</w:t>
            </w:r>
          </w:p>
        </w:tc>
        <w:tc>
          <w:tcPr>
            <w:tcW w:type="dxa" w:w="1701"/>
            <w:vAlign w:val="top"/>
            <w:shd w:val="clear" w:color="auto" w:fill="FDF0F7"/>
          </w:tcPr>
          <w:p>
            <w:pPr>
              <w:spacing w:after="20" w:line="252" w:lineRule="auto"/>
            </w:pPr>
            <w:r>
              <w:rPr>
                <w:b w:val="0"/>
                <w:i w:val="0"/>
                <w:sz w:val="15"/>
              </w:rPr>
              <w:t>Every 15 minutes</w:t>
            </w:r>
          </w:p>
        </w:tc>
        <w:tc>
          <w:tcPr>
            <w:tcW w:type="dxa" w:w="1531"/>
            <w:vAlign w:val="top"/>
            <w:shd w:val="clear" w:color="auto" w:fill="FDF0F7"/>
          </w:tcPr>
          <w:p>
            <w:pPr>
              <w:spacing w:after="20" w:line="252" w:lineRule="auto"/>
            </w:pPr>
            <w:r>
              <w:rPr>
                <w:b w:val="0"/>
                <w:i w:val="0"/>
                <w:sz w:val="15"/>
              </w:rPr>
              <w:t>none (idempotent)</w:t>
            </w:r>
          </w:p>
        </w:tc>
        <w:tc>
          <w:tcPr>
            <w:tcW w:type="dxa" w:w="2608"/>
            <w:vAlign w:val="top"/>
            <w:shd w:val="clear" w:color="auto" w:fill="FDF0F7"/>
          </w:tcPr>
          <w:p>
            <w:pPr>
              <w:spacing w:after="20" w:line="252" w:lineRule="auto"/>
            </w:pPr>
            <w:r>
              <w:rPr>
                <w:b w:val="0"/>
                <w:i w:val="0"/>
                <w:sz w:val="15"/>
              </w:rPr>
              <w:t>Deletes expired rows from user_session</w:t>
            </w:r>
          </w:p>
        </w:tc>
        <w:tc>
          <w:tcPr>
            <w:tcW w:type="dxa" w:w="2268"/>
            <w:vAlign w:val="top"/>
            <w:shd w:val="clear" w:color="auto" w:fill="FDF0F7"/>
          </w:tcPr>
          <w:p>
            <w:pPr>
              <w:spacing w:after="20" w:line="252" w:lineRule="auto"/>
            </w:pPr>
            <w:r>
              <w:rPr>
                <w:b w:val="0"/>
                <w:i w:val="0"/>
                <w:sz w:val="15"/>
              </w:rPr>
              <w:t>connect-pg-simple</w:t>
            </w:r>
          </w:p>
        </w:tc>
      </w:tr>
    </w:tbl>
    <w:p>
      <w:pPr>
        <w:pStyle w:val="Caption"/>
        <w:jc w:val="center"/>
      </w:pPr>
      <w:r>
        <w:rPr>
          <w:b w:val="0"/>
          <w:i w:val="0"/>
        </w:rPr>
        <w:t>Table 7: Scheduled jobs</w:t>
      </w:r>
    </w:p>
    <w:p>
      <w:pPr>
        <w:keepNext w:val="0"/>
      </w:pPr>
      <w:r>
        <w:rPr>
          <w:b w:val="0"/>
          <w:i w:val="0"/>
        </w:rPr>
        <w:t>Each job takes a PostgreSQL transaction-scoped advisory lock (pg_try_advisory_xact_lock) named after the job before it runs. Every API replica schedules the jobs, but only the replica that gets the lock does the work; the lock is released automatically if the process stops. JOBS_ENABLED=false disables all jobs in an instance, for example in a reporting replica.</w:t>
      </w:r>
    </w:p>
    <w:p>
      <w:pPr>
        <w:pStyle w:val="Heading1"/>
        <w:pageBreakBefore/>
        <w:pBdr>
          <w:bottom w:val="single" w:sz="12" w:space="4" w:color="F58220"/>
        </w:pBdr>
      </w:pPr>
      <w:r>
        <w:t>5. Logical and Application Architecture</w:t>
      </w:r>
    </w:p>
    <w:p>
      <w:pPr>
        <w:pStyle w:val="Heading2"/>
      </w:pPr>
      <w:r>
        <w:t>5.1 Layers</w:t>
      </w:r>
    </w:p>
    <w:p>
      <w:pPr>
        <w:keepNext w:val="0"/>
      </w:pPr>
      <w:r>
        <w:rPr>
          <w:b w:val="0"/>
          <w:i w:val="0"/>
        </w:rPr>
        <w:t>The solution has five layers. Two single-page applications, built from one React code base, run in the browser. An nginx web tier serves them and forwards /api calls. The NestJS API holds all business logic and security enforcement. PostgreSQL holds all structured data, and an encrypted file store holds documents. Scheduled jobs run inside the API processes and coordinate through database locks, so there is no separate scheduler or message broker to operate.</w:t>
      </w:r>
    </w:p>
    <w:p>
      <w:pPr>
        <w:keepNext/>
        <w:spacing w:after="0"/>
        <w:jc w:val="center"/>
      </w:pPr>
      <w:r>
        <w:drawing>
          <wp:inline xmlns:a="http://schemas.openxmlformats.org/drawingml/2006/main" xmlns:pic="http://schemas.openxmlformats.org/drawingml/2006/picture">
            <wp:extent cx="5760000" cy="4731428"/>
            <wp:docPr id="6" name="Picture 6"/>
            <wp:cNvGraphicFramePr>
              <a:graphicFrameLocks noChangeAspect="1"/>
            </wp:cNvGraphicFramePr>
            <a:graphic>
              <a:graphicData uri="http://schemas.openxmlformats.org/drawingml/2006/picture">
                <pic:pic>
                  <pic:nvPicPr>
                    <pic:cNvPr id="0" name="tech-logical.png"/>
                    <pic:cNvPicPr/>
                  </pic:nvPicPr>
                  <pic:blipFill>
                    <a:blip r:embed="rId16"/>
                    <a:stretch>
                      <a:fillRect/>
                    </a:stretch>
                  </pic:blipFill>
                  <pic:spPr>
                    <a:xfrm>
                      <a:off x="0" y="0"/>
                      <a:ext cx="5760000" cy="4731428"/>
                    </a:xfrm>
                    <a:prstGeom prst="rect"/>
                  </pic:spPr>
                </pic:pic>
              </a:graphicData>
            </a:graphic>
          </wp:inline>
        </w:drawing>
      </w:r>
    </w:p>
    <w:p>
      <w:pPr>
        <w:pStyle w:val="Caption"/>
        <w:jc w:val="center"/>
      </w:pPr>
      <w:r>
        <w:rPr>
          <w:b w:val="0"/>
          <w:i w:val="0"/>
        </w:rPr>
        <w:t>Figure 4: Logical architecture</w:t>
      </w:r>
    </w:p>
    <w:p>
      <w:pPr>
        <w:pStyle w:val="Heading2"/>
      </w:pPr>
      <w:r>
        <w:t>5.2 Front end</w:t>
      </w:r>
    </w:p>
    <w:p>
      <w:pPr>
        <w:keepNext w:val="0"/>
      </w:pPr>
      <w:r>
        <w:rPr>
          <w:b w:val="0"/>
          <w:i w:val="0"/>
        </w:rPr>
        <w:t>apps/web is a React 19 and TypeScript application built with Vite 7 and Ant Design 6, themed in the Insurans Islam TAIB colours. It contains 54 page components behind three route trees: /portal for agents and bank officers, /backoffice for IIFT staff and /esign/:token for participants. Pages are loaded on demand, and vendor libraries are split into separate chunks (react, antd, charts) so the first screen stays small.</w:t>
      </w:r>
    </w:p>
    <w:p>
      <w:pPr>
        <w:keepNext w:val="0"/>
      </w:pPr>
      <w:r>
        <w:rPr>
          <w:b w:val="0"/>
          <w:i w:val="0"/>
        </w:rPr>
        <w:t>Server state is managed with TanStack Query. A thin API client sends the session cookie (same origin), adds the X-CSRF-Token header to every state-changing call, and turns error responses into a typed error that carries the correlation id the user can quote to support. A 401 response returns the user to the sign-in page. Route guards in the SPA only shape navigation; every check is repeated by the API.</w:t>
      </w:r>
    </w:p>
    <w:p>
      <w:pPr>
        <w:pStyle w:val="Heading2"/>
      </w:pPr>
      <w:r>
        <w:t>5.3 API</w:t>
      </w:r>
    </w:p>
    <w:p>
      <w:pPr>
        <w:keepNext w:val="0"/>
      </w:pPr>
      <w:r>
        <w:rPr>
          <w:b w:val="0"/>
          <w:i w:val="0"/>
        </w:rPr>
        <w:t>The API is a NestJS 12 application on Node.js 22, written in TypeScript as ES modules. All business endpoints are under /api/v1 and are described in docs/api/openapi.json (128 paths, 149 operations). Namespaces separate the audiences, so the reverse proxy can publish the back-office only on the internal network.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680"/>
        <w:gridCol w:w="3628"/>
        <w:gridCol w:w="3061"/>
      </w:tblGrid>
      <w:tr>
        <w:trPr>
          <w:cantSplit/>
          <w:tblHeader/>
        </w:trPr>
        <w:tc>
          <w:tcPr>
            <w:tcW w:type="dxa" w:w="2268"/>
            <w:shd w:val="clear" w:color="auto" w:fill="E1058C"/>
            <w:vAlign w:val="center"/>
          </w:tcPr>
          <w:p>
            <w:pPr>
              <w:spacing w:after="0"/>
            </w:pPr>
            <w:r>
              <w:rPr>
                <w:b/>
                <w:i w:val="0"/>
                <w:color w:val="FFFFFF"/>
                <w:sz w:val="16"/>
              </w:rPr>
              <w:t>Namespace</w:t>
            </w:r>
          </w:p>
        </w:tc>
        <w:tc>
          <w:tcPr>
            <w:tcW w:type="dxa" w:w="680"/>
            <w:shd w:val="clear" w:color="auto" w:fill="E1058C"/>
            <w:vAlign w:val="center"/>
          </w:tcPr>
          <w:p>
            <w:pPr>
              <w:spacing w:after="0"/>
            </w:pPr>
            <w:r>
              <w:rPr>
                <w:b/>
                <w:i w:val="0"/>
                <w:color w:val="FFFFFF"/>
                <w:sz w:val="16"/>
              </w:rPr>
              <w:t>Ops</w:t>
            </w:r>
          </w:p>
        </w:tc>
        <w:tc>
          <w:tcPr>
            <w:tcW w:type="dxa" w:w="3628"/>
            <w:shd w:val="clear" w:color="auto" w:fill="E1058C"/>
            <w:vAlign w:val="center"/>
          </w:tcPr>
          <w:p>
            <w:pPr>
              <w:spacing w:after="0"/>
            </w:pPr>
            <w:r>
              <w:rPr>
                <w:b/>
                <w:i w:val="0"/>
                <w:color w:val="FFFFFF"/>
                <w:sz w:val="16"/>
              </w:rPr>
              <w:t>Purpose</w:t>
            </w:r>
          </w:p>
        </w:tc>
        <w:tc>
          <w:tcPr>
            <w:tcW w:type="dxa" w:w="3061"/>
            <w:shd w:val="clear" w:color="auto" w:fill="E1058C"/>
            <w:vAlign w:val="center"/>
          </w:tcPr>
          <w:p>
            <w:pPr>
              <w:spacing w:after="0"/>
            </w:pPr>
            <w:r>
              <w:rPr>
                <w:b/>
                <w:i w:val="0"/>
                <w:color w:val="FFFFFF"/>
                <w:sz w:val="16"/>
              </w:rPr>
              <w:t>Access control</w:t>
            </w:r>
          </w:p>
        </w:tc>
      </w:tr>
      <w:tr>
        <w:trPr>
          <w:cantSplit/>
        </w:trPr>
        <w:tc>
          <w:tcPr>
            <w:tcW w:type="dxa" w:w="2268"/>
            <w:vAlign w:val="top"/>
          </w:tcPr>
          <w:p>
            <w:pPr>
              <w:spacing w:after="20" w:line="252" w:lineRule="auto"/>
            </w:pPr>
            <w:r>
              <w:rPr>
                <w:b w:val="0"/>
                <w:i w:val="0"/>
                <w:sz w:val="16"/>
              </w:rPr>
              <w:t>/api/v1/auth</w:t>
            </w:r>
          </w:p>
        </w:tc>
        <w:tc>
          <w:tcPr>
            <w:tcW w:type="dxa" w:w="680"/>
            <w:vAlign w:val="top"/>
          </w:tcPr>
          <w:p>
            <w:pPr>
              <w:spacing w:after="20" w:line="252" w:lineRule="auto"/>
            </w:pPr>
            <w:r>
              <w:rPr>
                <w:b w:val="0"/>
                <w:i w:val="0"/>
                <w:sz w:val="16"/>
              </w:rPr>
              <w:t>4</w:t>
            </w:r>
          </w:p>
        </w:tc>
        <w:tc>
          <w:tcPr>
            <w:tcW w:type="dxa" w:w="3628"/>
            <w:vAlign w:val="top"/>
          </w:tcPr>
          <w:p>
            <w:pPr>
              <w:spacing w:after="20" w:line="252" w:lineRule="auto"/>
            </w:pPr>
            <w:r>
              <w:rPr>
                <w:b w:val="0"/>
                <w:i w:val="0"/>
                <w:sz w:val="16"/>
              </w:rPr>
              <w:t>Sign-in, sign-out, current user, password change</w:t>
            </w:r>
          </w:p>
        </w:tc>
        <w:tc>
          <w:tcPr>
            <w:tcW w:type="dxa" w:w="3061"/>
            <w:vAlign w:val="top"/>
          </w:tcPr>
          <w:p>
            <w:pPr>
              <w:spacing w:after="20" w:line="252" w:lineRule="auto"/>
            </w:pPr>
            <w:r>
              <w:rPr>
                <w:b w:val="0"/>
                <w:i w:val="0"/>
                <w:sz w:val="16"/>
              </w:rPr>
              <w:t>Session (login is public)</w:t>
            </w:r>
          </w:p>
        </w:tc>
      </w:tr>
      <w:tr>
        <w:trPr>
          <w:cantSplit/>
        </w:trPr>
        <w:tc>
          <w:tcPr>
            <w:tcW w:type="dxa" w:w="2268"/>
            <w:vAlign w:val="top"/>
            <w:shd w:val="clear" w:color="auto" w:fill="FDF0F7"/>
          </w:tcPr>
          <w:p>
            <w:pPr>
              <w:spacing w:after="20" w:line="252" w:lineRule="auto"/>
            </w:pPr>
            <w:r>
              <w:rPr>
                <w:b w:val="0"/>
                <w:i w:val="0"/>
                <w:sz w:val="16"/>
              </w:rPr>
              <w:t>/api/v1/portal</w:t>
            </w:r>
          </w:p>
        </w:tc>
        <w:tc>
          <w:tcPr>
            <w:tcW w:type="dxa" w:w="680"/>
            <w:vAlign w:val="top"/>
            <w:shd w:val="clear" w:color="auto" w:fill="FDF0F7"/>
          </w:tcPr>
          <w:p>
            <w:pPr>
              <w:spacing w:after="20" w:line="252" w:lineRule="auto"/>
            </w:pPr>
            <w:r>
              <w:rPr>
                <w:b w:val="0"/>
                <w:i w:val="0"/>
                <w:sz w:val="16"/>
              </w:rPr>
              <w:t>45</w:t>
            </w:r>
          </w:p>
        </w:tc>
        <w:tc>
          <w:tcPr>
            <w:tcW w:type="dxa" w:w="3628"/>
            <w:vAlign w:val="top"/>
            <w:shd w:val="clear" w:color="auto" w:fill="FDF0F7"/>
          </w:tcPr>
          <w:p>
            <w:pPr>
              <w:spacing w:after="20" w:line="252" w:lineRule="auto"/>
            </w:pPr>
            <w:r>
              <w:rPr>
                <w:b w:val="0"/>
                <w:i w:val="0"/>
                <w:sz w:val="16"/>
              </w:rPr>
              <w:t>Agent/Banca Portal functions</w:t>
            </w:r>
          </w:p>
        </w:tc>
        <w:tc>
          <w:tcPr>
            <w:tcW w:type="dxa" w:w="3061"/>
            <w:vAlign w:val="top"/>
            <w:shd w:val="clear" w:color="auto" w:fill="FDF0F7"/>
          </w:tcPr>
          <w:p>
            <w:pPr>
              <w:spacing w:after="20" w:line="252" w:lineRule="auto"/>
            </w:pPr>
            <w:r>
              <w:rPr>
                <w:b w:val="0"/>
                <w:i w:val="0"/>
                <w:sz w:val="16"/>
              </w:rPr>
              <w:t>Session, PORTAL audience, permissions, data scope</w:t>
            </w:r>
          </w:p>
        </w:tc>
      </w:tr>
      <w:tr>
        <w:trPr>
          <w:cantSplit/>
        </w:trPr>
        <w:tc>
          <w:tcPr>
            <w:tcW w:type="dxa" w:w="2268"/>
            <w:vAlign w:val="top"/>
          </w:tcPr>
          <w:p>
            <w:pPr>
              <w:spacing w:after="20" w:line="252" w:lineRule="auto"/>
            </w:pPr>
            <w:r>
              <w:rPr>
                <w:b w:val="0"/>
                <w:i w:val="0"/>
                <w:sz w:val="16"/>
              </w:rPr>
              <w:t>/api/v1/backoffice</w:t>
            </w:r>
          </w:p>
        </w:tc>
        <w:tc>
          <w:tcPr>
            <w:tcW w:type="dxa" w:w="680"/>
            <w:vAlign w:val="top"/>
          </w:tcPr>
          <w:p>
            <w:pPr>
              <w:spacing w:after="20" w:line="252" w:lineRule="auto"/>
            </w:pPr>
            <w:r>
              <w:rPr>
                <w:b w:val="0"/>
                <w:i w:val="0"/>
                <w:sz w:val="16"/>
              </w:rPr>
              <w:t>80</w:t>
            </w:r>
          </w:p>
        </w:tc>
        <w:tc>
          <w:tcPr>
            <w:tcW w:type="dxa" w:w="3628"/>
            <w:vAlign w:val="top"/>
          </w:tcPr>
          <w:p>
            <w:pPr>
              <w:spacing w:after="20" w:line="252" w:lineRule="auto"/>
            </w:pPr>
            <w:r>
              <w:rPr>
                <w:b w:val="0"/>
                <w:i w:val="0"/>
                <w:sz w:val="16"/>
              </w:rPr>
              <w:t>Back-office functions</w:t>
            </w:r>
          </w:p>
        </w:tc>
        <w:tc>
          <w:tcPr>
            <w:tcW w:type="dxa" w:w="3061"/>
            <w:vAlign w:val="top"/>
          </w:tcPr>
          <w:p>
            <w:pPr>
              <w:spacing w:after="20" w:line="252" w:lineRule="auto"/>
            </w:pPr>
            <w:r>
              <w:rPr>
                <w:b w:val="0"/>
                <w:i w:val="0"/>
                <w:sz w:val="16"/>
              </w:rPr>
              <w:t>Session, BACKOFFICE audience, permissions</w:t>
            </w:r>
          </w:p>
        </w:tc>
      </w:tr>
      <w:tr>
        <w:trPr>
          <w:cantSplit/>
        </w:trPr>
        <w:tc>
          <w:tcPr>
            <w:tcW w:type="dxa" w:w="2268"/>
            <w:vAlign w:val="top"/>
            <w:shd w:val="clear" w:color="auto" w:fill="FDF0F7"/>
          </w:tcPr>
          <w:p>
            <w:pPr>
              <w:spacing w:after="20" w:line="252" w:lineRule="auto"/>
            </w:pPr>
            <w:r>
              <w:rPr>
                <w:b w:val="0"/>
                <w:i w:val="0"/>
                <w:sz w:val="16"/>
              </w:rPr>
              <w:t>/api/v1/common</w:t>
            </w:r>
          </w:p>
        </w:tc>
        <w:tc>
          <w:tcPr>
            <w:tcW w:type="dxa" w:w="680"/>
            <w:vAlign w:val="top"/>
            <w:shd w:val="clear" w:color="auto" w:fill="FDF0F7"/>
          </w:tcPr>
          <w:p>
            <w:pPr>
              <w:spacing w:after="20" w:line="252" w:lineRule="auto"/>
            </w:pPr>
            <w:r>
              <w:rPr>
                <w:b w:val="0"/>
                <w:i w:val="0"/>
                <w:sz w:val="16"/>
              </w:rPr>
              <w:t>15</w:t>
            </w:r>
          </w:p>
        </w:tc>
        <w:tc>
          <w:tcPr>
            <w:tcW w:type="dxa" w:w="3628"/>
            <w:vAlign w:val="top"/>
            <w:shd w:val="clear" w:color="auto" w:fill="FDF0F7"/>
          </w:tcPr>
          <w:p>
            <w:pPr>
              <w:spacing w:after="20" w:line="252" w:lineRule="auto"/>
            </w:pPr>
            <w:r>
              <w:rPr>
                <w:b w:val="0"/>
                <w:i w:val="0"/>
                <w:sz w:val="16"/>
              </w:rPr>
              <w:t>Functions used by both audiences: documents, notifications, issues, products, codes</w:t>
            </w:r>
          </w:p>
        </w:tc>
        <w:tc>
          <w:tcPr>
            <w:tcW w:type="dxa" w:w="3061"/>
            <w:vAlign w:val="top"/>
            <w:shd w:val="clear" w:color="auto" w:fill="FDF0F7"/>
          </w:tcPr>
          <w:p>
            <w:pPr>
              <w:spacing w:after="20" w:line="252" w:lineRule="auto"/>
            </w:pPr>
            <w:r>
              <w:rPr>
                <w:b w:val="0"/>
                <w:i w:val="0"/>
                <w:sz w:val="16"/>
              </w:rPr>
              <w:t>Session, permissions, data scope</w:t>
            </w:r>
          </w:p>
        </w:tc>
      </w:tr>
      <w:tr>
        <w:trPr>
          <w:cantSplit/>
        </w:trPr>
        <w:tc>
          <w:tcPr>
            <w:tcW w:type="dxa" w:w="2268"/>
            <w:vAlign w:val="top"/>
          </w:tcPr>
          <w:p>
            <w:pPr>
              <w:spacing w:after="20" w:line="252" w:lineRule="auto"/>
            </w:pPr>
            <w:r>
              <w:rPr>
                <w:b w:val="0"/>
                <w:i w:val="0"/>
                <w:sz w:val="16"/>
              </w:rPr>
              <w:t>/api/v1/public</w:t>
            </w:r>
          </w:p>
        </w:tc>
        <w:tc>
          <w:tcPr>
            <w:tcW w:type="dxa" w:w="680"/>
            <w:vAlign w:val="top"/>
          </w:tcPr>
          <w:p>
            <w:pPr>
              <w:spacing w:after="20" w:line="252" w:lineRule="auto"/>
            </w:pPr>
            <w:r>
              <w:rPr>
                <w:b w:val="0"/>
                <w:i w:val="0"/>
                <w:sz w:val="16"/>
              </w:rPr>
              <w:t>2</w:t>
            </w:r>
          </w:p>
        </w:tc>
        <w:tc>
          <w:tcPr>
            <w:tcW w:type="dxa" w:w="3628"/>
            <w:vAlign w:val="top"/>
          </w:tcPr>
          <w:p>
            <w:pPr>
              <w:spacing w:after="20" w:line="252" w:lineRule="auto"/>
            </w:pPr>
            <w:r>
              <w:rPr>
                <w:b w:val="0"/>
                <w:i w:val="0"/>
                <w:sz w:val="16"/>
              </w:rPr>
              <w:t>Participant e-signature page</w:t>
            </w:r>
          </w:p>
        </w:tc>
        <w:tc>
          <w:tcPr>
            <w:tcW w:type="dxa" w:w="3061"/>
            <w:vAlign w:val="top"/>
          </w:tcPr>
          <w:p>
            <w:pPr>
              <w:spacing w:after="20" w:line="252" w:lineRule="auto"/>
            </w:pPr>
            <w:r>
              <w:rPr>
                <w:b w:val="0"/>
                <w:i w:val="0"/>
                <w:sz w:val="16"/>
              </w:rPr>
              <w:t>One-time token (hash stored)</w:t>
            </w:r>
          </w:p>
        </w:tc>
      </w:tr>
      <w:tr>
        <w:trPr>
          <w:cantSplit/>
        </w:trPr>
        <w:tc>
          <w:tcPr>
            <w:tcW w:type="dxa" w:w="2268"/>
            <w:vAlign w:val="top"/>
            <w:shd w:val="clear" w:color="auto" w:fill="FDF0F7"/>
          </w:tcPr>
          <w:p>
            <w:pPr>
              <w:spacing w:after="20" w:line="252" w:lineRule="auto"/>
            </w:pPr>
            <w:r>
              <w:rPr>
                <w:b w:val="0"/>
                <w:i w:val="0"/>
                <w:sz w:val="16"/>
              </w:rPr>
              <w:t>/api/v1/integration</w:t>
            </w:r>
          </w:p>
        </w:tc>
        <w:tc>
          <w:tcPr>
            <w:tcW w:type="dxa" w:w="680"/>
            <w:vAlign w:val="top"/>
            <w:shd w:val="clear" w:color="auto" w:fill="FDF0F7"/>
          </w:tcPr>
          <w:p>
            <w:pPr>
              <w:spacing w:after="20" w:line="252" w:lineRule="auto"/>
            </w:pPr>
            <w:r>
              <w:rPr>
                <w:b w:val="0"/>
                <w:i w:val="0"/>
                <w:sz w:val="16"/>
              </w:rPr>
              <w:t>3</w:t>
            </w:r>
          </w:p>
        </w:tc>
        <w:tc>
          <w:tcPr>
            <w:tcW w:type="dxa" w:w="3628"/>
            <w:vAlign w:val="top"/>
            <w:shd w:val="clear" w:color="auto" w:fill="FDF0F7"/>
          </w:tcPr>
          <w:p>
            <w:pPr>
              <w:spacing w:after="20" w:line="252" w:lineRule="auto"/>
            </w:pPr>
            <w:r>
              <w:rPr>
                <w:b w:val="0"/>
                <w:i w:val="0"/>
                <w:sz w:val="16"/>
              </w:rPr>
              <w:t>System-to-system APIs for Core and FIN</w:t>
            </w:r>
          </w:p>
        </w:tc>
        <w:tc>
          <w:tcPr>
            <w:tcW w:type="dxa" w:w="3061"/>
            <w:vAlign w:val="top"/>
            <w:shd w:val="clear" w:color="auto" w:fill="FDF0F7"/>
          </w:tcPr>
          <w:p>
            <w:pPr>
              <w:spacing w:after="20" w:line="252" w:lineRule="auto"/>
            </w:pPr>
            <w:r>
              <w:rPr>
                <w:b w:val="0"/>
                <w:i w:val="0"/>
                <w:sz w:val="16"/>
              </w:rPr>
              <w:t>API key (SHA-256 held), IP allow-list</w:t>
            </w:r>
          </w:p>
        </w:tc>
      </w:tr>
      <w:tr>
        <w:trPr>
          <w:cantSplit/>
        </w:trPr>
        <w:tc>
          <w:tcPr>
            <w:tcW w:type="dxa" w:w="2268"/>
            <w:vAlign w:val="top"/>
          </w:tcPr>
          <w:p>
            <w:pPr>
              <w:spacing w:after="20" w:line="252" w:lineRule="auto"/>
            </w:pPr>
            <w:r>
              <w:rPr>
                <w:b w:val="0"/>
                <w:i w:val="0"/>
                <w:sz w:val="16"/>
              </w:rPr>
              <w:t>/health/live, /health/ready, /metrics</w:t>
            </w:r>
          </w:p>
        </w:tc>
        <w:tc>
          <w:tcPr>
            <w:tcW w:type="dxa" w:w="680"/>
            <w:vAlign w:val="top"/>
          </w:tcPr>
          <w:p>
            <w:pPr>
              <w:spacing w:after="20" w:line="252" w:lineRule="auto"/>
            </w:pPr>
            <w:r>
              <w:rPr>
                <w:b w:val="0"/>
                <w:i w:val="0"/>
                <w:sz w:val="16"/>
              </w:rPr>
              <w:t>3</w:t>
            </w:r>
          </w:p>
        </w:tc>
        <w:tc>
          <w:tcPr>
            <w:tcW w:type="dxa" w:w="3628"/>
            <w:vAlign w:val="top"/>
          </w:tcPr>
          <w:p>
            <w:pPr>
              <w:spacing w:after="20" w:line="252" w:lineRule="auto"/>
            </w:pPr>
            <w:r>
              <w:rPr>
                <w:b w:val="0"/>
                <w:i w:val="0"/>
                <w:sz w:val="16"/>
              </w:rPr>
              <w:t>Probes and Prometheus metrics (outside /api/v1)</w:t>
            </w:r>
          </w:p>
        </w:tc>
        <w:tc>
          <w:tcPr>
            <w:tcW w:type="dxa" w:w="3061"/>
            <w:vAlign w:val="top"/>
          </w:tcPr>
          <w:p>
            <w:pPr>
              <w:spacing w:after="20" w:line="252" w:lineRule="auto"/>
            </w:pPr>
            <w:r>
              <w:rPr>
                <w:b w:val="0"/>
                <w:i w:val="0"/>
                <w:sz w:val="16"/>
              </w:rPr>
              <w:t>Public probes; METRICS_TOKEN for metrics</w:t>
            </w:r>
          </w:p>
        </w:tc>
      </w:tr>
    </w:tbl>
    <w:p>
      <w:pPr>
        <w:pStyle w:val="Caption"/>
        <w:jc w:val="center"/>
      </w:pPr>
      <w:r>
        <w:rPr>
          <w:b w:val="0"/>
          <w:i w:val="0"/>
        </w:rPr>
        <w:t>Table 8: API namespaces</w:t>
      </w:r>
    </w:p>
    <w:p>
      <w:pPr>
        <w:pStyle w:val="Heading2"/>
      </w:pPr>
      <w:r>
        <w:t>5.4 Request processing</w:t>
      </w:r>
    </w:p>
    <w:p>
      <w:pPr>
        <w:keepNext w:val="0"/>
      </w:pPr>
      <w:r>
        <w:rPr>
          <w:b w:val="0"/>
          <w:i w:val="0"/>
        </w:rPr>
        <w:t>Every request passes the same pipeline, configured once in app.setup.ts and used by both the server and the end-to-end tests. Global guards run in a fixed order: throttling, authentication, CSRF, then permissions. A route is protected unless it is explicitly marked public.</w:t>
      </w:r>
    </w:p>
    <w:p>
      <w:pPr>
        <w:keepNext/>
        <w:spacing w:after="0"/>
        <w:jc w:val="center"/>
      </w:pPr>
      <w:r>
        <w:drawing>
          <wp:inline xmlns:a="http://schemas.openxmlformats.org/drawingml/2006/main" xmlns:pic="http://schemas.openxmlformats.org/drawingml/2006/picture">
            <wp:extent cx="5940000" cy="2969999"/>
            <wp:docPr id="7" name="Picture 7"/>
            <wp:cNvGraphicFramePr>
              <a:graphicFrameLocks noChangeAspect="1"/>
            </wp:cNvGraphicFramePr>
            <a:graphic>
              <a:graphicData uri="http://schemas.openxmlformats.org/drawingml/2006/picture">
                <pic:pic>
                  <pic:nvPicPr>
                    <pic:cNvPr id="0" name="tech-request-pipeline.png"/>
                    <pic:cNvPicPr/>
                  </pic:nvPicPr>
                  <pic:blipFill>
                    <a:blip r:embed="rId17"/>
                    <a:stretch>
                      <a:fillRect/>
                    </a:stretch>
                  </pic:blipFill>
                  <pic:spPr>
                    <a:xfrm>
                      <a:off x="0" y="0"/>
                      <a:ext cx="5940000" cy="2969999"/>
                    </a:xfrm>
                    <a:prstGeom prst="rect"/>
                  </pic:spPr>
                </pic:pic>
              </a:graphicData>
            </a:graphic>
          </wp:inline>
        </w:drawing>
      </w:r>
    </w:p>
    <w:p>
      <w:pPr>
        <w:pStyle w:val="Caption"/>
        <w:jc w:val="center"/>
      </w:pPr>
      <w:r>
        <w:rPr>
          <w:b w:val="0"/>
          <w:i w:val="0"/>
        </w:rPr>
        <w:t>Figure 5: Request pipeline</w:t>
      </w:r>
    </w:p>
    <w:p>
      <w:pPr>
        <w:pStyle w:val="Heading2"/>
      </w:pPr>
      <w:r>
        <w:t>5.5 Error handling</w:t>
      </w:r>
    </w:p>
    <w:p>
      <w:pPr>
        <w:keepNext w:val="0"/>
      </w:pPr>
      <w:r>
        <w:rPr>
          <w:b w:val="0"/>
          <w:i w:val="0"/>
        </w:rPr>
        <w:t>A global exception filter turns every error into the same JSON body: statusCode, a stable code, a message safe to show, optional details and the correlation id. Unexpected errors are logged in full on the server and reach the user only as a generic message with the correlation id (NFR-15).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793"/>
        <w:gridCol w:w="4876"/>
        <w:gridCol w:w="3969"/>
      </w:tblGrid>
      <w:tr>
        <w:trPr>
          <w:cantSplit/>
          <w:tblHeader/>
        </w:trPr>
        <w:tc>
          <w:tcPr>
            <w:tcW w:type="dxa" w:w="794"/>
            <w:shd w:val="clear" w:color="auto" w:fill="E1058C"/>
            <w:vAlign w:val="center"/>
          </w:tcPr>
          <w:p>
            <w:pPr>
              <w:spacing w:after="0"/>
            </w:pPr>
            <w:r>
              <w:rPr>
                <w:b/>
                <w:i w:val="0"/>
                <w:color w:val="FFFFFF"/>
                <w:sz w:val="16"/>
              </w:rPr>
              <w:t>HTTP</w:t>
            </w:r>
          </w:p>
        </w:tc>
        <w:tc>
          <w:tcPr>
            <w:tcW w:type="dxa" w:w="4876"/>
            <w:shd w:val="clear" w:color="auto" w:fill="E1058C"/>
            <w:vAlign w:val="center"/>
          </w:tcPr>
          <w:p>
            <w:pPr>
              <w:spacing w:after="0"/>
            </w:pPr>
            <w:r>
              <w:rPr>
                <w:b/>
                <w:i w:val="0"/>
                <w:color w:val="FFFFFF"/>
                <w:sz w:val="16"/>
              </w:rPr>
              <w:t>Codes</w:t>
            </w:r>
          </w:p>
        </w:tc>
        <w:tc>
          <w:tcPr>
            <w:tcW w:type="dxa" w:w="3969"/>
            <w:shd w:val="clear" w:color="auto" w:fill="E1058C"/>
            <w:vAlign w:val="center"/>
          </w:tcPr>
          <w:p>
            <w:pPr>
              <w:spacing w:after="0"/>
            </w:pPr>
            <w:r>
              <w:rPr>
                <w:b/>
                <w:i w:val="0"/>
                <w:color w:val="FFFFFF"/>
                <w:sz w:val="16"/>
              </w:rPr>
              <w:t>When</w:t>
            </w:r>
          </w:p>
        </w:tc>
      </w:tr>
      <w:tr>
        <w:trPr>
          <w:cantSplit/>
        </w:trPr>
        <w:tc>
          <w:tcPr>
            <w:tcW w:type="dxa" w:w="794"/>
            <w:vAlign w:val="top"/>
          </w:tcPr>
          <w:p>
            <w:pPr>
              <w:spacing w:after="20" w:line="252" w:lineRule="auto"/>
            </w:pPr>
            <w:r>
              <w:rPr>
                <w:b w:val="0"/>
                <w:i w:val="0"/>
                <w:sz w:val="16"/>
              </w:rPr>
              <w:t>400</w:t>
            </w:r>
          </w:p>
        </w:tc>
        <w:tc>
          <w:tcPr>
            <w:tcW w:type="dxa" w:w="4876"/>
            <w:vAlign w:val="top"/>
          </w:tcPr>
          <w:p>
            <w:pPr>
              <w:spacing w:after="20" w:line="252" w:lineRule="auto"/>
            </w:pPr>
            <w:r>
              <w:rPr>
                <w:b w:val="0"/>
                <w:i w:val="0"/>
                <w:sz w:val="16"/>
              </w:rPr>
              <w:t>BAD_REQUEST</w:t>
            </w:r>
          </w:p>
        </w:tc>
        <w:tc>
          <w:tcPr>
            <w:tcW w:type="dxa" w:w="3969"/>
            <w:vAlign w:val="top"/>
          </w:tcPr>
          <w:p>
            <w:pPr>
              <w:spacing w:after="20" w:line="252" w:lineRule="auto"/>
            </w:pPr>
            <w:r>
              <w:rPr>
                <w:b w:val="0"/>
                <w:i w:val="0"/>
                <w:sz w:val="16"/>
              </w:rPr>
              <w:t>Validation failed; details lists each field problem</w:t>
            </w:r>
          </w:p>
        </w:tc>
      </w:tr>
      <w:tr>
        <w:trPr>
          <w:cantSplit/>
        </w:trPr>
        <w:tc>
          <w:tcPr>
            <w:tcW w:type="dxa" w:w="794"/>
            <w:vAlign w:val="top"/>
            <w:shd w:val="clear" w:color="auto" w:fill="FDF0F7"/>
          </w:tcPr>
          <w:p>
            <w:pPr>
              <w:spacing w:after="20" w:line="252" w:lineRule="auto"/>
            </w:pPr>
            <w:r>
              <w:rPr>
                <w:b w:val="0"/>
                <w:i w:val="0"/>
                <w:sz w:val="16"/>
              </w:rPr>
              <w:t>401</w:t>
            </w:r>
          </w:p>
        </w:tc>
        <w:tc>
          <w:tcPr>
            <w:tcW w:type="dxa" w:w="4876"/>
            <w:vAlign w:val="top"/>
            <w:shd w:val="clear" w:color="auto" w:fill="FDF0F7"/>
          </w:tcPr>
          <w:p>
            <w:pPr>
              <w:spacing w:after="20" w:line="252" w:lineRule="auto"/>
            </w:pPr>
            <w:r>
              <w:rPr>
                <w:b w:val="0"/>
                <w:i w:val="0"/>
                <w:sz w:val="16"/>
              </w:rPr>
              <w:t>NOT_AUTHENTICATED, INVALID_CREDENTIALS, ACCOUNT_LOCKED, SESSION_EXPIRED</w:t>
            </w:r>
          </w:p>
        </w:tc>
        <w:tc>
          <w:tcPr>
            <w:tcW w:type="dxa" w:w="3969"/>
            <w:vAlign w:val="top"/>
            <w:shd w:val="clear" w:color="auto" w:fill="FDF0F7"/>
          </w:tcPr>
          <w:p>
            <w:pPr>
              <w:spacing w:after="20" w:line="252" w:lineRule="auto"/>
            </w:pPr>
            <w:r>
              <w:rPr>
                <w:b w:val="0"/>
                <w:i w:val="0"/>
                <w:sz w:val="16"/>
              </w:rPr>
              <w:t>No valid session or sign-in refused</w:t>
            </w:r>
          </w:p>
        </w:tc>
      </w:tr>
      <w:tr>
        <w:trPr>
          <w:cantSplit/>
        </w:trPr>
        <w:tc>
          <w:tcPr>
            <w:tcW w:type="dxa" w:w="794"/>
            <w:vAlign w:val="top"/>
          </w:tcPr>
          <w:p>
            <w:pPr>
              <w:spacing w:after="20" w:line="252" w:lineRule="auto"/>
            </w:pPr>
            <w:r>
              <w:rPr>
                <w:b w:val="0"/>
                <w:i w:val="0"/>
                <w:sz w:val="16"/>
              </w:rPr>
              <w:t>403</w:t>
            </w:r>
          </w:p>
        </w:tc>
        <w:tc>
          <w:tcPr>
            <w:tcW w:type="dxa" w:w="4876"/>
            <w:vAlign w:val="top"/>
          </w:tcPr>
          <w:p>
            <w:pPr>
              <w:spacing w:after="20" w:line="252" w:lineRule="auto"/>
            </w:pPr>
            <w:r>
              <w:rPr>
                <w:b w:val="0"/>
                <w:i w:val="0"/>
                <w:sz w:val="16"/>
              </w:rPr>
              <w:t>FORBIDDEN, CSRF_TOKEN_INVALID, WRONG_AUDIENCE, PASSWORD_CHANGE_REQUIRED</w:t>
            </w:r>
          </w:p>
        </w:tc>
        <w:tc>
          <w:tcPr>
            <w:tcW w:type="dxa" w:w="3969"/>
            <w:vAlign w:val="top"/>
          </w:tcPr>
          <w:p>
            <w:pPr>
              <w:spacing w:after="20" w:line="252" w:lineRule="auto"/>
            </w:pPr>
            <w:r>
              <w:rPr>
                <w:b w:val="0"/>
                <w:i w:val="0"/>
                <w:sz w:val="16"/>
              </w:rPr>
              <w:t>Not permitted</w:t>
            </w:r>
          </w:p>
        </w:tc>
      </w:tr>
      <w:tr>
        <w:trPr>
          <w:cantSplit/>
        </w:trPr>
        <w:tc>
          <w:tcPr>
            <w:tcW w:type="dxa" w:w="794"/>
            <w:vAlign w:val="top"/>
            <w:shd w:val="clear" w:color="auto" w:fill="FDF0F7"/>
          </w:tcPr>
          <w:p>
            <w:pPr>
              <w:spacing w:after="20" w:line="252" w:lineRule="auto"/>
            </w:pPr>
            <w:r>
              <w:rPr>
                <w:b w:val="0"/>
                <w:i w:val="0"/>
                <w:sz w:val="16"/>
              </w:rPr>
              <w:t>404</w:t>
            </w:r>
          </w:p>
        </w:tc>
        <w:tc>
          <w:tcPr>
            <w:tcW w:type="dxa" w:w="4876"/>
            <w:vAlign w:val="top"/>
            <w:shd w:val="clear" w:color="auto" w:fill="FDF0F7"/>
          </w:tcPr>
          <w:p>
            <w:pPr>
              <w:spacing w:after="20" w:line="252" w:lineRule="auto"/>
            </w:pPr>
            <w:r>
              <w:rPr>
                <w:b w:val="0"/>
                <w:i w:val="0"/>
                <w:sz w:val="16"/>
              </w:rPr>
              <w:t>NOT_FOUND</w:t>
            </w:r>
          </w:p>
        </w:tc>
        <w:tc>
          <w:tcPr>
            <w:tcW w:type="dxa" w:w="3969"/>
            <w:vAlign w:val="top"/>
            <w:shd w:val="clear" w:color="auto" w:fill="FDF0F7"/>
          </w:tcPr>
          <w:p>
            <w:pPr>
              <w:spacing w:after="20" w:line="252" w:lineRule="auto"/>
            </w:pPr>
            <w:r>
              <w:rPr>
                <w:b w:val="0"/>
                <w:i w:val="0"/>
                <w:sz w:val="16"/>
              </w:rPr>
              <w:t>Record does not exist or is outside the user's data scope</w:t>
            </w:r>
          </w:p>
        </w:tc>
      </w:tr>
      <w:tr>
        <w:trPr>
          <w:cantSplit/>
        </w:trPr>
        <w:tc>
          <w:tcPr>
            <w:tcW w:type="dxa" w:w="794"/>
            <w:vAlign w:val="top"/>
          </w:tcPr>
          <w:p>
            <w:pPr>
              <w:spacing w:after="20" w:line="252" w:lineRule="auto"/>
            </w:pPr>
            <w:r>
              <w:rPr>
                <w:b w:val="0"/>
                <w:i w:val="0"/>
                <w:sz w:val="16"/>
              </w:rPr>
              <w:t>409</w:t>
            </w:r>
          </w:p>
        </w:tc>
        <w:tc>
          <w:tcPr>
            <w:tcW w:type="dxa" w:w="4876"/>
            <w:vAlign w:val="top"/>
          </w:tcPr>
          <w:p>
            <w:pPr>
              <w:spacing w:after="20" w:line="252" w:lineRule="auto"/>
            </w:pPr>
            <w:r>
              <w:rPr>
                <w:b w:val="0"/>
                <w:i w:val="0"/>
                <w:sz w:val="16"/>
              </w:rPr>
              <w:t>DUPLICATE, STALE_RECORD</w:t>
            </w:r>
          </w:p>
        </w:tc>
        <w:tc>
          <w:tcPr>
            <w:tcW w:type="dxa" w:w="3969"/>
            <w:vAlign w:val="top"/>
          </w:tcPr>
          <w:p>
            <w:pPr>
              <w:spacing w:after="20" w:line="252" w:lineRule="auto"/>
            </w:pPr>
            <w:r>
              <w:rPr>
                <w:b w:val="0"/>
                <w:i w:val="0"/>
                <w:sz w:val="16"/>
              </w:rPr>
              <w:t>Unique value exists; record changed by another user</w:t>
            </w:r>
          </w:p>
        </w:tc>
      </w:tr>
      <w:tr>
        <w:trPr>
          <w:cantSplit/>
        </w:trPr>
        <w:tc>
          <w:tcPr>
            <w:tcW w:type="dxa" w:w="794"/>
            <w:vAlign w:val="top"/>
            <w:shd w:val="clear" w:color="auto" w:fill="FDF0F7"/>
          </w:tcPr>
          <w:p>
            <w:pPr>
              <w:spacing w:after="20" w:line="252" w:lineRule="auto"/>
            </w:pPr>
            <w:r>
              <w:rPr>
                <w:b w:val="0"/>
                <w:i w:val="0"/>
                <w:sz w:val="16"/>
              </w:rPr>
              <w:t>413</w:t>
            </w:r>
          </w:p>
        </w:tc>
        <w:tc>
          <w:tcPr>
            <w:tcW w:type="dxa" w:w="4876"/>
            <w:vAlign w:val="top"/>
            <w:shd w:val="clear" w:color="auto" w:fill="FDF0F7"/>
          </w:tcPr>
          <w:p>
            <w:pPr>
              <w:spacing w:after="20" w:line="252" w:lineRule="auto"/>
            </w:pPr>
            <w:r>
              <w:rPr>
                <w:b w:val="0"/>
                <w:i w:val="0"/>
                <w:sz w:val="16"/>
              </w:rPr>
              <w:t>PAYLOAD_TOO_LARGE</w:t>
            </w:r>
          </w:p>
        </w:tc>
        <w:tc>
          <w:tcPr>
            <w:tcW w:type="dxa" w:w="3969"/>
            <w:vAlign w:val="top"/>
            <w:shd w:val="clear" w:color="auto" w:fill="FDF0F7"/>
          </w:tcPr>
          <w:p>
            <w:pPr>
              <w:spacing w:after="20" w:line="252" w:lineRule="auto"/>
            </w:pPr>
            <w:r>
              <w:rPr>
                <w:b w:val="0"/>
                <w:i w:val="0"/>
                <w:sz w:val="16"/>
              </w:rPr>
              <w:t>Body or file above the limit</w:t>
            </w:r>
          </w:p>
        </w:tc>
      </w:tr>
      <w:tr>
        <w:trPr>
          <w:cantSplit/>
        </w:trPr>
        <w:tc>
          <w:tcPr>
            <w:tcW w:type="dxa" w:w="794"/>
            <w:vAlign w:val="top"/>
          </w:tcPr>
          <w:p>
            <w:pPr>
              <w:spacing w:after="20" w:line="252" w:lineRule="auto"/>
            </w:pPr>
            <w:r>
              <w:rPr>
                <w:b w:val="0"/>
                <w:i w:val="0"/>
                <w:sz w:val="16"/>
              </w:rPr>
              <w:t>422</w:t>
            </w:r>
          </w:p>
        </w:tc>
        <w:tc>
          <w:tcPr>
            <w:tcW w:type="dxa" w:w="4876"/>
            <w:vAlign w:val="top"/>
          </w:tcPr>
          <w:p>
            <w:pPr>
              <w:spacing w:after="20" w:line="252" w:lineRule="auto"/>
            </w:pPr>
            <w:r>
              <w:rPr>
                <w:b w:val="0"/>
                <w:i w:val="0"/>
                <w:sz w:val="16"/>
              </w:rPr>
              <w:t>Business rule codes, e.g. AGENCY_BLOCKED, SUBMISSION_INCOMPLETE, QUOTATION_EXPIRED</w:t>
            </w:r>
          </w:p>
        </w:tc>
        <w:tc>
          <w:tcPr>
            <w:tcW w:type="dxa" w:w="3969"/>
            <w:vAlign w:val="top"/>
          </w:tcPr>
          <w:p>
            <w:pPr>
              <w:spacing w:after="20" w:line="252" w:lineRule="auto"/>
            </w:pPr>
            <w:r>
              <w:rPr>
                <w:b w:val="0"/>
                <w:i w:val="0"/>
                <w:sz w:val="16"/>
              </w:rPr>
              <w:t>Valid request that breaks a business rule</w:t>
            </w:r>
          </w:p>
        </w:tc>
      </w:tr>
      <w:tr>
        <w:trPr>
          <w:cantSplit/>
        </w:trPr>
        <w:tc>
          <w:tcPr>
            <w:tcW w:type="dxa" w:w="794"/>
            <w:vAlign w:val="top"/>
            <w:shd w:val="clear" w:color="auto" w:fill="FDF0F7"/>
          </w:tcPr>
          <w:p>
            <w:pPr>
              <w:spacing w:after="20" w:line="252" w:lineRule="auto"/>
            </w:pPr>
            <w:r>
              <w:rPr>
                <w:b w:val="0"/>
                <w:i w:val="0"/>
                <w:sz w:val="16"/>
              </w:rPr>
              <w:t>429</w:t>
            </w:r>
          </w:p>
        </w:tc>
        <w:tc>
          <w:tcPr>
            <w:tcW w:type="dxa" w:w="4876"/>
            <w:vAlign w:val="top"/>
            <w:shd w:val="clear" w:color="auto" w:fill="FDF0F7"/>
          </w:tcPr>
          <w:p>
            <w:pPr>
              <w:spacing w:after="20" w:line="252" w:lineRule="auto"/>
            </w:pPr>
            <w:r>
              <w:rPr>
                <w:b w:val="0"/>
                <w:i w:val="0"/>
                <w:sz w:val="16"/>
              </w:rPr>
              <w:t>TOO_MANY_REQUESTS</w:t>
            </w:r>
          </w:p>
        </w:tc>
        <w:tc>
          <w:tcPr>
            <w:tcW w:type="dxa" w:w="3969"/>
            <w:vAlign w:val="top"/>
            <w:shd w:val="clear" w:color="auto" w:fill="FDF0F7"/>
          </w:tcPr>
          <w:p>
            <w:pPr>
              <w:spacing w:after="20" w:line="252" w:lineRule="auto"/>
            </w:pPr>
            <w:r>
              <w:rPr>
                <w:b w:val="0"/>
                <w:i w:val="0"/>
                <w:sz w:val="16"/>
              </w:rPr>
              <w:t>Rate limit reached</w:t>
            </w:r>
          </w:p>
        </w:tc>
      </w:tr>
      <w:tr>
        <w:trPr>
          <w:cantSplit/>
        </w:trPr>
        <w:tc>
          <w:tcPr>
            <w:tcW w:type="dxa" w:w="794"/>
            <w:vAlign w:val="top"/>
          </w:tcPr>
          <w:p>
            <w:pPr>
              <w:spacing w:after="20" w:line="252" w:lineRule="auto"/>
            </w:pPr>
            <w:r>
              <w:rPr>
                <w:b w:val="0"/>
                <w:i w:val="0"/>
                <w:sz w:val="16"/>
              </w:rPr>
              <w:t>500</w:t>
            </w:r>
          </w:p>
        </w:tc>
        <w:tc>
          <w:tcPr>
            <w:tcW w:type="dxa" w:w="4876"/>
            <w:vAlign w:val="top"/>
          </w:tcPr>
          <w:p>
            <w:pPr>
              <w:spacing w:after="20" w:line="252" w:lineRule="auto"/>
            </w:pPr>
            <w:r>
              <w:rPr>
                <w:b w:val="0"/>
                <w:i w:val="0"/>
                <w:sz w:val="16"/>
              </w:rPr>
              <w:t>INTERNAL_ERROR</w:t>
            </w:r>
          </w:p>
        </w:tc>
        <w:tc>
          <w:tcPr>
            <w:tcW w:type="dxa" w:w="3969"/>
            <w:vAlign w:val="top"/>
          </w:tcPr>
          <w:p>
            <w:pPr>
              <w:spacing w:after="20" w:line="252" w:lineRule="auto"/>
            </w:pPr>
            <w:r>
              <w:rPr>
                <w:b w:val="0"/>
                <w:i w:val="0"/>
                <w:sz w:val="16"/>
              </w:rPr>
              <w:t>Unexpected error; logged with stack trace on the server only</w:t>
            </w:r>
          </w:p>
        </w:tc>
      </w:tr>
      <w:tr>
        <w:trPr>
          <w:cantSplit/>
        </w:trPr>
        <w:tc>
          <w:tcPr>
            <w:tcW w:type="dxa" w:w="794"/>
            <w:vAlign w:val="top"/>
            <w:shd w:val="clear" w:color="auto" w:fill="FDF0F7"/>
          </w:tcPr>
          <w:p>
            <w:pPr>
              <w:spacing w:after="20" w:line="252" w:lineRule="auto"/>
            </w:pPr>
            <w:r>
              <w:rPr>
                <w:b w:val="0"/>
                <w:i w:val="0"/>
                <w:sz w:val="16"/>
              </w:rPr>
              <w:t>503</w:t>
            </w:r>
          </w:p>
        </w:tc>
        <w:tc>
          <w:tcPr>
            <w:tcW w:type="dxa" w:w="4876"/>
            <w:vAlign w:val="top"/>
            <w:shd w:val="clear" w:color="auto" w:fill="FDF0F7"/>
          </w:tcPr>
          <w:p>
            <w:pPr>
              <w:spacing w:after="20" w:line="252" w:lineRule="auto"/>
            </w:pPr>
            <w:r>
              <w:rPr>
                <w:b w:val="0"/>
                <w:i w:val="0"/>
                <w:sz w:val="16"/>
              </w:rPr>
              <w:t>NOT_READY, NOT_CONFIGURED</w:t>
            </w:r>
          </w:p>
        </w:tc>
        <w:tc>
          <w:tcPr>
            <w:tcW w:type="dxa" w:w="3969"/>
            <w:vAlign w:val="top"/>
            <w:shd w:val="clear" w:color="auto" w:fill="FDF0F7"/>
          </w:tcPr>
          <w:p>
            <w:pPr>
              <w:spacing w:after="20" w:line="252" w:lineRule="auto"/>
            </w:pPr>
            <w:r>
              <w:rPr>
                <w:b w:val="0"/>
                <w:i w:val="0"/>
                <w:sz w:val="16"/>
              </w:rPr>
              <w:t>Database unavailable; inbound integration not configured</w:t>
            </w:r>
          </w:p>
        </w:tc>
      </w:tr>
    </w:tbl>
    <w:p>
      <w:pPr>
        <w:pStyle w:val="Caption"/>
        <w:jc w:val="center"/>
      </w:pPr>
      <w:r>
        <w:rPr>
          <w:b w:val="0"/>
          <w:i w:val="0"/>
        </w:rPr>
        <w:t>Table 9: Error responses</w:t>
      </w:r>
    </w:p>
    <w:p>
      <w:pPr>
        <w:pStyle w:val="Heading2"/>
      </w:pPr>
      <w:r>
        <w:t>5.6 Consistency and concurrency</w:t>
      </w:r>
    </w:p>
    <w:p>
      <w:pPr>
        <w:pStyle w:val="ListBullet"/>
      </w:pPr>
      <w:r>
        <w:rPr>
          <w:b w:val="0"/>
          <w:i w:val="0"/>
        </w:rPr>
        <w:t>Each business operation runs in one database transaction that includes its audit row and outbox message.</w:t>
      </w:r>
    </w:p>
    <w:p>
      <w:pPr>
        <w:pStyle w:val="ListBullet"/>
      </w:pPr>
      <w:r>
        <w:rPr>
          <w:b w:val="0"/>
          <w:i w:val="0"/>
        </w:rPr>
        <w:t>Records edited by several users (agent, participant, policy) carry a version column; updates quote the version read and fail with STALE_RECORD if it changed.</w:t>
      </w:r>
    </w:p>
    <w:p>
      <w:pPr>
        <w:pStyle w:val="ListBullet"/>
      </w:pPr>
      <w:r>
        <w:rPr>
          <w:b w:val="0"/>
          <w:i w:val="0"/>
        </w:rPr>
        <w:t>Approval decisions update the request only if it is still PENDING at the expected level, so two checkers cannot both decide.</w:t>
      </w:r>
    </w:p>
    <w:p>
      <w:pPr>
        <w:pStyle w:val="ListBullet"/>
      </w:pPr>
      <w:r>
        <w:rPr>
          <w:b w:val="0"/>
          <w:i w:val="0"/>
        </w:rPr>
        <w:t>Reference numbers come from PostgreSQL sequences, which are safe across replicas without row locks.</w:t>
      </w:r>
    </w:p>
    <w:p>
      <w:pPr>
        <w:pStyle w:val="ListBullet"/>
      </w:pPr>
      <w:r>
        <w:rPr>
          <w:b w:val="0"/>
          <w:i w:val="0"/>
        </w:rPr>
        <w:t>Amounts are DECIMAL end to end and rounded half-up to two places; binary floating point is never stored.</w:t>
      </w:r>
    </w:p>
    <w:p>
      <w:pPr>
        <w:pStyle w:val="Heading1"/>
        <w:pageBreakBefore/>
        <w:pBdr>
          <w:bottom w:val="single" w:sz="12" w:space="4" w:color="F58220"/>
        </w:pBdr>
      </w:pPr>
      <w:r>
        <w:t>6. Data Architecture</w:t>
      </w:r>
    </w:p>
    <w:p>
      <w:pPr>
        <w:keepNext w:val="0"/>
      </w:pPr>
      <w:r>
        <w:rPr>
          <w:b w:val="0"/>
          <w:i w:val="0"/>
        </w:rPr>
        <w:t>The database has 37 tables in 13 areas. The Data Dictionary documents every column; this chapter explains the structure and the controls around it.</w:t>
      </w:r>
    </w:p>
    <w:p>
      <w:pPr>
        <w:pStyle w:val="Heading2"/>
      </w:pPr>
      <w:r>
        <w:t>6.1 Entity overview</w:t>
      </w:r>
    </w:p>
    <w:p>
      <w:pPr>
        <w:keepNext/>
        <w:spacing w:after="0"/>
        <w:jc w:val="center"/>
      </w:pPr>
      <w:r>
        <w:drawing>
          <wp:inline xmlns:a="http://schemas.openxmlformats.org/drawingml/2006/main" xmlns:pic="http://schemas.openxmlformats.org/drawingml/2006/picture">
            <wp:extent cx="5760000" cy="5101713"/>
            <wp:docPr id="8" name="Picture 8"/>
            <wp:cNvGraphicFramePr>
              <a:graphicFrameLocks noChangeAspect="1"/>
            </wp:cNvGraphicFramePr>
            <a:graphic>
              <a:graphicData uri="http://schemas.openxmlformats.org/drawingml/2006/picture">
                <pic:pic>
                  <pic:nvPicPr>
                    <pic:cNvPr id="0" name="tech-entities.png"/>
                    <pic:cNvPicPr/>
                  </pic:nvPicPr>
                  <pic:blipFill>
                    <a:blip r:embed="rId18"/>
                    <a:stretch>
                      <a:fillRect/>
                    </a:stretch>
                  </pic:blipFill>
                  <pic:spPr>
                    <a:xfrm>
                      <a:off x="0" y="0"/>
                      <a:ext cx="5760000" cy="5101713"/>
                    </a:xfrm>
                    <a:prstGeom prst="rect"/>
                  </pic:spPr>
                </pic:pic>
              </a:graphicData>
            </a:graphic>
          </wp:inline>
        </w:drawing>
      </w:r>
    </w:p>
    <w:p>
      <w:pPr>
        <w:pStyle w:val="Caption"/>
        <w:jc w:val="center"/>
      </w:pPr>
      <w:r>
        <w:rPr>
          <w:b w:val="0"/>
          <w:i w:val="0"/>
        </w:rPr>
        <w:t>Figure 6: Entity overview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948"/>
        <w:gridCol w:w="6690"/>
      </w:tblGrid>
      <w:tr>
        <w:trPr>
          <w:cantSplit/>
          <w:tblHeader/>
        </w:trPr>
        <w:tc>
          <w:tcPr>
            <w:tcW w:type="dxa" w:w="2948"/>
            <w:shd w:val="clear" w:color="auto" w:fill="E1058C"/>
            <w:vAlign w:val="center"/>
          </w:tcPr>
          <w:p>
            <w:pPr>
              <w:spacing w:after="0"/>
            </w:pPr>
            <w:r>
              <w:rPr>
                <w:b/>
                <w:i w:val="0"/>
                <w:color w:val="FFFFFF"/>
                <w:sz w:val="16"/>
              </w:rPr>
              <w:t>Entity</w:t>
            </w:r>
          </w:p>
        </w:tc>
        <w:tc>
          <w:tcPr>
            <w:tcW w:type="dxa" w:w="6690"/>
            <w:shd w:val="clear" w:color="auto" w:fill="E1058C"/>
            <w:vAlign w:val="center"/>
          </w:tcPr>
          <w:p>
            <w:pPr>
              <w:spacing w:after="0"/>
            </w:pPr>
            <w:r>
              <w:rPr>
                <w:b/>
                <w:i w:val="0"/>
                <w:color w:val="FFFFFF"/>
                <w:sz w:val="16"/>
              </w:rPr>
              <w:t>Role in the model</w:t>
            </w:r>
          </w:p>
        </w:tc>
      </w:tr>
      <w:tr>
        <w:trPr>
          <w:cantSplit/>
        </w:trPr>
        <w:tc>
          <w:tcPr>
            <w:tcW w:type="dxa" w:w="2948"/>
            <w:vAlign w:val="top"/>
          </w:tcPr>
          <w:p>
            <w:pPr>
              <w:spacing w:after="20" w:line="252" w:lineRule="auto"/>
            </w:pPr>
            <w:r>
              <w:rPr>
                <w:b w:val="0"/>
                <w:i w:val="0"/>
                <w:sz w:val="16"/>
              </w:rPr>
              <w:t>agency, agent</w:t>
            </w:r>
          </w:p>
        </w:tc>
        <w:tc>
          <w:tcPr>
            <w:tcW w:type="dxa" w:w="6690"/>
            <w:vAlign w:val="top"/>
          </w:tcPr>
          <w:p>
            <w:pPr>
              <w:spacing w:after="20" w:line="252" w:lineRule="auto"/>
            </w:pPr>
            <w:r>
              <w:rPr>
                <w:b w:val="0"/>
                <w:i w:val="0"/>
                <w:sz w:val="16"/>
              </w:rPr>
              <w:t>Distribution structure. Agents belong to one agency or bank; sub-agents point to their main agent. Agency carries the issuance block.</w:t>
            </w:r>
          </w:p>
        </w:tc>
      </w:tr>
      <w:tr>
        <w:trPr>
          <w:cantSplit/>
        </w:trPr>
        <w:tc>
          <w:tcPr>
            <w:tcW w:type="dxa" w:w="2948"/>
            <w:vAlign w:val="top"/>
            <w:shd w:val="clear" w:color="auto" w:fill="FDF0F7"/>
          </w:tcPr>
          <w:p>
            <w:pPr>
              <w:spacing w:after="20" w:line="252" w:lineRule="auto"/>
            </w:pPr>
            <w:r>
              <w:rPr>
                <w:b w:val="0"/>
                <w:i w:val="0"/>
                <w:sz w:val="16"/>
              </w:rPr>
              <w:t>app_user, role, user_role, role_permission</w:t>
            </w:r>
          </w:p>
        </w:tc>
        <w:tc>
          <w:tcPr>
            <w:tcW w:type="dxa" w:w="6690"/>
            <w:vAlign w:val="top"/>
            <w:shd w:val="clear" w:color="auto" w:fill="FDF0F7"/>
          </w:tcPr>
          <w:p>
            <w:pPr>
              <w:spacing w:after="20" w:line="252" w:lineRule="auto"/>
            </w:pPr>
            <w:r>
              <w:rPr>
                <w:b w:val="0"/>
                <w:i w:val="0"/>
                <w:sz w:val="16"/>
              </w:rPr>
              <w:t>Sign-in identities and role-based permissions. A portal user is linked to exactly one agent.</w:t>
            </w:r>
          </w:p>
        </w:tc>
      </w:tr>
      <w:tr>
        <w:trPr>
          <w:cantSplit/>
        </w:trPr>
        <w:tc>
          <w:tcPr>
            <w:tcW w:type="dxa" w:w="2948"/>
            <w:vAlign w:val="top"/>
          </w:tcPr>
          <w:p>
            <w:pPr>
              <w:spacing w:after="20" w:line="252" w:lineRule="auto"/>
            </w:pPr>
            <w:r>
              <w:rPr>
                <w:b w:val="0"/>
                <w:i w:val="0"/>
                <w:sz w:val="16"/>
              </w:rPr>
              <w:t>participant</w:t>
            </w:r>
          </w:p>
        </w:tc>
        <w:tc>
          <w:tcPr>
            <w:tcW w:type="dxa" w:w="6690"/>
            <w:vAlign w:val="top"/>
          </w:tcPr>
          <w:p>
            <w:pPr>
              <w:spacing w:after="20" w:line="252" w:lineRule="auto"/>
            </w:pPr>
            <w:r>
              <w:rPr>
                <w:b w:val="0"/>
                <w:i w:val="0"/>
                <w:sz w:val="16"/>
              </w:rPr>
              <w:t>One shared record per identification number across agencies; encrypted identifier with blind index; AML status.</w:t>
            </w:r>
          </w:p>
        </w:tc>
      </w:tr>
      <w:tr>
        <w:trPr>
          <w:cantSplit/>
        </w:trPr>
        <w:tc>
          <w:tcPr>
            <w:tcW w:type="dxa" w:w="2948"/>
            <w:vAlign w:val="top"/>
            <w:shd w:val="clear" w:color="auto" w:fill="FDF0F7"/>
          </w:tcPr>
          <w:p>
            <w:pPr>
              <w:spacing w:after="20" w:line="252" w:lineRule="auto"/>
            </w:pPr>
            <w:r>
              <w:rPr>
                <w:b w:val="0"/>
                <w:i w:val="0"/>
                <w:sz w:val="16"/>
              </w:rPr>
              <w:t>product</w:t>
            </w:r>
          </w:p>
        </w:tc>
        <w:tc>
          <w:tcPr>
            <w:tcW w:type="dxa" w:w="6690"/>
            <w:vAlign w:val="top"/>
            <w:shd w:val="clear" w:color="auto" w:fill="FDF0F7"/>
          </w:tcPr>
          <w:p>
            <w:pPr>
              <w:spacing w:after="20" w:line="252" w:lineRule="auto"/>
            </w:pPr>
            <w:r>
              <w:rPr>
                <w:b w:val="0"/>
                <w:i w:val="0"/>
                <w:sz w:val="16"/>
              </w:rPr>
              <w:t>Rating configuration, required documents and questionnaire as validated JSON.</w:t>
            </w:r>
          </w:p>
        </w:tc>
      </w:tr>
      <w:tr>
        <w:trPr>
          <w:cantSplit/>
        </w:trPr>
        <w:tc>
          <w:tcPr>
            <w:tcW w:type="dxa" w:w="2948"/>
            <w:vAlign w:val="top"/>
          </w:tcPr>
          <w:p>
            <w:pPr>
              <w:spacing w:after="20" w:line="252" w:lineRule="auto"/>
            </w:pPr>
            <w:r>
              <w:rPr>
                <w:b w:val="0"/>
                <w:i w:val="0"/>
                <w:sz w:val="16"/>
              </w:rPr>
              <w:t>policy</w:t>
            </w:r>
          </w:p>
        </w:tc>
        <w:tc>
          <w:tcPr>
            <w:tcW w:type="dxa" w:w="6690"/>
            <w:vAlign w:val="top"/>
          </w:tcPr>
          <w:p>
            <w:pPr>
              <w:spacing w:after="20" w:line="252" w:lineRule="auto"/>
            </w:pPr>
            <w:r>
              <w:rPr>
                <w:b w:val="0"/>
                <w:i w:val="0"/>
                <w:sz w:val="16"/>
              </w:rPr>
              <w:t>Quotation and policy in one row through the whole lifecycle; contribution breakdown and risk details as JSON; outstanding amount and due date.</w:t>
            </w:r>
          </w:p>
        </w:tc>
      </w:tr>
      <w:tr>
        <w:trPr>
          <w:cantSplit/>
        </w:trPr>
        <w:tc>
          <w:tcPr>
            <w:tcW w:type="dxa" w:w="2948"/>
            <w:vAlign w:val="top"/>
            <w:shd w:val="clear" w:color="auto" w:fill="FDF0F7"/>
          </w:tcPr>
          <w:p>
            <w:pPr>
              <w:spacing w:after="20" w:line="252" w:lineRule="auto"/>
            </w:pPr>
            <w:r>
              <w:rPr>
                <w:b w:val="0"/>
                <w:i w:val="0"/>
                <w:sz w:val="16"/>
              </w:rPr>
              <w:t>payment, payment_allocation, receipt, commission</w:t>
            </w:r>
          </w:p>
        </w:tc>
        <w:tc>
          <w:tcPr>
            <w:tcW w:type="dxa" w:w="6690"/>
            <w:vAlign w:val="top"/>
            <w:shd w:val="clear" w:color="auto" w:fill="FDF0F7"/>
          </w:tcPr>
          <w:p>
            <w:pPr>
              <w:spacing w:after="20" w:line="252" w:lineRule="auto"/>
            </w:pPr>
            <w:r>
              <w:rPr>
                <w:b w:val="0"/>
                <w:i w:val="0"/>
                <w:sz w:val="16"/>
              </w:rPr>
              <w:t>Bulk payments allocated per policy; one receipt per policy; commission accrued at issuance.</w:t>
            </w:r>
          </w:p>
        </w:tc>
      </w:tr>
      <w:tr>
        <w:trPr>
          <w:cantSplit/>
        </w:trPr>
        <w:tc>
          <w:tcPr>
            <w:tcW w:type="dxa" w:w="2948"/>
            <w:vAlign w:val="top"/>
          </w:tcPr>
          <w:p>
            <w:pPr>
              <w:spacing w:after="20" w:line="252" w:lineRule="auto"/>
            </w:pPr>
            <w:r>
              <w:rPr>
                <w:b w:val="0"/>
                <w:i w:val="0"/>
                <w:sz w:val="16"/>
              </w:rPr>
              <w:t>approval_request, approval_action</w:t>
            </w:r>
          </w:p>
        </w:tc>
        <w:tc>
          <w:tcPr>
            <w:tcW w:type="dxa" w:w="6690"/>
            <w:vAlign w:val="top"/>
          </w:tcPr>
          <w:p>
            <w:pPr>
              <w:spacing w:after="20" w:line="252" w:lineRule="auto"/>
            </w:pPr>
            <w:r>
              <w:rPr>
                <w:b w:val="0"/>
                <w:i w:val="0"/>
                <w:sz w:val="16"/>
              </w:rPr>
              <w:t>Maker-checker requests with payload and resolved levels; full action history.</w:t>
            </w:r>
          </w:p>
        </w:tc>
      </w:tr>
      <w:tr>
        <w:trPr>
          <w:cantSplit/>
        </w:trPr>
        <w:tc>
          <w:tcPr>
            <w:tcW w:type="dxa" w:w="2948"/>
            <w:vAlign w:val="top"/>
            <w:shd w:val="clear" w:color="auto" w:fill="FDF0F7"/>
          </w:tcPr>
          <w:p>
            <w:pPr>
              <w:spacing w:after="20" w:line="252" w:lineRule="auto"/>
            </w:pPr>
            <w:r>
              <w:rPr>
                <w:b w:val="0"/>
                <w:i w:val="0"/>
                <w:sz w:val="16"/>
              </w:rPr>
              <w:t>document</w:t>
            </w:r>
          </w:p>
        </w:tc>
        <w:tc>
          <w:tcPr>
            <w:tcW w:type="dxa" w:w="6690"/>
            <w:vAlign w:val="top"/>
            <w:shd w:val="clear" w:color="auto" w:fill="FDF0F7"/>
          </w:tcPr>
          <w:p>
            <w:pPr>
              <w:spacing w:after="20" w:line="252" w:lineRule="auto"/>
            </w:pPr>
            <w:r>
              <w:rPr>
                <w:b w:val="0"/>
                <w:i w:val="0"/>
                <w:sz w:val="16"/>
              </w:rPr>
              <w:t>Metadata for encrypted files attached to any owner type.</w:t>
            </w:r>
          </w:p>
        </w:tc>
      </w:tr>
      <w:tr>
        <w:trPr>
          <w:cantSplit/>
        </w:trPr>
        <w:tc>
          <w:tcPr>
            <w:tcW w:type="dxa" w:w="2948"/>
            <w:vAlign w:val="top"/>
          </w:tcPr>
          <w:p>
            <w:pPr>
              <w:spacing w:after="20" w:line="252" w:lineRule="auto"/>
            </w:pPr>
            <w:r>
              <w:rPr>
                <w:b w:val="0"/>
                <w:i w:val="0"/>
                <w:sz w:val="16"/>
              </w:rPr>
              <w:t>audit_log</w:t>
            </w:r>
          </w:p>
        </w:tc>
        <w:tc>
          <w:tcPr>
            <w:tcW w:type="dxa" w:w="6690"/>
            <w:vAlign w:val="top"/>
          </w:tcPr>
          <w:p>
            <w:pPr>
              <w:spacing w:after="20" w:line="252" w:lineRule="auto"/>
            </w:pPr>
            <w:r>
              <w:rPr>
                <w:b w:val="0"/>
                <w:i w:val="0"/>
                <w:sz w:val="16"/>
              </w:rPr>
              <w:t>Append-only audit trail with before and after values.</w:t>
            </w:r>
          </w:p>
        </w:tc>
      </w:tr>
      <w:tr>
        <w:trPr>
          <w:cantSplit/>
        </w:trPr>
        <w:tc>
          <w:tcPr>
            <w:tcW w:type="dxa" w:w="2948"/>
            <w:vAlign w:val="top"/>
            <w:shd w:val="clear" w:color="auto" w:fill="FDF0F7"/>
          </w:tcPr>
          <w:p>
            <w:pPr>
              <w:spacing w:after="20" w:line="252" w:lineRule="auto"/>
            </w:pPr>
            <w:r>
              <w:rPr>
                <w:b w:val="0"/>
                <w:i w:val="0"/>
                <w:sz w:val="16"/>
              </w:rPr>
              <w:t>outbox_message, integration_log, reconciliation_run, eod_run</w:t>
            </w:r>
          </w:p>
        </w:tc>
        <w:tc>
          <w:tcPr>
            <w:tcW w:type="dxa" w:w="6690"/>
            <w:vAlign w:val="top"/>
            <w:shd w:val="clear" w:color="auto" w:fill="FDF0F7"/>
          </w:tcPr>
          <w:p>
            <w:pPr>
              <w:spacing w:after="20" w:line="252" w:lineRule="auto"/>
            </w:pPr>
            <w:r>
              <w:rPr>
                <w:b w:val="0"/>
                <w:i w:val="0"/>
                <w:sz w:val="16"/>
              </w:rPr>
              <w:t>Integration delivery, call log, reconciliation and end-of-day history.</w:t>
            </w:r>
          </w:p>
        </w:tc>
      </w:tr>
    </w:tbl>
    <w:p>
      <w:pPr>
        <w:pStyle w:val="Caption"/>
        <w:jc w:val="center"/>
      </w:pPr>
      <w:r>
        <w:rPr>
          <w:b w:val="0"/>
          <w:i w:val="0"/>
        </w:rPr>
        <w:t>Table 10: Key entities</w:t>
      </w:r>
    </w:p>
    <w:p>
      <w:pPr>
        <w:pStyle w:val="Heading2"/>
      </w:pPr>
      <w:r>
        <w:t>6.2 Why PostgreSQL</w:t>
      </w:r>
    </w:p>
    <w:p>
      <w:pPr>
        <w:keepNext w:val="0"/>
      </w:pPr>
      <w:r>
        <w:rPr>
          <w:b w:val="0"/>
          <w:i w:val="0"/>
        </w:rPr>
        <w:t>PostgreSQL 16 was chosen over MongoDB because IIFT's data is relational and financial, and because issuance, receipting, audit and integration must commit together.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4422"/>
        <w:gridCol w:w="3288"/>
      </w:tblGrid>
      <w:tr>
        <w:trPr>
          <w:cantSplit/>
          <w:tblHeader/>
        </w:trPr>
        <w:tc>
          <w:tcPr>
            <w:tcW w:type="dxa" w:w="1928"/>
            <w:shd w:val="clear" w:color="auto" w:fill="E1058C"/>
            <w:vAlign w:val="center"/>
          </w:tcPr>
          <w:p>
            <w:pPr>
              <w:spacing w:after="0"/>
            </w:pPr>
            <w:r>
              <w:rPr>
                <w:b/>
                <w:i w:val="0"/>
                <w:color w:val="FFFFFF"/>
                <w:sz w:val="16"/>
              </w:rPr>
              <w:t>Criterion</w:t>
            </w:r>
          </w:p>
        </w:tc>
        <w:tc>
          <w:tcPr>
            <w:tcW w:type="dxa" w:w="4422"/>
            <w:shd w:val="clear" w:color="auto" w:fill="E1058C"/>
            <w:vAlign w:val="center"/>
          </w:tcPr>
          <w:p>
            <w:pPr>
              <w:spacing w:after="0"/>
            </w:pPr>
            <w:r>
              <w:rPr>
                <w:b/>
                <w:i w:val="0"/>
                <w:color w:val="FFFFFF"/>
                <w:sz w:val="16"/>
              </w:rPr>
              <w:t>PostgreSQL 16 (selected)</w:t>
            </w:r>
          </w:p>
        </w:tc>
        <w:tc>
          <w:tcPr>
            <w:tcW w:type="dxa" w:w="3288"/>
            <w:shd w:val="clear" w:color="auto" w:fill="E1058C"/>
            <w:vAlign w:val="center"/>
          </w:tcPr>
          <w:p>
            <w:pPr>
              <w:spacing w:after="0"/>
            </w:pPr>
            <w:r>
              <w:rPr>
                <w:b/>
                <w:i w:val="0"/>
                <w:color w:val="FFFFFF"/>
                <w:sz w:val="16"/>
              </w:rPr>
              <w:t>MongoDB</w:t>
            </w:r>
          </w:p>
        </w:tc>
      </w:tr>
      <w:tr>
        <w:trPr>
          <w:cantSplit/>
        </w:trPr>
        <w:tc>
          <w:tcPr>
            <w:tcW w:type="dxa" w:w="1928"/>
            <w:vAlign w:val="top"/>
          </w:tcPr>
          <w:p>
            <w:pPr>
              <w:spacing w:after="20" w:line="252" w:lineRule="auto"/>
            </w:pPr>
            <w:r>
              <w:rPr>
                <w:b/>
                <w:i w:val="0"/>
                <w:sz w:val="16"/>
              </w:rPr>
              <w:t>Data shape</w:t>
            </w:r>
          </w:p>
        </w:tc>
        <w:tc>
          <w:tcPr>
            <w:tcW w:type="dxa" w:w="4422"/>
            <w:vAlign w:val="top"/>
          </w:tcPr>
          <w:p>
            <w:pPr>
              <w:spacing w:after="20" w:line="252" w:lineRule="auto"/>
            </w:pPr>
            <w:r>
              <w:rPr>
                <w:b w:val="0"/>
                <w:i w:val="0"/>
                <w:sz w:val="16"/>
              </w:rPr>
              <w:t>Agency, agent, sub-agent; policy, participant, nominees, payments, receipts, claims: strongly relational</w:t>
            </w:r>
          </w:p>
        </w:tc>
        <w:tc>
          <w:tcPr>
            <w:tcW w:type="dxa" w:w="3288"/>
            <w:vAlign w:val="top"/>
          </w:tcPr>
          <w:p>
            <w:pPr>
              <w:spacing w:after="20" w:line="252" w:lineRule="auto"/>
            </w:pPr>
            <w:r>
              <w:rPr>
                <w:b w:val="0"/>
                <w:i w:val="0"/>
                <w:sz w:val="16"/>
              </w:rPr>
              <w:t>Suits self-contained documents with few cross-references</w:t>
            </w:r>
          </w:p>
        </w:tc>
      </w:tr>
      <w:tr>
        <w:trPr>
          <w:cantSplit/>
        </w:trPr>
        <w:tc>
          <w:tcPr>
            <w:tcW w:type="dxa" w:w="1928"/>
            <w:vAlign w:val="top"/>
            <w:shd w:val="clear" w:color="auto" w:fill="FDF0F7"/>
          </w:tcPr>
          <w:p>
            <w:pPr>
              <w:spacing w:after="20" w:line="252" w:lineRule="auto"/>
            </w:pPr>
            <w:r>
              <w:rPr>
                <w:b/>
                <w:i w:val="0"/>
                <w:sz w:val="16"/>
              </w:rPr>
              <w:t>Transaction integrity (NFR-16)</w:t>
            </w:r>
          </w:p>
        </w:tc>
        <w:tc>
          <w:tcPr>
            <w:tcW w:type="dxa" w:w="4422"/>
            <w:vAlign w:val="top"/>
            <w:shd w:val="clear" w:color="auto" w:fill="FDF0F7"/>
          </w:tcPr>
          <w:p>
            <w:pPr>
              <w:spacing w:after="20" w:line="252" w:lineRule="auto"/>
            </w:pPr>
            <w:r>
              <w:rPr>
                <w:b w:val="0"/>
                <w:i w:val="0"/>
                <w:sz w:val="16"/>
              </w:rPr>
              <w:t>Issuance, receipt, audit and outbox commit in one ACID transaction</w:t>
            </w:r>
          </w:p>
        </w:tc>
        <w:tc>
          <w:tcPr>
            <w:tcW w:type="dxa" w:w="3288"/>
            <w:vAlign w:val="top"/>
            <w:shd w:val="clear" w:color="auto" w:fill="FDF0F7"/>
          </w:tcPr>
          <w:p>
            <w:pPr>
              <w:spacing w:after="20" w:line="252" w:lineRule="auto"/>
            </w:pPr>
            <w:r>
              <w:rPr>
                <w:b w:val="0"/>
                <w:i w:val="0"/>
                <w:sz w:val="16"/>
              </w:rPr>
              <w:t>Multi-document transactions exist but are not the natural model</w:t>
            </w:r>
          </w:p>
        </w:tc>
      </w:tr>
      <w:tr>
        <w:trPr>
          <w:cantSplit/>
        </w:trPr>
        <w:tc>
          <w:tcPr>
            <w:tcW w:type="dxa" w:w="1928"/>
            <w:vAlign w:val="top"/>
          </w:tcPr>
          <w:p>
            <w:pPr>
              <w:spacing w:after="20" w:line="252" w:lineRule="auto"/>
            </w:pPr>
            <w:r>
              <w:rPr>
                <w:b/>
                <w:i w:val="0"/>
                <w:sz w:val="16"/>
              </w:rPr>
              <w:t>Financial accuracy</w:t>
            </w:r>
          </w:p>
        </w:tc>
        <w:tc>
          <w:tcPr>
            <w:tcW w:type="dxa" w:w="4422"/>
            <w:vAlign w:val="top"/>
          </w:tcPr>
          <w:p>
            <w:pPr>
              <w:spacing w:after="20" w:line="252" w:lineRule="auto"/>
            </w:pPr>
            <w:r>
              <w:rPr>
                <w:b w:val="0"/>
                <w:i w:val="0"/>
                <w:sz w:val="16"/>
              </w:rPr>
              <w:t>Exact DECIMAL, foreign keys, CHECK and UNIQUE constraints in the database</w:t>
            </w:r>
          </w:p>
        </w:tc>
        <w:tc>
          <w:tcPr>
            <w:tcW w:type="dxa" w:w="3288"/>
            <w:vAlign w:val="top"/>
          </w:tcPr>
          <w:p>
            <w:pPr>
              <w:spacing w:after="20" w:line="252" w:lineRule="auto"/>
            </w:pPr>
            <w:r>
              <w:rPr>
                <w:b w:val="0"/>
                <w:i w:val="0"/>
                <w:sz w:val="16"/>
              </w:rPr>
              <w:t>Decimal128; most integrity rules move into application code</w:t>
            </w:r>
          </w:p>
        </w:tc>
      </w:tr>
      <w:tr>
        <w:trPr>
          <w:cantSplit/>
        </w:trPr>
        <w:tc>
          <w:tcPr>
            <w:tcW w:type="dxa" w:w="1928"/>
            <w:vAlign w:val="top"/>
            <w:shd w:val="clear" w:color="auto" w:fill="FDF0F7"/>
          </w:tcPr>
          <w:p>
            <w:pPr>
              <w:spacing w:after="20" w:line="252" w:lineRule="auto"/>
            </w:pPr>
            <w:r>
              <w:rPr>
                <w:b/>
                <w:i w:val="0"/>
                <w:sz w:val="16"/>
              </w:rPr>
              <w:t>Reporting (BO-22 to BO-25)</w:t>
            </w:r>
          </w:p>
        </w:tc>
        <w:tc>
          <w:tcPr>
            <w:tcW w:type="dxa" w:w="4422"/>
            <w:vAlign w:val="top"/>
            <w:shd w:val="clear" w:color="auto" w:fill="FDF0F7"/>
          </w:tcPr>
          <w:p>
            <w:pPr>
              <w:spacing w:after="20" w:line="252" w:lineRule="auto"/>
            </w:pPr>
            <w:r>
              <w:rPr>
                <w:b w:val="0"/>
                <w:i w:val="0"/>
                <w:sz w:val="16"/>
              </w:rPr>
              <w:t>Joins and aggregates in SQL</w:t>
            </w:r>
          </w:p>
        </w:tc>
        <w:tc>
          <w:tcPr>
            <w:tcW w:type="dxa" w:w="3288"/>
            <w:vAlign w:val="top"/>
            <w:shd w:val="clear" w:color="auto" w:fill="FDF0F7"/>
          </w:tcPr>
          <w:p>
            <w:pPr>
              <w:spacing w:after="20" w:line="252" w:lineRule="auto"/>
            </w:pPr>
            <w:r>
              <w:rPr>
                <w:b w:val="0"/>
                <w:i w:val="0"/>
                <w:sz w:val="16"/>
              </w:rPr>
              <w:t>Aggregation pipelines with $lookup</w:t>
            </w:r>
          </w:p>
        </w:tc>
      </w:tr>
      <w:tr>
        <w:trPr>
          <w:cantSplit/>
        </w:trPr>
        <w:tc>
          <w:tcPr>
            <w:tcW w:type="dxa" w:w="1928"/>
            <w:vAlign w:val="top"/>
          </w:tcPr>
          <w:p>
            <w:pPr>
              <w:spacing w:after="20" w:line="252" w:lineRule="auto"/>
            </w:pPr>
            <w:r>
              <w:rPr>
                <w:b/>
                <w:i w:val="0"/>
                <w:sz w:val="16"/>
              </w:rPr>
              <w:t>Flexible structures</w:t>
            </w:r>
          </w:p>
        </w:tc>
        <w:tc>
          <w:tcPr>
            <w:tcW w:type="dxa" w:w="4422"/>
            <w:vAlign w:val="top"/>
          </w:tcPr>
          <w:p>
            <w:pPr>
              <w:spacing w:after="20" w:line="252" w:lineRule="auto"/>
            </w:pPr>
            <w:r>
              <w:rPr>
                <w:b w:val="0"/>
                <w:i w:val="0"/>
                <w:sz w:val="16"/>
              </w:rPr>
              <w:t>JSONB for product configuration, questionnaires, audit values, outbox payloads</w:t>
            </w:r>
          </w:p>
        </w:tc>
        <w:tc>
          <w:tcPr>
            <w:tcW w:type="dxa" w:w="3288"/>
            <w:vAlign w:val="top"/>
          </w:tcPr>
          <w:p>
            <w:pPr>
              <w:spacing w:after="20" w:line="252" w:lineRule="auto"/>
            </w:pPr>
            <w:r>
              <w:rPr>
                <w:b w:val="0"/>
                <w:i w:val="0"/>
                <w:sz w:val="16"/>
              </w:rPr>
              <w:t>Native</w:t>
            </w:r>
          </w:p>
        </w:tc>
      </w:tr>
      <w:tr>
        <w:trPr>
          <w:cantSplit/>
        </w:trPr>
        <w:tc>
          <w:tcPr>
            <w:tcW w:type="dxa" w:w="1928"/>
            <w:vAlign w:val="top"/>
            <w:shd w:val="clear" w:color="auto" w:fill="FDF0F7"/>
          </w:tcPr>
          <w:p>
            <w:pPr>
              <w:spacing w:after="20" w:line="252" w:lineRule="auto"/>
            </w:pPr>
            <w:r>
              <w:rPr>
                <w:b/>
                <w:i w:val="0"/>
                <w:sz w:val="16"/>
              </w:rPr>
              <w:t>Operations</w:t>
            </w:r>
          </w:p>
        </w:tc>
        <w:tc>
          <w:tcPr>
            <w:tcW w:type="dxa" w:w="4422"/>
            <w:vAlign w:val="top"/>
            <w:shd w:val="clear" w:color="auto" w:fill="FDF0F7"/>
          </w:tcPr>
          <w:p>
            <w:pPr>
              <w:spacing w:after="20" w:line="252" w:lineRule="auto"/>
            </w:pPr>
            <w:r>
              <w:rPr>
                <w:b w:val="0"/>
                <w:i w:val="0"/>
                <w:sz w:val="16"/>
              </w:rPr>
              <w:t>Streaming replication, PITR, pgBackRest; managed service on AWS and Azure; skills common in IITH</w:t>
            </w:r>
          </w:p>
        </w:tc>
        <w:tc>
          <w:tcPr>
            <w:tcW w:type="dxa" w:w="3288"/>
            <w:vAlign w:val="top"/>
            <w:shd w:val="clear" w:color="auto" w:fill="FDF0F7"/>
          </w:tcPr>
          <w:p>
            <w:pPr>
              <w:spacing w:after="20" w:line="252" w:lineRule="auto"/>
            </w:pPr>
            <w:r>
              <w:rPr>
                <w:b w:val="0"/>
                <w:i w:val="0"/>
                <w:sz w:val="16"/>
              </w:rPr>
              <w:t>Replica sets; a second database skill set</w:t>
            </w:r>
          </w:p>
        </w:tc>
      </w:tr>
      <w:tr>
        <w:trPr>
          <w:cantSplit/>
        </w:trPr>
        <w:tc>
          <w:tcPr>
            <w:tcW w:type="dxa" w:w="1928"/>
            <w:vAlign w:val="top"/>
          </w:tcPr>
          <w:p>
            <w:pPr>
              <w:spacing w:after="20" w:line="252" w:lineRule="auto"/>
            </w:pPr>
            <w:r>
              <w:rPr>
                <w:b/>
                <w:i w:val="0"/>
                <w:sz w:val="16"/>
              </w:rPr>
              <w:t>Licence</w:t>
            </w:r>
          </w:p>
        </w:tc>
        <w:tc>
          <w:tcPr>
            <w:tcW w:type="dxa" w:w="4422"/>
            <w:vAlign w:val="top"/>
          </w:tcPr>
          <w:p>
            <w:pPr>
              <w:spacing w:after="20" w:line="252" w:lineRule="auto"/>
            </w:pPr>
            <w:r>
              <w:rPr>
                <w:b w:val="0"/>
                <w:i w:val="0"/>
                <w:sz w:val="16"/>
              </w:rPr>
              <w:t>PostgreSQL licence, no fee</w:t>
            </w:r>
          </w:p>
        </w:tc>
        <w:tc>
          <w:tcPr>
            <w:tcW w:type="dxa" w:w="3288"/>
            <w:vAlign w:val="top"/>
          </w:tcPr>
          <w:p>
            <w:pPr>
              <w:spacing w:after="20" w:line="252" w:lineRule="auto"/>
            </w:pPr>
            <w:r>
              <w:rPr>
                <w:b w:val="0"/>
                <w:i w:val="0"/>
                <w:sz w:val="16"/>
              </w:rPr>
              <w:t>SSPL; some enterprise features paid</w:t>
            </w:r>
          </w:p>
        </w:tc>
      </w:tr>
      <w:tr>
        <w:trPr>
          <w:cantSplit/>
        </w:trPr>
        <w:tc>
          <w:tcPr>
            <w:tcW w:type="dxa" w:w="1928"/>
            <w:vAlign w:val="top"/>
            <w:shd w:val="clear" w:color="auto" w:fill="FDF0F7"/>
          </w:tcPr>
          <w:p>
            <w:pPr>
              <w:spacing w:after="20" w:line="252" w:lineRule="auto"/>
            </w:pPr>
            <w:r>
              <w:rPr>
                <w:b/>
                <w:i w:val="0"/>
                <w:sz w:val="16"/>
              </w:rPr>
              <w:t>Fit to volume</w:t>
            </w:r>
          </w:p>
        </w:tc>
        <w:tc>
          <w:tcPr>
            <w:tcW w:type="dxa" w:w="4422"/>
            <w:vAlign w:val="top"/>
            <w:shd w:val="clear" w:color="auto" w:fill="FDF0F7"/>
          </w:tcPr>
          <w:p>
            <w:pPr>
              <w:spacing w:after="20" w:line="252" w:lineRule="auto"/>
            </w:pPr>
            <w:r>
              <w:rPr>
                <w:b w:val="0"/>
                <w:i w:val="0"/>
                <w:sz w:val="16"/>
              </w:rPr>
              <w:t>Under 1 GB of rows after five years at Appendix 2 volumes</w:t>
            </w:r>
          </w:p>
        </w:tc>
        <w:tc>
          <w:tcPr>
            <w:tcW w:type="dxa" w:w="3288"/>
            <w:vAlign w:val="top"/>
            <w:shd w:val="clear" w:color="auto" w:fill="FDF0F7"/>
          </w:tcPr>
          <w:p>
            <w:pPr>
              <w:spacing w:after="20" w:line="252" w:lineRule="auto"/>
            </w:pPr>
            <w:r>
              <w:rPr>
                <w:b w:val="0"/>
                <w:i w:val="0"/>
                <w:sz w:val="16"/>
              </w:rPr>
              <w:t>Strength is very large schemaless data, not needed here</w:t>
            </w:r>
          </w:p>
        </w:tc>
      </w:tr>
    </w:tbl>
    <w:p>
      <w:pPr>
        <w:pStyle w:val="Caption"/>
        <w:jc w:val="center"/>
      </w:pPr>
      <w:r>
        <w:rPr>
          <w:b w:val="0"/>
          <w:i w:val="0"/>
        </w:rPr>
        <w:t>Table 11: Database selection</w:t>
      </w:r>
    </w:p>
    <w:p>
      <w:pPr>
        <w:pStyle w:val="Heading2"/>
      </w:pPr>
      <w:r>
        <w:t>6.3 Integrity controls</w:t>
      </w:r>
    </w:p>
    <w:p>
      <w:pPr>
        <w:pStyle w:val="ListBullet"/>
      </w:pPr>
      <w:r>
        <w:rPr>
          <w:b w:val="0"/>
          <w:i w:val="0"/>
        </w:rPr>
        <w:t>27 foreign keys with explicit ON DELETE rules: RESTRICT for business parents, CASCADE only for dependent detail rows (nominees, events, allocations, comments, role links).</w:t>
      </w:r>
    </w:p>
    <w:p>
      <w:pPr>
        <w:pStyle w:val="ListBullet"/>
      </w:pPr>
      <w:r>
        <w:rPr>
          <w:b w:val="0"/>
          <w:i w:val="0"/>
        </w:rPr>
        <w:t>24 unique indexes, including one participant and one agent per identification type and number, one receipt number, one policy number.</w:t>
      </w:r>
    </w:p>
    <w:p>
      <w:pPr>
        <w:pStyle w:val="ListBullet"/>
      </w:pPr>
      <w:r>
        <w:rPr>
          <w:b w:val="0"/>
          <w:i w:val="0"/>
        </w:rPr>
        <w:t>4 CHECK constraints: amounts on policy, payment and allocation; nominee share between 0 and 100.</w:t>
      </w:r>
    </w:p>
    <w:p>
      <w:pPr>
        <w:pStyle w:val="ListBullet"/>
      </w:pPr>
      <w:r>
        <w:rPr>
          <w:b w:val="0"/>
          <w:i w:val="0"/>
        </w:rPr>
        <w:t>Validation of every request body against a whitelist DTO before it reaches a service; unknown fields are rejected (NFR-30).</w:t>
      </w:r>
    </w:p>
    <w:p>
      <w:pPr>
        <w:pStyle w:val="ListBullet"/>
      </w:pPr>
      <w:r>
        <w:rPr>
          <w:b w:val="0"/>
          <w:i w:val="0"/>
        </w:rPr>
        <w:t>JSON columns (product configuration, questionnaire, payloads) are validated by the owning service before they are written.</w:t>
      </w:r>
    </w:p>
    <w:p>
      <w:pPr>
        <w:pStyle w:val="Heading2"/>
      </w:pPr>
      <w:r>
        <w:t>6.4 Audit trail</w:t>
      </w:r>
    </w:p>
    <w:p>
      <w:pPr>
        <w:keepNext w:val="0"/>
      </w:pPr>
      <w:r>
        <w:rPr>
          <w:b w:val="0"/>
          <w:i w:val="0"/>
        </w:rPr>
        <w:t>The audit service writes one row per security or business event: actor, action, entity, before and after values, IP address, user agent and correlation id. It writes inside the caller's transaction, so an audit row exists exactly when the change exists. Passwords, hashes, encrypted identifiers, tokens and storage keys are replaced with a fixed REDACTED marker. In the database, the trigger audit_log_no_update calls audit_log_block_mutation() before any UPDATE or DELETE and raises an exception, so the trail is append-only whichever client connects. Granting the application role only INSERT and SELECT on audit_log, with a separate migration owner role, is set up during implementation.</w:t>
      </w:r>
    </w:p>
    <w:p>
      <w:pPr>
        <w:pStyle w:val="Heading2"/>
      </w:pPr>
      <w:r>
        <w:t>6.5 Field-level encryption</w:t>
      </w:r>
    </w:p>
    <w:p>
      <w:pPr>
        <w:keepNext w:val="0"/>
      </w:pPr>
      <w:r>
        <w:rPr>
          <w:b w:val="0"/>
          <w:i w:val="0"/>
        </w:rPr>
        <w:t>IC, passport and business registration numbers of agents and participants, and nominee identification numbers, are encrypted by the application before they reach the database: AES-256-GCM with a random 96-bit IV per value, stored as v1:&lt;base64(IV | tag | ciphertext)&gt;. The version prefix allows a new key to be introduced without a big-bang re-encryption. For exact search and duplicate prevention, the application also stores a blind index: HMAC-SHA256 of the normalised number (separators removed, upper case) with a separate key. The unique constraint on (id_type, id_number_hash) therefore blocks duplicates without decrypting anything. Screens show the number masked to its last four characters.</w:t>
      </w:r>
    </w:p>
    <w:p>
      <w:pPr>
        <w:pStyle w:val="Heading2"/>
      </w:pPr>
      <w:r>
        <w:t>6.6 Reference numbers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3628"/>
        <w:gridCol w:w="3402"/>
      </w:tblGrid>
      <w:tr>
        <w:trPr>
          <w:cantSplit/>
          <w:tblHeader/>
        </w:trPr>
        <w:tc>
          <w:tcPr>
            <w:tcW w:type="dxa" w:w="2608"/>
            <w:shd w:val="clear" w:color="auto" w:fill="E1058C"/>
            <w:vAlign w:val="center"/>
          </w:tcPr>
          <w:p>
            <w:pPr>
              <w:spacing w:after="0"/>
            </w:pPr>
            <w:r>
              <w:rPr>
                <w:b/>
                <w:i w:val="0"/>
                <w:color w:val="FFFFFF"/>
                <w:sz w:val="16"/>
              </w:rPr>
              <w:t>Sequence</w:t>
            </w:r>
          </w:p>
        </w:tc>
        <w:tc>
          <w:tcPr>
            <w:tcW w:type="dxa" w:w="3628"/>
            <w:shd w:val="clear" w:color="auto" w:fill="E1058C"/>
            <w:vAlign w:val="center"/>
          </w:tcPr>
          <w:p>
            <w:pPr>
              <w:spacing w:after="0"/>
            </w:pPr>
            <w:r>
              <w:rPr>
                <w:b/>
                <w:i w:val="0"/>
                <w:color w:val="FFFFFF"/>
                <w:sz w:val="16"/>
              </w:rPr>
              <w:t>Format</w:t>
            </w:r>
          </w:p>
        </w:tc>
        <w:tc>
          <w:tcPr>
            <w:tcW w:type="dxa" w:w="3402"/>
            <w:shd w:val="clear" w:color="auto" w:fill="E1058C"/>
            <w:vAlign w:val="center"/>
          </w:tcPr>
          <w:p>
            <w:pPr>
              <w:spacing w:after="0"/>
            </w:pPr>
            <w:r>
              <w:rPr>
                <w:b/>
                <w:i w:val="0"/>
                <w:color w:val="FFFFFF"/>
                <w:sz w:val="16"/>
              </w:rPr>
              <w:t>Column</w:t>
            </w:r>
          </w:p>
        </w:tc>
      </w:tr>
      <w:tr>
        <w:trPr>
          <w:cantSplit/>
        </w:trPr>
        <w:tc>
          <w:tcPr>
            <w:tcW w:type="dxa" w:w="2608"/>
            <w:vAlign w:val="top"/>
          </w:tcPr>
          <w:p>
            <w:pPr>
              <w:spacing w:after="20" w:line="252" w:lineRule="auto"/>
            </w:pPr>
            <w:r>
              <w:rPr>
                <w:b w:val="0"/>
                <w:i w:val="0"/>
                <w:sz w:val="16"/>
              </w:rPr>
              <w:t>seq_agent_code</w:t>
            </w:r>
          </w:p>
        </w:tc>
        <w:tc>
          <w:tcPr>
            <w:tcW w:type="dxa" w:w="3628"/>
            <w:vAlign w:val="top"/>
          </w:tcPr>
          <w:p>
            <w:pPr>
              <w:spacing w:after="20" w:line="252" w:lineRule="auto"/>
            </w:pPr>
            <w:r>
              <w:rPr>
                <w:b w:val="0"/>
                <w:i w:val="0"/>
                <w:sz w:val="16"/>
              </w:rPr>
              <w:t>AG-000045 (agency) or BK-000012 (bank officer)</w:t>
            </w:r>
          </w:p>
        </w:tc>
        <w:tc>
          <w:tcPr>
            <w:tcW w:type="dxa" w:w="3402"/>
            <w:vAlign w:val="top"/>
          </w:tcPr>
          <w:p>
            <w:pPr>
              <w:spacing w:after="20" w:line="252" w:lineRule="auto"/>
            </w:pPr>
            <w:r>
              <w:rPr>
                <w:b w:val="0"/>
                <w:i w:val="0"/>
                <w:sz w:val="16"/>
              </w:rPr>
              <w:t>agent.agent_code</w:t>
            </w:r>
          </w:p>
        </w:tc>
      </w:tr>
      <w:tr>
        <w:trPr>
          <w:cantSplit/>
        </w:trPr>
        <w:tc>
          <w:tcPr>
            <w:tcW w:type="dxa" w:w="2608"/>
            <w:vAlign w:val="top"/>
            <w:shd w:val="clear" w:color="auto" w:fill="FDF0F7"/>
          </w:tcPr>
          <w:p>
            <w:pPr>
              <w:spacing w:after="20" w:line="252" w:lineRule="auto"/>
            </w:pPr>
            <w:r>
              <w:rPr>
                <w:b w:val="0"/>
                <w:i w:val="0"/>
                <w:sz w:val="16"/>
              </w:rPr>
              <w:t>seq_participant_no</w:t>
            </w:r>
          </w:p>
        </w:tc>
        <w:tc>
          <w:tcPr>
            <w:tcW w:type="dxa" w:w="3628"/>
            <w:vAlign w:val="top"/>
            <w:shd w:val="clear" w:color="auto" w:fill="FDF0F7"/>
          </w:tcPr>
          <w:p>
            <w:pPr>
              <w:spacing w:after="20" w:line="252" w:lineRule="auto"/>
            </w:pPr>
            <w:r>
              <w:rPr>
                <w:b w:val="0"/>
                <w:i w:val="0"/>
                <w:sz w:val="16"/>
              </w:rPr>
              <w:t>PT/26/000123</w:t>
            </w:r>
          </w:p>
        </w:tc>
        <w:tc>
          <w:tcPr>
            <w:tcW w:type="dxa" w:w="3402"/>
            <w:vAlign w:val="top"/>
            <w:shd w:val="clear" w:color="auto" w:fill="FDF0F7"/>
          </w:tcPr>
          <w:p>
            <w:pPr>
              <w:spacing w:after="20" w:line="252" w:lineRule="auto"/>
            </w:pPr>
            <w:r>
              <w:rPr>
                <w:b w:val="0"/>
                <w:i w:val="0"/>
                <w:sz w:val="16"/>
              </w:rPr>
              <w:t>participant.participant_no</w:t>
            </w:r>
          </w:p>
        </w:tc>
      </w:tr>
      <w:tr>
        <w:trPr>
          <w:cantSplit/>
        </w:trPr>
        <w:tc>
          <w:tcPr>
            <w:tcW w:type="dxa" w:w="2608"/>
            <w:vAlign w:val="top"/>
          </w:tcPr>
          <w:p>
            <w:pPr>
              <w:spacing w:after="20" w:line="252" w:lineRule="auto"/>
            </w:pPr>
            <w:r>
              <w:rPr>
                <w:b w:val="0"/>
                <w:i w:val="0"/>
                <w:sz w:val="16"/>
              </w:rPr>
              <w:t>seq_quotation_no</w:t>
            </w:r>
          </w:p>
        </w:tc>
        <w:tc>
          <w:tcPr>
            <w:tcW w:type="dxa" w:w="3628"/>
            <w:vAlign w:val="top"/>
          </w:tcPr>
          <w:p>
            <w:pPr>
              <w:spacing w:after="20" w:line="252" w:lineRule="auto"/>
            </w:pPr>
            <w:r>
              <w:rPr>
                <w:b w:val="0"/>
                <w:i w:val="0"/>
                <w:sz w:val="16"/>
              </w:rPr>
              <w:t>QT/26/000123</w:t>
            </w:r>
          </w:p>
        </w:tc>
        <w:tc>
          <w:tcPr>
            <w:tcW w:type="dxa" w:w="3402"/>
            <w:vAlign w:val="top"/>
          </w:tcPr>
          <w:p>
            <w:pPr>
              <w:spacing w:after="20" w:line="252" w:lineRule="auto"/>
            </w:pPr>
            <w:r>
              <w:rPr>
                <w:b w:val="0"/>
                <w:i w:val="0"/>
                <w:sz w:val="16"/>
              </w:rPr>
              <w:t>policy.quotation_no</w:t>
            </w:r>
          </w:p>
        </w:tc>
      </w:tr>
      <w:tr>
        <w:trPr>
          <w:cantSplit/>
        </w:trPr>
        <w:tc>
          <w:tcPr>
            <w:tcW w:type="dxa" w:w="2608"/>
            <w:vAlign w:val="top"/>
            <w:shd w:val="clear" w:color="auto" w:fill="FDF0F7"/>
          </w:tcPr>
          <w:p>
            <w:pPr>
              <w:spacing w:after="20" w:line="252" w:lineRule="auto"/>
            </w:pPr>
            <w:r>
              <w:rPr>
                <w:b w:val="0"/>
                <w:i w:val="0"/>
                <w:sz w:val="16"/>
              </w:rPr>
              <w:t>seq_policy_no</w:t>
            </w:r>
          </w:p>
        </w:tc>
        <w:tc>
          <w:tcPr>
            <w:tcW w:type="dxa" w:w="3628"/>
            <w:vAlign w:val="top"/>
            <w:shd w:val="clear" w:color="auto" w:fill="FDF0F7"/>
          </w:tcPr>
          <w:p>
            <w:pPr>
              <w:spacing w:after="20" w:line="252" w:lineRule="auto"/>
            </w:pPr>
            <w:r>
              <w:rPr>
                <w:b w:val="0"/>
                <w:i w:val="0"/>
                <w:sz w:val="16"/>
              </w:rPr>
              <w:t>PRO/26/000045 (product code prefix)</w:t>
            </w:r>
          </w:p>
        </w:tc>
        <w:tc>
          <w:tcPr>
            <w:tcW w:type="dxa" w:w="3402"/>
            <w:vAlign w:val="top"/>
            <w:shd w:val="clear" w:color="auto" w:fill="FDF0F7"/>
          </w:tcPr>
          <w:p>
            <w:pPr>
              <w:spacing w:after="20" w:line="252" w:lineRule="auto"/>
            </w:pPr>
            <w:r>
              <w:rPr>
                <w:b w:val="0"/>
                <w:i w:val="0"/>
                <w:sz w:val="16"/>
              </w:rPr>
              <w:t>policy.policy_no</w:t>
            </w:r>
          </w:p>
        </w:tc>
      </w:tr>
      <w:tr>
        <w:trPr>
          <w:cantSplit/>
        </w:trPr>
        <w:tc>
          <w:tcPr>
            <w:tcW w:type="dxa" w:w="2608"/>
            <w:vAlign w:val="top"/>
          </w:tcPr>
          <w:p>
            <w:pPr>
              <w:spacing w:after="20" w:line="252" w:lineRule="auto"/>
            </w:pPr>
            <w:r>
              <w:rPr>
                <w:b w:val="0"/>
                <w:i w:val="0"/>
                <w:sz w:val="16"/>
              </w:rPr>
              <w:t>seq_payment_no</w:t>
            </w:r>
          </w:p>
        </w:tc>
        <w:tc>
          <w:tcPr>
            <w:tcW w:type="dxa" w:w="3628"/>
            <w:vAlign w:val="top"/>
          </w:tcPr>
          <w:p>
            <w:pPr>
              <w:spacing w:after="20" w:line="252" w:lineRule="auto"/>
            </w:pPr>
            <w:r>
              <w:rPr>
                <w:b w:val="0"/>
                <w:i w:val="0"/>
                <w:sz w:val="16"/>
              </w:rPr>
              <w:t>PY/26/000123</w:t>
            </w:r>
          </w:p>
        </w:tc>
        <w:tc>
          <w:tcPr>
            <w:tcW w:type="dxa" w:w="3402"/>
            <w:vAlign w:val="top"/>
          </w:tcPr>
          <w:p>
            <w:pPr>
              <w:spacing w:after="20" w:line="252" w:lineRule="auto"/>
            </w:pPr>
            <w:r>
              <w:rPr>
                <w:b w:val="0"/>
                <w:i w:val="0"/>
                <w:sz w:val="16"/>
              </w:rPr>
              <w:t>payment.payment_no</w:t>
            </w:r>
          </w:p>
        </w:tc>
      </w:tr>
      <w:tr>
        <w:trPr>
          <w:cantSplit/>
        </w:trPr>
        <w:tc>
          <w:tcPr>
            <w:tcW w:type="dxa" w:w="2608"/>
            <w:vAlign w:val="top"/>
            <w:shd w:val="clear" w:color="auto" w:fill="FDF0F7"/>
          </w:tcPr>
          <w:p>
            <w:pPr>
              <w:spacing w:after="20" w:line="252" w:lineRule="auto"/>
            </w:pPr>
            <w:r>
              <w:rPr>
                <w:b w:val="0"/>
                <w:i w:val="0"/>
                <w:sz w:val="16"/>
              </w:rPr>
              <w:t>seq_receipt_no</w:t>
            </w:r>
          </w:p>
        </w:tc>
        <w:tc>
          <w:tcPr>
            <w:tcW w:type="dxa" w:w="3628"/>
            <w:vAlign w:val="top"/>
            <w:shd w:val="clear" w:color="auto" w:fill="FDF0F7"/>
          </w:tcPr>
          <w:p>
            <w:pPr>
              <w:spacing w:after="20" w:line="252" w:lineRule="auto"/>
            </w:pPr>
            <w:r>
              <w:rPr>
                <w:b w:val="0"/>
                <w:i w:val="0"/>
                <w:sz w:val="16"/>
              </w:rPr>
              <w:t>RC/26/000123</w:t>
            </w:r>
          </w:p>
        </w:tc>
        <w:tc>
          <w:tcPr>
            <w:tcW w:type="dxa" w:w="3402"/>
            <w:vAlign w:val="top"/>
            <w:shd w:val="clear" w:color="auto" w:fill="FDF0F7"/>
          </w:tcPr>
          <w:p>
            <w:pPr>
              <w:spacing w:after="20" w:line="252" w:lineRule="auto"/>
            </w:pPr>
            <w:r>
              <w:rPr>
                <w:b w:val="0"/>
                <w:i w:val="0"/>
                <w:sz w:val="16"/>
              </w:rPr>
              <w:t>receipt.receipt_no</w:t>
            </w:r>
          </w:p>
        </w:tc>
      </w:tr>
      <w:tr>
        <w:trPr>
          <w:cantSplit/>
        </w:trPr>
        <w:tc>
          <w:tcPr>
            <w:tcW w:type="dxa" w:w="2608"/>
            <w:vAlign w:val="top"/>
          </w:tcPr>
          <w:p>
            <w:pPr>
              <w:spacing w:after="20" w:line="252" w:lineRule="auto"/>
            </w:pPr>
            <w:r>
              <w:rPr>
                <w:b w:val="0"/>
                <w:i w:val="0"/>
                <w:sz w:val="16"/>
              </w:rPr>
              <w:t>seq_claim_no</w:t>
            </w:r>
          </w:p>
        </w:tc>
        <w:tc>
          <w:tcPr>
            <w:tcW w:type="dxa" w:w="3628"/>
            <w:vAlign w:val="top"/>
          </w:tcPr>
          <w:p>
            <w:pPr>
              <w:spacing w:after="20" w:line="252" w:lineRule="auto"/>
            </w:pPr>
            <w:r>
              <w:rPr>
                <w:b w:val="0"/>
                <w:i w:val="0"/>
                <w:sz w:val="16"/>
              </w:rPr>
              <w:t>CL/26/000123</w:t>
            </w:r>
          </w:p>
        </w:tc>
        <w:tc>
          <w:tcPr>
            <w:tcW w:type="dxa" w:w="3402"/>
            <w:vAlign w:val="top"/>
          </w:tcPr>
          <w:p>
            <w:pPr>
              <w:spacing w:after="20" w:line="252" w:lineRule="auto"/>
            </w:pPr>
            <w:r>
              <w:rPr>
                <w:b w:val="0"/>
                <w:i w:val="0"/>
                <w:sz w:val="16"/>
              </w:rPr>
              <w:t>claim.claim_no</w:t>
            </w:r>
          </w:p>
        </w:tc>
      </w:tr>
      <w:tr>
        <w:trPr>
          <w:cantSplit/>
        </w:trPr>
        <w:tc>
          <w:tcPr>
            <w:tcW w:type="dxa" w:w="2608"/>
            <w:vAlign w:val="top"/>
            <w:shd w:val="clear" w:color="auto" w:fill="FDF0F7"/>
          </w:tcPr>
          <w:p>
            <w:pPr>
              <w:spacing w:after="20" w:line="252" w:lineRule="auto"/>
            </w:pPr>
            <w:r>
              <w:rPr>
                <w:b w:val="0"/>
                <w:i w:val="0"/>
                <w:sz w:val="16"/>
              </w:rPr>
              <w:t>seq_issue_no</w:t>
            </w:r>
          </w:p>
        </w:tc>
        <w:tc>
          <w:tcPr>
            <w:tcW w:type="dxa" w:w="3628"/>
            <w:vAlign w:val="top"/>
            <w:shd w:val="clear" w:color="auto" w:fill="FDF0F7"/>
          </w:tcPr>
          <w:p>
            <w:pPr>
              <w:spacing w:after="20" w:line="252" w:lineRule="auto"/>
            </w:pPr>
            <w:r>
              <w:rPr>
                <w:b w:val="0"/>
                <w:i w:val="0"/>
                <w:sz w:val="16"/>
              </w:rPr>
              <w:t>IS/26/000123</w:t>
            </w:r>
          </w:p>
        </w:tc>
        <w:tc>
          <w:tcPr>
            <w:tcW w:type="dxa" w:w="3402"/>
            <w:vAlign w:val="top"/>
            <w:shd w:val="clear" w:color="auto" w:fill="FDF0F7"/>
          </w:tcPr>
          <w:p>
            <w:pPr>
              <w:spacing w:after="20" w:line="252" w:lineRule="auto"/>
            </w:pPr>
            <w:r>
              <w:rPr>
                <w:b w:val="0"/>
                <w:i w:val="0"/>
                <w:sz w:val="16"/>
              </w:rPr>
              <w:t>issue.issue_no</w:t>
            </w:r>
          </w:p>
        </w:tc>
      </w:tr>
      <w:tr>
        <w:trPr>
          <w:cantSplit/>
        </w:trPr>
        <w:tc>
          <w:tcPr>
            <w:tcW w:type="dxa" w:w="2608"/>
            <w:vAlign w:val="top"/>
          </w:tcPr>
          <w:p>
            <w:pPr>
              <w:spacing w:after="20" w:line="252" w:lineRule="auto"/>
            </w:pPr>
            <w:r>
              <w:rPr>
                <w:b w:val="0"/>
                <w:i w:val="0"/>
                <w:sz w:val="16"/>
              </w:rPr>
              <w:t>seq_request_no</w:t>
            </w:r>
          </w:p>
        </w:tc>
        <w:tc>
          <w:tcPr>
            <w:tcW w:type="dxa" w:w="3628"/>
            <w:vAlign w:val="top"/>
          </w:tcPr>
          <w:p>
            <w:pPr>
              <w:spacing w:after="20" w:line="252" w:lineRule="auto"/>
            </w:pPr>
            <w:r>
              <w:rPr>
                <w:b w:val="0"/>
                <w:i w:val="0"/>
                <w:sz w:val="16"/>
              </w:rPr>
              <w:t>RQ/26/000123</w:t>
            </w:r>
          </w:p>
        </w:tc>
        <w:tc>
          <w:tcPr>
            <w:tcW w:type="dxa" w:w="3402"/>
            <w:vAlign w:val="top"/>
          </w:tcPr>
          <w:p>
            <w:pPr>
              <w:spacing w:after="20" w:line="252" w:lineRule="auto"/>
            </w:pPr>
            <w:r>
              <w:rPr>
                <w:b w:val="0"/>
                <w:i w:val="0"/>
                <w:sz w:val="16"/>
              </w:rPr>
              <w:t>approval_request.request_no</w:t>
            </w:r>
          </w:p>
        </w:tc>
      </w:tr>
    </w:tbl>
    <w:p>
      <w:pPr>
        <w:pStyle w:val="Caption"/>
        <w:jc w:val="center"/>
      </w:pPr>
      <w:r>
        <w:rPr>
          <w:b w:val="0"/>
          <w:i w:val="0"/>
        </w:rPr>
        <w:t>Table 12: Business reference numbers</w:t>
      </w:r>
    </w:p>
    <w:p>
      <w:pPr>
        <w:keepNext w:val="0"/>
      </w:pPr>
      <w:r>
        <w:rPr>
          <w:b w:val="0"/>
          <w:i w:val="0"/>
        </w:rPr>
        <w:t>The two-digit year is the calendar year of issue. Sequences never repeat a value; a rolled-back transaction can leave a gap, which is acceptable for these references and is explained to auditors.</w:t>
      </w:r>
    </w:p>
    <w:p>
      <w:pPr>
        <w:pStyle w:val="Heading2"/>
      </w:pPr>
      <w:r>
        <w:t>6.7 Documents</w:t>
      </w:r>
    </w:p>
    <w:p>
      <w:pPr>
        <w:keepNext w:val="0"/>
      </w:pPr>
      <w:r>
        <w:rPr>
          <w:b w:val="0"/>
          <w:i w:val="0"/>
        </w:rPr>
        <w:t>Uploaded and generated files are encrypted with AES-256-GCM (separate key, one IV per file) and written to the document store under a generated key of the form yyyy/mm/&lt;uuid&gt;.bin, so no user input ever influences a file path. The document table holds the owner, type, sanitised file name, detected content type, size, SHA-256 checksum and verification status. The store is a directory: a local or NFS volume on-premise, or an encrypted Amazon EFS or Azure Files share in the cloud. An S3-compatible adapter is delivered during implementation if IIFT prefers object storage.</w:t>
      </w:r>
    </w:p>
    <w:p>
      <w:pPr>
        <w:pStyle w:val="Heading2"/>
      </w:pPr>
      <w:r>
        <w:t>6.8 Configuration data</w:t>
      </w:r>
    </w:p>
    <w:p>
      <w:pPr>
        <w:keepNext w:val="0"/>
      </w:pPr>
      <w:r>
        <w:rPr>
          <w:b w:val="0"/>
          <w:i w:val="0"/>
        </w:rPr>
        <w:t>Business parameters live in config_parameter and are changed in the back-office within the allowed range; every change is audited. Values are cached briefly in each API instance.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061"/>
        <w:gridCol w:w="907"/>
        <w:gridCol w:w="1134"/>
        <w:gridCol w:w="4536"/>
      </w:tblGrid>
      <w:tr>
        <w:trPr>
          <w:cantSplit/>
          <w:tblHeader/>
        </w:trPr>
        <w:tc>
          <w:tcPr>
            <w:tcW w:type="dxa" w:w="3061"/>
            <w:shd w:val="clear" w:color="auto" w:fill="E1058C"/>
            <w:vAlign w:val="center"/>
          </w:tcPr>
          <w:p>
            <w:pPr>
              <w:spacing w:after="0"/>
            </w:pPr>
            <w:r>
              <w:rPr>
                <w:b/>
                <w:i w:val="0"/>
                <w:color w:val="FFFFFF"/>
                <w:sz w:val="15"/>
              </w:rPr>
              <w:t>Parameter</w:t>
            </w:r>
          </w:p>
        </w:tc>
        <w:tc>
          <w:tcPr>
            <w:tcW w:type="dxa" w:w="907"/>
            <w:shd w:val="clear" w:color="auto" w:fill="E1058C"/>
            <w:vAlign w:val="center"/>
          </w:tcPr>
          <w:p>
            <w:pPr>
              <w:spacing w:after="0"/>
            </w:pPr>
            <w:r>
              <w:rPr>
                <w:b/>
                <w:i w:val="0"/>
                <w:color w:val="FFFFFF"/>
                <w:sz w:val="15"/>
              </w:rPr>
              <w:t>Default</w:t>
            </w:r>
          </w:p>
        </w:tc>
        <w:tc>
          <w:tcPr>
            <w:tcW w:type="dxa" w:w="1134"/>
            <w:shd w:val="clear" w:color="auto" w:fill="E1058C"/>
            <w:vAlign w:val="center"/>
          </w:tcPr>
          <w:p>
            <w:pPr>
              <w:spacing w:after="0"/>
            </w:pPr>
            <w:r>
              <w:rPr>
                <w:b/>
                <w:i w:val="0"/>
                <w:color w:val="FFFFFF"/>
                <w:sz w:val="15"/>
              </w:rPr>
              <w:t>Range</w:t>
            </w:r>
          </w:p>
        </w:tc>
        <w:tc>
          <w:tcPr>
            <w:tcW w:type="dxa" w:w="4535"/>
            <w:shd w:val="clear" w:color="auto" w:fill="E1058C"/>
            <w:vAlign w:val="center"/>
          </w:tcPr>
          <w:p>
            <w:pPr>
              <w:spacing w:after="0"/>
            </w:pPr>
            <w:r>
              <w:rPr>
                <w:b/>
                <w:i w:val="0"/>
                <w:color w:val="FFFFFF"/>
                <w:sz w:val="15"/>
              </w:rPr>
              <w:t>Meaning</w:t>
            </w:r>
          </w:p>
        </w:tc>
      </w:tr>
      <w:tr>
        <w:trPr>
          <w:cantSplit/>
        </w:trPr>
        <w:tc>
          <w:tcPr>
            <w:tcW w:type="dxa" w:w="3061"/>
            <w:vAlign w:val="top"/>
          </w:tcPr>
          <w:p>
            <w:pPr>
              <w:spacing w:after="20" w:line="252" w:lineRule="auto"/>
            </w:pPr>
            <w:r>
              <w:rPr>
                <w:b w:val="0"/>
                <w:i w:val="0"/>
                <w:sz w:val="15"/>
              </w:rPr>
              <w:t>security.password.min_length</w:t>
            </w:r>
          </w:p>
        </w:tc>
        <w:tc>
          <w:tcPr>
            <w:tcW w:type="dxa" w:w="907"/>
            <w:vAlign w:val="top"/>
          </w:tcPr>
          <w:p>
            <w:pPr>
              <w:spacing w:after="20" w:line="252" w:lineRule="auto"/>
            </w:pPr>
            <w:r>
              <w:rPr>
                <w:b w:val="0"/>
                <w:i w:val="0"/>
                <w:sz w:val="15"/>
              </w:rPr>
              <w:t>12</w:t>
            </w:r>
          </w:p>
        </w:tc>
        <w:tc>
          <w:tcPr>
            <w:tcW w:type="dxa" w:w="1134"/>
            <w:vAlign w:val="top"/>
          </w:tcPr>
          <w:p>
            <w:pPr>
              <w:spacing w:after="20" w:line="252" w:lineRule="auto"/>
            </w:pPr>
            <w:r>
              <w:rPr>
                <w:b w:val="0"/>
                <w:i w:val="0"/>
                <w:sz w:val="15"/>
              </w:rPr>
              <w:t>8 to 64</w:t>
            </w:r>
          </w:p>
        </w:tc>
        <w:tc>
          <w:tcPr>
            <w:tcW w:type="dxa" w:w="4535"/>
            <w:vAlign w:val="top"/>
          </w:tcPr>
          <w:p>
            <w:pPr>
              <w:spacing w:after="20" w:line="252" w:lineRule="auto"/>
            </w:pPr>
            <w:r>
              <w:rPr>
                <w:b w:val="0"/>
                <w:i w:val="0"/>
                <w:sz w:val="15"/>
              </w:rPr>
              <w:t>Minimum password length</w:t>
            </w:r>
          </w:p>
        </w:tc>
      </w:tr>
      <w:tr>
        <w:trPr>
          <w:cantSplit/>
        </w:trPr>
        <w:tc>
          <w:tcPr>
            <w:tcW w:type="dxa" w:w="3061"/>
            <w:vAlign w:val="top"/>
            <w:shd w:val="clear" w:color="auto" w:fill="FDF0F7"/>
          </w:tcPr>
          <w:p>
            <w:pPr>
              <w:spacing w:after="20" w:line="252" w:lineRule="auto"/>
            </w:pPr>
            <w:r>
              <w:rPr>
                <w:b w:val="0"/>
                <w:i w:val="0"/>
                <w:sz w:val="15"/>
              </w:rPr>
              <w:t>security.password.require_upper</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Password must contain an upper-case letter</w:t>
            </w:r>
          </w:p>
        </w:tc>
      </w:tr>
      <w:tr>
        <w:trPr>
          <w:cantSplit/>
        </w:trPr>
        <w:tc>
          <w:tcPr>
            <w:tcW w:type="dxa" w:w="3061"/>
            <w:vAlign w:val="top"/>
          </w:tcPr>
          <w:p>
            <w:pPr>
              <w:spacing w:after="20" w:line="252" w:lineRule="auto"/>
            </w:pPr>
            <w:r>
              <w:rPr>
                <w:b w:val="0"/>
                <w:i w:val="0"/>
                <w:sz w:val="15"/>
              </w:rPr>
              <w:t>security.password.require_lower</w:t>
            </w:r>
          </w:p>
        </w:tc>
        <w:tc>
          <w:tcPr>
            <w:tcW w:type="dxa" w:w="907"/>
            <w:vAlign w:val="top"/>
          </w:tcPr>
          <w:p>
            <w:pPr>
              <w:spacing w:after="20" w:line="252" w:lineRule="auto"/>
            </w:pPr>
            <w:r>
              <w:rPr>
                <w:b w:val="0"/>
                <w:i w:val="0"/>
                <w:sz w:val="15"/>
              </w:rPr>
              <w:t>true</w:t>
            </w:r>
          </w:p>
        </w:tc>
        <w:tc>
          <w:tcPr>
            <w:tcW w:type="dxa" w:w="1134"/>
            <w:vAlign w:val="top"/>
          </w:tcPr>
          <w:p>
            <w:pPr>
              <w:spacing w:after="20" w:line="252" w:lineRule="auto"/>
            </w:pPr>
            <w:r>
              <w:rPr>
                <w:b w:val="0"/>
                <w:i w:val="0"/>
                <w:sz w:val="15"/>
              </w:rPr>
              <w:t>–</w:t>
            </w:r>
          </w:p>
        </w:tc>
        <w:tc>
          <w:tcPr>
            <w:tcW w:type="dxa" w:w="4535"/>
            <w:vAlign w:val="top"/>
          </w:tcPr>
          <w:p>
            <w:pPr>
              <w:spacing w:after="20" w:line="252" w:lineRule="auto"/>
            </w:pPr>
            <w:r>
              <w:rPr>
                <w:b w:val="0"/>
                <w:i w:val="0"/>
                <w:sz w:val="15"/>
              </w:rPr>
              <w:t>Password must contain a lower-case letter</w:t>
            </w:r>
          </w:p>
        </w:tc>
      </w:tr>
      <w:tr>
        <w:trPr>
          <w:cantSplit/>
        </w:trPr>
        <w:tc>
          <w:tcPr>
            <w:tcW w:type="dxa" w:w="3061"/>
            <w:vAlign w:val="top"/>
            <w:shd w:val="clear" w:color="auto" w:fill="FDF0F7"/>
          </w:tcPr>
          <w:p>
            <w:pPr>
              <w:spacing w:after="20" w:line="252" w:lineRule="auto"/>
            </w:pPr>
            <w:r>
              <w:rPr>
                <w:b w:val="0"/>
                <w:i w:val="0"/>
                <w:sz w:val="15"/>
              </w:rPr>
              <w:t>security.password.require_digit</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Password must contain a digit</w:t>
            </w:r>
          </w:p>
        </w:tc>
      </w:tr>
      <w:tr>
        <w:trPr>
          <w:cantSplit/>
        </w:trPr>
        <w:tc>
          <w:tcPr>
            <w:tcW w:type="dxa" w:w="3061"/>
            <w:vAlign w:val="top"/>
          </w:tcPr>
          <w:p>
            <w:pPr>
              <w:spacing w:after="20" w:line="252" w:lineRule="auto"/>
            </w:pPr>
            <w:r>
              <w:rPr>
                <w:b w:val="0"/>
                <w:i w:val="0"/>
                <w:sz w:val="15"/>
              </w:rPr>
              <w:t>security.password.require_symbol</w:t>
            </w:r>
          </w:p>
        </w:tc>
        <w:tc>
          <w:tcPr>
            <w:tcW w:type="dxa" w:w="907"/>
            <w:vAlign w:val="top"/>
          </w:tcPr>
          <w:p>
            <w:pPr>
              <w:spacing w:after="20" w:line="252" w:lineRule="auto"/>
            </w:pPr>
            <w:r>
              <w:rPr>
                <w:b w:val="0"/>
                <w:i w:val="0"/>
                <w:sz w:val="15"/>
              </w:rPr>
              <w:t>true</w:t>
            </w:r>
          </w:p>
        </w:tc>
        <w:tc>
          <w:tcPr>
            <w:tcW w:type="dxa" w:w="1134"/>
            <w:vAlign w:val="top"/>
          </w:tcPr>
          <w:p>
            <w:pPr>
              <w:spacing w:after="20" w:line="252" w:lineRule="auto"/>
            </w:pPr>
            <w:r>
              <w:rPr>
                <w:b w:val="0"/>
                <w:i w:val="0"/>
                <w:sz w:val="15"/>
              </w:rPr>
              <w:t>–</w:t>
            </w:r>
          </w:p>
        </w:tc>
        <w:tc>
          <w:tcPr>
            <w:tcW w:type="dxa" w:w="4535"/>
            <w:vAlign w:val="top"/>
          </w:tcPr>
          <w:p>
            <w:pPr>
              <w:spacing w:after="20" w:line="252" w:lineRule="auto"/>
            </w:pPr>
            <w:r>
              <w:rPr>
                <w:b w:val="0"/>
                <w:i w:val="0"/>
                <w:sz w:val="15"/>
              </w:rPr>
              <w:t>Password must contain a symbol</w:t>
            </w:r>
          </w:p>
        </w:tc>
      </w:tr>
      <w:tr>
        <w:trPr>
          <w:cantSplit/>
        </w:trPr>
        <w:tc>
          <w:tcPr>
            <w:tcW w:type="dxa" w:w="3061"/>
            <w:vAlign w:val="top"/>
            <w:shd w:val="clear" w:color="auto" w:fill="FDF0F7"/>
          </w:tcPr>
          <w:p>
            <w:pPr>
              <w:spacing w:after="20" w:line="252" w:lineRule="auto"/>
            </w:pPr>
            <w:r>
              <w:rPr>
                <w:b w:val="0"/>
                <w:i w:val="0"/>
                <w:sz w:val="15"/>
              </w:rPr>
              <w:t>security.password.history_count</w:t>
            </w:r>
          </w:p>
        </w:tc>
        <w:tc>
          <w:tcPr>
            <w:tcW w:type="dxa" w:w="907"/>
            <w:vAlign w:val="top"/>
            <w:shd w:val="clear" w:color="auto" w:fill="FDF0F7"/>
          </w:tcPr>
          <w:p>
            <w:pPr>
              <w:spacing w:after="20" w:line="252" w:lineRule="auto"/>
            </w:pPr>
            <w:r>
              <w:rPr>
                <w:b w:val="0"/>
                <w:i w:val="0"/>
                <w:sz w:val="15"/>
              </w:rPr>
              <w:t>5</w:t>
            </w:r>
          </w:p>
        </w:tc>
        <w:tc>
          <w:tcPr>
            <w:tcW w:type="dxa" w:w="1134"/>
            <w:vAlign w:val="top"/>
            <w:shd w:val="clear" w:color="auto" w:fill="FDF0F7"/>
          </w:tcPr>
          <w:p>
            <w:pPr>
              <w:spacing w:after="20" w:line="252" w:lineRule="auto"/>
            </w:pPr>
            <w:r>
              <w:rPr>
                <w:b w:val="0"/>
                <w:i w:val="0"/>
                <w:sz w:val="15"/>
              </w:rPr>
              <w:t>0 to 24</w:t>
            </w:r>
          </w:p>
        </w:tc>
        <w:tc>
          <w:tcPr>
            <w:tcW w:type="dxa" w:w="4535"/>
            <w:vAlign w:val="top"/>
            <w:shd w:val="clear" w:color="auto" w:fill="FDF0F7"/>
          </w:tcPr>
          <w:p>
            <w:pPr>
              <w:spacing w:after="20" w:line="252" w:lineRule="auto"/>
            </w:pPr>
            <w:r>
              <w:rPr>
                <w:b w:val="0"/>
                <w:i w:val="0"/>
                <w:sz w:val="15"/>
              </w:rPr>
              <w:t>Number of previous passwords that cannot be reused</w:t>
            </w:r>
          </w:p>
        </w:tc>
      </w:tr>
      <w:tr>
        <w:trPr>
          <w:cantSplit/>
        </w:trPr>
        <w:tc>
          <w:tcPr>
            <w:tcW w:type="dxa" w:w="3061"/>
            <w:vAlign w:val="top"/>
          </w:tcPr>
          <w:p>
            <w:pPr>
              <w:spacing w:after="20" w:line="252" w:lineRule="auto"/>
            </w:pPr>
            <w:r>
              <w:rPr>
                <w:b w:val="0"/>
                <w:i w:val="0"/>
                <w:sz w:val="15"/>
              </w:rPr>
              <w:t>security.password.expiry_days</w:t>
            </w:r>
          </w:p>
        </w:tc>
        <w:tc>
          <w:tcPr>
            <w:tcW w:type="dxa" w:w="907"/>
            <w:vAlign w:val="top"/>
          </w:tcPr>
          <w:p>
            <w:pPr>
              <w:spacing w:after="20" w:line="252" w:lineRule="auto"/>
            </w:pPr>
            <w:r>
              <w:rPr>
                <w:b w:val="0"/>
                <w:i w:val="0"/>
                <w:sz w:val="15"/>
              </w:rPr>
              <w:t>90</w:t>
            </w:r>
          </w:p>
        </w:tc>
        <w:tc>
          <w:tcPr>
            <w:tcW w:type="dxa" w:w="1134"/>
            <w:vAlign w:val="top"/>
          </w:tcPr>
          <w:p>
            <w:pPr>
              <w:spacing w:after="20" w:line="252" w:lineRule="auto"/>
            </w:pPr>
            <w:r>
              <w:rPr>
                <w:b w:val="0"/>
                <w:i w:val="0"/>
                <w:sz w:val="15"/>
              </w:rPr>
              <w:t>0 to 365</w:t>
            </w:r>
          </w:p>
        </w:tc>
        <w:tc>
          <w:tcPr>
            <w:tcW w:type="dxa" w:w="4535"/>
            <w:vAlign w:val="top"/>
          </w:tcPr>
          <w:p>
            <w:pPr>
              <w:spacing w:after="20" w:line="252" w:lineRule="auto"/>
            </w:pPr>
            <w:r>
              <w:rPr>
                <w:b w:val="0"/>
                <w:i w:val="0"/>
                <w:sz w:val="15"/>
              </w:rPr>
              <w:t>Days before a password must be changed (0 = never)</w:t>
            </w:r>
          </w:p>
        </w:tc>
      </w:tr>
      <w:tr>
        <w:trPr>
          <w:cantSplit/>
        </w:trPr>
        <w:tc>
          <w:tcPr>
            <w:tcW w:type="dxa" w:w="3061"/>
            <w:vAlign w:val="top"/>
            <w:shd w:val="clear" w:color="auto" w:fill="FDF0F7"/>
          </w:tcPr>
          <w:p>
            <w:pPr>
              <w:spacing w:after="20" w:line="252" w:lineRule="auto"/>
            </w:pPr>
            <w:r>
              <w:rPr>
                <w:b w:val="0"/>
                <w:i w:val="0"/>
                <w:sz w:val="15"/>
              </w:rPr>
              <w:t>security.lockout.max_attempts</w:t>
            </w:r>
          </w:p>
        </w:tc>
        <w:tc>
          <w:tcPr>
            <w:tcW w:type="dxa" w:w="907"/>
            <w:vAlign w:val="top"/>
            <w:shd w:val="clear" w:color="auto" w:fill="FDF0F7"/>
          </w:tcPr>
          <w:p>
            <w:pPr>
              <w:spacing w:after="20" w:line="252" w:lineRule="auto"/>
            </w:pPr>
            <w:r>
              <w:rPr>
                <w:b w:val="0"/>
                <w:i w:val="0"/>
                <w:sz w:val="15"/>
              </w:rPr>
              <w:t>5</w:t>
            </w:r>
          </w:p>
        </w:tc>
        <w:tc>
          <w:tcPr>
            <w:tcW w:type="dxa" w:w="1134"/>
            <w:vAlign w:val="top"/>
            <w:shd w:val="clear" w:color="auto" w:fill="FDF0F7"/>
          </w:tcPr>
          <w:p>
            <w:pPr>
              <w:spacing w:after="20" w:line="252" w:lineRule="auto"/>
            </w:pPr>
            <w:r>
              <w:rPr>
                <w:b w:val="0"/>
                <w:i w:val="0"/>
                <w:sz w:val="15"/>
              </w:rPr>
              <w:t>3 to 20</w:t>
            </w:r>
          </w:p>
        </w:tc>
        <w:tc>
          <w:tcPr>
            <w:tcW w:type="dxa" w:w="4535"/>
            <w:vAlign w:val="top"/>
            <w:shd w:val="clear" w:color="auto" w:fill="FDF0F7"/>
          </w:tcPr>
          <w:p>
            <w:pPr>
              <w:spacing w:after="20" w:line="252" w:lineRule="auto"/>
            </w:pPr>
            <w:r>
              <w:rPr>
                <w:b w:val="0"/>
                <w:i w:val="0"/>
                <w:sz w:val="15"/>
              </w:rPr>
              <w:t>Failed login attempts before the account is locked</w:t>
            </w:r>
          </w:p>
        </w:tc>
      </w:tr>
      <w:tr>
        <w:trPr>
          <w:cantSplit/>
        </w:trPr>
        <w:tc>
          <w:tcPr>
            <w:tcW w:type="dxa" w:w="3061"/>
            <w:vAlign w:val="top"/>
          </w:tcPr>
          <w:p>
            <w:pPr>
              <w:spacing w:after="20" w:line="252" w:lineRule="auto"/>
            </w:pPr>
            <w:r>
              <w:rPr>
                <w:b w:val="0"/>
                <w:i w:val="0"/>
                <w:sz w:val="15"/>
              </w:rPr>
              <w:t>security.lockout.minutes</w:t>
            </w:r>
          </w:p>
        </w:tc>
        <w:tc>
          <w:tcPr>
            <w:tcW w:type="dxa" w:w="907"/>
            <w:vAlign w:val="top"/>
          </w:tcPr>
          <w:p>
            <w:pPr>
              <w:spacing w:after="20" w:line="252" w:lineRule="auto"/>
            </w:pPr>
            <w:r>
              <w:rPr>
                <w:b w:val="0"/>
                <w:i w:val="0"/>
                <w:sz w:val="15"/>
              </w:rPr>
              <w:t>30</w:t>
            </w:r>
          </w:p>
        </w:tc>
        <w:tc>
          <w:tcPr>
            <w:tcW w:type="dxa" w:w="1134"/>
            <w:vAlign w:val="top"/>
          </w:tcPr>
          <w:p>
            <w:pPr>
              <w:spacing w:after="20" w:line="252" w:lineRule="auto"/>
            </w:pPr>
            <w:r>
              <w:rPr>
                <w:b w:val="0"/>
                <w:i w:val="0"/>
                <w:sz w:val="15"/>
              </w:rPr>
              <w:t>1 to 1440</w:t>
            </w:r>
          </w:p>
        </w:tc>
        <w:tc>
          <w:tcPr>
            <w:tcW w:type="dxa" w:w="4535"/>
            <w:vAlign w:val="top"/>
          </w:tcPr>
          <w:p>
            <w:pPr>
              <w:spacing w:after="20" w:line="252" w:lineRule="auto"/>
            </w:pPr>
            <w:r>
              <w:rPr>
                <w:b w:val="0"/>
                <w:i w:val="0"/>
                <w:sz w:val="15"/>
              </w:rPr>
              <w:t>Lock duration in minutes (administrator can unlock earlier)</w:t>
            </w:r>
          </w:p>
        </w:tc>
      </w:tr>
      <w:tr>
        <w:trPr>
          <w:cantSplit/>
        </w:trPr>
        <w:tc>
          <w:tcPr>
            <w:tcW w:type="dxa" w:w="3061"/>
            <w:vAlign w:val="top"/>
            <w:shd w:val="clear" w:color="auto" w:fill="FDF0F7"/>
          </w:tcPr>
          <w:p>
            <w:pPr>
              <w:spacing w:after="20" w:line="252" w:lineRule="auto"/>
            </w:pPr>
            <w:r>
              <w:rPr>
                <w:b w:val="0"/>
                <w:i w:val="0"/>
                <w:sz w:val="15"/>
              </w:rPr>
              <w:t>security.session.idle_minutes</w:t>
            </w:r>
          </w:p>
        </w:tc>
        <w:tc>
          <w:tcPr>
            <w:tcW w:type="dxa" w:w="907"/>
            <w:vAlign w:val="top"/>
            <w:shd w:val="clear" w:color="auto" w:fill="FDF0F7"/>
          </w:tcPr>
          <w:p>
            <w:pPr>
              <w:spacing w:after="20" w:line="252" w:lineRule="auto"/>
            </w:pPr>
            <w:r>
              <w:rPr>
                <w:b w:val="0"/>
                <w:i w:val="0"/>
                <w:sz w:val="15"/>
              </w:rPr>
              <w:t>15</w:t>
            </w:r>
          </w:p>
        </w:tc>
        <w:tc>
          <w:tcPr>
            <w:tcW w:type="dxa" w:w="1134"/>
            <w:vAlign w:val="top"/>
            <w:shd w:val="clear" w:color="auto" w:fill="FDF0F7"/>
          </w:tcPr>
          <w:p>
            <w:pPr>
              <w:spacing w:after="20" w:line="252" w:lineRule="auto"/>
            </w:pPr>
            <w:r>
              <w:rPr>
                <w:b w:val="0"/>
                <w:i w:val="0"/>
                <w:sz w:val="15"/>
              </w:rPr>
              <w:t>5 to 120</w:t>
            </w:r>
          </w:p>
        </w:tc>
        <w:tc>
          <w:tcPr>
            <w:tcW w:type="dxa" w:w="4535"/>
            <w:vAlign w:val="top"/>
            <w:shd w:val="clear" w:color="auto" w:fill="FDF0F7"/>
          </w:tcPr>
          <w:p>
            <w:pPr>
              <w:spacing w:after="20" w:line="252" w:lineRule="auto"/>
            </w:pPr>
            <w:r>
              <w:rPr>
                <w:b w:val="0"/>
                <w:i w:val="0"/>
                <w:sz w:val="15"/>
              </w:rPr>
              <w:t>Session idle timeout in minutes</w:t>
            </w:r>
          </w:p>
        </w:tc>
      </w:tr>
      <w:tr>
        <w:trPr>
          <w:cantSplit/>
        </w:trPr>
        <w:tc>
          <w:tcPr>
            <w:tcW w:type="dxa" w:w="3061"/>
            <w:vAlign w:val="top"/>
          </w:tcPr>
          <w:p>
            <w:pPr>
              <w:spacing w:after="20" w:line="252" w:lineRule="auto"/>
            </w:pPr>
            <w:r>
              <w:rPr>
                <w:b w:val="0"/>
                <w:i w:val="0"/>
                <w:sz w:val="15"/>
              </w:rPr>
              <w:t>security.session.absolute_hours</w:t>
            </w:r>
          </w:p>
        </w:tc>
        <w:tc>
          <w:tcPr>
            <w:tcW w:type="dxa" w:w="907"/>
            <w:vAlign w:val="top"/>
          </w:tcPr>
          <w:p>
            <w:pPr>
              <w:spacing w:after="20" w:line="252" w:lineRule="auto"/>
            </w:pPr>
            <w:r>
              <w:rPr>
                <w:b w:val="0"/>
                <w:i w:val="0"/>
                <w:sz w:val="15"/>
              </w:rPr>
              <w:t>8</w:t>
            </w:r>
          </w:p>
        </w:tc>
        <w:tc>
          <w:tcPr>
            <w:tcW w:type="dxa" w:w="1134"/>
            <w:vAlign w:val="top"/>
          </w:tcPr>
          <w:p>
            <w:pPr>
              <w:spacing w:after="20" w:line="252" w:lineRule="auto"/>
            </w:pPr>
            <w:r>
              <w:rPr>
                <w:b w:val="0"/>
                <w:i w:val="0"/>
                <w:sz w:val="15"/>
              </w:rPr>
              <w:t>1 to 24</w:t>
            </w:r>
          </w:p>
        </w:tc>
        <w:tc>
          <w:tcPr>
            <w:tcW w:type="dxa" w:w="4535"/>
            <w:vAlign w:val="top"/>
          </w:tcPr>
          <w:p>
            <w:pPr>
              <w:spacing w:after="20" w:line="252" w:lineRule="auto"/>
            </w:pPr>
            <w:r>
              <w:rPr>
                <w:b w:val="0"/>
                <w:i w:val="0"/>
                <w:sz w:val="15"/>
              </w:rPr>
              <w:t>Maximum session lifetime in hours</w:t>
            </w:r>
          </w:p>
        </w:tc>
      </w:tr>
      <w:tr>
        <w:trPr>
          <w:cantSplit/>
        </w:trPr>
        <w:tc>
          <w:tcPr>
            <w:tcW w:type="dxa" w:w="3061"/>
            <w:vAlign w:val="top"/>
            <w:shd w:val="clear" w:color="auto" w:fill="FDF0F7"/>
          </w:tcPr>
          <w:p>
            <w:pPr>
              <w:spacing w:after="20" w:line="252" w:lineRule="auto"/>
            </w:pPr>
            <w:r>
              <w:rPr>
                <w:b w:val="0"/>
                <w:i w:val="0"/>
                <w:sz w:val="15"/>
              </w:rPr>
              <w:t>security.session.single_active</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Signing in ends the user's other sessions</w:t>
            </w:r>
          </w:p>
        </w:tc>
      </w:tr>
      <w:tr>
        <w:trPr>
          <w:cantSplit/>
        </w:trPr>
        <w:tc>
          <w:tcPr>
            <w:tcW w:type="dxa" w:w="3061"/>
            <w:vAlign w:val="top"/>
          </w:tcPr>
          <w:p>
            <w:pPr>
              <w:spacing w:after="20" w:line="252" w:lineRule="auto"/>
            </w:pPr>
            <w:r>
              <w:rPr>
                <w:b w:val="0"/>
                <w:i w:val="0"/>
                <w:sz w:val="15"/>
              </w:rPr>
              <w:t>billing.payment_grace_days</w:t>
            </w:r>
          </w:p>
        </w:tc>
        <w:tc>
          <w:tcPr>
            <w:tcW w:type="dxa" w:w="907"/>
            <w:vAlign w:val="top"/>
          </w:tcPr>
          <w:p>
            <w:pPr>
              <w:spacing w:after="20" w:line="252" w:lineRule="auto"/>
            </w:pPr>
            <w:r>
              <w:rPr>
                <w:b w:val="0"/>
                <w:i w:val="0"/>
                <w:sz w:val="15"/>
              </w:rPr>
              <w:t>7</w:t>
            </w:r>
          </w:p>
        </w:tc>
        <w:tc>
          <w:tcPr>
            <w:tcW w:type="dxa" w:w="1134"/>
            <w:vAlign w:val="top"/>
          </w:tcPr>
          <w:p>
            <w:pPr>
              <w:spacing w:after="20" w:line="252" w:lineRule="auto"/>
            </w:pPr>
            <w:r>
              <w:rPr>
                <w:b w:val="0"/>
                <w:i w:val="0"/>
                <w:sz w:val="15"/>
              </w:rPr>
              <w:t>1 to 60</w:t>
            </w:r>
          </w:p>
        </w:tc>
        <w:tc>
          <w:tcPr>
            <w:tcW w:type="dxa" w:w="4535"/>
            <w:vAlign w:val="top"/>
          </w:tcPr>
          <w:p>
            <w:pPr>
              <w:spacing w:after="20" w:line="252" w:lineRule="auto"/>
            </w:pPr>
            <w:r>
              <w:rPr>
                <w:b w:val="0"/>
                <w:i w:val="0"/>
                <w:sz w:val="15"/>
              </w:rPr>
              <w:t>Days after issuance within which contribution must be submitted before the agency is blocked</w:t>
            </w:r>
          </w:p>
        </w:tc>
      </w:tr>
      <w:tr>
        <w:trPr>
          <w:cantSplit/>
        </w:trPr>
        <w:tc>
          <w:tcPr>
            <w:tcW w:type="dxa" w:w="3061"/>
            <w:vAlign w:val="top"/>
            <w:shd w:val="clear" w:color="auto" w:fill="FDF0F7"/>
          </w:tcPr>
          <w:p>
            <w:pPr>
              <w:spacing w:after="20" w:line="252" w:lineRule="auto"/>
            </w:pPr>
            <w:r>
              <w:rPr>
                <w:b w:val="0"/>
                <w:i w:val="0"/>
                <w:sz w:val="15"/>
              </w:rPr>
              <w:t>policy.quotation_validity_days</w:t>
            </w:r>
          </w:p>
        </w:tc>
        <w:tc>
          <w:tcPr>
            <w:tcW w:type="dxa" w:w="907"/>
            <w:vAlign w:val="top"/>
            <w:shd w:val="clear" w:color="auto" w:fill="FDF0F7"/>
          </w:tcPr>
          <w:p>
            <w:pPr>
              <w:spacing w:after="20" w:line="252" w:lineRule="auto"/>
            </w:pPr>
            <w:r>
              <w:rPr>
                <w:b w:val="0"/>
                <w:i w:val="0"/>
                <w:sz w:val="15"/>
              </w:rPr>
              <w:t>30</w:t>
            </w:r>
          </w:p>
        </w:tc>
        <w:tc>
          <w:tcPr>
            <w:tcW w:type="dxa" w:w="1134"/>
            <w:vAlign w:val="top"/>
            <w:shd w:val="clear" w:color="auto" w:fill="FDF0F7"/>
          </w:tcPr>
          <w:p>
            <w:pPr>
              <w:spacing w:after="20" w:line="252" w:lineRule="auto"/>
            </w:pPr>
            <w:r>
              <w:rPr>
                <w:b w:val="0"/>
                <w:i w:val="0"/>
                <w:sz w:val="15"/>
              </w:rPr>
              <w:t>1 to 180</w:t>
            </w:r>
          </w:p>
        </w:tc>
        <w:tc>
          <w:tcPr>
            <w:tcW w:type="dxa" w:w="4535"/>
            <w:vAlign w:val="top"/>
            <w:shd w:val="clear" w:color="auto" w:fill="FDF0F7"/>
          </w:tcPr>
          <w:p>
            <w:pPr>
              <w:spacing w:after="20" w:line="252" w:lineRule="auto"/>
            </w:pPr>
            <w:r>
              <w:rPr>
                <w:b w:val="0"/>
                <w:i w:val="0"/>
                <w:sz w:val="15"/>
              </w:rPr>
              <w:t>Days a draft quotation remains valid</w:t>
            </w:r>
          </w:p>
        </w:tc>
      </w:tr>
      <w:tr>
        <w:trPr>
          <w:cantSplit/>
        </w:trPr>
        <w:tc>
          <w:tcPr>
            <w:tcW w:type="dxa" w:w="3061"/>
            <w:vAlign w:val="top"/>
          </w:tcPr>
          <w:p>
            <w:pPr>
              <w:spacing w:after="20" w:line="252" w:lineRule="auto"/>
            </w:pPr>
            <w:r>
              <w:rPr>
                <w:b w:val="0"/>
                <w:i w:val="0"/>
                <w:sz w:val="15"/>
              </w:rPr>
              <w:t>policy.renewal_notice_days</w:t>
            </w:r>
          </w:p>
        </w:tc>
        <w:tc>
          <w:tcPr>
            <w:tcW w:type="dxa" w:w="907"/>
            <w:vAlign w:val="top"/>
          </w:tcPr>
          <w:p>
            <w:pPr>
              <w:spacing w:after="20" w:line="252" w:lineRule="auto"/>
            </w:pPr>
            <w:r>
              <w:rPr>
                <w:b w:val="0"/>
                <w:i w:val="0"/>
                <w:sz w:val="15"/>
              </w:rPr>
              <w:t>45</w:t>
            </w:r>
          </w:p>
        </w:tc>
        <w:tc>
          <w:tcPr>
            <w:tcW w:type="dxa" w:w="1134"/>
            <w:vAlign w:val="top"/>
          </w:tcPr>
          <w:p>
            <w:pPr>
              <w:spacing w:after="20" w:line="252" w:lineRule="auto"/>
            </w:pPr>
            <w:r>
              <w:rPr>
                <w:b w:val="0"/>
                <w:i w:val="0"/>
                <w:sz w:val="15"/>
              </w:rPr>
              <w:t>7 to 120</w:t>
            </w:r>
          </w:p>
        </w:tc>
        <w:tc>
          <w:tcPr>
            <w:tcW w:type="dxa" w:w="4535"/>
            <w:vAlign w:val="top"/>
          </w:tcPr>
          <w:p>
            <w:pPr>
              <w:spacing w:after="20" w:line="252" w:lineRule="auto"/>
            </w:pPr>
            <w:r>
              <w:rPr>
                <w:b w:val="0"/>
                <w:i w:val="0"/>
                <w:sz w:val="15"/>
              </w:rPr>
              <w:t>Days before expiry that a policy is listed as due for renewal</w:t>
            </w:r>
          </w:p>
        </w:tc>
      </w:tr>
      <w:tr>
        <w:trPr>
          <w:cantSplit/>
        </w:trPr>
        <w:tc>
          <w:tcPr>
            <w:tcW w:type="dxa" w:w="3061"/>
            <w:vAlign w:val="top"/>
            <w:shd w:val="clear" w:color="auto" w:fill="FDF0F7"/>
          </w:tcPr>
          <w:p>
            <w:pPr>
              <w:spacing w:after="20" w:line="252" w:lineRule="auto"/>
            </w:pPr>
            <w:r>
              <w:rPr>
                <w:b w:val="0"/>
                <w:i w:val="0"/>
                <w:sz w:val="15"/>
              </w:rPr>
              <w:t>policy.require_participant_signature</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Participant signature is mandatory before submission</w:t>
            </w:r>
          </w:p>
        </w:tc>
      </w:tr>
      <w:tr>
        <w:trPr>
          <w:cantSplit/>
        </w:trPr>
        <w:tc>
          <w:tcPr>
            <w:tcW w:type="dxa" w:w="3061"/>
            <w:vAlign w:val="top"/>
          </w:tcPr>
          <w:p>
            <w:pPr>
              <w:spacing w:after="20" w:line="252" w:lineRule="auto"/>
            </w:pPr>
            <w:r>
              <w:rPr>
                <w:b w:val="0"/>
                <w:i w:val="0"/>
                <w:sz w:val="15"/>
              </w:rPr>
              <w:t>policy.esign_link_hours</w:t>
            </w:r>
          </w:p>
        </w:tc>
        <w:tc>
          <w:tcPr>
            <w:tcW w:type="dxa" w:w="907"/>
            <w:vAlign w:val="top"/>
          </w:tcPr>
          <w:p>
            <w:pPr>
              <w:spacing w:after="20" w:line="252" w:lineRule="auto"/>
            </w:pPr>
            <w:r>
              <w:rPr>
                <w:b w:val="0"/>
                <w:i w:val="0"/>
                <w:sz w:val="15"/>
              </w:rPr>
              <w:t>72</w:t>
            </w:r>
          </w:p>
        </w:tc>
        <w:tc>
          <w:tcPr>
            <w:tcW w:type="dxa" w:w="1134"/>
            <w:vAlign w:val="top"/>
          </w:tcPr>
          <w:p>
            <w:pPr>
              <w:spacing w:after="20" w:line="252" w:lineRule="auto"/>
            </w:pPr>
            <w:r>
              <w:rPr>
                <w:b w:val="0"/>
                <w:i w:val="0"/>
                <w:sz w:val="15"/>
              </w:rPr>
              <w:t>1 to 336</w:t>
            </w:r>
          </w:p>
        </w:tc>
        <w:tc>
          <w:tcPr>
            <w:tcW w:type="dxa" w:w="4535"/>
            <w:vAlign w:val="top"/>
          </w:tcPr>
          <w:p>
            <w:pPr>
              <w:spacing w:after="20" w:line="252" w:lineRule="auto"/>
            </w:pPr>
            <w:r>
              <w:rPr>
                <w:b w:val="0"/>
                <w:i w:val="0"/>
                <w:sz w:val="15"/>
              </w:rPr>
              <w:t>Validity of e-signature links sent by email (hours)</w:t>
            </w:r>
          </w:p>
        </w:tc>
      </w:tr>
      <w:tr>
        <w:trPr>
          <w:cantSplit/>
        </w:trPr>
        <w:tc>
          <w:tcPr>
            <w:tcW w:type="dxa" w:w="3061"/>
            <w:vAlign w:val="top"/>
            <w:shd w:val="clear" w:color="auto" w:fill="FDF0F7"/>
          </w:tcPr>
          <w:p>
            <w:pPr>
              <w:spacing w:after="20" w:line="252" w:lineRule="auto"/>
            </w:pPr>
            <w:r>
              <w:rPr>
                <w:b w:val="0"/>
                <w:i w:val="0"/>
                <w:sz w:val="15"/>
              </w:rPr>
              <w:t>aml.match_threshold</w:t>
            </w:r>
          </w:p>
        </w:tc>
        <w:tc>
          <w:tcPr>
            <w:tcW w:type="dxa" w:w="907"/>
            <w:vAlign w:val="top"/>
            <w:shd w:val="clear" w:color="auto" w:fill="FDF0F7"/>
          </w:tcPr>
          <w:p>
            <w:pPr>
              <w:spacing w:after="20" w:line="252" w:lineRule="auto"/>
            </w:pPr>
            <w:r>
              <w:rPr>
                <w:b w:val="0"/>
                <w:i w:val="0"/>
                <w:sz w:val="15"/>
              </w:rPr>
              <w:t>85</w:t>
            </w:r>
          </w:p>
        </w:tc>
        <w:tc>
          <w:tcPr>
            <w:tcW w:type="dxa" w:w="1134"/>
            <w:vAlign w:val="top"/>
            <w:shd w:val="clear" w:color="auto" w:fill="FDF0F7"/>
          </w:tcPr>
          <w:p>
            <w:pPr>
              <w:spacing w:after="20" w:line="252" w:lineRule="auto"/>
            </w:pPr>
            <w:r>
              <w:rPr>
                <w:b w:val="0"/>
                <w:i w:val="0"/>
                <w:sz w:val="15"/>
              </w:rPr>
              <w:t>50 to 100</w:t>
            </w:r>
          </w:p>
        </w:tc>
        <w:tc>
          <w:tcPr>
            <w:tcW w:type="dxa" w:w="4535"/>
            <w:vAlign w:val="top"/>
            <w:shd w:val="clear" w:color="auto" w:fill="FDF0F7"/>
          </w:tcPr>
          <w:p>
            <w:pPr>
              <w:spacing w:after="20" w:line="252" w:lineRule="auto"/>
            </w:pPr>
            <w:r>
              <w:rPr>
                <w:b w:val="0"/>
                <w:i w:val="0"/>
                <w:sz w:val="15"/>
              </w:rPr>
              <w:t>Name-match score (0-100) at or above which a screening is flagged for review</w:t>
            </w:r>
          </w:p>
        </w:tc>
      </w:tr>
      <w:tr>
        <w:trPr>
          <w:cantSplit/>
        </w:trPr>
        <w:tc>
          <w:tcPr>
            <w:tcW w:type="dxa" w:w="3061"/>
            <w:vAlign w:val="top"/>
          </w:tcPr>
          <w:p>
            <w:pPr>
              <w:spacing w:after="20" w:line="252" w:lineRule="auto"/>
            </w:pPr>
            <w:r>
              <w:rPr>
                <w:b w:val="0"/>
                <w:i w:val="0"/>
                <w:sz w:val="15"/>
              </w:rPr>
              <w:t>commission.default_rate</w:t>
            </w:r>
          </w:p>
        </w:tc>
        <w:tc>
          <w:tcPr>
            <w:tcW w:type="dxa" w:w="907"/>
            <w:vAlign w:val="top"/>
          </w:tcPr>
          <w:p>
            <w:pPr>
              <w:spacing w:after="20" w:line="252" w:lineRule="auto"/>
            </w:pPr>
            <w:r>
              <w:rPr>
                <w:b w:val="0"/>
                <w:i w:val="0"/>
                <w:sz w:val="15"/>
              </w:rPr>
              <w:t>0.10</w:t>
            </w:r>
          </w:p>
        </w:tc>
        <w:tc>
          <w:tcPr>
            <w:tcW w:type="dxa" w:w="1134"/>
            <w:vAlign w:val="top"/>
          </w:tcPr>
          <w:p>
            <w:pPr>
              <w:spacing w:after="20" w:line="252" w:lineRule="auto"/>
            </w:pPr>
            <w:r>
              <w:rPr>
                <w:b w:val="0"/>
                <w:i w:val="0"/>
                <w:sz w:val="15"/>
              </w:rPr>
              <w:t>0 to 1</w:t>
            </w:r>
          </w:p>
        </w:tc>
        <w:tc>
          <w:tcPr>
            <w:tcW w:type="dxa" w:w="4535"/>
            <w:vAlign w:val="top"/>
          </w:tcPr>
          <w:p>
            <w:pPr>
              <w:spacing w:after="20" w:line="252" w:lineRule="auto"/>
            </w:pPr>
            <w:r>
              <w:rPr>
                <w:b w:val="0"/>
                <w:i w:val="0"/>
                <w:sz w:val="15"/>
              </w:rPr>
              <w:t>Default commission / referral fee rate when the product does not define one</w:t>
            </w:r>
          </w:p>
        </w:tc>
      </w:tr>
      <w:tr>
        <w:trPr>
          <w:cantSplit/>
        </w:trPr>
        <w:tc>
          <w:tcPr>
            <w:tcW w:type="dxa" w:w="3061"/>
            <w:vAlign w:val="top"/>
            <w:shd w:val="clear" w:color="auto" w:fill="FDF0F7"/>
          </w:tcPr>
          <w:p>
            <w:pPr>
              <w:spacing w:after="20" w:line="252" w:lineRule="auto"/>
            </w:pPr>
            <w:r>
              <w:rPr>
                <w:b w:val="0"/>
                <w:i w:val="0"/>
                <w:sz w:val="15"/>
              </w:rPr>
              <w:t>sla.critical.response_hours</w:t>
            </w:r>
          </w:p>
        </w:tc>
        <w:tc>
          <w:tcPr>
            <w:tcW w:type="dxa" w:w="907"/>
            <w:vAlign w:val="top"/>
            <w:shd w:val="clear" w:color="auto" w:fill="FDF0F7"/>
          </w:tcPr>
          <w:p>
            <w:pPr>
              <w:spacing w:after="20" w:line="252" w:lineRule="auto"/>
            </w:pPr>
            <w:r>
              <w:rPr>
                <w:b w:val="0"/>
                <w:i w:val="0"/>
                <w:sz w:val="15"/>
              </w:rPr>
              <w:t>1</w:t>
            </w:r>
          </w:p>
        </w:tc>
        <w:tc>
          <w:tcPr>
            <w:tcW w:type="dxa" w:w="1134"/>
            <w:vAlign w:val="top"/>
            <w:shd w:val="clear" w:color="auto" w:fill="FDF0F7"/>
          </w:tcPr>
          <w:p>
            <w:pPr>
              <w:spacing w:after="20" w:line="252" w:lineRule="auto"/>
            </w:pPr>
            <w:r>
              <w:rPr>
                <w:b w:val="0"/>
                <w:i w:val="0"/>
                <w:sz w:val="15"/>
              </w:rPr>
              <w:t>1 to 72</w:t>
            </w:r>
          </w:p>
        </w:tc>
        <w:tc>
          <w:tcPr>
            <w:tcW w:type="dxa" w:w="4535"/>
            <w:vAlign w:val="top"/>
            <w:shd w:val="clear" w:color="auto" w:fill="FDF0F7"/>
          </w:tcPr>
          <w:p>
            <w:pPr>
              <w:spacing w:after="20" w:line="252" w:lineRule="auto"/>
            </w:pPr>
            <w:r>
              <w:rPr>
                <w:b w:val="0"/>
                <w:i w:val="0"/>
                <w:sz w:val="15"/>
              </w:rPr>
              <w:t>Critical issue response target (hours)</w:t>
            </w:r>
          </w:p>
        </w:tc>
      </w:tr>
      <w:tr>
        <w:trPr>
          <w:cantSplit/>
        </w:trPr>
        <w:tc>
          <w:tcPr>
            <w:tcW w:type="dxa" w:w="3061"/>
            <w:vAlign w:val="top"/>
          </w:tcPr>
          <w:p>
            <w:pPr>
              <w:spacing w:after="20" w:line="252" w:lineRule="auto"/>
            </w:pPr>
            <w:r>
              <w:rPr>
                <w:b w:val="0"/>
                <w:i w:val="0"/>
                <w:sz w:val="15"/>
              </w:rPr>
              <w:t>sla.critical.resolution_hours</w:t>
            </w:r>
          </w:p>
        </w:tc>
        <w:tc>
          <w:tcPr>
            <w:tcW w:type="dxa" w:w="907"/>
            <w:vAlign w:val="top"/>
          </w:tcPr>
          <w:p>
            <w:pPr>
              <w:spacing w:after="20" w:line="252" w:lineRule="auto"/>
            </w:pPr>
            <w:r>
              <w:rPr>
                <w:b w:val="0"/>
                <w:i w:val="0"/>
                <w:sz w:val="15"/>
              </w:rPr>
              <w:t>4</w:t>
            </w:r>
          </w:p>
        </w:tc>
        <w:tc>
          <w:tcPr>
            <w:tcW w:type="dxa" w:w="1134"/>
            <w:vAlign w:val="top"/>
          </w:tcPr>
          <w:p>
            <w:pPr>
              <w:spacing w:after="20" w:line="252" w:lineRule="auto"/>
            </w:pPr>
            <w:r>
              <w:rPr>
                <w:b w:val="0"/>
                <w:i w:val="0"/>
                <w:sz w:val="15"/>
              </w:rPr>
              <w:t>1 to 168</w:t>
            </w:r>
          </w:p>
        </w:tc>
        <w:tc>
          <w:tcPr>
            <w:tcW w:type="dxa" w:w="4535"/>
            <w:vAlign w:val="top"/>
          </w:tcPr>
          <w:p>
            <w:pPr>
              <w:spacing w:after="20" w:line="252" w:lineRule="auto"/>
            </w:pPr>
            <w:r>
              <w:rPr>
                <w:b w:val="0"/>
                <w:i w:val="0"/>
                <w:sz w:val="15"/>
              </w:rPr>
              <w:t>Critical issue resolution target (hours)</w:t>
            </w:r>
          </w:p>
        </w:tc>
      </w:tr>
      <w:tr>
        <w:trPr>
          <w:cantSplit/>
        </w:trPr>
        <w:tc>
          <w:tcPr>
            <w:tcW w:type="dxa" w:w="3061"/>
            <w:vAlign w:val="top"/>
            <w:shd w:val="clear" w:color="auto" w:fill="FDF0F7"/>
          </w:tcPr>
          <w:p>
            <w:pPr>
              <w:spacing w:after="20" w:line="252" w:lineRule="auto"/>
            </w:pPr>
            <w:r>
              <w:rPr>
                <w:b w:val="0"/>
                <w:i w:val="0"/>
                <w:sz w:val="15"/>
              </w:rPr>
              <w:t>sla.high.response_hours</w:t>
            </w:r>
          </w:p>
        </w:tc>
        <w:tc>
          <w:tcPr>
            <w:tcW w:type="dxa" w:w="907"/>
            <w:vAlign w:val="top"/>
            <w:shd w:val="clear" w:color="auto" w:fill="FDF0F7"/>
          </w:tcPr>
          <w:p>
            <w:pPr>
              <w:spacing w:after="20" w:line="252" w:lineRule="auto"/>
            </w:pPr>
            <w:r>
              <w:rPr>
                <w:b w:val="0"/>
                <w:i w:val="0"/>
                <w:sz w:val="15"/>
              </w:rPr>
              <w:t>2</w:t>
            </w:r>
          </w:p>
        </w:tc>
        <w:tc>
          <w:tcPr>
            <w:tcW w:type="dxa" w:w="1134"/>
            <w:vAlign w:val="top"/>
            <w:shd w:val="clear" w:color="auto" w:fill="FDF0F7"/>
          </w:tcPr>
          <w:p>
            <w:pPr>
              <w:spacing w:after="20" w:line="252" w:lineRule="auto"/>
            </w:pPr>
            <w:r>
              <w:rPr>
                <w:b w:val="0"/>
                <w:i w:val="0"/>
                <w:sz w:val="15"/>
              </w:rPr>
              <w:t>1 to 72</w:t>
            </w:r>
          </w:p>
        </w:tc>
        <w:tc>
          <w:tcPr>
            <w:tcW w:type="dxa" w:w="4535"/>
            <w:vAlign w:val="top"/>
            <w:shd w:val="clear" w:color="auto" w:fill="FDF0F7"/>
          </w:tcPr>
          <w:p>
            <w:pPr>
              <w:spacing w:after="20" w:line="252" w:lineRule="auto"/>
            </w:pPr>
            <w:r>
              <w:rPr>
                <w:b w:val="0"/>
                <w:i w:val="0"/>
                <w:sz w:val="15"/>
              </w:rPr>
              <w:t>High issue response target (hours)</w:t>
            </w:r>
          </w:p>
        </w:tc>
      </w:tr>
      <w:tr>
        <w:trPr>
          <w:cantSplit/>
        </w:trPr>
        <w:tc>
          <w:tcPr>
            <w:tcW w:type="dxa" w:w="3061"/>
            <w:vAlign w:val="top"/>
          </w:tcPr>
          <w:p>
            <w:pPr>
              <w:spacing w:after="20" w:line="252" w:lineRule="auto"/>
            </w:pPr>
            <w:r>
              <w:rPr>
                <w:b w:val="0"/>
                <w:i w:val="0"/>
                <w:sz w:val="15"/>
              </w:rPr>
              <w:t>sla.high.resolution_hours</w:t>
            </w:r>
          </w:p>
        </w:tc>
        <w:tc>
          <w:tcPr>
            <w:tcW w:type="dxa" w:w="907"/>
            <w:vAlign w:val="top"/>
          </w:tcPr>
          <w:p>
            <w:pPr>
              <w:spacing w:after="20" w:line="252" w:lineRule="auto"/>
            </w:pPr>
            <w:r>
              <w:rPr>
                <w:b w:val="0"/>
                <w:i w:val="0"/>
                <w:sz w:val="15"/>
              </w:rPr>
              <w:t>24</w:t>
            </w:r>
          </w:p>
        </w:tc>
        <w:tc>
          <w:tcPr>
            <w:tcW w:type="dxa" w:w="1134"/>
            <w:vAlign w:val="top"/>
          </w:tcPr>
          <w:p>
            <w:pPr>
              <w:spacing w:after="20" w:line="252" w:lineRule="auto"/>
            </w:pPr>
            <w:r>
              <w:rPr>
                <w:b w:val="0"/>
                <w:i w:val="0"/>
                <w:sz w:val="15"/>
              </w:rPr>
              <w:t>1 to 336</w:t>
            </w:r>
          </w:p>
        </w:tc>
        <w:tc>
          <w:tcPr>
            <w:tcW w:type="dxa" w:w="4535"/>
            <w:vAlign w:val="top"/>
          </w:tcPr>
          <w:p>
            <w:pPr>
              <w:spacing w:after="20" w:line="252" w:lineRule="auto"/>
            </w:pPr>
            <w:r>
              <w:rPr>
                <w:b w:val="0"/>
                <w:i w:val="0"/>
                <w:sz w:val="15"/>
              </w:rPr>
              <w:t>High issue resolution target (hours)</w:t>
            </w:r>
          </w:p>
        </w:tc>
      </w:tr>
      <w:tr>
        <w:trPr>
          <w:cantSplit/>
        </w:trPr>
        <w:tc>
          <w:tcPr>
            <w:tcW w:type="dxa" w:w="3061"/>
            <w:vAlign w:val="top"/>
            <w:shd w:val="clear" w:color="auto" w:fill="FDF0F7"/>
          </w:tcPr>
          <w:p>
            <w:pPr>
              <w:spacing w:after="20" w:line="252" w:lineRule="auto"/>
            </w:pPr>
            <w:r>
              <w:rPr>
                <w:b w:val="0"/>
                <w:i w:val="0"/>
                <w:sz w:val="15"/>
              </w:rPr>
              <w:t>sla.medium.response_hours</w:t>
            </w:r>
          </w:p>
        </w:tc>
        <w:tc>
          <w:tcPr>
            <w:tcW w:type="dxa" w:w="907"/>
            <w:vAlign w:val="top"/>
            <w:shd w:val="clear" w:color="auto" w:fill="FDF0F7"/>
          </w:tcPr>
          <w:p>
            <w:pPr>
              <w:spacing w:after="20" w:line="252" w:lineRule="auto"/>
            </w:pPr>
            <w:r>
              <w:rPr>
                <w:b w:val="0"/>
                <w:i w:val="0"/>
                <w:sz w:val="15"/>
              </w:rPr>
              <w:t>8</w:t>
            </w:r>
          </w:p>
        </w:tc>
        <w:tc>
          <w:tcPr>
            <w:tcW w:type="dxa" w:w="1134"/>
            <w:vAlign w:val="top"/>
            <w:shd w:val="clear" w:color="auto" w:fill="FDF0F7"/>
          </w:tcPr>
          <w:p>
            <w:pPr>
              <w:spacing w:after="20" w:line="252" w:lineRule="auto"/>
            </w:pPr>
            <w:r>
              <w:rPr>
                <w:b w:val="0"/>
                <w:i w:val="0"/>
                <w:sz w:val="15"/>
              </w:rPr>
              <w:t>1 to 168</w:t>
            </w:r>
          </w:p>
        </w:tc>
        <w:tc>
          <w:tcPr>
            <w:tcW w:type="dxa" w:w="4535"/>
            <w:vAlign w:val="top"/>
            <w:shd w:val="clear" w:color="auto" w:fill="FDF0F7"/>
          </w:tcPr>
          <w:p>
            <w:pPr>
              <w:spacing w:after="20" w:line="252" w:lineRule="auto"/>
            </w:pPr>
            <w:r>
              <w:rPr>
                <w:b w:val="0"/>
                <w:i w:val="0"/>
                <w:sz w:val="15"/>
              </w:rPr>
              <w:t>Medium issue response target (hours)</w:t>
            </w:r>
          </w:p>
        </w:tc>
      </w:tr>
      <w:tr>
        <w:trPr>
          <w:cantSplit/>
        </w:trPr>
        <w:tc>
          <w:tcPr>
            <w:tcW w:type="dxa" w:w="3061"/>
            <w:vAlign w:val="top"/>
          </w:tcPr>
          <w:p>
            <w:pPr>
              <w:spacing w:after="20" w:line="252" w:lineRule="auto"/>
            </w:pPr>
            <w:r>
              <w:rPr>
                <w:b w:val="0"/>
                <w:i w:val="0"/>
                <w:sz w:val="15"/>
              </w:rPr>
              <w:t>sla.medium.resolution_hours</w:t>
            </w:r>
          </w:p>
        </w:tc>
        <w:tc>
          <w:tcPr>
            <w:tcW w:type="dxa" w:w="907"/>
            <w:vAlign w:val="top"/>
          </w:tcPr>
          <w:p>
            <w:pPr>
              <w:spacing w:after="20" w:line="252" w:lineRule="auto"/>
            </w:pPr>
            <w:r>
              <w:rPr>
                <w:b w:val="0"/>
                <w:i w:val="0"/>
                <w:sz w:val="15"/>
              </w:rPr>
              <w:t>72</w:t>
            </w:r>
          </w:p>
        </w:tc>
        <w:tc>
          <w:tcPr>
            <w:tcW w:type="dxa" w:w="1134"/>
            <w:vAlign w:val="top"/>
          </w:tcPr>
          <w:p>
            <w:pPr>
              <w:spacing w:after="20" w:line="252" w:lineRule="auto"/>
            </w:pPr>
            <w:r>
              <w:rPr>
                <w:b w:val="0"/>
                <w:i w:val="0"/>
                <w:sz w:val="15"/>
              </w:rPr>
              <w:t>1 to 720</w:t>
            </w:r>
          </w:p>
        </w:tc>
        <w:tc>
          <w:tcPr>
            <w:tcW w:type="dxa" w:w="4535"/>
            <w:vAlign w:val="top"/>
          </w:tcPr>
          <w:p>
            <w:pPr>
              <w:spacing w:after="20" w:line="252" w:lineRule="auto"/>
            </w:pPr>
            <w:r>
              <w:rPr>
                <w:b w:val="0"/>
                <w:i w:val="0"/>
                <w:sz w:val="15"/>
              </w:rPr>
              <w:t>Medium issue resolution target (hours)</w:t>
            </w:r>
          </w:p>
        </w:tc>
      </w:tr>
      <w:tr>
        <w:trPr>
          <w:cantSplit/>
        </w:trPr>
        <w:tc>
          <w:tcPr>
            <w:tcW w:type="dxa" w:w="3061"/>
            <w:vAlign w:val="top"/>
            <w:shd w:val="clear" w:color="auto" w:fill="FDF0F7"/>
          </w:tcPr>
          <w:p>
            <w:pPr>
              <w:spacing w:after="20" w:line="252" w:lineRule="auto"/>
            </w:pPr>
            <w:r>
              <w:rPr>
                <w:b w:val="0"/>
                <w:i w:val="0"/>
                <w:sz w:val="15"/>
              </w:rPr>
              <w:t>sla.low.response_hours</w:t>
            </w:r>
          </w:p>
        </w:tc>
        <w:tc>
          <w:tcPr>
            <w:tcW w:type="dxa" w:w="907"/>
            <w:vAlign w:val="top"/>
            <w:shd w:val="clear" w:color="auto" w:fill="FDF0F7"/>
          </w:tcPr>
          <w:p>
            <w:pPr>
              <w:spacing w:after="20" w:line="252" w:lineRule="auto"/>
            </w:pPr>
            <w:r>
              <w:rPr>
                <w:b w:val="0"/>
                <w:i w:val="0"/>
                <w:sz w:val="15"/>
              </w:rPr>
              <w:t>24</w:t>
            </w:r>
          </w:p>
        </w:tc>
        <w:tc>
          <w:tcPr>
            <w:tcW w:type="dxa" w:w="1134"/>
            <w:vAlign w:val="top"/>
            <w:shd w:val="clear" w:color="auto" w:fill="FDF0F7"/>
          </w:tcPr>
          <w:p>
            <w:pPr>
              <w:spacing w:after="20" w:line="252" w:lineRule="auto"/>
            </w:pPr>
            <w:r>
              <w:rPr>
                <w:b w:val="0"/>
                <w:i w:val="0"/>
                <w:sz w:val="15"/>
              </w:rPr>
              <w:t>1 to 336</w:t>
            </w:r>
          </w:p>
        </w:tc>
        <w:tc>
          <w:tcPr>
            <w:tcW w:type="dxa" w:w="4535"/>
            <w:vAlign w:val="top"/>
            <w:shd w:val="clear" w:color="auto" w:fill="FDF0F7"/>
          </w:tcPr>
          <w:p>
            <w:pPr>
              <w:spacing w:after="20" w:line="252" w:lineRule="auto"/>
            </w:pPr>
            <w:r>
              <w:rPr>
                <w:b w:val="0"/>
                <w:i w:val="0"/>
                <w:sz w:val="15"/>
              </w:rPr>
              <w:t>Low issue response target (hours)</w:t>
            </w:r>
          </w:p>
        </w:tc>
      </w:tr>
      <w:tr>
        <w:trPr>
          <w:cantSplit/>
        </w:trPr>
        <w:tc>
          <w:tcPr>
            <w:tcW w:type="dxa" w:w="3061"/>
            <w:vAlign w:val="top"/>
          </w:tcPr>
          <w:p>
            <w:pPr>
              <w:spacing w:after="20" w:line="252" w:lineRule="auto"/>
            </w:pPr>
            <w:r>
              <w:rPr>
                <w:b w:val="0"/>
                <w:i w:val="0"/>
                <w:sz w:val="15"/>
              </w:rPr>
              <w:t>sla.low.resolution_hours</w:t>
            </w:r>
          </w:p>
        </w:tc>
        <w:tc>
          <w:tcPr>
            <w:tcW w:type="dxa" w:w="907"/>
            <w:vAlign w:val="top"/>
          </w:tcPr>
          <w:p>
            <w:pPr>
              <w:spacing w:after="20" w:line="252" w:lineRule="auto"/>
            </w:pPr>
            <w:r>
              <w:rPr>
                <w:b w:val="0"/>
                <w:i w:val="0"/>
                <w:sz w:val="15"/>
              </w:rPr>
              <w:t>168</w:t>
            </w:r>
          </w:p>
        </w:tc>
        <w:tc>
          <w:tcPr>
            <w:tcW w:type="dxa" w:w="1134"/>
            <w:vAlign w:val="top"/>
          </w:tcPr>
          <w:p>
            <w:pPr>
              <w:spacing w:after="20" w:line="252" w:lineRule="auto"/>
            </w:pPr>
            <w:r>
              <w:rPr>
                <w:b w:val="0"/>
                <w:i w:val="0"/>
                <w:sz w:val="15"/>
              </w:rPr>
              <w:t>1 to 2160</w:t>
            </w:r>
          </w:p>
        </w:tc>
        <w:tc>
          <w:tcPr>
            <w:tcW w:type="dxa" w:w="4535"/>
            <w:vAlign w:val="top"/>
          </w:tcPr>
          <w:p>
            <w:pPr>
              <w:spacing w:after="20" w:line="252" w:lineRule="auto"/>
            </w:pPr>
            <w:r>
              <w:rPr>
                <w:b w:val="0"/>
                <w:i w:val="0"/>
                <w:sz w:val="15"/>
              </w:rPr>
              <w:t>Low issue resolution target (hours)</w:t>
            </w:r>
          </w:p>
        </w:tc>
      </w:tr>
      <w:tr>
        <w:trPr>
          <w:cantSplit/>
        </w:trPr>
        <w:tc>
          <w:tcPr>
            <w:tcW w:type="dxa" w:w="3061"/>
            <w:vAlign w:val="top"/>
            <w:shd w:val="clear" w:color="auto" w:fill="FDF0F7"/>
          </w:tcPr>
          <w:p>
            <w:pPr>
              <w:spacing w:after="20" w:line="252" w:lineRule="auto"/>
            </w:pPr>
            <w:r>
              <w:rPr>
                <w:b w:val="0"/>
                <w:i w:val="0"/>
                <w:sz w:val="15"/>
              </w:rPr>
              <w:t>integration.max_attempts</w:t>
            </w:r>
          </w:p>
        </w:tc>
        <w:tc>
          <w:tcPr>
            <w:tcW w:type="dxa" w:w="907"/>
            <w:vAlign w:val="top"/>
            <w:shd w:val="clear" w:color="auto" w:fill="FDF0F7"/>
          </w:tcPr>
          <w:p>
            <w:pPr>
              <w:spacing w:after="20" w:line="252" w:lineRule="auto"/>
            </w:pPr>
            <w:r>
              <w:rPr>
                <w:b w:val="0"/>
                <w:i w:val="0"/>
                <w:sz w:val="15"/>
              </w:rPr>
              <w:t>6</w:t>
            </w:r>
          </w:p>
        </w:tc>
        <w:tc>
          <w:tcPr>
            <w:tcW w:type="dxa" w:w="1134"/>
            <w:vAlign w:val="top"/>
            <w:shd w:val="clear" w:color="auto" w:fill="FDF0F7"/>
          </w:tcPr>
          <w:p>
            <w:pPr>
              <w:spacing w:after="20" w:line="252" w:lineRule="auto"/>
            </w:pPr>
            <w:r>
              <w:rPr>
                <w:b w:val="0"/>
                <w:i w:val="0"/>
                <w:sz w:val="15"/>
              </w:rPr>
              <w:t>1 to 20</w:t>
            </w:r>
          </w:p>
        </w:tc>
        <w:tc>
          <w:tcPr>
            <w:tcW w:type="dxa" w:w="4535"/>
            <w:vAlign w:val="top"/>
            <w:shd w:val="clear" w:color="auto" w:fill="FDF0F7"/>
          </w:tcPr>
          <w:p>
            <w:pPr>
              <w:spacing w:after="20" w:line="252" w:lineRule="auto"/>
            </w:pPr>
            <w:r>
              <w:rPr>
                <w:b w:val="0"/>
                <w:i w:val="0"/>
                <w:sz w:val="15"/>
              </w:rPr>
              <w:t>Delivery attempts before an integration message is moved to dead-letter</w:t>
            </w:r>
          </w:p>
        </w:tc>
      </w:tr>
      <w:tr>
        <w:trPr>
          <w:cantSplit/>
        </w:trPr>
        <w:tc>
          <w:tcPr>
            <w:tcW w:type="dxa" w:w="3061"/>
            <w:vAlign w:val="top"/>
          </w:tcPr>
          <w:p>
            <w:pPr>
              <w:spacing w:after="20" w:line="252" w:lineRule="auto"/>
            </w:pPr>
            <w:r>
              <w:rPr>
                <w:b w:val="0"/>
                <w:i w:val="0"/>
                <w:sz w:val="15"/>
              </w:rPr>
              <w:t>notification.max_attempts</w:t>
            </w:r>
          </w:p>
        </w:tc>
        <w:tc>
          <w:tcPr>
            <w:tcW w:type="dxa" w:w="907"/>
            <w:vAlign w:val="top"/>
          </w:tcPr>
          <w:p>
            <w:pPr>
              <w:spacing w:after="20" w:line="252" w:lineRule="auto"/>
            </w:pPr>
            <w:r>
              <w:rPr>
                <w:b w:val="0"/>
                <w:i w:val="0"/>
                <w:sz w:val="15"/>
              </w:rPr>
              <w:t>5</w:t>
            </w:r>
          </w:p>
        </w:tc>
        <w:tc>
          <w:tcPr>
            <w:tcW w:type="dxa" w:w="1134"/>
            <w:vAlign w:val="top"/>
          </w:tcPr>
          <w:p>
            <w:pPr>
              <w:spacing w:after="20" w:line="252" w:lineRule="auto"/>
            </w:pPr>
            <w:r>
              <w:rPr>
                <w:b w:val="0"/>
                <w:i w:val="0"/>
                <w:sz w:val="15"/>
              </w:rPr>
              <w:t>1 to 20</w:t>
            </w:r>
          </w:p>
        </w:tc>
        <w:tc>
          <w:tcPr>
            <w:tcW w:type="dxa" w:w="4535"/>
            <w:vAlign w:val="top"/>
          </w:tcPr>
          <w:p>
            <w:pPr>
              <w:spacing w:after="20" w:line="252" w:lineRule="auto"/>
            </w:pPr>
            <w:r>
              <w:rPr>
                <w:b w:val="0"/>
                <w:i w:val="0"/>
                <w:sz w:val="15"/>
              </w:rPr>
              <w:t>Email/SMS delivery attempts before giving up</w:t>
            </w:r>
          </w:p>
        </w:tc>
      </w:tr>
      <w:tr>
        <w:trPr>
          <w:cantSplit/>
        </w:trPr>
        <w:tc>
          <w:tcPr>
            <w:tcW w:type="dxa" w:w="3061"/>
            <w:vAlign w:val="top"/>
            <w:shd w:val="clear" w:color="auto" w:fill="FDF0F7"/>
          </w:tcPr>
          <w:p>
            <w:pPr>
              <w:spacing w:after="20" w:line="252" w:lineRule="auto"/>
            </w:pPr>
            <w:r>
              <w:rPr>
                <w:b w:val="0"/>
                <w:i w:val="0"/>
                <w:sz w:val="15"/>
              </w:rPr>
              <w:t>document.expiry_warning_days</w:t>
            </w:r>
          </w:p>
        </w:tc>
        <w:tc>
          <w:tcPr>
            <w:tcW w:type="dxa" w:w="907"/>
            <w:vAlign w:val="top"/>
            <w:shd w:val="clear" w:color="auto" w:fill="FDF0F7"/>
          </w:tcPr>
          <w:p>
            <w:pPr>
              <w:spacing w:after="20" w:line="252" w:lineRule="auto"/>
            </w:pPr>
            <w:r>
              <w:rPr>
                <w:b w:val="0"/>
                <w:i w:val="0"/>
                <w:sz w:val="15"/>
              </w:rPr>
              <w:t>30</w:t>
            </w:r>
          </w:p>
        </w:tc>
        <w:tc>
          <w:tcPr>
            <w:tcW w:type="dxa" w:w="1134"/>
            <w:vAlign w:val="top"/>
            <w:shd w:val="clear" w:color="auto" w:fill="FDF0F7"/>
          </w:tcPr>
          <w:p>
            <w:pPr>
              <w:spacing w:after="20" w:line="252" w:lineRule="auto"/>
            </w:pPr>
            <w:r>
              <w:rPr>
                <w:b w:val="0"/>
                <w:i w:val="0"/>
                <w:sz w:val="15"/>
              </w:rPr>
              <w:t>1 to 180</w:t>
            </w:r>
          </w:p>
        </w:tc>
        <w:tc>
          <w:tcPr>
            <w:tcW w:type="dxa" w:w="4535"/>
            <w:vAlign w:val="top"/>
            <w:shd w:val="clear" w:color="auto" w:fill="FDF0F7"/>
          </w:tcPr>
          <w:p>
            <w:pPr>
              <w:spacing w:after="20" w:line="252" w:lineRule="auto"/>
            </w:pPr>
            <w:r>
              <w:rPr>
                <w:b w:val="0"/>
                <w:i w:val="0"/>
                <w:sz w:val="15"/>
              </w:rPr>
              <w:t>Days before expiry that documents are flagged</w:t>
            </w:r>
          </w:p>
        </w:tc>
      </w:tr>
    </w:tbl>
    <w:p>
      <w:pPr>
        <w:pStyle w:val="Caption"/>
        <w:jc w:val="center"/>
      </w:pPr>
      <w:r>
        <w:rPr>
          <w:b w:val="0"/>
          <w:i w:val="0"/>
        </w:rPr>
        <w:t>Table 13: Business parameters and defaults</w:t>
      </w:r>
    </w:p>
    <w:p>
      <w:pPr>
        <w:pStyle w:val="Heading2"/>
      </w:pPr>
      <w:r>
        <w:t>6.9 Retention and archival</w:t>
      </w:r>
    </w:p>
    <w:p>
      <w:pPr>
        <w:keepNext w:val="0"/>
      </w:pPr>
      <w:r>
        <w:rPr>
          <w:b w:val="0"/>
          <w:i w:val="0"/>
        </w:rPr>
        <w:t>Proposed retention periods are below. They are confirmed with IIFT Compliance against the PDPO 2025, AMBD requirements and AML/CFT record-keeping rules during design. The retention job that applies them, with an archive schema and audit of every purge, is delivered during implementation. Expired sessions are already pruned automatically.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742"/>
        <w:gridCol w:w="3061"/>
        <w:gridCol w:w="2835"/>
      </w:tblGrid>
      <w:tr>
        <w:trPr>
          <w:cantSplit/>
          <w:tblHeader/>
        </w:trPr>
        <w:tc>
          <w:tcPr>
            <w:tcW w:type="dxa" w:w="3742"/>
            <w:shd w:val="clear" w:color="auto" w:fill="E1058C"/>
            <w:vAlign w:val="center"/>
          </w:tcPr>
          <w:p>
            <w:pPr>
              <w:spacing w:after="0"/>
            </w:pPr>
            <w:r>
              <w:rPr>
                <w:b/>
                <w:i w:val="0"/>
                <w:color w:val="FFFFFF"/>
                <w:sz w:val="16"/>
              </w:rPr>
              <w:t>Data</w:t>
            </w:r>
          </w:p>
        </w:tc>
        <w:tc>
          <w:tcPr>
            <w:tcW w:type="dxa" w:w="3061"/>
            <w:shd w:val="clear" w:color="auto" w:fill="E1058C"/>
            <w:vAlign w:val="center"/>
          </w:tcPr>
          <w:p>
            <w:pPr>
              <w:spacing w:after="0"/>
            </w:pPr>
            <w:r>
              <w:rPr>
                <w:b/>
                <w:i w:val="0"/>
                <w:color w:val="FFFFFF"/>
                <w:sz w:val="16"/>
              </w:rPr>
              <w:t>Retention</w:t>
            </w:r>
          </w:p>
        </w:tc>
        <w:tc>
          <w:tcPr>
            <w:tcW w:type="dxa" w:w="2835"/>
            <w:shd w:val="clear" w:color="auto" w:fill="E1058C"/>
            <w:vAlign w:val="center"/>
          </w:tcPr>
          <w:p>
            <w:pPr>
              <w:spacing w:after="0"/>
            </w:pPr>
            <w:r>
              <w:rPr>
                <w:b/>
                <w:i w:val="0"/>
                <w:color w:val="FFFFFF"/>
                <w:sz w:val="16"/>
              </w:rPr>
              <w:t>Mechanism</w:t>
            </w:r>
          </w:p>
        </w:tc>
      </w:tr>
      <w:tr>
        <w:trPr>
          <w:cantSplit/>
        </w:trPr>
        <w:tc>
          <w:tcPr>
            <w:tcW w:type="dxa" w:w="3742"/>
            <w:vAlign w:val="top"/>
          </w:tcPr>
          <w:p>
            <w:pPr>
              <w:spacing w:after="20" w:line="252" w:lineRule="auto"/>
            </w:pPr>
            <w:r>
              <w:rPr>
                <w:b w:val="0"/>
                <w:i w:val="0"/>
                <w:sz w:val="16"/>
              </w:rPr>
              <w:t>Policies, quotations taken up, nominees, policy events</w:t>
            </w:r>
          </w:p>
        </w:tc>
        <w:tc>
          <w:tcPr>
            <w:tcW w:type="dxa" w:w="3061"/>
            <w:vAlign w:val="top"/>
          </w:tcPr>
          <w:p>
            <w:pPr>
              <w:spacing w:after="20" w:line="252" w:lineRule="auto"/>
            </w:pPr>
            <w:r>
              <w:rPr>
                <w:b w:val="0"/>
                <w:i w:val="0"/>
                <w:sz w:val="16"/>
              </w:rPr>
              <w:t>7 years after policy end or cancellation</w:t>
            </w:r>
          </w:p>
        </w:tc>
        <w:tc>
          <w:tcPr>
            <w:tcW w:type="dxa" w:w="2835"/>
            <w:vAlign w:val="top"/>
          </w:tcPr>
          <w:p>
            <w:pPr>
              <w:spacing w:after="20" w:line="252" w:lineRule="auto"/>
            </w:pPr>
            <w:r>
              <w:rPr>
                <w:b w:val="0"/>
                <w:i w:val="0"/>
                <w:sz w:val="16"/>
              </w:rPr>
              <w:t>Archive to read-only schema, then delete</w:t>
            </w:r>
          </w:p>
        </w:tc>
      </w:tr>
      <w:tr>
        <w:trPr>
          <w:cantSplit/>
        </w:trPr>
        <w:tc>
          <w:tcPr>
            <w:tcW w:type="dxa" w:w="3742"/>
            <w:vAlign w:val="top"/>
            <w:shd w:val="clear" w:color="auto" w:fill="FDF0F7"/>
          </w:tcPr>
          <w:p>
            <w:pPr>
              <w:spacing w:after="20" w:line="252" w:lineRule="auto"/>
            </w:pPr>
            <w:r>
              <w:rPr>
                <w:b w:val="0"/>
                <w:i w:val="0"/>
                <w:sz w:val="16"/>
              </w:rPr>
              <w:t>Quotations not taken up (DRAFT, REJECTED)</w:t>
            </w:r>
          </w:p>
        </w:tc>
        <w:tc>
          <w:tcPr>
            <w:tcW w:type="dxa" w:w="3061"/>
            <w:vAlign w:val="top"/>
            <w:shd w:val="clear" w:color="auto" w:fill="FDF0F7"/>
          </w:tcPr>
          <w:p>
            <w:pPr>
              <w:spacing w:after="20" w:line="252" w:lineRule="auto"/>
            </w:pPr>
            <w:r>
              <w:rPr>
                <w:b w:val="0"/>
                <w:i w:val="0"/>
                <w:sz w:val="16"/>
              </w:rPr>
              <w:t>2 years after last change</w:t>
            </w:r>
          </w:p>
        </w:tc>
        <w:tc>
          <w:tcPr>
            <w:tcW w:type="dxa" w:w="2835"/>
            <w:vAlign w:val="top"/>
            <w:shd w:val="clear" w:color="auto" w:fill="FDF0F7"/>
          </w:tcPr>
          <w:p>
            <w:pPr>
              <w:spacing w:after="20" w:line="252" w:lineRule="auto"/>
            </w:pPr>
            <w:r>
              <w:rPr>
                <w:b w:val="0"/>
                <w:i w:val="0"/>
                <w:sz w:val="16"/>
              </w:rPr>
              <w:t>Delete with documents</w:t>
            </w:r>
          </w:p>
        </w:tc>
      </w:tr>
      <w:tr>
        <w:trPr>
          <w:cantSplit/>
        </w:trPr>
        <w:tc>
          <w:tcPr>
            <w:tcW w:type="dxa" w:w="3742"/>
            <w:vAlign w:val="top"/>
          </w:tcPr>
          <w:p>
            <w:pPr>
              <w:spacing w:after="20" w:line="252" w:lineRule="auto"/>
            </w:pPr>
            <w:r>
              <w:rPr>
                <w:b w:val="0"/>
                <w:i w:val="0"/>
                <w:sz w:val="16"/>
              </w:rPr>
              <w:t>Participants and AML screenings</w:t>
            </w:r>
          </w:p>
        </w:tc>
        <w:tc>
          <w:tcPr>
            <w:tcW w:type="dxa" w:w="3061"/>
            <w:vAlign w:val="top"/>
          </w:tcPr>
          <w:p>
            <w:pPr>
              <w:spacing w:after="20" w:line="252" w:lineRule="auto"/>
            </w:pPr>
            <w:r>
              <w:rPr>
                <w:b w:val="0"/>
                <w:i w:val="0"/>
                <w:sz w:val="16"/>
              </w:rPr>
              <w:t>7 years after the last policy ends (AML/CFT record keeping)</w:t>
            </w:r>
          </w:p>
        </w:tc>
        <w:tc>
          <w:tcPr>
            <w:tcW w:type="dxa" w:w="2835"/>
            <w:vAlign w:val="top"/>
          </w:tcPr>
          <w:p>
            <w:pPr>
              <w:spacing w:after="20" w:line="252" w:lineRule="auto"/>
            </w:pPr>
            <w:r>
              <w:rPr>
                <w:b w:val="0"/>
                <w:i w:val="0"/>
                <w:sz w:val="16"/>
              </w:rPr>
              <w:t>Archive, then delete</w:t>
            </w:r>
          </w:p>
        </w:tc>
      </w:tr>
      <w:tr>
        <w:trPr>
          <w:cantSplit/>
        </w:trPr>
        <w:tc>
          <w:tcPr>
            <w:tcW w:type="dxa" w:w="3742"/>
            <w:vAlign w:val="top"/>
            <w:shd w:val="clear" w:color="auto" w:fill="FDF0F7"/>
          </w:tcPr>
          <w:p>
            <w:pPr>
              <w:spacing w:after="20" w:line="252" w:lineRule="auto"/>
            </w:pPr>
            <w:r>
              <w:rPr>
                <w:b w:val="0"/>
                <w:i w:val="0"/>
                <w:sz w:val="16"/>
              </w:rPr>
              <w:t>Payments, receipts, commissions, EOD runs, FIN files</w:t>
            </w:r>
          </w:p>
        </w:tc>
        <w:tc>
          <w:tcPr>
            <w:tcW w:type="dxa" w:w="3061"/>
            <w:vAlign w:val="top"/>
            <w:shd w:val="clear" w:color="auto" w:fill="FDF0F7"/>
          </w:tcPr>
          <w:p>
            <w:pPr>
              <w:spacing w:after="20" w:line="252" w:lineRule="auto"/>
            </w:pPr>
            <w:r>
              <w:rPr>
                <w:b w:val="0"/>
                <w:i w:val="0"/>
                <w:sz w:val="16"/>
              </w:rPr>
              <w:t>7 years after the financial year</w:t>
            </w:r>
          </w:p>
        </w:tc>
        <w:tc>
          <w:tcPr>
            <w:tcW w:type="dxa" w:w="2835"/>
            <w:vAlign w:val="top"/>
            <w:shd w:val="clear" w:color="auto" w:fill="FDF0F7"/>
          </w:tcPr>
          <w:p>
            <w:pPr>
              <w:spacing w:after="20" w:line="252" w:lineRule="auto"/>
            </w:pPr>
            <w:r>
              <w:rPr>
                <w:b w:val="0"/>
                <w:i w:val="0"/>
                <w:sz w:val="16"/>
              </w:rPr>
              <w:t>Archive, then delete</w:t>
            </w:r>
          </w:p>
        </w:tc>
      </w:tr>
      <w:tr>
        <w:trPr>
          <w:cantSplit/>
        </w:trPr>
        <w:tc>
          <w:tcPr>
            <w:tcW w:type="dxa" w:w="3742"/>
            <w:vAlign w:val="top"/>
          </w:tcPr>
          <w:p>
            <w:pPr>
              <w:spacing w:after="20" w:line="252" w:lineRule="auto"/>
            </w:pPr>
            <w:r>
              <w:rPr>
                <w:b w:val="0"/>
                <w:i w:val="0"/>
                <w:sz w:val="16"/>
              </w:rPr>
              <w:t>Audit log</w:t>
            </w:r>
          </w:p>
        </w:tc>
        <w:tc>
          <w:tcPr>
            <w:tcW w:type="dxa" w:w="3061"/>
            <w:vAlign w:val="top"/>
          </w:tcPr>
          <w:p>
            <w:pPr>
              <w:spacing w:after="20" w:line="252" w:lineRule="auto"/>
            </w:pPr>
            <w:r>
              <w:rPr>
                <w:b w:val="0"/>
                <w:i w:val="0"/>
                <w:sz w:val="16"/>
              </w:rPr>
              <w:t>7 years online or in archive</w:t>
            </w:r>
          </w:p>
        </w:tc>
        <w:tc>
          <w:tcPr>
            <w:tcW w:type="dxa" w:w="2835"/>
            <w:vAlign w:val="top"/>
          </w:tcPr>
          <w:p>
            <w:pPr>
              <w:spacing w:after="20" w:line="252" w:lineRule="auto"/>
            </w:pPr>
            <w:r>
              <w:rPr>
                <w:b w:val="0"/>
                <w:i w:val="0"/>
                <w:sz w:val="16"/>
              </w:rPr>
              <w:t>Controlled archive procedure (trigger blocks normal deletion)</w:t>
            </w:r>
          </w:p>
        </w:tc>
      </w:tr>
      <w:tr>
        <w:trPr>
          <w:cantSplit/>
        </w:trPr>
        <w:tc>
          <w:tcPr>
            <w:tcW w:type="dxa" w:w="3742"/>
            <w:vAlign w:val="top"/>
            <w:shd w:val="clear" w:color="auto" w:fill="FDF0F7"/>
          </w:tcPr>
          <w:p>
            <w:pPr>
              <w:spacing w:after="20" w:line="252" w:lineRule="auto"/>
            </w:pPr>
            <w:r>
              <w:rPr>
                <w:b w:val="0"/>
                <w:i w:val="0"/>
                <w:sz w:val="16"/>
              </w:rPr>
              <w:t>Integration log, delivered outbox messages</w:t>
            </w:r>
          </w:p>
        </w:tc>
        <w:tc>
          <w:tcPr>
            <w:tcW w:type="dxa" w:w="3061"/>
            <w:vAlign w:val="top"/>
            <w:shd w:val="clear" w:color="auto" w:fill="FDF0F7"/>
          </w:tcPr>
          <w:p>
            <w:pPr>
              <w:spacing w:after="20" w:line="252" w:lineRule="auto"/>
            </w:pPr>
            <w:r>
              <w:rPr>
                <w:b w:val="0"/>
                <w:i w:val="0"/>
                <w:sz w:val="16"/>
              </w:rPr>
              <w:t>2 years</w:t>
            </w:r>
          </w:p>
        </w:tc>
        <w:tc>
          <w:tcPr>
            <w:tcW w:type="dxa" w:w="2835"/>
            <w:vAlign w:val="top"/>
            <w:shd w:val="clear" w:color="auto" w:fill="FDF0F7"/>
          </w:tcPr>
          <w:p>
            <w:pPr>
              <w:spacing w:after="20" w:line="252" w:lineRule="auto"/>
            </w:pPr>
            <w:r>
              <w:rPr>
                <w:b w:val="0"/>
                <w:i w:val="0"/>
                <w:sz w:val="16"/>
              </w:rPr>
              <w:t>Delete</w:t>
            </w:r>
          </w:p>
        </w:tc>
      </w:tr>
      <w:tr>
        <w:trPr>
          <w:cantSplit/>
        </w:trPr>
        <w:tc>
          <w:tcPr>
            <w:tcW w:type="dxa" w:w="3742"/>
            <w:vAlign w:val="top"/>
          </w:tcPr>
          <w:p>
            <w:pPr>
              <w:spacing w:after="20" w:line="252" w:lineRule="auto"/>
            </w:pPr>
            <w:r>
              <w:rPr>
                <w:b w:val="0"/>
                <w:i w:val="0"/>
                <w:sz w:val="16"/>
              </w:rPr>
              <w:t>Notifications</w:t>
            </w:r>
          </w:p>
        </w:tc>
        <w:tc>
          <w:tcPr>
            <w:tcW w:type="dxa" w:w="3061"/>
            <w:vAlign w:val="top"/>
          </w:tcPr>
          <w:p>
            <w:pPr>
              <w:spacing w:after="20" w:line="252" w:lineRule="auto"/>
            </w:pPr>
            <w:r>
              <w:rPr>
                <w:b w:val="0"/>
                <w:i w:val="0"/>
                <w:sz w:val="16"/>
              </w:rPr>
              <w:t>1 year (sensitive bodies already removed after delivery)</w:t>
            </w:r>
          </w:p>
        </w:tc>
        <w:tc>
          <w:tcPr>
            <w:tcW w:type="dxa" w:w="2835"/>
            <w:vAlign w:val="top"/>
          </w:tcPr>
          <w:p>
            <w:pPr>
              <w:spacing w:after="20" w:line="252" w:lineRule="auto"/>
            </w:pPr>
            <w:r>
              <w:rPr>
                <w:b w:val="0"/>
                <w:i w:val="0"/>
                <w:sz w:val="16"/>
              </w:rPr>
              <w:t>Delete</w:t>
            </w:r>
          </w:p>
        </w:tc>
      </w:tr>
      <w:tr>
        <w:trPr>
          <w:cantSplit/>
        </w:trPr>
        <w:tc>
          <w:tcPr>
            <w:tcW w:type="dxa" w:w="3742"/>
            <w:vAlign w:val="top"/>
            <w:shd w:val="clear" w:color="auto" w:fill="FDF0F7"/>
          </w:tcPr>
          <w:p>
            <w:pPr>
              <w:spacing w:after="20" w:line="252" w:lineRule="auto"/>
            </w:pPr>
            <w:r>
              <w:rPr>
                <w:b w:val="0"/>
                <w:i w:val="0"/>
                <w:sz w:val="16"/>
              </w:rPr>
              <w:t>Issues and comments</w:t>
            </w:r>
          </w:p>
        </w:tc>
        <w:tc>
          <w:tcPr>
            <w:tcW w:type="dxa" w:w="3061"/>
            <w:vAlign w:val="top"/>
            <w:shd w:val="clear" w:color="auto" w:fill="FDF0F7"/>
          </w:tcPr>
          <w:p>
            <w:pPr>
              <w:spacing w:after="20" w:line="252" w:lineRule="auto"/>
            </w:pPr>
            <w:r>
              <w:rPr>
                <w:b w:val="0"/>
                <w:i w:val="0"/>
                <w:sz w:val="16"/>
              </w:rPr>
              <w:t>3 years after closure</w:t>
            </w:r>
          </w:p>
        </w:tc>
        <w:tc>
          <w:tcPr>
            <w:tcW w:type="dxa" w:w="2835"/>
            <w:vAlign w:val="top"/>
            <w:shd w:val="clear" w:color="auto" w:fill="FDF0F7"/>
          </w:tcPr>
          <w:p>
            <w:pPr>
              <w:spacing w:after="20" w:line="252" w:lineRule="auto"/>
            </w:pPr>
            <w:r>
              <w:rPr>
                <w:b w:val="0"/>
                <w:i w:val="0"/>
                <w:sz w:val="16"/>
              </w:rPr>
              <w:t>Delete</w:t>
            </w:r>
          </w:p>
        </w:tc>
      </w:tr>
      <w:tr>
        <w:trPr>
          <w:cantSplit/>
        </w:trPr>
        <w:tc>
          <w:tcPr>
            <w:tcW w:type="dxa" w:w="3742"/>
            <w:vAlign w:val="top"/>
          </w:tcPr>
          <w:p>
            <w:pPr>
              <w:spacing w:after="20" w:line="252" w:lineRule="auto"/>
            </w:pPr>
            <w:r>
              <w:rPr>
                <w:b w:val="0"/>
                <w:i w:val="0"/>
                <w:sz w:val="16"/>
              </w:rPr>
              <w:t>Sessions</w:t>
            </w:r>
          </w:p>
        </w:tc>
        <w:tc>
          <w:tcPr>
            <w:tcW w:type="dxa" w:w="3061"/>
            <w:vAlign w:val="top"/>
          </w:tcPr>
          <w:p>
            <w:pPr>
              <w:spacing w:after="20" w:line="252" w:lineRule="auto"/>
            </w:pPr>
            <w:r>
              <w:rPr>
                <w:b w:val="0"/>
                <w:i w:val="0"/>
                <w:sz w:val="16"/>
              </w:rPr>
              <w:t>Until expiry</w:t>
            </w:r>
          </w:p>
        </w:tc>
        <w:tc>
          <w:tcPr>
            <w:tcW w:type="dxa" w:w="2835"/>
            <w:vAlign w:val="top"/>
          </w:tcPr>
          <w:p>
            <w:pPr>
              <w:spacing w:after="20" w:line="252" w:lineRule="auto"/>
            </w:pPr>
            <w:r>
              <w:rPr>
                <w:b w:val="0"/>
                <w:i w:val="0"/>
                <w:sz w:val="16"/>
              </w:rPr>
              <w:t>Pruned every 15 minutes (running today)</w:t>
            </w:r>
          </w:p>
        </w:tc>
      </w:tr>
    </w:tbl>
    <w:p>
      <w:pPr>
        <w:pStyle w:val="Caption"/>
        <w:jc w:val="center"/>
      </w:pPr>
      <w:r>
        <w:rPr>
          <w:b w:val="0"/>
          <w:i w:val="0"/>
        </w:rPr>
        <w:t>Table 14: Proposed retention</w:t>
      </w:r>
    </w:p>
    <w:p>
      <w:pPr>
        <w:pStyle w:val="Heading2"/>
      </w:pPr>
      <w:r>
        <w:t>6.10 Data migration</w:t>
      </w:r>
    </w:p>
    <w:p>
      <w:pPr>
        <w:keepNext w:val="0"/>
      </w:pPr>
      <w:r>
        <w:rPr>
          <w:b w:val="0"/>
          <w:i w:val="0"/>
        </w:rPr>
        <w:t>Legacy agents, agencies, participants and in-force policies are loaded through the same services the application uses, so encryption, blind indexes, numbering and audit apply to migrated records. Each rehearsal produces a reconciliation of counts and amounts that IIFT signs off (DEL-19); the migration tooling is delivered during implementation.</w:t>
      </w:r>
    </w:p>
    <w:p>
      <w:pPr>
        <w:pStyle w:val="Heading1"/>
        <w:pageBreakBefore/>
        <w:pBdr>
          <w:bottom w:val="single" w:sz="12" w:space="4" w:color="F58220"/>
        </w:pBdr>
      </w:pPr>
      <w:r>
        <w:t>7. Integration Architecture</w:t>
      </w:r>
    </w:p>
    <w:p>
      <w:pPr>
        <w:pStyle w:val="Heading2"/>
      </w:pPr>
      <w:r>
        <w:t>7.1 Approach</w:t>
      </w:r>
    </w:p>
    <w:p>
      <w:pPr>
        <w:keepNext w:val="0"/>
      </w:pPr>
      <w:r>
        <w:rPr>
          <w:b w:val="0"/>
          <w:i w:val="0"/>
        </w:rPr>
        <w:t>Outbound business events to the core and financial systems use a transactional outbox. Calls that need an answer at once (AML screening, directory sign-in, FIN posted receipts) are synchronous with timeouts. E-mail and SMS go through the notification table and its own dispatcher. Core and FIN call the portal through a small set of API-key-protected endpoints. Every call in either direction is written to integration_log, which feeds the integration monitor (INT-11, INT-14).</w:t>
      </w:r>
    </w:p>
    <w:p>
      <w:pPr>
        <w:keepNext/>
        <w:spacing w:after="0"/>
        <w:jc w:val="center"/>
      </w:pPr>
      <w:r>
        <w:drawing>
          <wp:inline xmlns:a="http://schemas.openxmlformats.org/drawingml/2006/main" xmlns:pic="http://schemas.openxmlformats.org/drawingml/2006/picture">
            <wp:extent cx="5760000" cy="4854857"/>
            <wp:docPr id="9" name="Picture 9"/>
            <wp:cNvGraphicFramePr>
              <a:graphicFrameLocks noChangeAspect="1"/>
            </wp:cNvGraphicFramePr>
            <a:graphic>
              <a:graphicData uri="http://schemas.openxmlformats.org/drawingml/2006/picture">
                <pic:pic>
                  <pic:nvPicPr>
                    <pic:cNvPr id="0" name="tech-integration.png"/>
                    <pic:cNvPicPr/>
                  </pic:nvPicPr>
                  <pic:blipFill>
                    <a:blip r:embed="rId19"/>
                    <a:stretch>
                      <a:fillRect/>
                    </a:stretch>
                  </pic:blipFill>
                  <pic:spPr>
                    <a:xfrm>
                      <a:off x="0" y="0"/>
                      <a:ext cx="5760000" cy="4854857"/>
                    </a:xfrm>
                    <a:prstGeom prst="rect"/>
                  </pic:spPr>
                </pic:pic>
              </a:graphicData>
            </a:graphic>
          </wp:inline>
        </w:drawing>
      </w:r>
    </w:p>
    <w:p>
      <w:pPr>
        <w:pStyle w:val="Caption"/>
        <w:jc w:val="center"/>
      </w:pPr>
      <w:r>
        <w:rPr>
          <w:b w:val="0"/>
          <w:i w:val="0"/>
        </w:rPr>
        <w:t>Figure 7: Outbox delivery, retry and dead-letter</w:t>
      </w:r>
    </w:p>
    <w:p>
      <w:pPr>
        <w:pStyle w:val="Heading2"/>
      </w:pPr>
      <w:r>
        <w:t>7.2 Delivery guarantees</w:t>
      </w:r>
    </w:p>
    <w:p>
      <w:pPr>
        <w:pStyle w:val="ListBullet"/>
      </w:pPr>
      <w:r>
        <w:rPr>
          <w:b/>
          <w:i w:val="0"/>
        </w:rPr>
        <w:t>Atomic capture.</w:t>
      </w:r>
      <w:r>
        <w:rPr>
          <w:b w:val="0"/>
          <w:i w:val="0"/>
        </w:rPr>
        <w:t xml:space="preserve"> The outbox row is inserted in the same transaction as the business change, so a message is never lost and never sent for a change that rolled back.</w:t>
      </w:r>
    </w:p>
    <w:p>
      <w:pPr>
        <w:pStyle w:val="ListBullet"/>
      </w:pPr>
      <w:r>
        <w:rPr>
          <w:b/>
          <w:i w:val="0"/>
        </w:rPr>
        <w:t>At-least-once delivery with idempotency.</w:t>
      </w:r>
      <w:r>
        <w:rPr>
          <w:b w:val="0"/>
          <w:i w:val="0"/>
        </w:rPr>
        <w:t xml:space="preserve"> The outbox id is sent as the Idempotency-Key header; the receiver must ignore a key it has already processed. This is part of the interface specification.</w:t>
      </w:r>
    </w:p>
    <w:p>
      <w:pPr>
        <w:pStyle w:val="ListBullet"/>
      </w:pPr>
      <w:r>
        <w:rPr>
          <w:b/>
          <w:i w:val="0"/>
        </w:rPr>
        <w:t>Retry with back-off.</w:t>
      </w:r>
      <w:r>
        <w:rPr>
          <w:b w:val="0"/>
          <w:i w:val="0"/>
        </w:rPr>
        <w:t xml:space="preserve"> Connection errors, timeouts, HTTP 5xx, 408 and 429 are retried after 1, 2, 4, 8 ... minutes, capped at 60 minutes. Other 4xx responses mean the message is wrong and go straight to dead-letter.</w:t>
      </w:r>
    </w:p>
    <w:p>
      <w:pPr>
        <w:pStyle w:val="ListBullet"/>
      </w:pPr>
      <w:r>
        <w:rPr>
          <w:b/>
          <w:i w:val="0"/>
        </w:rPr>
        <w:t>Dead-letter and alert.</w:t>
      </w:r>
      <w:r>
        <w:rPr>
          <w:b w:val="0"/>
          <w:i w:val="0"/>
        </w:rPr>
        <w:t xml:space="preserve"> After integration.max_attempts attempts (6 by default) the message becomes DEAD and every holder of bo.integration.manage receives an e-mail. The integration monitor shows the message and error; Retry resets it to PENDING.</w:t>
      </w:r>
    </w:p>
    <w:p>
      <w:pPr>
        <w:pStyle w:val="ListBullet"/>
      </w:pPr>
      <w:r>
        <w:rPr>
          <w:b/>
          <w:i w:val="0"/>
        </w:rPr>
        <w:t>Ordering.</w:t>
      </w:r>
      <w:r>
        <w:rPr>
          <w:b w:val="0"/>
          <w:i w:val="0"/>
        </w:rPr>
        <w:t xml:space="preserve"> Due messages are taken oldest first in batches of 25 by a single dispatcher (advisory lock), so events for one record are delivered in order unless one of them is retrying.</w:t>
      </w:r>
    </w:p>
    <w:p>
      <w:pPr>
        <w:pStyle w:val="ListBullet"/>
      </w:pPr>
      <w:r>
        <w:rPr>
          <w:b/>
          <w:i w:val="0"/>
        </w:rPr>
        <w:t>Timeouts.</w:t>
      </w:r>
      <w:r>
        <w:rPr>
          <w:b w:val="0"/>
          <w:i w:val="0"/>
        </w:rPr>
        <w:t xml:space="preserve"> Each endpoint has its own timeout (15 seconds by default).</w:t>
      </w:r>
    </w:p>
    <w:p>
      <w:pPr>
        <w:pStyle w:val="Heading2"/>
      </w:pPr>
      <w:r>
        <w:t>7.3 Outbound operations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2268"/>
        <w:gridCol w:w="2835"/>
        <w:gridCol w:w="3402"/>
      </w:tblGrid>
      <w:tr>
        <w:trPr>
          <w:cantSplit/>
          <w:tblHeader/>
        </w:trPr>
        <w:tc>
          <w:tcPr>
            <w:tcW w:type="dxa" w:w="1134"/>
            <w:shd w:val="clear" w:color="auto" w:fill="E1058C"/>
            <w:vAlign w:val="center"/>
          </w:tcPr>
          <w:p>
            <w:pPr>
              <w:spacing w:after="0"/>
            </w:pPr>
            <w:r>
              <w:rPr>
                <w:b/>
                <w:i w:val="0"/>
                <w:color w:val="FFFFFF"/>
                <w:sz w:val="16"/>
              </w:rPr>
              <w:t>System</w:t>
            </w:r>
          </w:p>
        </w:tc>
        <w:tc>
          <w:tcPr>
            <w:tcW w:type="dxa" w:w="2268"/>
            <w:shd w:val="clear" w:color="auto" w:fill="E1058C"/>
            <w:vAlign w:val="center"/>
          </w:tcPr>
          <w:p>
            <w:pPr>
              <w:spacing w:after="0"/>
            </w:pPr>
            <w:r>
              <w:rPr>
                <w:b/>
                <w:i w:val="0"/>
                <w:color w:val="FFFFFF"/>
                <w:sz w:val="16"/>
              </w:rPr>
              <w:t>Operation</w:t>
            </w:r>
          </w:p>
        </w:tc>
        <w:tc>
          <w:tcPr>
            <w:tcW w:type="dxa" w:w="2835"/>
            <w:shd w:val="clear" w:color="auto" w:fill="E1058C"/>
            <w:vAlign w:val="center"/>
          </w:tcPr>
          <w:p>
            <w:pPr>
              <w:spacing w:after="0"/>
            </w:pPr>
            <w:r>
              <w:rPr>
                <w:b/>
                <w:i w:val="0"/>
                <w:color w:val="FFFFFF"/>
                <w:sz w:val="16"/>
              </w:rPr>
              <w:t>Endpoint (base URL from configuration)</w:t>
            </w:r>
          </w:p>
        </w:tc>
        <w:tc>
          <w:tcPr>
            <w:tcW w:type="dxa" w:w="3402"/>
            <w:shd w:val="clear" w:color="auto" w:fill="E1058C"/>
            <w:vAlign w:val="center"/>
          </w:tcPr>
          <w:p>
            <w:pPr>
              <w:spacing w:after="0"/>
            </w:pPr>
            <w:r>
              <w:rPr>
                <w:b/>
                <w:i w:val="0"/>
                <w:color w:val="FFFFFF"/>
                <w:sz w:val="16"/>
              </w:rPr>
              <w:t>Raised when</w:t>
            </w:r>
          </w:p>
        </w:tc>
      </w:tr>
      <w:tr>
        <w:trPr>
          <w:cantSplit/>
        </w:trPr>
        <w:tc>
          <w:tcPr>
            <w:tcW w:type="dxa" w:w="1134"/>
            <w:vAlign w:val="top"/>
          </w:tcPr>
          <w:p>
            <w:pPr>
              <w:spacing w:after="20" w:line="252" w:lineRule="auto"/>
            </w:pPr>
            <w:r>
              <w:rPr>
                <w:b w:val="0"/>
                <w:i w:val="0"/>
                <w:sz w:val="16"/>
              </w:rPr>
              <w:t>CORE</w:t>
            </w:r>
          </w:p>
        </w:tc>
        <w:tc>
          <w:tcPr>
            <w:tcW w:type="dxa" w:w="2268"/>
            <w:vAlign w:val="top"/>
          </w:tcPr>
          <w:p>
            <w:pPr>
              <w:spacing w:after="20" w:line="252" w:lineRule="auto"/>
            </w:pPr>
            <w:r>
              <w:rPr>
                <w:b w:val="0"/>
                <w:i w:val="0"/>
                <w:sz w:val="16"/>
              </w:rPr>
              <w:t>AGENT_UPSERT</w:t>
            </w:r>
          </w:p>
        </w:tc>
        <w:tc>
          <w:tcPr>
            <w:tcW w:type="dxa" w:w="2835"/>
            <w:vAlign w:val="top"/>
          </w:tcPr>
          <w:p>
            <w:pPr>
              <w:spacing w:after="20" w:line="252" w:lineRule="auto"/>
            </w:pPr>
            <w:r>
              <w:rPr>
                <w:b w:val="0"/>
                <w:i w:val="0"/>
                <w:sz w:val="16"/>
              </w:rPr>
              <w:t>POST /agents</w:t>
            </w:r>
          </w:p>
        </w:tc>
        <w:tc>
          <w:tcPr>
            <w:tcW w:type="dxa" w:w="3402"/>
            <w:vAlign w:val="top"/>
          </w:tcPr>
          <w:p>
            <w:pPr>
              <w:spacing w:after="20" w:line="252" w:lineRule="auto"/>
            </w:pPr>
            <w:r>
              <w:rPr>
                <w:b w:val="0"/>
                <w:i w:val="0"/>
                <w:sz w:val="16"/>
              </w:rPr>
              <w:t>Agent registration, profile update or status change approved</w:t>
            </w:r>
          </w:p>
        </w:tc>
      </w:tr>
      <w:tr>
        <w:trPr>
          <w:cantSplit/>
        </w:trPr>
        <w:tc>
          <w:tcPr>
            <w:tcW w:type="dxa" w:w="1134"/>
            <w:vAlign w:val="top"/>
            <w:shd w:val="clear" w:color="auto" w:fill="FDF0F7"/>
          </w:tcPr>
          <w:p>
            <w:pPr>
              <w:spacing w:after="20" w:line="252" w:lineRule="auto"/>
            </w:pPr>
            <w:r>
              <w:rPr>
                <w:b w:val="0"/>
                <w:i w:val="0"/>
                <w:sz w:val="16"/>
              </w:rPr>
              <w:t>CORE</w:t>
            </w:r>
          </w:p>
        </w:tc>
        <w:tc>
          <w:tcPr>
            <w:tcW w:type="dxa" w:w="2268"/>
            <w:vAlign w:val="top"/>
            <w:shd w:val="clear" w:color="auto" w:fill="FDF0F7"/>
          </w:tcPr>
          <w:p>
            <w:pPr>
              <w:spacing w:after="20" w:line="252" w:lineRule="auto"/>
            </w:pPr>
            <w:r>
              <w:rPr>
                <w:b w:val="0"/>
                <w:i w:val="0"/>
                <w:sz w:val="16"/>
              </w:rPr>
              <w:t>PARTICIPANT_UPSERT</w:t>
            </w:r>
          </w:p>
        </w:tc>
        <w:tc>
          <w:tcPr>
            <w:tcW w:type="dxa" w:w="2835"/>
            <w:vAlign w:val="top"/>
            <w:shd w:val="clear" w:color="auto" w:fill="FDF0F7"/>
          </w:tcPr>
          <w:p>
            <w:pPr>
              <w:spacing w:after="20" w:line="252" w:lineRule="auto"/>
            </w:pPr>
            <w:r>
              <w:rPr>
                <w:b w:val="0"/>
                <w:i w:val="0"/>
                <w:sz w:val="16"/>
              </w:rPr>
              <w:t>POST /participants</w:t>
            </w:r>
          </w:p>
        </w:tc>
        <w:tc>
          <w:tcPr>
            <w:tcW w:type="dxa" w:w="3402"/>
            <w:vAlign w:val="top"/>
            <w:shd w:val="clear" w:color="auto" w:fill="FDF0F7"/>
          </w:tcPr>
          <w:p>
            <w:pPr>
              <w:spacing w:after="20" w:line="252" w:lineRule="auto"/>
            </w:pPr>
            <w:r>
              <w:rPr>
                <w:b w:val="0"/>
                <w:i w:val="0"/>
                <w:sz w:val="16"/>
              </w:rPr>
              <w:t>Participant update approved</w:t>
            </w:r>
          </w:p>
        </w:tc>
      </w:tr>
      <w:tr>
        <w:trPr>
          <w:cantSplit/>
        </w:trPr>
        <w:tc>
          <w:tcPr>
            <w:tcW w:type="dxa" w:w="1134"/>
            <w:vAlign w:val="top"/>
          </w:tcPr>
          <w:p>
            <w:pPr>
              <w:spacing w:after="20" w:line="252" w:lineRule="auto"/>
            </w:pPr>
            <w:r>
              <w:rPr>
                <w:b w:val="0"/>
                <w:i w:val="0"/>
                <w:sz w:val="16"/>
              </w:rPr>
              <w:t>CORE</w:t>
            </w:r>
          </w:p>
        </w:tc>
        <w:tc>
          <w:tcPr>
            <w:tcW w:type="dxa" w:w="2268"/>
            <w:vAlign w:val="top"/>
          </w:tcPr>
          <w:p>
            <w:pPr>
              <w:spacing w:after="20" w:line="252" w:lineRule="auto"/>
            </w:pPr>
            <w:r>
              <w:rPr>
                <w:b w:val="0"/>
                <w:i w:val="0"/>
                <w:sz w:val="16"/>
              </w:rPr>
              <w:t>POLICY_ISSUED</w:t>
            </w:r>
          </w:p>
        </w:tc>
        <w:tc>
          <w:tcPr>
            <w:tcW w:type="dxa" w:w="2835"/>
            <w:vAlign w:val="top"/>
          </w:tcPr>
          <w:p>
            <w:pPr>
              <w:spacing w:after="20" w:line="252" w:lineRule="auto"/>
            </w:pPr>
            <w:r>
              <w:rPr>
                <w:b w:val="0"/>
                <w:i w:val="0"/>
                <w:sz w:val="16"/>
              </w:rPr>
              <w:t>POST /policies</w:t>
            </w:r>
          </w:p>
        </w:tc>
        <w:tc>
          <w:tcPr>
            <w:tcW w:type="dxa" w:w="3402"/>
            <w:vAlign w:val="top"/>
          </w:tcPr>
          <w:p>
            <w:pPr>
              <w:spacing w:after="20" w:line="252" w:lineRule="auto"/>
            </w:pPr>
            <w:r>
              <w:rPr>
                <w:b w:val="0"/>
                <w:i w:val="0"/>
                <w:sz w:val="16"/>
              </w:rPr>
              <w:t>Policy issued: directly, after referral approval or after payment verification</w:t>
            </w:r>
          </w:p>
        </w:tc>
      </w:tr>
      <w:tr>
        <w:trPr>
          <w:cantSplit/>
        </w:trPr>
        <w:tc>
          <w:tcPr>
            <w:tcW w:type="dxa" w:w="1134"/>
            <w:vAlign w:val="top"/>
            <w:shd w:val="clear" w:color="auto" w:fill="FDF0F7"/>
          </w:tcPr>
          <w:p>
            <w:pPr>
              <w:spacing w:after="20" w:line="252" w:lineRule="auto"/>
            </w:pPr>
            <w:r>
              <w:rPr>
                <w:b w:val="0"/>
                <w:i w:val="0"/>
                <w:sz w:val="16"/>
              </w:rPr>
              <w:t>CORE</w:t>
            </w:r>
          </w:p>
        </w:tc>
        <w:tc>
          <w:tcPr>
            <w:tcW w:type="dxa" w:w="2268"/>
            <w:vAlign w:val="top"/>
            <w:shd w:val="clear" w:color="auto" w:fill="FDF0F7"/>
          </w:tcPr>
          <w:p>
            <w:pPr>
              <w:spacing w:after="20" w:line="252" w:lineRule="auto"/>
            </w:pPr>
            <w:r>
              <w:rPr>
                <w:b w:val="0"/>
                <w:i w:val="0"/>
                <w:sz w:val="16"/>
              </w:rPr>
              <w:t>POLICY_ENDORSED</w:t>
            </w:r>
          </w:p>
        </w:tc>
        <w:tc>
          <w:tcPr>
            <w:tcW w:type="dxa" w:w="2835"/>
            <w:vAlign w:val="top"/>
            <w:shd w:val="clear" w:color="auto" w:fill="FDF0F7"/>
          </w:tcPr>
          <w:p>
            <w:pPr>
              <w:spacing w:after="20" w:line="252" w:lineRule="auto"/>
            </w:pPr>
            <w:r>
              <w:rPr>
                <w:b w:val="0"/>
                <w:i w:val="0"/>
                <w:sz w:val="16"/>
              </w:rPr>
              <w:t>POST /policies/endorsements</w:t>
            </w:r>
          </w:p>
        </w:tc>
        <w:tc>
          <w:tcPr>
            <w:tcW w:type="dxa" w:w="3402"/>
            <w:vAlign w:val="top"/>
            <w:shd w:val="clear" w:color="auto" w:fill="FDF0F7"/>
          </w:tcPr>
          <w:p>
            <w:pPr>
              <w:spacing w:after="20" w:line="252" w:lineRule="auto"/>
            </w:pPr>
            <w:r>
              <w:rPr>
                <w:b w:val="0"/>
                <w:i w:val="0"/>
                <w:sz w:val="16"/>
              </w:rPr>
              <w:t>Endorsement approved</w:t>
            </w:r>
          </w:p>
        </w:tc>
      </w:tr>
      <w:tr>
        <w:trPr>
          <w:cantSplit/>
        </w:trPr>
        <w:tc>
          <w:tcPr>
            <w:tcW w:type="dxa" w:w="1134"/>
            <w:vAlign w:val="top"/>
          </w:tcPr>
          <w:p>
            <w:pPr>
              <w:spacing w:after="20" w:line="252" w:lineRule="auto"/>
            </w:pPr>
            <w:r>
              <w:rPr>
                <w:b w:val="0"/>
                <w:i w:val="0"/>
                <w:sz w:val="16"/>
              </w:rPr>
              <w:t>CORE</w:t>
            </w:r>
          </w:p>
        </w:tc>
        <w:tc>
          <w:tcPr>
            <w:tcW w:type="dxa" w:w="2268"/>
            <w:vAlign w:val="top"/>
          </w:tcPr>
          <w:p>
            <w:pPr>
              <w:spacing w:after="20" w:line="252" w:lineRule="auto"/>
            </w:pPr>
            <w:r>
              <w:rPr>
                <w:b w:val="0"/>
                <w:i w:val="0"/>
                <w:sz w:val="16"/>
              </w:rPr>
              <w:t>POLICY_CANCELLED</w:t>
            </w:r>
          </w:p>
        </w:tc>
        <w:tc>
          <w:tcPr>
            <w:tcW w:type="dxa" w:w="2835"/>
            <w:vAlign w:val="top"/>
          </w:tcPr>
          <w:p>
            <w:pPr>
              <w:spacing w:after="20" w:line="252" w:lineRule="auto"/>
            </w:pPr>
            <w:r>
              <w:rPr>
                <w:b w:val="0"/>
                <w:i w:val="0"/>
                <w:sz w:val="16"/>
              </w:rPr>
              <w:t>POST /policies/cancellations</w:t>
            </w:r>
          </w:p>
        </w:tc>
        <w:tc>
          <w:tcPr>
            <w:tcW w:type="dxa" w:w="3402"/>
            <w:vAlign w:val="top"/>
          </w:tcPr>
          <w:p>
            <w:pPr>
              <w:spacing w:after="20" w:line="252" w:lineRule="auto"/>
            </w:pPr>
            <w:r>
              <w:rPr>
                <w:b w:val="0"/>
                <w:i w:val="0"/>
                <w:sz w:val="16"/>
              </w:rPr>
              <w:t>Cancellation approved</w:t>
            </w:r>
          </w:p>
        </w:tc>
      </w:tr>
      <w:tr>
        <w:trPr>
          <w:cantSplit/>
        </w:trPr>
        <w:tc>
          <w:tcPr>
            <w:tcW w:type="dxa" w:w="1134"/>
            <w:vAlign w:val="top"/>
            <w:shd w:val="clear" w:color="auto" w:fill="FDF0F7"/>
          </w:tcPr>
          <w:p>
            <w:pPr>
              <w:spacing w:after="20" w:line="252" w:lineRule="auto"/>
            </w:pPr>
            <w:r>
              <w:rPr>
                <w:b w:val="0"/>
                <w:i w:val="0"/>
                <w:sz w:val="16"/>
              </w:rPr>
              <w:t>CORE</w:t>
            </w:r>
          </w:p>
        </w:tc>
        <w:tc>
          <w:tcPr>
            <w:tcW w:type="dxa" w:w="2268"/>
            <w:vAlign w:val="top"/>
            <w:shd w:val="clear" w:color="auto" w:fill="FDF0F7"/>
          </w:tcPr>
          <w:p>
            <w:pPr>
              <w:spacing w:after="20" w:line="252" w:lineRule="auto"/>
            </w:pPr>
            <w:r>
              <w:rPr>
                <w:b w:val="0"/>
                <w:i w:val="0"/>
                <w:sz w:val="16"/>
              </w:rPr>
              <w:t>CLAIM_NOTIFIED</w:t>
            </w:r>
          </w:p>
        </w:tc>
        <w:tc>
          <w:tcPr>
            <w:tcW w:type="dxa" w:w="2835"/>
            <w:vAlign w:val="top"/>
            <w:shd w:val="clear" w:color="auto" w:fill="FDF0F7"/>
          </w:tcPr>
          <w:p>
            <w:pPr>
              <w:spacing w:after="20" w:line="252" w:lineRule="auto"/>
            </w:pPr>
            <w:r>
              <w:rPr>
                <w:b w:val="0"/>
                <w:i w:val="0"/>
                <w:sz w:val="16"/>
              </w:rPr>
              <w:t>POST /claims</w:t>
            </w:r>
          </w:p>
        </w:tc>
        <w:tc>
          <w:tcPr>
            <w:tcW w:type="dxa" w:w="3402"/>
            <w:vAlign w:val="top"/>
            <w:shd w:val="clear" w:color="auto" w:fill="FDF0F7"/>
          </w:tcPr>
          <w:p>
            <w:pPr>
              <w:spacing w:after="20" w:line="252" w:lineRule="auto"/>
            </w:pPr>
            <w:r>
              <w:rPr>
                <w:b w:val="0"/>
                <w:i w:val="0"/>
                <w:sz w:val="16"/>
              </w:rPr>
              <w:t>Claim notification submitted</w:t>
            </w:r>
          </w:p>
        </w:tc>
      </w:tr>
      <w:tr>
        <w:trPr>
          <w:cantSplit/>
        </w:trPr>
        <w:tc>
          <w:tcPr>
            <w:tcW w:type="dxa" w:w="1134"/>
            <w:vAlign w:val="top"/>
          </w:tcPr>
          <w:p>
            <w:pPr>
              <w:spacing w:after="20" w:line="252" w:lineRule="auto"/>
            </w:pPr>
            <w:r>
              <w:rPr>
                <w:b w:val="0"/>
                <w:i w:val="0"/>
                <w:sz w:val="16"/>
              </w:rPr>
              <w:t>FINANCE</w:t>
            </w:r>
          </w:p>
        </w:tc>
        <w:tc>
          <w:tcPr>
            <w:tcW w:type="dxa" w:w="2268"/>
            <w:vAlign w:val="top"/>
          </w:tcPr>
          <w:p>
            <w:pPr>
              <w:spacing w:after="20" w:line="252" w:lineRule="auto"/>
            </w:pPr>
            <w:r>
              <w:rPr>
                <w:b w:val="0"/>
                <w:i w:val="0"/>
                <w:sz w:val="16"/>
              </w:rPr>
              <w:t>RECEIPT_POSTED</w:t>
            </w:r>
          </w:p>
        </w:tc>
        <w:tc>
          <w:tcPr>
            <w:tcW w:type="dxa" w:w="2835"/>
            <w:vAlign w:val="top"/>
          </w:tcPr>
          <w:p>
            <w:pPr>
              <w:spacing w:after="20" w:line="252" w:lineRule="auto"/>
            </w:pPr>
            <w:r>
              <w:rPr>
                <w:b w:val="0"/>
                <w:i w:val="0"/>
                <w:sz w:val="16"/>
              </w:rPr>
              <w:t>POST /receipts</w:t>
            </w:r>
          </w:p>
        </w:tc>
        <w:tc>
          <w:tcPr>
            <w:tcW w:type="dxa" w:w="3402"/>
            <w:vAlign w:val="top"/>
          </w:tcPr>
          <w:p>
            <w:pPr>
              <w:spacing w:after="20" w:line="252" w:lineRule="auto"/>
            </w:pPr>
            <w:r>
              <w:rPr>
                <w:b w:val="0"/>
                <w:i w:val="0"/>
                <w:sz w:val="16"/>
              </w:rPr>
              <w:t>Payment verified and receipt issued</w:t>
            </w:r>
          </w:p>
        </w:tc>
      </w:tr>
      <w:tr>
        <w:trPr>
          <w:cantSplit/>
        </w:trPr>
        <w:tc>
          <w:tcPr>
            <w:tcW w:type="dxa" w:w="1134"/>
            <w:vAlign w:val="top"/>
            <w:shd w:val="clear" w:color="auto" w:fill="FDF0F7"/>
          </w:tcPr>
          <w:p>
            <w:pPr>
              <w:spacing w:after="20" w:line="252" w:lineRule="auto"/>
            </w:pPr>
            <w:r>
              <w:rPr>
                <w:b w:val="0"/>
                <w:i w:val="0"/>
                <w:sz w:val="16"/>
              </w:rPr>
              <w:t>FINANCE</w:t>
            </w:r>
          </w:p>
        </w:tc>
        <w:tc>
          <w:tcPr>
            <w:tcW w:type="dxa" w:w="2268"/>
            <w:vAlign w:val="top"/>
            <w:shd w:val="clear" w:color="auto" w:fill="FDF0F7"/>
          </w:tcPr>
          <w:p>
            <w:pPr>
              <w:spacing w:after="20" w:line="252" w:lineRule="auto"/>
            </w:pPr>
            <w:r>
              <w:rPr>
                <w:b w:val="0"/>
                <w:i w:val="0"/>
                <w:sz w:val="16"/>
              </w:rPr>
              <w:t>REFUND_REQUESTED</w:t>
            </w:r>
          </w:p>
        </w:tc>
        <w:tc>
          <w:tcPr>
            <w:tcW w:type="dxa" w:w="2835"/>
            <w:vAlign w:val="top"/>
            <w:shd w:val="clear" w:color="auto" w:fill="FDF0F7"/>
          </w:tcPr>
          <w:p>
            <w:pPr>
              <w:spacing w:after="20" w:line="252" w:lineRule="auto"/>
            </w:pPr>
            <w:r>
              <w:rPr>
                <w:b w:val="0"/>
                <w:i w:val="0"/>
                <w:sz w:val="16"/>
              </w:rPr>
              <w:t>POST /refunds</w:t>
            </w:r>
          </w:p>
        </w:tc>
        <w:tc>
          <w:tcPr>
            <w:tcW w:type="dxa" w:w="3402"/>
            <w:vAlign w:val="top"/>
            <w:shd w:val="clear" w:color="auto" w:fill="FDF0F7"/>
          </w:tcPr>
          <w:p>
            <w:pPr>
              <w:spacing w:after="20" w:line="252" w:lineRule="auto"/>
            </w:pPr>
            <w:r>
              <w:rPr>
                <w:b w:val="0"/>
                <w:i w:val="0"/>
                <w:sz w:val="16"/>
              </w:rPr>
              <w:t>Cancellation approved with a refund due</w:t>
            </w:r>
          </w:p>
        </w:tc>
      </w:tr>
      <w:tr>
        <w:trPr>
          <w:cantSplit/>
        </w:trPr>
        <w:tc>
          <w:tcPr>
            <w:tcW w:type="dxa" w:w="1134"/>
            <w:vAlign w:val="top"/>
          </w:tcPr>
          <w:p>
            <w:pPr>
              <w:spacing w:after="20" w:line="252" w:lineRule="auto"/>
            </w:pPr>
            <w:r>
              <w:rPr>
                <w:b w:val="0"/>
                <w:i w:val="0"/>
                <w:sz w:val="16"/>
              </w:rPr>
              <w:t>FINANCE</w:t>
            </w:r>
          </w:p>
        </w:tc>
        <w:tc>
          <w:tcPr>
            <w:tcW w:type="dxa" w:w="2268"/>
            <w:vAlign w:val="top"/>
          </w:tcPr>
          <w:p>
            <w:pPr>
              <w:spacing w:after="20" w:line="252" w:lineRule="auto"/>
            </w:pPr>
            <w:r>
              <w:rPr>
                <w:b w:val="0"/>
                <w:i w:val="0"/>
                <w:sz w:val="16"/>
              </w:rPr>
              <w:t>COMMISSION_ACCRUED</w:t>
            </w:r>
          </w:p>
        </w:tc>
        <w:tc>
          <w:tcPr>
            <w:tcW w:type="dxa" w:w="2835"/>
            <w:vAlign w:val="top"/>
          </w:tcPr>
          <w:p>
            <w:pPr>
              <w:spacing w:after="20" w:line="252" w:lineRule="auto"/>
            </w:pPr>
            <w:r>
              <w:rPr>
                <w:b w:val="0"/>
                <w:i w:val="0"/>
                <w:sz w:val="16"/>
              </w:rPr>
              <w:t>POST /commissions</w:t>
            </w:r>
          </w:p>
        </w:tc>
        <w:tc>
          <w:tcPr>
            <w:tcW w:type="dxa" w:w="3402"/>
            <w:vAlign w:val="top"/>
          </w:tcPr>
          <w:p>
            <w:pPr>
              <w:spacing w:after="20" w:line="252" w:lineRule="auto"/>
            </w:pPr>
            <w:r>
              <w:rPr>
                <w:b w:val="0"/>
                <w:i w:val="0"/>
                <w:sz w:val="16"/>
              </w:rPr>
              <w:t>Commission accrued at issuance</w:t>
            </w:r>
          </w:p>
        </w:tc>
      </w:tr>
      <w:tr>
        <w:trPr>
          <w:cantSplit/>
        </w:trPr>
        <w:tc>
          <w:tcPr>
            <w:tcW w:type="dxa" w:w="1134"/>
            <w:vAlign w:val="top"/>
            <w:shd w:val="clear" w:color="auto" w:fill="FDF0F7"/>
          </w:tcPr>
          <w:p>
            <w:pPr>
              <w:spacing w:after="20" w:line="252" w:lineRule="auto"/>
            </w:pPr>
            <w:r>
              <w:rPr>
                <w:b w:val="0"/>
                <w:i w:val="0"/>
                <w:sz w:val="16"/>
              </w:rPr>
              <w:t>FINANCE</w:t>
            </w:r>
          </w:p>
        </w:tc>
        <w:tc>
          <w:tcPr>
            <w:tcW w:type="dxa" w:w="2268"/>
            <w:vAlign w:val="top"/>
            <w:shd w:val="clear" w:color="auto" w:fill="FDF0F7"/>
          </w:tcPr>
          <w:p>
            <w:pPr>
              <w:spacing w:after="20" w:line="252" w:lineRule="auto"/>
            </w:pPr>
            <w:r>
              <w:rPr>
                <w:b w:val="0"/>
                <w:i w:val="0"/>
                <w:sz w:val="16"/>
              </w:rPr>
              <w:t>EOD_POSTING</w:t>
            </w:r>
          </w:p>
        </w:tc>
        <w:tc>
          <w:tcPr>
            <w:tcW w:type="dxa" w:w="2835"/>
            <w:vAlign w:val="top"/>
            <w:shd w:val="clear" w:color="auto" w:fill="FDF0F7"/>
          </w:tcPr>
          <w:p>
            <w:pPr>
              <w:spacing w:after="20" w:line="252" w:lineRule="auto"/>
            </w:pPr>
            <w:r>
              <w:rPr>
                <w:b w:val="0"/>
                <w:i w:val="0"/>
                <w:sz w:val="16"/>
              </w:rPr>
              <w:t>POST /eod-postings</w:t>
            </w:r>
          </w:p>
        </w:tc>
        <w:tc>
          <w:tcPr>
            <w:tcW w:type="dxa" w:w="3402"/>
            <w:vAlign w:val="top"/>
            <w:shd w:val="clear" w:color="auto" w:fill="FDF0F7"/>
          </w:tcPr>
          <w:p>
            <w:pPr>
              <w:spacing w:after="20" w:line="252" w:lineRule="auto"/>
            </w:pPr>
            <w:r>
              <w:rPr>
                <w:b w:val="0"/>
                <w:i w:val="0"/>
                <w:sz w:val="16"/>
              </w:rPr>
              <w:t>End-of-day run completed</w:t>
            </w:r>
          </w:p>
        </w:tc>
      </w:tr>
    </w:tbl>
    <w:p>
      <w:pPr>
        <w:pStyle w:val="Caption"/>
        <w:jc w:val="center"/>
      </w:pPr>
      <w:r>
        <w:rPr>
          <w:b w:val="0"/>
          <w:i w:val="0"/>
        </w:rPr>
        <w:t>Table 15: Outbox operations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2154"/>
        <w:gridCol w:w="2721"/>
        <w:gridCol w:w="3288"/>
      </w:tblGrid>
      <w:tr>
        <w:trPr>
          <w:cantSplit/>
          <w:tblHeader/>
        </w:trPr>
        <w:tc>
          <w:tcPr>
            <w:tcW w:type="dxa" w:w="1474"/>
            <w:shd w:val="clear" w:color="auto" w:fill="E1058C"/>
            <w:vAlign w:val="center"/>
          </w:tcPr>
          <w:p>
            <w:pPr>
              <w:spacing w:after="0"/>
            </w:pPr>
            <w:r>
              <w:rPr>
                <w:b/>
                <w:i w:val="0"/>
                <w:color w:val="FFFFFF"/>
                <w:sz w:val="16"/>
              </w:rPr>
              <w:t>System</w:t>
            </w:r>
          </w:p>
        </w:tc>
        <w:tc>
          <w:tcPr>
            <w:tcW w:type="dxa" w:w="2154"/>
            <w:shd w:val="clear" w:color="auto" w:fill="E1058C"/>
            <w:vAlign w:val="center"/>
          </w:tcPr>
          <w:p>
            <w:pPr>
              <w:spacing w:after="0"/>
            </w:pPr>
            <w:r>
              <w:rPr>
                <w:b/>
                <w:i w:val="0"/>
                <w:color w:val="FFFFFF"/>
                <w:sz w:val="16"/>
              </w:rPr>
              <w:t>Call</w:t>
            </w:r>
          </w:p>
        </w:tc>
        <w:tc>
          <w:tcPr>
            <w:tcW w:type="dxa" w:w="2721"/>
            <w:shd w:val="clear" w:color="auto" w:fill="E1058C"/>
            <w:vAlign w:val="center"/>
          </w:tcPr>
          <w:p>
            <w:pPr>
              <w:spacing w:after="0"/>
            </w:pPr>
            <w:r>
              <w:rPr>
                <w:b/>
                <w:i w:val="0"/>
                <w:color w:val="FFFFFF"/>
                <w:sz w:val="16"/>
              </w:rPr>
              <w:t>Used by</w:t>
            </w:r>
          </w:p>
        </w:tc>
        <w:tc>
          <w:tcPr>
            <w:tcW w:type="dxa" w:w="3288"/>
            <w:shd w:val="clear" w:color="auto" w:fill="E1058C"/>
            <w:vAlign w:val="center"/>
          </w:tcPr>
          <w:p>
            <w:pPr>
              <w:spacing w:after="0"/>
            </w:pPr>
            <w:r>
              <w:rPr>
                <w:b/>
                <w:i w:val="0"/>
                <w:color w:val="FFFFFF"/>
                <w:sz w:val="16"/>
              </w:rPr>
              <w:t>Content</w:t>
            </w:r>
          </w:p>
        </w:tc>
      </w:tr>
      <w:tr>
        <w:trPr>
          <w:cantSplit/>
        </w:trPr>
        <w:tc>
          <w:tcPr>
            <w:tcW w:type="dxa" w:w="1474"/>
            <w:vAlign w:val="top"/>
          </w:tcPr>
          <w:p>
            <w:pPr>
              <w:spacing w:after="20" w:line="252" w:lineRule="auto"/>
            </w:pPr>
            <w:r>
              <w:rPr>
                <w:b w:val="0"/>
                <w:i w:val="0"/>
                <w:sz w:val="16"/>
              </w:rPr>
              <w:t>FIN</w:t>
            </w:r>
          </w:p>
        </w:tc>
        <w:tc>
          <w:tcPr>
            <w:tcW w:type="dxa" w:w="2154"/>
            <w:vAlign w:val="top"/>
          </w:tcPr>
          <w:p>
            <w:pPr>
              <w:spacing w:after="20" w:line="252" w:lineRule="auto"/>
            </w:pPr>
            <w:r>
              <w:rPr>
                <w:b w:val="0"/>
                <w:i w:val="0"/>
                <w:sz w:val="16"/>
              </w:rPr>
              <w:t>GET /receipts/posted?date=</w:t>
            </w:r>
          </w:p>
        </w:tc>
        <w:tc>
          <w:tcPr>
            <w:tcW w:type="dxa" w:w="2721"/>
            <w:vAlign w:val="top"/>
          </w:tcPr>
          <w:p>
            <w:pPr>
              <w:spacing w:after="20" w:line="252" w:lineRule="auto"/>
            </w:pPr>
            <w:r>
              <w:rPr>
                <w:b w:val="0"/>
                <w:i w:val="0"/>
                <w:sz w:val="16"/>
              </w:rPr>
              <w:t>Reconciliation in live mode</w:t>
            </w:r>
          </w:p>
        </w:tc>
        <w:tc>
          <w:tcPr>
            <w:tcW w:type="dxa" w:w="3288"/>
            <w:vAlign w:val="top"/>
          </w:tcPr>
          <w:p>
            <w:pPr>
              <w:spacing w:after="20" w:line="252" w:lineRule="auto"/>
            </w:pPr>
            <w:r>
              <w:rPr>
                <w:b w:val="0"/>
                <w:i w:val="0"/>
                <w:sz w:val="16"/>
              </w:rPr>
              <w:t>Receipt references posted for a date</w:t>
            </w:r>
          </w:p>
        </w:tc>
      </w:tr>
      <w:tr>
        <w:trPr>
          <w:cantSplit/>
        </w:trPr>
        <w:tc>
          <w:tcPr>
            <w:tcW w:type="dxa" w:w="1474"/>
            <w:vAlign w:val="top"/>
            <w:shd w:val="clear" w:color="auto" w:fill="FDF0F7"/>
          </w:tcPr>
          <w:p>
            <w:pPr>
              <w:spacing w:after="20" w:line="252" w:lineRule="auto"/>
            </w:pPr>
            <w:r>
              <w:rPr>
                <w:b w:val="0"/>
                <w:i w:val="0"/>
                <w:sz w:val="16"/>
              </w:rPr>
              <w:t>AML provider</w:t>
            </w:r>
          </w:p>
        </w:tc>
        <w:tc>
          <w:tcPr>
            <w:tcW w:type="dxa" w:w="2154"/>
            <w:vAlign w:val="top"/>
            <w:shd w:val="clear" w:color="auto" w:fill="FDF0F7"/>
          </w:tcPr>
          <w:p>
            <w:pPr>
              <w:spacing w:after="20" w:line="252" w:lineRule="auto"/>
            </w:pPr>
            <w:r>
              <w:rPr>
                <w:b w:val="0"/>
                <w:i w:val="0"/>
                <w:sz w:val="16"/>
              </w:rPr>
              <w:t>POST /screen</w:t>
            </w:r>
          </w:p>
        </w:tc>
        <w:tc>
          <w:tcPr>
            <w:tcW w:type="dxa" w:w="2721"/>
            <w:vAlign w:val="top"/>
            <w:shd w:val="clear" w:color="auto" w:fill="FDF0F7"/>
          </w:tcPr>
          <w:p>
            <w:pPr>
              <w:spacing w:after="20" w:line="252" w:lineRule="auto"/>
            </w:pPr>
            <w:r>
              <w:rPr>
                <w:b w:val="0"/>
                <w:i w:val="0"/>
                <w:sz w:val="16"/>
              </w:rPr>
              <w:t>Agent or participant screening (when AML_API_BASE_URL is set)</w:t>
            </w:r>
          </w:p>
        </w:tc>
        <w:tc>
          <w:tcPr>
            <w:tcW w:type="dxa" w:w="3288"/>
            <w:vAlign w:val="top"/>
            <w:shd w:val="clear" w:color="auto" w:fill="FDF0F7"/>
          </w:tcPr>
          <w:p>
            <w:pPr>
              <w:spacing w:after="20" w:line="252" w:lineRule="auto"/>
            </w:pPr>
            <w:r>
              <w:rPr>
                <w:b w:val="0"/>
                <w:i w:val="0"/>
                <w:sz w:val="16"/>
              </w:rPr>
              <w:t>Name, identification number, date of birth, nationality; returns matches with scores</w:t>
            </w:r>
          </w:p>
        </w:tc>
      </w:tr>
      <w:tr>
        <w:trPr>
          <w:cantSplit/>
        </w:trPr>
        <w:tc>
          <w:tcPr>
            <w:tcW w:type="dxa" w:w="1474"/>
            <w:vAlign w:val="top"/>
          </w:tcPr>
          <w:p>
            <w:pPr>
              <w:spacing w:after="20" w:line="252" w:lineRule="auto"/>
            </w:pPr>
            <w:r>
              <w:rPr>
                <w:b w:val="0"/>
                <w:i w:val="0"/>
                <w:sz w:val="16"/>
              </w:rPr>
              <w:t>SMS gateway</w:t>
            </w:r>
          </w:p>
        </w:tc>
        <w:tc>
          <w:tcPr>
            <w:tcW w:type="dxa" w:w="2154"/>
            <w:vAlign w:val="top"/>
          </w:tcPr>
          <w:p>
            <w:pPr>
              <w:spacing w:after="20" w:line="252" w:lineRule="auto"/>
            </w:pPr>
            <w:r>
              <w:rPr>
                <w:b w:val="0"/>
                <w:i w:val="0"/>
                <w:sz w:val="16"/>
              </w:rPr>
              <w:t>POST /messages</w:t>
            </w:r>
          </w:p>
        </w:tc>
        <w:tc>
          <w:tcPr>
            <w:tcW w:type="dxa" w:w="2721"/>
            <w:vAlign w:val="top"/>
          </w:tcPr>
          <w:p>
            <w:pPr>
              <w:spacing w:after="20" w:line="252" w:lineRule="auto"/>
            </w:pPr>
            <w:r>
              <w:rPr>
                <w:b w:val="0"/>
                <w:i w:val="0"/>
                <w:sz w:val="16"/>
              </w:rPr>
              <w:t>Notification dispatcher</w:t>
            </w:r>
          </w:p>
        </w:tc>
        <w:tc>
          <w:tcPr>
            <w:tcW w:type="dxa" w:w="3288"/>
            <w:vAlign w:val="top"/>
          </w:tcPr>
          <w:p>
            <w:pPr>
              <w:spacing w:after="20" w:line="252" w:lineRule="auto"/>
            </w:pPr>
            <w:r>
              <w:rPr>
                <w:b w:val="0"/>
                <w:i w:val="0"/>
                <w:sz w:val="16"/>
              </w:rPr>
              <w:t>Sender id, mobile number, text up to 480 characters</w:t>
            </w:r>
          </w:p>
        </w:tc>
      </w:tr>
      <w:tr>
        <w:trPr>
          <w:cantSplit/>
        </w:trPr>
        <w:tc>
          <w:tcPr>
            <w:tcW w:type="dxa" w:w="1474"/>
            <w:vAlign w:val="top"/>
            <w:shd w:val="clear" w:color="auto" w:fill="FDF0F7"/>
          </w:tcPr>
          <w:p>
            <w:pPr>
              <w:spacing w:after="20" w:line="252" w:lineRule="auto"/>
            </w:pPr>
            <w:r>
              <w:rPr>
                <w:b w:val="0"/>
                <w:i w:val="0"/>
                <w:sz w:val="16"/>
              </w:rPr>
              <w:t>SMTP relay</w:t>
            </w:r>
          </w:p>
        </w:tc>
        <w:tc>
          <w:tcPr>
            <w:tcW w:type="dxa" w:w="2154"/>
            <w:vAlign w:val="top"/>
            <w:shd w:val="clear" w:color="auto" w:fill="FDF0F7"/>
          </w:tcPr>
          <w:p>
            <w:pPr>
              <w:spacing w:after="20" w:line="252" w:lineRule="auto"/>
            </w:pPr>
            <w:r>
              <w:rPr>
                <w:b w:val="0"/>
                <w:i w:val="0"/>
                <w:sz w:val="16"/>
              </w:rPr>
              <w:t>SMTP, STARTTLS required</w:t>
            </w:r>
          </w:p>
        </w:tc>
        <w:tc>
          <w:tcPr>
            <w:tcW w:type="dxa" w:w="2721"/>
            <w:vAlign w:val="top"/>
            <w:shd w:val="clear" w:color="auto" w:fill="FDF0F7"/>
          </w:tcPr>
          <w:p>
            <w:pPr>
              <w:spacing w:after="20" w:line="252" w:lineRule="auto"/>
            </w:pPr>
            <w:r>
              <w:rPr>
                <w:b w:val="0"/>
                <w:i w:val="0"/>
                <w:sz w:val="16"/>
              </w:rPr>
              <w:t>Notification dispatcher</w:t>
            </w:r>
          </w:p>
        </w:tc>
        <w:tc>
          <w:tcPr>
            <w:tcW w:type="dxa" w:w="3288"/>
            <w:vAlign w:val="top"/>
            <w:shd w:val="clear" w:color="auto" w:fill="FDF0F7"/>
          </w:tcPr>
          <w:p>
            <w:pPr>
              <w:spacing w:after="20" w:line="252" w:lineRule="auto"/>
            </w:pPr>
            <w:r>
              <w:rPr>
                <w:b w:val="0"/>
                <w:i w:val="0"/>
                <w:sz w:val="16"/>
              </w:rPr>
              <w:t>Message with optional attachments</w:t>
            </w:r>
          </w:p>
        </w:tc>
      </w:tr>
      <w:tr>
        <w:trPr>
          <w:cantSplit/>
        </w:trPr>
        <w:tc>
          <w:tcPr>
            <w:tcW w:type="dxa" w:w="1474"/>
            <w:vAlign w:val="top"/>
          </w:tcPr>
          <w:p>
            <w:pPr>
              <w:spacing w:after="20" w:line="252" w:lineRule="auto"/>
            </w:pPr>
            <w:r>
              <w:rPr>
                <w:b w:val="0"/>
                <w:i w:val="0"/>
                <w:sz w:val="16"/>
              </w:rPr>
              <w:t>Active Directory</w:t>
            </w:r>
          </w:p>
        </w:tc>
        <w:tc>
          <w:tcPr>
            <w:tcW w:type="dxa" w:w="2154"/>
            <w:vAlign w:val="top"/>
          </w:tcPr>
          <w:p>
            <w:pPr>
              <w:spacing w:after="20" w:line="252" w:lineRule="auto"/>
            </w:pPr>
            <w:r>
              <w:rPr>
                <w:b w:val="0"/>
                <w:i w:val="0"/>
                <w:sz w:val="16"/>
              </w:rPr>
              <w:t>LDAP bind and search</w:t>
            </w:r>
          </w:p>
        </w:tc>
        <w:tc>
          <w:tcPr>
            <w:tcW w:type="dxa" w:w="2721"/>
            <w:vAlign w:val="top"/>
          </w:tcPr>
          <w:p>
            <w:pPr>
              <w:spacing w:after="20" w:line="252" w:lineRule="auto"/>
            </w:pPr>
            <w:r>
              <w:rPr>
                <w:b w:val="0"/>
                <w:i w:val="0"/>
                <w:sz w:val="16"/>
              </w:rPr>
              <w:t>Back-office sign-in of DIRECTORY users</w:t>
            </w:r>
          </w:p>
        </w:tc>
        <w:tc>
          <w:tcPr>
            <w:tcW w:type="dxa" w:w="3288"/>
            <w:vAlign w:val="top"/>
          </w:tcPr>
          <w:p>
            <w:pPr>
              <w:spacing w:after="20" w:line="252" w:lineRule="auto"/>
            </w:pPr>
            <w:r>
              <w:rPr>
                <w:b w:val="0"/>
                <w:i w:val="0"/>
                <w:sz w:val="16"/>
              </w:rPr>
              <w:t>Service bind, user search with escaped filter, user bind</w:t>
            </w:r>
          </w:p>
        </w:tc>
      </w:tr>
    </w:tbl>
    <w:p>
      <w:pPr>
        <w:pStyle w:val="Caption"/>
        <w:jc w:val="center"/>
      </w:pPr>
      <w:r>
        <w:rPr>
          <w:b w:val="0"/>
          <w:i w:val="0"/>
        </w:rPr>
        <w:t>Table 16: Synchronous and notification calls</w:t>
      </w:r>
    </w:p>
    <w:p>
      <w:pPr>
        <w:keepNext w:val="0"/>
      </w:pPr>
      <w:r>
        <w:rPr>
          <w:b w:val="0"/>
          <w:i w:val="0"/>
        </w:rPr>
        <w:t>Endpoint paths, payload fields and the FIN interface file layout shown here are the working defaults. They are confirmed or mapped to IITH's formats in the Interface Specification (DEL-09) during design.</w:t>
      </w:r>
    </w:p>
    <w:p>
      <w:pPr>
        <w:pStyle w:val="Heading2"/>
      </w:pPr>
      <w:r>
        <w:t>7.4 Inbound system APIs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907"/>
        <w:gridCol w:w="793"/>
        <w:gridCol w:w="2381"/>
        <w:gridCol w:w="2721"/>
      </w:tblGrid>
      <w:tr>
        <w:trPr>
          <w:cantSplit/>
          <w:tblHeader/>
        </w:trPr>
        <w:tc>
          <w:tcPr>
            <w:tcW w:type="dxa" w:w="2835"/>
            <w:shd w:val="clear" w:color="auto" w:fill="E1058C"/>
            <w:vAlign w:val="center"/>
          </w:tcPr>
          <w:p>
            <w:pPr>
              <w:spacing w:after="0"/>
            </w:pPr>
            <w:r>
              <w:rPr>
                <w:b/>
                <w:i w:val="0"/>
                <w:color w:val="FFFFFF"/>
                <w:sz w:val="16"/>
              </w:rPr>
              <w:t>Endpoint</w:t>
            </w:r>
          </w:p>
        </w:tc>
        <w:tc>
          <w:tcPr>
            <w:tcW w:type="dxa" w:w="907"/>
            <w:shd w:val="clear" w:color="auto" w:fill="E1058C"/>
            <w:vAlign w:val="center"/>
          </w:tcPr>
          <w:p>
            <w:pPr>
              <w:spacing w:after="0"/>
            </w:pPr>
            <w:r>
              <w:rPr>
                <w:b/>
                <w:i w:val="0"/>
                <w:color w:val="FFFFFF"/>
                <w:sz w:val="16"/>
              </w:rPr>
              <w:t>Caller</w:t>
            </w:r>
          </w:p>
        </w:tc>
        <w:tc>
          <w:tcPr>
            <w:tcW w:type="dxa" w:w="794"/>
            <w:shd w:val="clear" w:color="auto" w:fill="E1058C"/>
            <w:vAlign w:val="center"/>
          </w:tcPr>
          <w:p>
            <w:pPr>
              <w:spacing w:after="0"/>
            </w:pPr>
            <w:r>
              <w:rPr>
                <w:b/>
                <w:i w:val="0"/>
                <w:color w:val="FFFFFF"/>
                <w:sz w:val="16"/>
              </w:rPr>
              <w:t>RFP</w:t>
            </w:r>
          </w:p>
        </w:tc>
        <w:tc>
          <w:tcPr>
            <w:tcW w:type="dxa" w:w="2381"/>
            <w:shd w:val="clear" w:color="auto" w:fill="E1058C"/>
            <w:vAlign w:val="center"/>
          </w:tcPr>
          <w:p>
            <w:pPr>
              <w:spacing w:after="0"/>
            </w:pPr>
            <w:r>
              <w:rPr>
                <w:b/>
                <w:i w:val="0"/>
                <w:color w:val="FFFFFF"/>
                <w:sz w:val="16"/>
              </w:rPr>
              <w:t>Input</w:t>
            </w:r>
          </w:p>
        </w:tc>
        <w:tc>
          <w:tcPr>
            <w:tcW w:type="dxa" w:w="2721"/>
            <w:shd w:val="clear" w:color="auto" w:fill="E1058C"/>
            <w:vAlign w:val="center"/>
          </w:tcPr>
          <w:p>
            <w:pPr>
              <w:spacing w:after="0"/>
            </w:pPr>
            <w:r>
              <w:rPr>
                <w:b/>
                <w:i w:val="0"/>
                <w:color w:val="FFFFFF"/>
                <w:sz w:val="16"/>
              </w:rPr>
              <w:t>Effect</w:t>
            </w:r>
          </w:p>
        </w:tc>
      </w:tr>
      <w:tr>
        <w:trPr>
          <w:cantSplit/>
        </w:trPr>
        <w:tc>
          <w:tcPr>
            <w:tcW w:type="dxa" w:w="2835"/>
            <w:vAlign w:val="top"/>
          </w:tcPr>
          <w:p>
            <w:pPr>
              <w:spacing w:after="20" w:line="252" w:lineRule="auto"/>
            </w:pPr>
            <w:r>
              <w:rPr>
                <w:b w:val="0"/>
                <w:i w:val="0"/>
                <w:sz w:val="16"/>
              </w:rPr>
              <w:t>PUT /api/v1/integration/agents/{agentCode}/status</w:t>
            </w:r>
          </w:p>
        </w:tc>
        <w:tc>
          <w:tcPr>
            <w:tcW w:type="dxa" w:w="907"/>
            <w:vAlign w:val="top"/>
          </w:tcPr>
          <w:p>
            <w:pPr>
              <w:spacing w:after="20" w:line="252" w:lineRule="auto"/>
            </w:pPr>
            <w:r>
              <w:rPr>
                <w:b w:val="0"/>
                <w:i w:val="0"/>
                <w:sz w:val="16"/>
              </w:rPr>
              <w:t>Core</w:t>
            </w:r>
          </w:p>
        </w:tc>
        <w:tc>
          <w:tcPr>
            <w:tcW w:type="dxa" w:w="794"/>
            <w:vAlign w:val="top"/>
          </w:tcPr>
          <w:p>
            <w:pPr>
              <w:spacing w:after="20" w:line="252" w:lineRule="auto"/>
            </w:pPr>
            <w:r>
              <w:rPr>
                <w:b w:val="0"/>
                <w:i w:val="0"/>
                <w:sz w:val="16"/>
              </w:rPr>
              <w:t>INT-02</w:t>
            </w:r>
          </w:p>
        </w:tc>
        <w:tc>
          <w:tcPr>
            <w:tcW w:type="dxa" w:w="2381"/>
            <w:vAlign w:val="top"/>
          </w:tcPr>
          <w:p>
            <w:pPr>
              <w:spacing w:after="20" w:line="252" w:lineRule="auto"/>
            </w:pPr>
            <w:r>
              <w:rPr>
                <w:b w:val="0"/>
                <w:i w:val="0"/>
                <w:sz w:val="16"/>
              </w:rPr>
              <w:t>{status, reason}; status ACTIVE, INACTIVE, SUSPENDED or TERMINATED</w:t>
            </w:r>
          </w:p>
        </w:tc>
        <w:tc>
          <w:tcPr>
            <w:tcW w:type="dxa" w:w="2721"/>
            <w:vAlign w:val="top"/>
          </w:tcPr>
          <w:p>
            <w:pPr>
              <w:spacing w:after="20" w:line="252" w:lineRule="auto"/>
            </w:pPr>
            <w:r>
              <w:rPr>
                <w:b w:val="0"/>
                <w:i w:val="0"/>
                <w:sz w:val="16"/>
              </w:rPr>
              <w:t>Updates the agent and its user; ends all sessions of a deactivated agent</w:t>
            </w:r>
          </w:p>
        </w:tc>
      </w:tr>
      <w:tr>
        <w:trPr>
          <w:cantSplit/>
        </w:trPr>
        <w:tc>
          <w:tcPr>
            <w:tcW w:type="dxa" w:w="2835"/>
            <w:vAlign w:val="top"/>
            <w:shd w:val="clear" w:color="auto" w:fill="FDF0F7"/>
          </w:tcPr>
          <w:p>
            <w:pPr>
              <w:spacing w:after="20" w:line="252" w:lineRule="auto"/>
            </w:pPr>
            <w:r>
              <w:rPr>
                <w:b w:val="0"/>
                <w:i w:val="0"/>
                <w:sz w:val="16"/>
              </w:rPr>
              <w:t>GET /api/v1/integration/policies?issuedOn=YYYY-MM-DD</w:t>
            </w:r>
          </w:p>
        </w:tc>
        <w:tc>
          <w:tcPr>
            <w:tcW w:type="dxa" w:w="907"/>
            <w:vAlign w:val="top"/>
            <w:shd w:val="clear" w:color="auto" w:fill="FDF0F7"/>
          </w:tcPr>
          <w:p>
            <w:pPr>
              <w:spacing w:after="20" w:line="252" w:lineRule="auto"/>
            </w:pPr>
            <w:r>
              <w:rPr>
                <w:b w:val="0"/>
                <w:i w:val="0"/>
                <w:sz w:val="16"/>
              </w:rPr>
              <w:t>Core, FIN</w:t>
            </w:r>
          </w:p>
        </w:tc>
        <w:tc>
          <w:tcPr>
            <w:tcW w:type="dxa" w:w="794"/>
            <w:vAlign w:val="top"/>
            <w:shd w:val="clear" w:color="auto" w:fill="FDF0F7"/>
          </w:tcPr>
          <w:p>
            <w:pPr>
              <w:spacing w:after="20" w:line="252" w:lineRule="auto"/>
            </w:pPr>
            <w:r>
              <w:rPr>
                <w:b w:val="0"/>
                <w:i w:val="0"/>
                <w:sz w:val="16"/>
              </w:rPr>
              <w:t>INT-09</w:t>
            </w:r>
          </w:p>
        </w:tc>
        <w:tc>
          <w:tcPr>
            <w:tcW w:type="dxa" w:w="2381"/>
            <w:vAlign w:val="top"/>
            <w:shd w:val="clear" w:color="auto" w:fill="FDF0F7"/>
          </w:tcPr>
          <w:p>
            <w:pPr>
              <w:spacing w:after="20" w:line="252" w:lineRule="auto"/>
            </w:pPr>
            <w:r>
              <w:rPr>
                <w:b w:val="0"/>
                <w:i w:val="0"/>
                <w:sz w:val="16"/>
              </w:rPr>
              <w:t>Business date</w:t>
            </w:r>
          </w:p>
        </w:tc>
        <w:tc>
          <w:tcPr>
            <w:tcW w:type="dxa" w:w="2721"/>
            <w:vAlign w:val="top"/>
            <w:shd w:val="clear" w:color="auto" w:fill="FDF0F7"/>
          </w:tcPr>
          <w:p>
            <w:pPr>
              <w:spacing w:after="20" w:line="252" w:lineRule="auto"/>
            </w:pPr>
            <w:r>
              <w:rPr>
                <w:b w:val="0"/>
                <w:i w:val="0"/>
                <w:sz w:val="16"/>
              </w:rPr>
              <w:t>Policies issued that day with product, participant, agent, agency, amounts and dates</w:t>
            </w:r>
          </w:p>
        </w:tc>
      </w:tr>
      <w:tr>
        <w:trPr>
          <w:cantSplit/>
        </w:trPr>
        <w:tc>
          <w:tcPr>
            <w:tcW w:type="dxa" w:w="2835"/>
            <w:vAlign w:val="top"/>
          </w:tcPr>
          <w:p>
            <w:pPr>
              <w:spacing w:after="20" w:line="252" w:lineRule="auto"/>
            </w:pPr>
            <w:r>
              <w:rPr>
                <w:b w:val="0"/>
                <w:i w:val="0"/>
                <w:sz w:val="16"/>
              </w:rPr>
              <w:t>POST /api/v1/integration/commissions/paid</w:t>
            </w:r>
          </w:p>
        </w:tc>
        <w:tc>
          <w:tcPr>
            <w:tcW w:type="dxa" w:w="907"/>
            <w:vAlign w:val="top"/>
          </w:tcPr>
          <w:p>
            <w:pPr>
              <w:spacing w:after="20" w:line="252" w:lineRule="auto"/>
            </w:pPr>
            <w:r>
              <w:rPr>
                <w:b w:val="0"/>
                <w:i w:val="0"/>
                <w:sz w:val="16"/>
              </w:rPr>
              <w:t>FIN</w:t>
            </w:r>
          </w:p>
        </w:tc>
        <w:tc>
          <w:tcPr>
            <w:tcW w:type="dxa" w:w="794"/>
            <w:vAlign w:val="top"/>
          </w:tcPr>
          <w:p>
            <w:pPr>
              <w:spacing w:after="20" w:line="252" w:lineRule="auto"/>
            </w:pPr>
            <w:r>
              <w:rPr>
                <w:b w:val="0"/>
                <w:i w:val="0"/>
                <w:sz w:val="16"/>
              </w:rPr>
              <w:t>INT-05</w:t>
            </w:r>
          </w:p>
        </w:tc>
        <w:tc>
          <w:tcPr>
            <w:tcW w:type="dxa" w:w="2381"/>
            <w:vAlign w:val="top"/>
          </w:tcPr>
          <w:p>
            <w:pPr>
              <w:spacing w:after="20" w:line="252" w:lineRule="auto"/>
            </w:pPr>
            <w:r>
              <w:rPr>
                <w:b w:val="0"/>
                <w:i w:val="0"/>
                <w:sz w:val="16"/>
              </w:rPr>
              <w:t>items: list of {policyNo, agentCode, paidOn}, up to 1,000 items</w:t>
            </w:r>
          </w:p>
        </w:tc>
        <w:tc>
          <w:tcPr>
            <w:tcW w:type="dxa" w:w="2721"/>
            <w:vAlign w:val="top"/>
          </w:tcPr>
          <w:p>
            <w:pPr>
              <w:spacing w:after="20" w:line="252" w:lineRule="auto"/>
            </w:pPr>
            <w:r>
              <w:rPr>
                <w:b w:val="0"/>
                <w:i w:val="0"/>
                <w:sz w:val="16"/>
              </w:rPr>
              <w:t>Marks commissions PAID; returns updated count and unmatched items</w:t>
            </w:r>
          </w:p>
        </w:tc>
      </w:tr>
    </w:tbl>
    <w:p>
      <w:pPr>
        <w:pStyle w:val="Caption"/>
        <w:jc w:val="center"/>
      </w:pPr>
      <w:r>
        <w:rPr>
          <w:b w:val="0"/>
          <w:i w:val="0"/>
        </w:rPr>
        <w:t>Table 17: Inbound endpoints</w:t>
      </w:r>
    </w:p>
    <w:p>
      <w:pPr>
        <w:keepNext w:val="0"/>
      </w:pPr>
      <w:r>
        <w:rPr>
          <w:b w:val="0"/>
          <w:i w:val="0"/>
        </w:rPr>
        <w:t>Callers present x-api-key. The API holds only the SHA-256 of the key (INBOUND_API_KEY_SHA256) and compares in constant time; if no hash is configured the endpoints answer 503. nginx or the firewall restricts /api/v1/integration to the Core and FIN host addresses. Each call is logged as INBOUND with its outcome and duration.</w:t>
      </w:r>
    </w:p>
    <w:p>
      <w:pPr>
        <w:pStyle w:val="Heading2"/>
      </w:pPr>
      <w:r>
        <w:t>7.5 End-of-day and reconciliation</w:t>
      </w:r>
    </w:p>
    <w:p>
      <w:pPr>
        <w:keepNext w:val="0"/>
      </w:pPr>
      <w:r>
        <w:rPr>
          <w:b w:val="0"/>
          <w:i w:val="0"/>
        </w:rPr>
        <w:t>At 23:30 Brunei time (EOD_CRON) the end-of-day job selects policies issued and receipts issued during the business day and, in one transaction, stores the EOD issuance report (Excel: summary by product, policies issued, receipts), stores the FIN interface file (CSV: one PI line per policy and one RC line per receipt with amounts in BND), queues an EOD_POSTING message with the day's totals and records the run. It then reconciles receipts: in live mode against the receipt references FIN reports as posted for that date; in simulated mode against RECEIPT_POSTED messages delivered from the outbox. The result is MATCHED or MISMATCH with the unmatched receipt numbers. Finance can re-run EOD for any past date from the back-office; the eod_run row for the date is updated, not duplicated. A re-run queues a fresh EOD_POSTING carrying the same business date, so the interface specification defines the business date as FIN's replacement key for EOD postings.</w:t>
      </w:r>
    </w:p>
    <w:p>
      <w:pPr>
        <w:pStyle w:val="Heading2"/>
      </w:pPr>
      <w:r>
        <w:t>7.6 Simulated and live modes</w:t>
      </w:r>
    </w:p>
    <w:p>
      <w:pPr>
        <w:keepNext w:val="0"/>
      </w:pPr>
      <w:r>
        <w:rPr>
          <w:b w:val="0"/>
          <w:i w:val="0"/>
        </w:rPr>
        <w:t>INTEGRATION_MODE=simulated records every outbound message and marks its reference as simulated without calling external systems, so the full flow can be built and tested before IITH endpoints exist. In live mode the configured endpoints are called; a production instance in live mode refuses to start without the Core, FIN, SMTP and inbound key settings. E-mail and SMS are sent only when SMTP_HOST and SMS_API_BASE_URL are set, independent of the mode.</w:t>
      </w:r>
    </w:p>
    <w:p>
      <w:pPr>
        <w:pStyle w:val="Heading1"/>
        <w:pageBreakBefore/>
        <w:pBdr>
          <w:bottom w:val="single" w:sz="12" w:space="4" w:color="F58220"/>
        </w:pBdr>
      </w:pPr>
      <w:r>
        <w:t>8. Security Architecture</w:t>
      </w:r>
    </w:p>
    <w:p>
      <w:pPr>
        <w:keepNext w:val="0"/>
      </w:pPr>
      <w:r>
        <w:rPr>
          <w:b w:val="0"/>
          <w:i w:val="0"/>
        </w:rPr>
        <w:t>Controls are layered so that no single failure exposes data. They are aligned with OWASP ASVS Level 2 and the OWASP Top 10, the Brunei Personal Data Protection Order 2025 and AMBD technology-risk expectations. The Security Assessment Report records the test evidence.</w:t>
      </w:r>
    </w:p>
    <w:p>
      <w:pPr>
        <w:keepNext/>
        <w:spacing w:after="0"/>
        <w:jc w:val="center"/>
      </w:pPr>
      <w:r>
        <w:drawing>
          <wp:inline xmlns:a="http://schemas.openxmlformats.org/drawingml/2006/main" xmlns:pic="http://schemas.openxmlformats.org/drawingml/2006/picture">
            <wp:extent cx="5580000" cy="4224857"/>
            <wp:docPr id="10" name="Picture 10"/>
            <wp:cNvGraphicFramePr>
              <a:graphicFrameLocks noChangeAspect="1"/>
            </wp:cNvGraphicFramePr>
            <a:graphic>
              <a:graphicData uri="http://schemas.openxmlformats.org/drawingml/2006/picture">
                <pic:pic>
                  <pic:nvPicPr>
                    <pic:cNvPr id="0" name="tech-security-layers.png"/>
                    <pic:cNvPicPr/>
                  </pic:nvPicPr>
                  <pic:blipFill>
                    <a:blip r:embed="rId20"/>
                    <a:stretch>
                      <a:fillRect/>
                    </a:stretch>
                  </pic:blipFill>
                  <pic:spPr>
                    <a:xfrm>
                      <a:off x="0" y="0"/>
                      <a:ext cx="5580000" cy="4224857"/>
                    </a:xfrm>
                    <a:prstGeom prst="rect"/>
                  </pic:spPr>
                </pic:pic>
              </a:graphicData>
            </a:graphic>
          </wp:inline>
        </w:drawing>
      </w:r>
    </w:p>
    <w:p>
      <w:pPr>
        <w:pStyle w:val="Caption"/>
        <w:jc w:val="center"/>
      </w:pPr>
      <w:r>
        <w:rPr>
          <w:b w:val="0"/>
          <w:i w:val="0"/>
        </w:rPr>
        <w:t>Figure 8: Defence in depth</w:t>
      </w:r>
    </w:p>
    <w:p>
      <w:pPr>
        <w:pStyle w:val="Heading2"/>
      </w:pPr>
      <w:r>
        <w:t>8.1 Control catalogue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6577"/>
        <w:gridCol w:w="1474"/>
      </w:tblGrid>
      <w:tr>
        <w:trPr>
          <w:cantSplit/>
          <w:tblHeader/>
        </w:trPr>
        <w:tc>
          <w:tcPr>
            <w:tcW w:type="dxa" w:w="1587"/>
            <w:shd w:val="clear" w:color="auto" w:fill="E1058C"/>
            <w:vAlign w:val="center"/>
          </w:tcPr>
          <w:p>
            <w:pPr>
              <w:spacing w:after="0"/>
            </w:pPr>
            <w:r>
              <w:rPr>
                <w:b/>
                <w:i w:val="0"/>
                <w:color w:val="FFFFFF"/>
                <w:sz w:val="16"/>
              </w:rPr>
              <w:t>Control</w:t>
            </w:r>
          </w:p>
        </w:tc>
        <w:tc>
          <w:tcPr>
            <w:tcW w:type="dxa" w:w="6576"/>
            <w:shd w:val="clear" w:color="auto" w:fill="E1058C"/>
            <w:vAlign w:val="center"/>
          </w:tcPr>
          <w:p>
            <w:pPr>
              <w:spacing w:after="0"/>
            </w:pPr>
            <w:r>
              <w:rPr>
                <w:b/>
                <w:i w:val="0"/>
                <w:color w:val="FFFFFF"/>
                <w:sz w:val="16"/>
              </w:rPr>
              <w:t>Implementation</w:t>
            </w:r>
          </w:p>
        </w:tc>
        <w:tc>
          <w:tcPr>
            <w:tcW w:type="dxa" w:w="1474"/>
            <w:shd w:val="clear" w:color="auto" w:fill="E1058C"/>
            <w:vAlign w:val="center"/>
          </w:tcPr>
          <w:p>
            <w:pPr>
              <w:spacing w:after="0"/>
            </w:pPr>
            <w:r>
              <w:rPr>
                <w:b/>
                <w:i w:val="0"/>
                <w:color w:val="FFFFFF"/>
                <w:sz w:val="16"/>
              </w:rPr>
              <w:t>RFP</w:t>
            </w:r>
          </w:p>
        </w:tc>
      </w:tr>
      <w:tr>
        <w:trPr>
          <w:cantSplit/>
        </w:trPr>
        <w:tc>
          <w:tcPr>
            <w:tcW w:type="dxa" w:w="1587"/>
            <w:vAlign w:val="top"/>
          </w:tcPr>
          <w:p>
            <w:pPr>
              <w:spacing w:after="20" w:line="252" w:lineRule="auto"/>
            </w:pPr>
            <w:r>
              <w:rPr>
                <w:b/>
                <w:i w:val="0"/>
                <w:sz w:val="16"/>
              </w:rPr>
              <w:t>Passwords</w:t>
            </w:r>
          </w:p>
        </w:tc>
        <w:tc>
          <w:tcPr>
            <w:tcW w:type="dxa" w:w="6576"/>
            <w:vAlign w:val="top"/>
          </w:tcPr>
          <w:p>
            <w:pPr>
              <w:spacing w:after="20" w:line="252" w:lineRule="auto"/>
            </w:pPr>
            <w:r>
              <w:rPr>
                <w:b w:val="0"/>
                <w:i w:val="0"/>
                <w:sz w:val="16"/>
              </w:rPr>
              <w:t>Argon2id (19 MiB memory, 2 iterations, parallelism 1). Policy: 12+ characters, upper, lower, digit, symbol, must not contain the user name, last 5 not reusable, 90-day expiry, forced change after reset. All values are parameters.</w:t>
            </w:r>
          </w:p>
        </w:tc>
        <w:tc>
          <w:tcPr>
            <w:tcW w:type="dxa" w:w="1474"/>
            <w:vAlign w:val="top"/>
          </w:tcPr>
          <w:p>
            <w:pPr>
              <w:spacing w:after="20" w:line="252" w:lineRule="auto"/>
            </w:pPr>
            <w:r>
              <w:rPr>
                <w:b w:val="0"/>
                <w:i w:val="0"/>
                <w:sz w:val="16"/>
              </w:rPr>
              <w:t>AP-02, NFR-09</w:t>
            </w:r>
          </w:p>
        </w:tc>
      </w:tr>
      <w:tr>
        <w:trPr>
          <w:cantSplit/>
        </w:trPr>
        <w:tc>
          <w:tcPr>
            <w:tcW w:type="dxa" w:w="1587"/>
            <w:vAlign w:val="top"/>
            <w:shd w:val="clear" w:color="auto" w:fill="FDF0F7"/>
          </w:tcPr>
          <w:p>
            <w:pPr>
              <w:spacing w:after="20" w:line="252" w:lineRule="auto"/>
            </w:pPr>
            <w:r>
              <w:rPr>
                <w:b/>
                <w:i w:val="0"/>
                <w:sz w:val="16"/>
              </w:rPr>
              <w:t>Lockout</w:t>
            </w:r>
          </w:p>
        </w:tc>
        <w:tc>
          <w:tcPr>
            <w:tcW w:type="dxa" w:w="6576"/>
            <w:vAlign w:val="top"/>
            <w:shd w:val="clear" w:color="auto" w:fill="FDF0F7"/>
          </w:tcPr>
          <w:p>
            <w:pPr>
              <w:spacing w:after="20" w:line="252" w:lineRule="auto"/>
            </w:pPr>
            <w:r>
              <w:rPr>
                <w:b w:val="0"/>
                <w:i w:val="0"/>
                <w:sz w:val="16"/>
              </w:rPr>
              <w:t>5 failed attempts lock the account for 30 minutes (parameters); unknown user names take the same time to reject; every success, failure and lock is audited; administrators can unlock.</w:t>
            </w:r>
          </w:p>
        </w:tc>
        <w:tc>
          <w:tcPr>
            <w:tcW w:type="dxa" w:w="1474"/>
            <w:vAlign w:val="top"/>
            <w:shd w:val="clear" w:color="auto" w:fill="FDF0F7"/>
          </w:tcPr>
          <w:p>
            <w:pPr>
              <w:spacing w:after="20" w:line="252" w:lineRule="auto"/>
            </w:pPr>
            <w:r>
              <w:rPr>
                <w:b w:val="0"/>
                <w:i w:val="0"/>
                <w:sz w:val="16"/>
              </w:rPr>
              <w:t>AP-04</w:t>
            </w:r>
          </w:p>
        </w:tc>
      </w:tr>
      <w:tr>
        <w:trPr>
          <w:cantSplit/>
        </w:trPr>
        <w:tc>
          <w:tcPr>
            <w:tcW w:type="dxa" w:w="1587"/>
            <w:vAlign w:val="top"/>
          </w:tcPr>
          <w:p>
            <w:pPr>
              <w:spacing w:after="20" w:line="252" w:lineRule="auto"/>
            </w:pPr>
            <w:r>
              <w:rPr>
                <w:b/>
                <w:i w:val="0"/>
                <w:sz w:val="16"/>
              </w:rPr>
              <w:t>Sessions</w:t>
            </w:r>
          </w:p>
        </w:tc>
        <w:tc>
          <w:tcPr>
            <w:tcW w:type="dxa" w:w="6576"/>
            <w:vAlign w:val="top"/>
          </w:tcPr>
          <w:p>
            <w:pPr>
              <w:spacing w:after="20" w:line="252" w:lineRule="auto"/>
            </w:pPr>
            <w:r>
              <w:rPr>
                <w:b w:val="0"/>
                <w:i w:val="0"/>
                <w:sz w:val="16"/>
              </w:rPr>
              <w:t>Server-side in PostgreSQL; cookie HttpOnly, Secure, SameSite=Strict, path /; id regenerated at sign-in; idle timeout 15 minutes and absolute 8 hours (parameters); single active session option; sign-out and password change revoke sessions on the server.</w:t>
            </w:r>
          </w:p>
        </w:tc>
        <w:tc>
          <w:tcPr>
            <w:tcW w:type="dxa" w:w="1474"/>
            <w:vAlign w:val="top"/>
          </w:tcPr>
          <w:p>
            <w:pPr>
              <w:spacing w:after="20" w:line="252" w:lineRule="auto"/>
            </w:pPr>
            <w:r>
              <w:rPr>
                <w:b w:val="0"/>
                <w:i w:val="0"/>
                <w:sz w:val="16"/>
              </w:rPr>
              <w:t>AP-03</w:t>
            </w:r>
          </w:p>
        </w:tc>
      </w:tr>
      <w:tr>
        <w:trPr>
          <w:cantSplit/>
        </w:trPr>
        <w:tc>
          <w:tcPr>
            <w:tcW w:type="dxa" w:w="1587"/>
            <w:vAlign w:val="top"/>
            <w:shd w:val="clear" w:color="auto" w:fill="FDF0F7"/>
          </w:tcPr>
          <w:p>
            <w:pPr>
              <w:spacing w:after="20" w:line="252" w:lineRule="auto"/>
            </w:pPr>
            <w:r>
              <w:rPr>
                <w:b/>
                <w:i w:val="0"/>
                <w:sz w:val="16"/>
              </w:rPr>
              <w:t>CSRF</w:t>
            </w:r>
          </w:p>
        </w:tc>
        <w:tc>
          <w:tcPr>
            <w:tcW w:type="dxa" w:w="6576"/>
            <w:vAlign w:val="top"/>
            <w:shd w:val="clear" w:color="auto" w:fill="FDF0F7"/>
          </w:tcPr>
          <w:p>
            <w:pPr>
              <w:spacing w:after="20" w:line="252" w:lineRule="auto"/>
            </w:pPr>
            <w:r>
              <w:rPr>
                <w:b w:val="0"/>
                <w:i w:val="0"/>
                <w:sz w:val="16"/>
              </w:rPr>
              <w:t>Synchroniser token: 32 random bytes created at sign-in, held in the session, returned to the SPA and required in X-CSRF-Token on every state-changing request; compared in constant time.</w:t>
            </w:r>
          </w:p>
        </w:tc>
        <w:tc>
          <w:tcPr>
            <w:tcW w:type="dxa" w:w="1474"/>
            <w:vAlign w:val="top"/>
            <w:shd w:val="clear" w:color="auto" w:fill="FDF0F7"/>
          </w:tcPr>
          <w:p>
            <w:pPr>
              <w:spacing w:after="20" w:line="252" w:lineRule="auto"/>
            </w:pPr>
            <w:r>
              <w:rPr>
                <w:b w:val="0"/>
                <w:i w:val="0"/>
                <w:sz w:val="16"/>
              </w:rPr>
              <w:t>NFR-14</w:t>
            </w:r>
          </w:p>
        </w:tc>
      </w:tr>
      <w:tr>
        <w:trPr>
          <w:cantSplit/>
        </w:trPr>
        <w:tc>
          <w:tcPr>
            <w:tcW w:type="dxa" w:w="1587"/>
            <w:vAlign w:val="top"/>
          </w:tcPr>
          <w:p>
            <w:pPr>
              <w:spacing w:after="20" w:line="252" w:lineRule="auto"/>
            </w:pPr>
            <w:r>
              <w:rPr>
                <w:b/>
                <w:i w:val="0"/>
                <w:sz w:val="16"/>
              </w:rPr>
              <w:t>Authorisation</w:t>
            </w:r>
          </w:p>
        </w:tc>
        <w:tc>
          <w:tcPr>
            <w:tcW w:type="dxa" w:w="6576"/>
            <w:vAlign w:val="top"/>
          </w:tcPr>
          <w:p>
            <w:pPr>
              <w:spacing w:after="20" w:line="252" w:lineRule="auto"/>
            </w:pPr>
            <w:r>
              <w:rPr>
                <w:b w:val="0"/>
                <w:i w:val="0"/>
                <w:sz w:val="16"/>
              </w:rPr>
              <w:t>48 permission codes grouped into configurable roles; portal and back-office permissions cannot be mixed in one role; every route declares its audience and permissions; deny by default.</w:t>
            </w:r>
          </w:p>
        </w:tc>
        <w:tc>
          <w:tcPr>
            <w:tcW w:type="dxa" w:w="1474"/>
            <w:vAlign w:val="top"/>
          </w:tcPr>
          <w:p>
            <w:pPr>
              <w:spacing w:after="20" w:line="252" w:lineRule="auto"/>
            </w:pPr>
            <w:r>
              <w:rPr>
                <w:b w:val="0"/>
                <w:i w:val="0"/>
                <w:sz w:val="16"/>
              </w:rPr>
              <w:t>AP-59, BO-02, NFR-10</w:t>
            </w:r>
          </w:p>
        </w:tc>
      </w:tr>
      <w:tr>
        <w:trPr>
          <w:cantSplit/>
        </w:trPr>
        <w:tc>
          <w:tcPr>
            <w:tcW w:type="dxa" w:w="1587"/>
            <w:vAlign w:val="top"/>
            <w:shd w:val="clear" w:color="auto" w:fill="FDF0F7"/>
          </w:tcPr>
          <w:p>
            <w:pPr>
              <w:spacing w:after="20" w:line="252" w:lineRule="auto"/>
            </w:pPr>
            <w:r>
              <w:rPr>
                <w:b/>
                <w:i w:val="0"/>
                <w:sz w:val="16"/>
              </w:rPr>
              <w:t>Data scope</w:t>
            </w:r>
          </w:p>
        </w:tc>
        <w:tc>
          <w:tcPr>
            <w:tcW w:type="dxa" w:w="6576"/>
            <w:vAlign w:val="top"/>
            <w:shd w:val="clear" w:color="auto" w:fill="FDF0F7"/>
          </w:tcPr>
          <w:p>
            <w:pPr>
              <w:spacing w:after="20" w:line="252" w:lineRule="auto"/>
            </w:pPr>
            <w:r>
              <w:rPr>
                <w:b w:val="0"/>
                <w:i w:val="0"/>
                <w:sz w:val="16"/>
              </w:rPr>
              <w:t>Back-office: all records. Portal users with agency-wide permission: their agency or bank. Main agents: themselves and sub-agents two levels down. Others: own records. Applied in every portal query.</w:t>
            </w:r>
          </w:p>
        </w:tc>
        <w:tc>
          <w:tcPr>
            <w:tcW w:type="dxa" w:w="1474"/>
            <w:vAlign w:val="top"/>
            <w:shd w:val="clear" w:color="auto" w:fill="FDF0F7"/>
          </w:tcPr>
          <w:p>
            <w:pPr>
              <w:spacing w:after="20" w:line="252" w:lineRule="auto"/>
            </w:pPr>
            <w:r>
              <w:rPr>
                <w:b w:val="0"/>
                <w:i w:val="0"/>
                <w:sz w:val="16"/>
              </w:rPr>
              <w:t>AP-09, AP-12, COM-02</w:t>
            </w:r>
          </w:p>
        </w:tc>
      </w:tr>
      <w:tr>
        <w:trPr>
          <w:cantSplit/>
        </w:trPr>
        <w:tc>
          <w:tcPr>
            <w:tcW w:type="dxa" w:w="1587"/>
            <w:vAlign w:val="top"/>
          </w:tcPr>
          <w:p>
            <w:pPr>
              <w:spacing w:after="20" w:line="252" w:lineRule="auto"/>
            </w:pPr>
            <w:r>
              <w:rPr>
                <w:b/>
                <w:i w:val="0"/>
                <w:sz w:val="16"/>
              </w:rPr>
              <w:t>Maker-checker</w:t>
            </w:r>
          </w:p>
        </w:tc>
        <w:tc>
          <w:tcPr>
            <w:tcW w:type="dxa" w:w="6576"/>
            <w:vAlign w:val="top"/>
          </w:tcPr>
          <w:p>
            <w:pPr>
              <w:spacing w:after="20" w:line="252" w:lineRule="auto"/>
            </w:pPr>
            <w:r>
              <w:rPr>
                <w:b w:val="0"/>
                <w:i w:val="0"/>
                <w:sz w:val="16"/>
              </w:rPr>
              <w:t>Maker cannot approve own request; one person cannot approve two levels; remarks on rejection; levels fixed at submission.</w:t>
            </w:r>
          </w:p>
        </w:tc>
        <w:tc>
          <w:tcPr>
            <w:tcW w:type="dxa" w:w="1474"/>
            <w:vAlign w:val="top"/>
          </w:tcPr>
          <w:p>
            <w:pPr>
              <w:spacing w:after="20" w:line="252" w:lineRule="auto"/>
            </w:pPr>
            <w:r>
              <w:rPr>
                <w:b w:val="0"/>
                <w:i w:val="0"/>
                <w:sz w:val="16"/>
              </w:rPr>
              <w:t>BO-17, COM-04</w:t>
            </w:r>
          </w:p>
        </w:tc>
      </w:tr>
      <w:tr>
        <w:trPr>
          <w:cantSplit/>
        </w:trPr>
        <w:tc>
          <w:tcPr>
            <w:tcW w:type="dxa" w:w="1587"/>
            <w:vAlign w:val="top"/>
            <w:shd w:val="clear" w:color="auto" w:fill="FDF0F7"/>
          </w:tcPr>
          <w:p>
            <w:pPr>
              <w:spacing w:after="20" w:line="252" w:lineRule="auto"/>
            </w:pPr>
            <w:r>
              <w:rPr>
                <w:b/>
                <w:i w:val="0"/>
                <w:sz w:val="16"/>
              </w:rPr>
              <w:t>In transit</w:t>
            </w:r>
          </w:p>
        </w:tc>
        <w:tc>
          <w:tcPr>
            <w:tcW w:type="dxa" w:w="6576"/>
            <w:vAlign w:val="top"/>
            <w:shd w:val="clear" w:color="auto" w:fill="FDF0F7"/>
          </w:tcPr>
          <w:p>
            <w:pPr>
              <w:spacing w:after="20" w:line="252" w:lineRule="auto"/>
            </w:pPr>
            <w:r>
              <w:rPr>
                <w:b w:val="0"/>
                <w:i w:val="0"/>
                <w:sz w:val="16"/>
              </w:rPr>
              <w:t>TLS 1.2 or later at the load balancer or nginx with HSTS; TLS to PostgreSQL (sslmode=require), STARTTLS to SMTP, LDAPS, HTTPS to all APIs.</w:t>
            </w:r>
          </w:p>
        </w:tc>
        <w:tc>
          <w:tcPr>
            <w:tcW w:type="dxa" w:w="1474"/>
            <w:vAlign w:val="top"/>
            <w:shd w:val="clear" w:color="auto" w:fill="FDF0F7"/>
          </w:tcPr>
          <w:p>
            <w:pPr>
              <w:spacing w:after="20" w:line="252" w:lineRule="auto"/>
            </w:pPr>
            <w:r>
              <w:rPr>
                <w:b w:val="0"/>
                <w:i w:val="0"/>
                <w:sz w:val="16"/>
              </w:rPr>
              <w:t>NFR-08, COM-10</w:t>
            </w:r>
          </w:p>
        </w:tc>
      </w:tr>
      <w:tr>
        <w:trPr>
          <w:cantSplit/>
        </w:trPr>
        <w:tc>
          <w:tcPr>
            <w:tcW w:type="dxa" w:w="1587"/>
            <w:vAlign w:val="top"/>
          </w:tcPr>
          <w:p>
            <w:pPr>
              <w:spacing w:after="20" w:line="252" w:lineRule="auto"/>
            </w:pPr>
            <w:r>
              <w:rPr>
                <w:b/>
                <w:i w:val="0"/>
                <w:sz w:val="16"/>
              </w:rPr>
              <w:t>At rest</w:t>
            </w:r>
          </w:p>
        </w:tc>
        <w:tc>
          <w:tcPr>
            <w:tcW w:type="dxa" w:w="6576"/>
            <w:vAlign w:val="top"/>
          </w:tcPr>
          <w:p>
            <w:pPr>
              <w:spacing w:after="20" w:line="252" w:lineRule="auto"/>
            </w:pPr>
            <w:r>
              <w:rPr>
                <w:b w:val="0"/>
                <w:i w:val="0"/>
                <w:sz w:val="16"/>
              </w:rPr>
              <w:t>AES-256-GCM for identification numbers and documents with keys outside the database; HMAC-SHA256 blind index; encrypted volumes and backups (infrastructure).</w:t>
            </w:r>
          </w:p>
        </w:tc>
        <w:tc>
          <w:tcPr>
            <w:tcW w:type="dxa" w:w="1474"/>
            <w:vAlign w:val="top"/>
          </w:tcPr>
          <w:p>
            <w:pPr>
              <w:spacing w:after="20" w:line="252" w:lineRule="auto"/>
            </w:pPr>
            <w:r>
              <w:rPr>
                <w:b w:val="0"/>
                <w:i w:val="0"/>
                <w:sz w:val="16"/>
              </w:rPr>
              <w:t>COM-01, COM-10, NFR-08</w:t>
            </w:r>
          </w:p>
        </w:tc>
      </w:tr>
      <w:tr>
        <w:trPr>
          <w:cantSplit/>
        </w:trPr>
        <w:tc>
          <w:tcPr>
            <w:tcW w:type="dxa" w:w="1587"/>
            <w:vAlign w:val="top"/>
            <w:shd w:val="clear" w:color="auto" w:fill="FDF0F7"/>
          </w:tcPr>
          <w:p>
            <w:pPr>
              <w:spacing w:after="20" w:line="252" w:lineRule="auto"/>
            </w:pPr>
            <w:r>
              <w:rPr>
                <w:b/>
                <w:i w:val="0"/>
                <w:sz w:val="16"/>
              </w:rPr>
              <w:t>Uploads</w:t>
            </w:r>
          </w:p>
        </w:tc>
        <w:tc>
          <w:tcPr>
            <w:tcW w:type="dxa" w:w="6576"/>
            <w:vAlign w:val="top"/>
            <w:shd w:val="clear" w:color="auto" w:fill="FDF0F7"/>
          </w:tcPr>
          <w:p>
            <w:pPr>
              <w:spacing w:after="20" w:line="252" w:lineRule="auto"/>
            </w:pPr>
            <w:r>
              <w:rPr>
                <w:b w:val="0"/>
                <w:i w:val="0"/>
                <w:sz w:val="16"/>
              </w:rPr>
              <w:t>Content type from magic bytes (PDF, PNG, JPEG only); MAX_UPLOAD_MB (10 MB) limit; file name sanitised and extension forced to match content; SHA-256 recorded; ClamAV INSTREAM scan, and the upload fails if the scanner cannot be reached.</w:t>
            </w:r>
          </w:p>
        </w:tc>
        <w:tc>
          <w:tcPr>
            <w:tcW w:type="dxa" w:w="1474"/>
            <w:vAlign w:val="top"/>
            <w:shd w:val="clear" w:color="auto" w:fill="FDF0F7"/>
          </w:tcPr>
          <w:p>
            <w:pPr>
              <w:spacing w:after="20" w:line="252" w:lineRule="auto"/>
            </w:pPr>
            <w:r>
              <w:rPr>
                <w:b w:val="0"/>
                <w:i w:val="0"/>
                <w:sz w:val="16"/>
              </w:rPr>
              <w:t>AP-46, COM-06</w:t>
            </w:r>
          </w:p>
        </w:tc>
      </w:tr>
      <w:tr>
        <w:trPr>
          <w:cantSplit/>
        </w:trPr>
        <w:tc>
          <w:tcPr>
            <w:tcW w:type="dxa" w:w="1587"/>
            <w:vAlign w:val="top"/>
          </w:tcPr>
          <w:p>
            <w:pPr>
              <w:spacing w:after="20" w:line="252" w:lineRule="auto"/>
            </w:pPr>
            <w:r>
              <w:rPr>
                <w:b/>
                <w:i w:val="0"/>
                <w:sz w:val="16"/>
              </w:rPr>
              <w:t>Rate limiting</w:t>
            </w:r>
          </w:p>
        </w:tc>
        <w:tc>
          <w:tcPr>
            <w:tcW w:type="dxa" w:w="6576"/>
            <w:vAlign w:val="top"/>
          </w:tcPr>
          <w:p>
            <w:pPr>
              <w:spacing w:after="20" w:line="252" w:lineRule="auto"/>
            </w:pPr>
            <w:r>
              <w:rPr>
                <w:b w:val="0"/>
                <w:i w:val="0"/>
                <w:sz w:val="16"/>
              </w:rPr>
              <w:t>nginx 20 requests/second per IP (burst 40) on /api; API 300 requests/minute per IP; sign-in and password change 10/minute.</w:t>
            </w:r>
          </w:p>
        </w:tc>
        <w:tc>
          <w:tcPr>
            <w:tcW w:type="dxa" w:w="1474"/>
            <w:vAlign w:val="top"/>
          </w:tcPr>
          <w:p>
            <w:pPr>
              <w:spacing w:after="20" w:line="252" w:lineRule="auto"/>
            </w:pPr>
            <w:r>
              <w:rPr>
                <w:b w:val="0"/>
                <w:i w:val="0"/>
                <w:sz w:val="16"/>
              </w:rPr>
              <w:t>NFR-14</w:t>
            </w:r>
          </w:p>
        </w:tc>
      </w:tr>
      <w:tr>
        <w:trPr>
          <w:cantSplit/>
        </w:trPr>
        <w:tc>
          <w:tcPr>
            <w:tcW w:type="dxa" w:w="1587"/>
            <w:vAlign w:val="top"/>
            <w:shd w:val="clear" w:color="auto" w:fill="FDF0F7"/>
          </w:tcPr>
          <w:p>
            <w:pPr>
              <w:spacing w:after="20" w:line="252" w:lineRule="auto"/>
            </w:pPr>
            <w:r>
              <w:rPr>
                <w:b/>
                <w:i w:val="0"/>
                <w:sz w:val="16"/>
              </w:rPr>
              <w:t>Headers</w:t>
            </w:r>
          </w:p>
        </w:tc>
        <w:tc>
          <w:tcPr>
            <w:tcW w:type="dxa" w:w="6576"/>
            <w:vAlign w:val="top"/>
            <w:shd w:val="clear" w:color="auto" w:fill="FDF0F7"/>
          </w:tcPr>
          <w:p>
            <w:pPr>
              <w:spacing w:after="20" w:line="252" w:lineRule="auto"/>
            </w:pPr>
            <w:r>
              <w:rPr>
                <w:b w:val="0"/>
                <w:i w:val="0"/>
                <w:sz w:val="16"/>
              </w:rPr>
              <w:t>helmet on API responses; nginx adds HSTS, CSP (self only, frame-ancestors none), X-Frame-Options DENY, nosniff, Referrer-Policy and Permissions-Policy; server tokens and x-powered-by removed.</w:t>
            </w:r>
          </w:p>
        </w:tc>
        <w:tc>
          <w:tcPr>
            <w:tcW w:type="dxa" w:w="1474"/>
            <w:vAlign w:val="top"/>
            <w:shd w:val="clear" w:color="auto" w:fill="FDF0F7"/>
          </w:tcPr>
          <w:p>
            <w:pPr>
              <w:spacing w:after="20" w:line="252" w:lineRule="auto"/>
            </w:pPr>
            <w:r>
              <w:rPr>
                <w:b w:val="0"/>
                <w:i w:val="0"/>
                <w:sz w:val="16"/>
              </w:rPr>
              <w:t>NFR-14</w:t>
            </w:r>
          </w:p>
        </w:tc>
      </w:tr>
      <w:tr>
        <w:trPr>
          <w:cantSplit/>
        </w:trPr>
        <w:tc>
          <w:tcPr>
            <w:tcW w:type="dxa" w:w="1587"/>
            <w:vAlign w:val="top"/>
          </w:tcPr>
          <w:p>
            <w:pPr>
              <w:spacing w:after="20" w:line="252" w:lineRule="auto"/>
            </w:pPr>
            <w:r>
              <w:rPr>
                <w:b/>
                <w:i w:val="0"/>
                <w:sz w:val="16"/>
              </w:rPr>
              <w:t>Errors</w:t>
            </w:r>
          </w:p>
        </w:tc>
        <w:tc>
          <w:tcPr>
            <w:tcW w:type="dxa" w:w="6576"/>
            <w:vAlign w:val="top"/>
          </w:tcPr>
          <w:p>
            <w:pPr>
              <w:spacing w:after="20" w:line="252" w:lineRule="auto"/>
            </w:pPr>
            <w:r>
              <w:rPr>
                <w:b w:val="0"/>
                <w:i w:val="0"/>
                <w:sz w:val="16"/>
              </w:rPr>
              <w:t>Generic message plus correlation id to the client; full details only in server logs.</w:t>
            </w:r>
          </w:p>
        </w:tc>
        <w:tc>
          <w:tcPr>
            <w:tcW w:type="dxa" w:w="1474"/>
            <w:vAlign w:val="top"/>
          </w:tcPr>
          <w:p>
            <w:pPr>
              <w:spacing w:after="20" w:line="252" w:lineRule="auto"/>
            </w:pPr>
            <w:r>
              <w:rPr>
                <w:b w:val="0"/>
                <w:i w:val="0"/>
                <w:sz w:val="16"/>
              </w:rPr>
              <w:t>NFR-15</w:t>
            </w:r>
          </w:p>
        </w:tc>
      </w:tr>
      <w:tr>
        <w:trPr>
          <w:cantSplit/>
        </w:trPr>
        <w:tc>
          <w:tcPr>
            <w:tcW w:type="dxa" w:w="1587"/>
            <w:vAlign w:val="top"/>
            <w:shd w:val="clear" w:color="auto" w:fill="FDF0F7"/>
          </w:tcPr>
          <w:p>
            <w:pPr>
              <w:spacing w:after="20" w:line="252" w:lineRule="auto"/>
            </w:pPr>
            <w:r>
              <w:rPr>
                <w:b/>
                <w:i w:val="0"/>
                <w:sz w:val="16"/>
              </w:rPr>
              <w:t>Logging</w:t>
            </w:r>
          </w:p>
        </w:tc>
        <w:tc>
          <w:tcPr>
            <w:tcW w:type="dxa" w:w="6576"/>
            <w:vAlign w:val="top"/>
            <w:shd w:val="clear" w:color="auto" w:fill="FDF0F7"/>
          </w:tcPr>
          <w:p>
            <w:pPr>
              <w:spacing w:after="20" w:line="252" w:lineRule="auto"/>
            </w:pPr>
            <w:r>
              <w:rPr>
                <w:b w:val="0"/>
                <w:i w:val="0"/>
                <w:sz w:val="16"/>
              </w:rPr>
              <w:t>JSON logs; cookie, authorization, CSRF and set-cookie headers redacted; audit values redacted.</w:t>
            </w:r>
          </w:p>
        </w:tc>
        <w:tc>
          <w:tcPr>
            <w:tcW w:type="dxa" w:w="1474"/>
            <w:vAlign w:val="top"/>
            <w:shd w:val="clear" w:color="auto" w:fill="FDF0F7"/>
          </w:tcPr>
          <w:p>
            <w:pPr>
              <w:spacing w:after="20" w:line="252" w:lineRule="auto"/>
            </w:pPr>
            <w:r>
              <w:rPr>
                <w:b w:val="0"/>
                <w:i w:val="0"/>
                <w:sz w:val="16"/>
              </w:rPr>
              <w:t>NFR-11, NFR-28</w:t>
            </w:r>
          </w:p>
        </w:tc>
      </w:tr>
      <w:tr>
        <w:trPr>
          <w:cantSplit/>
        </w:trPr>
        <w:tc>
          <w:tcPr>
            <w:tcW w:type="dxa" w:w="1587"/>
            <w:vAlign w:val="top"/>
          </w:tcPr>
          <w:p>
            <w:pPr>
              <w:spacing w:after="20" w:line="252" w:lineRule="auto"/>
            </w:pPr>
            <w:r>
              <w:rPr>
                <w:b/>
                <w:i w:val="0"/>
                <w:sz w:val="16"/>
              </w:rPr>
              <w:t>System APIs</w:t>
            </w:r>
          </w:p>
        </w:tc>
        <w:tc>
          <w:tcPr>
            <w:tcW w:type="dxa" w:w="6576"/>
            <w:vAlign w:val="top"/>
          </w:tcPr>
          <w:p>
            <w:pPr>
              <w:spacing w:after="20" w:line="252" w:lineRule="auto"/>
            </w:pPr>
            <w:r>
              <w:rPr>
                <w:b w:val="0"/>
                <w:i w:val="0"/>
                <w:sz w:val="16"/>
              </w:rPr>
              <w:t>API key compared by SHA-256 in constant time; only the hash is configured; IP allow-list at nginx or the firewall; every call logged.</w:t>
            </w:r>
          </w:p>
        </w:tc>
        <w:tc>
          <w:tcPr>
            <w:tcW w:type="dxa" w:w="1474"/>
            <w:vAlign w:val="top"/>
          </w:tcPr>
          <w:p>
            <w:pPr>
              <w:spacing w:after="20" w:line="252" w:lineRule="auto"/>
            </w:pPr>
            <w:r>
              <w:rPr>
                <w:b w:val="0"/>
                <w:i w:val="0"/>
                <w:sz w:val="16"/>
              </w:rPr>
              <w:t>INT-10</w:t>
            </w:r>
          </w:p>
        </w:tc>
      </w:tr>
      <w:tr>
        <w:trPr>
          <w:cantSplit/>
        </w:trPr>
        <w:tc>
          <w:tcPr>
            <w:tcW w:type="dxa" w:w="1587"/>
            <w:vAlign w:val="top"/>
            <w:shd w:val="clear" w:color="auto" w:fill="FDF0F7"/>
          </w:tcPr>
          <w:p>
            <w:pPr>
              <w:spacing w:after="20" w:line="252" w:lineRule="auto"/>
            </w:pPr>
            <w:r>
              <w:rPr>
                <w:b/>
                <w:i w:val="0"/>
                <w:sz w:val="16"/>
              </w:rPr>
              <w:t>Production guard</w:t>
            </w:r>
          </w:p>
        </w:tc>
        <w:tc>
          <w:tcPr>
            <w:tcW w:type="dxa" w:w="6576"/>
            <w:vAlign w:val="top"/>
            <w:shd w:val="clear" w:color="auto" w:fill="FDF0F7"/>
          </w:tcPr>
          <w:p>
            <w:pPr>
              <w:spacing w:after="20" w:line="252" w:lineRule="auto"/>
            </w:pPr>
            <w:r>
              <w:rPr>
                <w:b w:val="0"/>
                <w:i w:val="0"/>
                <w:sz w:val="16"/>
              </w:rPr>
              <w:t>The API refuses to start in production with a non-secure cookie, API docs enabled, or live integration without Core, FIN, SMTP and inbound key settings.</w:t>
            </w:r>
          </w:p>
        </w:tc>
        <w:tc>
          <w:tcPr>
            <w:tcW w:type="dxa" w:w="1474"/>
            <w:vAlign w:val="top"/>
            <w:shd w:val="clear" w:color="auto" w:fill="FDF0F7"/>
          </w:tcPr>
          <w:p>
            <w:pPr>
              <w:spacing w:after="20" w:line="252" w:lineRule="auto"/>
            </w:pPr>
            <w:r>
              <w:rPr>
                <w:b w:val="0"/>
                <w:i w:val="0"/>
                <w:sz w:val="16"/>
              </w:rPr>
              <w:t>NFR-14</w:t>
            </w:r>
          </w:p>
        </w:tc>
      </w:tr>
      <w:tr>
        <w:trPr>
          <w:cantSplit/>
        </w:trPr>
        <w:tc>
          <w:tcPr>
            <w:tcW w:type="dxa" w:w="1587"/>
            <w:vAlign w:val="top"/>
          </w:tcPr>
          <w:p>
            <w:pPr>
              <w:spacing w:after="20" w:line="252" w:lineRule="auto"/>
            </w:pPr>
            <w:r>
              <w:rPr>
                <w:b/>
                <w:i w:val="0"/>
                <w:sz w:val="16"/>
              </w:rPr>
              <w:t>Multi-factor authentication</w:t>
            </w:r>
          </w:p>
        </w:tc>
        <w:tc>
          <w:tcPr>
            <w:tcW w:type="dxa" w:w="6576"/>
            <w:vAlign w:val="top"/>
          </w:tcPr>
          <w:p>
            <w:pPr>
              <w:spacing w:after="20" w:line="252" w:lineRule="auto"/>
            </w:pPr>
            <w:r>
              <w:rPr>
                <w:b w:val="0"/>
                <w:i w:val="0"/>
                <w:sz w:val="16"/>
              </w:rPr>
              <w:t>E-mail one-time code or authenticator app for back-office users; optional for portal users. Delivered during implementation.</w:t>
            </w:r>
          </w:p>
        </w:tc>
        <w:tc>
          <w:tcPr>
            <w:tcW w:type="dxa" w:w="1474"/>
            <w:vAlign w:val="top"/>
          </w:tcPr>
          <w:p>
            <w:pPr>
              <w:spacing w:after="20" w:line="252" w:lineRule="auto"/>
            </w:pPr>
            <w:r>
              <w:rPr>
                <w:b w:val="0"/>
                <w:i w:val="0"/>
                <w:sz w:val="16"/>
              </w:rPr>
              <w:t>NFR-09</w:t>
            </w:r>
          </w:p>
        </w:tc>
      </w:tr>
    </w:tbl>
    <w:p>
      <w:pPr>
        <w:pStyle w:val="Caption"/>
        <w:jc w:val="center"/>
      </w:pPr>
      <w:r>
        <w:rPr>
          <w:b w:val="0"/>
          <w:i w:val="0"/>
        </w:rPr>
        <w:t>Table 18: Security controls</w:t>
      </w:r>
    </w:p>
    <w:p>
      <w:pPr>
        <w:pStyle w:val="Heading2"/>
      </w:pPr>
      <w:r>
        <w:t>8.2 Roles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2381"/>
        <w:gridCol w:w="1134"/>
        <w:gridCol w:w="3742"/>
      </w:tblGrid>
      <w:tr>
        <w:trPr>
          <w:cantSplit/>
          <w:tblHeader/>
        </w:trPr>
        <w:tc>
          <w:tcPr>
            <w:tcW w:type="dxa" w:w="2381"/>
            <w:shd w:val="clear" w:color="auto" w:fill="E1058C"/>
            <w:vAlign w:val="center"/>
          </w:tcPr>
          <w:p>
            <w:pPr>
              <w:spacing w:after="0"/>
            </w:pPr>
            <w:r>
              <w:rPr>
                <w:b/>
                <w:i w:val="0"/>
                <w:color w:val="FFFFFF"/>
                <w:sz w:val="16"/>
              </w:rPr>
              <w:t>Code</w:t>
            </w:r>
          </w:p>
        </w:tc>
        <w:tc>
          <w:tcPr>
            <w:tcW w:type="dxa" w:w="2381"/>
            <w:shd w:val="clear" w:color="auto" w:fill="E1058C"/>
            <w:vAlign w:val="center"/>
          </w:tcPr>
          <w:p>
            <w:pPr>
              <w:spacing w:after="0"/>
            </w:pPr>
            <w:r>
              <w:rPr>
                <w:b/>
                <w:i w:val="0"/>
                <w:color w:val="FFFFFF"/>
                <w:sz w:val="16"/>
              </w:rPr>
              <w:t>Role</w:t>
            </w:r>
          </w:p>
        </w:tc>
        <w:tc>
          <w:tcPr>
            <w:tcW w:type="dxa" w:w="1134"/>
            <w:shd w:val="clear" w:color="auto" w:fill="E1058C"/>
            <w:vAlign w:val="center"/>
          </w:tcPr>
          <w:p>
            <w:pPr>
              <w:spacing w:after="0"/>
            </w:pPr>
            <w:r>
              <w:rPr>
                <w:b/>
                <w:i w:val="0"/>
                <w:color w:val="FFFFFF"/>
                <w:sz w:val="16"/>
              </w:rPr>
              <w:t>Audience</w:t>
            </w:r>
          </w:p>
        </w:tc>
        <w:tc>
          <w:tcPr>
            <w:tcW w:type="dxa" w:w="3742"/>
            <w:shd w:val="clear" w:color="auto" w:fill="E1058C"/>
            <w:vAlign w:val="center"/>
          </w:tcPr>
          <w:p>
            <w:pPr>
              <w:spacing w:after="0"/>
            </w:pPr>
            <w:r>
              <w:rPr>
                <w:b/>
                <w:i w:val="0"/>
                <w:color w:val="FFFFFF"/>
                <w:sz w:val="16"/>
              </w:rPr>
              <w:t>Purpose</w:t>
            </w:r>
          </w:p>
        </w:tc>
      </w:tr>
      <w:tr>
        <w:trPr>
          <w:cantSplit/>
        </w:trPr>
        <w:tc>
          <w:tcPr>
            <w:tcW w:type="dxa" w:w="2381"/>
            <w:vAlign w:val="top"/>
          </w:tcPr>
          <w:p>
            <w:pPr>
              <w:spacing w:after="20" w:line="252" w:lineRule="auto"/>
            </w:pPr>
            <w:r>
              <w:rPr>
                <w:b w:val="0"/>
                <w:i w:val="0"/>
                <w:sz w:val="16"/>
              </w:rPr>
              <w:t>AGENCY_PRINCIPAL</w:t>
            </w:r>
          </w:p>
        </w:tc>
        <w:tc>
          <w:tcPr>
            <w:tcW w:type="dxa" w:w="2381"/>
            <w:vAlign w:val="top"/>
          </w:tcPr>
          <w:p>
            <w:pPr>
              <w:spacing w:after="20" w:line="252" w:lineRule="auto"/>
            </w:pPr>
            <w:r>
              <w:rPr>
                <w:b w:val="0"/>
                <w:i w:val="0"/>
                <w:sz w:val="16"/>
              </w:rPr>
              <w:t>Agency principal / main agent</w:t>
            </w:r>
          </w:p>
        </w:tc>
        <w:tc>
          <w:tcPr>
            <w:tcW w:type="dxa" w:w="1134"/>
            <w:vAlign w:val="top"/>
          </w:tcPr>
          <w:p>
            <w:pPr>
              <w:spacing w:after="20" w:line="252" w:lineRule="auto"/>
            </w:pPr>
            <w:r>
              <w:rPr>
                <w:b w:val="0"/>
                <w:i w:val="0"/>
                <w:sz w:val="16"/>
              </w:rPr>
              <w:t>Portal</w:t>
            </w:r>
          </w:p>
        </w:tc>
        <w:tc>
          <w:tcPr>
            <w:tcW w:type="dxa" w:w="3742"/>
            <w:vAlign w:val="top"/>
          </w:tcPr>
          <w:p>
            <w:pPr>
              <w:spacing w:after="20" w:line="252" w:lineRule="auto"/>
            </w:pPr>
            <w:r>
              <w:rPr>
                <w:b w:val="0"/>
                <w:i w:val="0"/>
                <w:sz w:val="16"/>
              </w:rPr>
              <w:t>Main agent: own business, sub-agents and agency-wide view; registers sub-agents</w:t>
            </w:r>
          </w:p>
        </w:tc>
      </w:tr>
      <w:tr>
        <w:trPr>
          <w:cantSplit/>
        </w:trPr>
        <w:tc>
          <w:tcPr>
            <w:tcW w:type="dxa" w:w="2381"/>
            <w:vAlign w:val="top"/>
            <w:shd w:val="clear" w:color="auto" w:fill="FDF0F7"/>
          </w:tcPr>
          <w:p>
            <w:pPr>
              <w:spacing w:after="20" w:line="252" w:lineRule="auto"/>
            </w:pPr>
            <w:r>
              <w:rPr>
                <w:b w:val="0"/>
                <w:i w:val="0"/>
                <w:sz w:val="16"/>
              </w:rPr>
              <w:t>AGENT</w:t>
            </w:r>
          </w:p>
        </w:tc>
        <w:tc>
          <w:tcPr>
            <w:tcW w:type="dxa" w:w="2381"/>
            <w:vAlign w:val="top"/>
            <w:shd w:val="clear" w:color="auto" w:fill="FDF0F7"/>
          </w:tcPr>
          <w:p>
            <w:pPr>
              <w:spacing w:after="20" w:line="252" w:lineRule="auto"/>
            </w:pPr>
            <w:r>
              <w:rPr>
                <w:b w:val="0"/>
                <w:i w:val="0"/>
                <w:sz w:val="16"/>
              </w:rPr>
              <w:t>Agent</w:t>
            </w:r>
          </w:p>
        </w:tc>
        <w:tc>
          <w:tcPr>
            <w:tcW w:type="dxa" w:w="1134"/>
            <w:vAlign w:val="top"/>
            <w:shd w:val="clear" w:color="auto" w:fill="FDF0F7"/>
          </w:tcPr>
          <w:p>
            <w:pPr>
              <w:spacing w:after="20" w:line="252" w:lineRule="auto"/>
            </w:pPr>
            <w:r>
              <w:rPr>
                <w:b w:val="0"/>
                <w:i w:val="0"/>
                <w:sz w:val="16"/>
              </w:rPr>
              <w:t>Portal</w:t>
            </w:r>
          </w:p>
        </w:tc>
        <w:tc>
          <w:tcPr>
            <w:tcW w:type="dxa" w:w="3742"/>
            <w:vAlign w:val="top"/>
            <w:shd w:val="clear" w:color="auto" w:fill="FDF0F7"/>
          </w:tcPr>
          <w:p>
            <w:pPr>
              <w:spacing w:after="20" w:line="252" w:lineRule="auto"/>
            </w:pPr>
            <w:r>
              <w:rPr>
                <w:b w:val="0"/>
                <w:i w:val="0"/>
                <w:sz w:val="16"/>
              </w:rPr>
              <w:t>Sub-agent: own quotations, policies, payments and claims</w:t>
            </w:r>
          </w:p>
        </w:tc>
      </w:tr>
      <w:tr>
        <w:trPr>
          <w:cantSplit/>
        </w:trPr>
        <w:tc>
          <w:tcPr>
            <w:tcW w:type="dxa" w:w="2381"/>
            <w:vAlign w:val="top"/>
          </w:tcPr>
          <w:p>
            <w:pPr>
              <w:spacing w:after="20" w:line="252" w:lineRule="auto"/>
            </w:pPr>
            <w:r>
              <w:rPr>
                <w:b w:val="0"/>
                <w:i w:val="0"/>
                <w:sz w:val="16"/>
              </w:rPr>
              <w:t>BANCA_OFFICER</w:t>
            </w:r>
          </w:p>
        </w:tc>
        <w:tc>
          <w:tcPr>
            <w:tcW w:type="dxa" w:w="2381"/>
            <w:vAlign w:val="top"/>
          </w:tcPr>
          <w:p>
            <w:pPr>
              <w:spacing w:after="20" w:line="252" w:lineRule="auto"/>
            </w:pPr>
            <w:r>
              <w:rPr>
                <w:b w:val="0"/>
                <w:i w:val="0"/>
                <w:sz w:val="16"/>
              </w:rPr>
              <w:t>Bank officer (banca)</w:t>
            </w:r>
          </w:p>
        </w:tc>
        <w:tc>
          <w:tcPr>
            <w:tcW w:type="dxa" w:w="1134"/>
            <w:vAlign w:val="top"/>
          </w:tcPr>
          <w:p>
            <w:pPr>
              <w:spacing w:after="20" w:line="252" w:lineRule="auto"/>
            </w:pPr>
            <w:r>
              <w:rPr>
                <w:b w:val="0"/>
                <w:i w:val="0"/>
                <w:sz w:val="16"/>
              </w:rPr>
              <w:t>Portal</w:t>
            </w:r>
          </w:p>
        </w:tc>
        <w:tc>
          <w:tcPr>
            <w:tcW w:type="dxa" w:w="3742"/>
            <w:vAlign w:val="top"/>
          </w:tcPr>
          <w:p>
            <w:pPr>
              <w:spacing w:after="20" w:line="252" w:lineRule="auto"/>
            </w:pPr>
            <w:r>
              <w:rPr>
                <w:b w:val="0"/>
                <w:i w:val="0"/>
                <w:sz w:val="16"/>
              </w:rPr>
              <w:t>Bank officer selling financing takaful at the branch</w:t>
            </w:r>
          </w:p>
        </w:tc>
      </w:tr>
      <w:tr>
        <w:trPr>
          <w:cantSplit/>
        </w:trPr>
        <w:tc>
          <w:tcPr>
            <w:tcW w:type="dxa" w:w="2381"/>
            <w:vAlign w:val="top"/>
            <w:shd w:val="clear" w:color="auto" w:fill="FDF0F7"/>
          </w:tcPr>
          <w:p>
            <w:pPr>
              <w:spacing w:after="20" w:line="252" w:lineRule="auto"/>
            </w:pPr>
            <w:r>
              <w:rPr>
                <w:b w:val="0"/>
                <w:i w:val="0"/>
                <w:sz w:val="16"/>
              </w:rPr>
              <w:t>BANCA_SUPERVISOR</w:t>
            </w:r>
          </w:p>
        </w:tc>
        <w:tc>
          <w:tcPr>
            <w:tcW w:type="dxa" w:w="2381"/>
            <w:vAlign w:val="top"/>
            <w:shd w:val="clear" w:color="auto" w:fill="FDF0F7"/>
          </w:tcPr>
          <w:p>
            <w:pPr>
              <w:spacing w:after="20" w:line="252" w:lineRule="auto"/>
            </w:pPr>
            <w:r>
              <w:rPr>
                <w:b w:val="0"/>
                <w:i w:val="0"/>
                <w:sz w:val="16"/>
              </w:rPr>
              <w:t>Bank supervisor (banca)</w:t>
            </w:r>
          </w:p>
        </w:tc>
        <w:tc>
          <w:tcPr>
            <w:tcW w:type="dxa" w:w="1134"/>
            <w:vAlign w:val="top"/>
            <w:shd w:val="clear" w:color="auto" w:fill="FDF0F7"/>
          </w:tcPr>
          <w:p>
            <w:pPr>
              <w:spacing w:after="20" w:line="252" w:lineRule="auto"/>
            </w:pPr>
            <w:r>
              <w:rPr>
                <w:b w:val="0"/>
                <w:i w:val="0"/>
                <w:sz w:val="16"/>
              </w:rPr>
              <w:t>Portal</w:t>
            </w:r>
          </w:p>
        </w:tc>
        <w:tc>
          <w:tcPr>
            <w:tcW w:type="dxa" w:w="3742"/>
            <w:vAlign w:val="top"/>
            <w:shd w:val="clear" w:color="auto" w:fill="FDF0F7"/>
          </w:tcPr>
          <w:p>
            <w:pPr>
              <w:spacing w:after="20" w:line="252" w:lineRule="auto"/>
            </w:pPr>
            <w:r>
              <w:rPr>
                <w:b w:val="0"/>
                <w:i w:val="0"/>
                <w:sz w:val="16"/>
              </w:rPr>
              <w:t>Bank branch supervisor: bank-wide view and officer registration</w:t>
            </w:r>
          </w:p>
        </w:tc>
      </w:tr>
      <w:tr>
        <w:trPr>
          <w:cantSplit/>
        </w:trPr>
        <w:tc>
          <w:tcPr>
            <w:tcW w:type="dxa" w:w="2381"/>
            <w:vAlign w:val="top"/>
          </w:tcPr>
          <w:p>
            <w:pPr>
              <w:spacing w:after="20" w:line="252" w:lineRule="auto"/>
            </w:pPr>
            <w:r>
              <w:rPr>
                <w:b w:val="0"/>
                <w:i w:val="0"/>
                <w:sz w:val="16"/>
              </w:rPr>
              <w:t>SYSTEM_ADMINISTRATOR</w:t>
            </w:r>
          </w:p>
        </w:tc>
        <w:tc>
          <w:tcPr>
            <w:tcW w:type="dxa" w:w="2381"/>
            <w:vAlign w:val="top"/>
          </w:tcPr>
          <w:p>
            <w:pPr>
              <w:spacing w:after="20" w:line="252" w:lineRule="auto"/>
            </w:pPr>
            <w:r>
              <w:rPr>
                <w:b w:val="0"/>
                <w:i w:val="0"/>
                <w:sz w:val="16"/>
              </w:rPr>
              <w:t>System administrator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Users, roles, parameters, master data, workflows, products and integration</w:t>
            </w:r>
          </w:p>
        </w:tc>
      </w:tr>
      <w:tr>
        <w:trPr>
          <w:cantSplit/>
        </w:trPr>
        <w:tc>
          <w:tcPr>
            <w:tcW w:type="dxa" w:w="2381"/>
            <w:vAlign w:val="top"/>
            <w:shd w:val="clear" w:color="auto" w:fill="FDF0F7"/>
          </w:tcPr>
          <w:p>
            <w:pPr>
              <w:spacing w:after="20" w:line="252" w:lineRule="auto"/>
            </w:pPr>
            <w:r>
              <w:rPr>
                <w:b w:val="0"/>
                <w:i w:val="0"/>
                <w:sz w:val="16"/>
              </w:rPr>
              <w:t>OPERATIONS_OFFICER</w:t>
            </w:r>
          </w:p>
        </w:tc>
        <w:tc>
          <w:tcPr>
            <w:tcW w:type="dxa" w:w="2381"/>
            <w:vAlign w:val="top"/>
            <w:shd w:val="clear" w:color="auto" w:fill="FDF0F7"/>
          </w:tcPr>
          <w:p>
            <w:pPr>
              <w:spacing w:after="20" w:line="252" w:lineRule="auto"/>
            </w:pPr>
            <w:r>
              <w:rPr>
                <w:b w:val="0"/>
                <w:i w:val="0"/>
                <w:sz w:val="16"/>
              </w:rPr>
              <w:t>Operations officer (maker)</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Agent and agency administration, document checks, claims and issues</w:t>
            </w:r>
          </w:p>
        </w:tc>
      </w:tr>
      <w:tr>
        <w:trPr>
          <w:cantSplit/>
        </w:trPr>
        <w:tc>
          <w:tcPr>
            <w:tcW w:type="dxa" w:w="2381"/>
            <w:vAlign w:val="top"/>
          </w:tcPr>
          <w:p>
            <w:pPr>
              <w:spacing w:after="20" w:line="252" w:lineRule="auto"/>
            </w:pPr>
            <w:r>
              <w:rPr>
                <w:b w:val="0"/>
                <w:i w:val="0"/>
                <w:sz w:val="16"/>
              </w:rPr>
              <w:t>OPERATIONS_SUPERVISOR</w:t>
            </w:r>
          </w:p>
        </w:tc>
        <w:tc>
          <w:tcPr>
            <w:tcW w:type="dxa" w:w="2381"/>
            <w:vAlign w:val="top"/>
          </w:tcPr>
          <w:p>
            <w:pPr>
              <w:spacing w:after="20" w:line="252" w:lineRule="auto"/>
            </w:pPr>
            <w:r>
              <w:rPr>
                <w:b w:val="0"/>
                <w:i w:val="0"/>
                <w:sz w:val="16"/>
              </w:rPr>
              <w:t>Operations supervisor (checker)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Approves agent, participant and servicing requests</w:t>
            </w:r>
          </w:p>
        </w:tc>
      </w:tr>
      <w:tr>
        <w:trPr>
          <w:cantSplit/>
        </w:trPr>
        <w:tc>
          <w:tcPr>
            <w:tcW w:type="dxa" w:w="2381"/>
            <w:vAlign w:val="top"/>
            <w:shd w:val="clear" w:color="auto" w:fill="FDF0F7"/>
          </w:tcPr>
          <w:p>
            <w:pPr>
              <w:spacing w:after="20" w:line="252" w:lineRule="auto"/>
            </w:pPr>
            <w:r>
              <w:rPr>
                <w:b w:val="0"/>
                <w:i w:val="0"/>
                <w:sz w:val="16"/>
              </w:rPr>
              <w:t>UNDERWRITER</w:t>
            </w:r>
          </w:p>
        </w:tc>
        <w:tc>
          <w:tcPr>
            <w:tcW w:type="dxa" w:w="2381"/>
            <w:vAlign w:val="top"/>
            <w:shd w:val="clear" w:color="auto" w:fill="FDF0F7"/>
          </w:tcPr>
          <w:p>
            <w:pPr>
              <w:spacing w:after="20" w:line="252" w:lineRule="auto"/>
            </w:pPr>
            <w:r>
              <w:rPr>
                <w:b w:val="0"/>
                <w:i w:val="0"/>
                <w:sz w:val="16"/>
              </w:rPr>
              <w:t>Underwriter / quality check</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Approves referred quotations and performs quality checks before issuance</w:t>
            </w:r>
          </w:p>
        </w:tc>
      </w:tr>
      <w:tr>
        <w:trPr>
          <w:cantSplit/>
        </w:trPr>
        <w:tc>
          <w:tcPr>
            <w:tcW w:type="dxa" w:w="2381"/>
            <w:vAlign w:val="top"/>
          </w:tcPr>
          <w:p>
            <w:pPr>
              <w:spacing w:after="20" w:line="252" w:lineRule="auto"/>
            </w:pPr>
            <w:r>
              <w:rPr>
                <w:b w:val="0"/>
                <w:i w:val="0"/>
                <w:sz w:val="16"/>
              </w:rPr>
              <w:t>FINANCE_OFFICER</w:t>
            </w:r>
          </w:p>
        </w:tc>
        <w:tc>
          <w:tcPr>
            <w:tcW w:type="dxa" w:w="2381"/>
            <w:vAlign w:val="top"/>
          </w:tcPr>
          <w:p>
            <w:pPr>
              <w:spacing w:after="20" w:line="252" w:lineRule="auto"/>
            </w:pPr>
            <w:r>
              <w:rPr>
                <w:b w:val="0"/>
                <w:i w:val="0"/>
                <w:sz w:val="16"/>
              </w:rPr>
              <w:t>Finance officer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Verifies payments, issues receipts, runs end-of-day and reconciliation</w:t>
            </w:r>
          </w:p>
        </w:tc>
      </w:tr>
      <w:tr>
        <w:trPr>
          <w:cantSplit/>
        </w:trPr>
        <w:tc>
          <w:tcPr>
            <w:tcW w:type="dxa" w:w="2381"/>
            <w:vAlign w:val="top"/>
            <w:shd w:val="clear" w:color="auto" w:fill="FDF0F7"/>
          </w:tcPr>
          <w:p>
            <w:pPr>
              <w:spacing w:after="20" w:line="252" w:lineRule="auto"/>
            </w:pPr>
            <w:r>
              <w:rPr>
                <w:b w:val="0"/>
                <w:i w:val="0"/>
                <w:sz w:val="16"/>
              </w:rPr>
              <w:t>COMPLIANCE_OFFICER</w:t>
            </w:r>
          </w:p>
        </w:tc>
        <w:tc>
          <w:tcPr>
            <w:tcW w:type="dxa" w:w="2381"/>
            <w:vAlign w:val="top"/>
            <w:shd w:val="clear" w:color="auto" w:fill="FDF0F7"/>
          </w:tcPr>
          <w:p>
            <w:pPr>
              <w:spacing w:after="20" w:line="252" w:lineRule="auto"/>
            </w:pPr>
            <w:r>
              <w:rPr>
                <w:b w:val="0"/>
                <w:i w:val="0"/>
                <w:sz w:val="16"/>
              </w:rPr>
              <w:t>Compliance officer</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Reviews AML/KYC cases and maintains watch-lists</w:t>
            </w:r>
          </w:p>
        </w:tc>
      </w:tr>
      <w:tr>
        <w:trPr>
          <w:cantSplit/>
        </w:trPr>
        <w:tc>
          <w:tcPr>
            <w:tcW w:type="dxa" w:w="2381"/>
            <w:vAlign w:val="top"/>
          </w:tcPr>
          <w:p>
            <w:pPr>
              <w:spacing w:after="20" w:line="252" w:lineRule="auto"/>
            </w:pPr>
            <w:r>
              <w:rPr>
                <w:b w:val="0"/>
                <w:i w:val="0"/>
                <w:sz w:val="16"/>
              </w:rPr>
              <w:t>MANAGEMENT</w:t>
            </w:r>
          </w:p>
        </w:tc>
        <w:tc>
          <w:tcPr>
            <w:tcW w:type="dxa" w:w="2381"/>
            <w:vAlign w:val="top"/>
          </w:tcPr>
          <w:p>
            <w:pPr>
              <w:spacing w:after="20" w:line="252" w:lineRule="auto"/>
            </w:pPr>
            <w:r>
              <w:rPr>
                <w:b w:val="0"/>
                <w:i w:val="0"/>
                <w:sz w:val="16"/>
              </w:rPr>
              <w:t>Management</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Management dashboard, KPIs and reports (read-only)</w:t>
            </w:r>
          </w:p>
        </w:tc>
      </w:tr>
      <w:tr>
        <w:trPr>
          <w:cantSplit/>
        </w:trPr>
        <w:tc>
          <w:tcPr>
            <w:tcW w:type="dxa" w:w="2381"/>
            <w:vAlign w:val="top"/>
            <w:shd w:val="clear" w:color="auto" w:fill="FDF0F7"/>
          </w:tcPr>
          <w:p>
            <w:pPr>
              <w:spacing w:after="20" w:line="252" w:lineRule="auto"/>
            </w:pPr>
            <w:r>
              <w:rPr>
                <w:b w:val="0"/>
                <w:i w:val="0"/>
                <w:sz w:val="16"/>
              </w:rPr>
              <w:t>SUPPORT_DESK</w:t>
            </w:r>
          </w:p>
        </w:tc>
        <w:tc>
          <w:tcPr>
            <w:tcW w:type="dxa" w:w="2381"/>
            <w:vAlign w:val="top"/>
            <w:shd w:val="clear" w:color="auto" w:fill="FDF0F7"/>
          </w:tcPr>
          <w:p>
            <w:pPr>
              <w:spacing w:after="20" w:line="252" w:lineRule="auto"/>
            </w:pPr>
            <w:r>
              <w:rPr>
                <w:b w:val="0"/>
                <w:i w:val="0"/>
                <w:sz w:val="16"/>
              </w:rPr>
              <w:t>Support desk</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Handles issues reported through the portal</w:t>
            </w:r>
          </w:p>
        </w:tc>
      </w:tr>
      <w:tr>
        <w:trPr>
          <w:cantSplit/>
        </w:trPr>
        <w:tc>
          <w:tcPr>
            <w:tcW w:type="dxa" w:w="2381"/>
            <w:vAlign w:val="top"/>
          </w:tcPr>
          <w:p>
            <w:pPr>
              <w:spacing w:after="20" w:line="252" w:lineRule="auto"/>
            </w:pPr>
            <w:r>
              <w:rPr>
                <w:b w:val="0"/>
                <w:i w:val="0"/>
                <w:sz w:val="16"/>
              </w:rPr>
              <w:t>AUDITOR</w:t>
            </w:r>
          </w:p>
        </w:tc>
        <w:tc>
          <w:tcPr>
            <w:tcW w:type="dxa" w:w="2381"/>
            <w:vAlign w:val="top"/>
          </w:tcPr>
          <w:p>
            <w:pPr>
              <w:spacing w:after="20" w:line="252" w:lineRule="auto"/>
            </w:pPr>
            <w:r>
              <w:rPr>
                <w:b w:val="0"/>
                <w:i w:val="0"/>
                <w:sz w:val="16"/>
              </w:rPr>
              <w:t>Internal auditor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Read-only access to records and the audit trail</w:t>
            </w:r>
          </w:p>
        </w:tc>
      </w:tr>
    </w:tbl>
    <w:p>
      <w:pPr>
        <w:pStyle w:val="Caption"/>
        <w:jc w:val="center"/>
      </w:pPr>
      <w:r>
        <w:rPr>
          <w:b w:val="0"/>
          <w:i w:val="0"/>
        </w:rPr>
        <w:t>Table 19: Default roles (seed data, editable in the back-office)</w:t>
      </w:r>
    </w:p>
    <w:p>
      <w:pPr>
        <w:pStyle w:val="Heading2"/>
      </w:pPr>
      <w:r>
        <w:t>8.3 Keys and secrets</w:t>
      </w:r>
    </w:p>
    <w:p>
      <w:pPr>
        <w:keepNext w:val="0"/>
      </w:pPr>
      <w:r>
        <w:rPr>
          <w:b w:val="0"/>
          <w:i w:val="0"/>
        </w:rPr>
        <w:t>All secrets are supplied as environment variables from the platform's secret store (HashiCorp Vault or the IITH equivalent on-premise; AWS Secrets Manager or Azure Key Vault in the cloud) and never stored in the repository or images. Encryption keys are 256-bit random values, base64 encoded; the API checks their length at start-up.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721"/>
        <w:gridCol w:w="2948"/>
        <w:gridCol w:w="3969"/>
      </w:tblGrid>
      <w:tr>
        <w:trPr>
          <w:cantSplit/>
          <w:tblHeader/>
        </w:trPr>
        <w:tc>
          <w:tcPr>
            <w:tcW w:type="dxa" w:w="2721"/>
            <w:shd w:val="clear" w:color="auto" w:fill="E1058C"/>
            <w:vAlign w:val="center"/>
          </w:tcPr>
          <w:p>
            <w:pPr>
              <w:spacing w:after="0"/>
            </w:pPr>
            <w:r>
              <w:rPr>
                <w:b/>
                <w:i w:val="0"/>
                <w:color w:val="FFFFFF"/>
                <w:sz w:val="16"/>
              </w:rPr>
              <w:t>Secret</w:t>
            </w:r>
          </w:p>
        </w:tc>
        <w:tc>
          <w:tcPr>
            <w:tcW w:type="dxa" w:w="2948"/>
            <w:shd w:val="clear" w:color="auto" w:fill="E1058C"/>
            <w:vAlign w:val="center"/>
          </w:tcPr>
          <w:p>
            <w:pPr>
              <w:spacing w:after="0"/>
            </w:pPr>
            <w:r>
              <w:rPr>
                <w:b/>
                <w:i w:val="0"/>
                <w:color w:val="FFFFFF"/>
                <w:sz w:val="16"/>
              </w:rPr>
              <w:t>Purpose</w:t>
            </w:r>
          </w:p>
        </w:tc>
        <w:tc>
          <w:tcPr>
            <w:tcW w:type="dxa" w:w="3969"/>
            <w:shd w:val="clear" w:color="auto" w:fill="E1058C"/>
            <w:vAlign w:val="center"/>
          </w:tcPr>
          <w:p>
            <w:pPr>
              <w:spacing w:after="0"/>
            </w:pPr>
            <w:r>
              <w:rPr>
                <w:b/>
                <w:i w:val="0"/>
                <w:color w:val="FFFFFF"/>
                <w:sz w:val="16"/>
              </w:rPr>
              <w:t>Rotation</w:t>
            </w:r>
          </w:p>
        </w:tc>
      </w:tr>
      <w:tr>
        <w:trPr>
          <w:cantSplit/>
        </w:trPr>
        <w:tc>
          <w:tcPr>
            <w:tcW w:type="dxa" w:w="2721"/>
            <w:vAlign w:val="top"/>
          </w:tcPr>
          <w:p>
            <w:pPr>
              <w:spacing w:after="20" w:line="252" w:lineRule="auto"/>
            </w:pPr>
            <w:r>
              <w:rPr>
                <w:b w:val="0"/>
                <w:i w:val="0"/>
                <w:sz w:val="16"/>
              </w:rPr>
              <w:t>SESSION_SECRET</w:t>
            </w:r>
          </w:p>
        </w:tc>
        <w:tc>
          <w:tcPr>
            <w:tcW w:type="dxa" w:w="2948"/>
            <w:vAlign w:val="top"/>
          </w:tcPr>
          <w:p>
            <w:pPr>
              <w:spacing w:after="20" w:line="252" w:lineRule="auto"/>
            </w:pPr>
            <w:r>
              <w:rPr>
                <w:b w:val="0"/>
                <w:i w:val="0"/>
                <w:sz w:val="16"/>
              </w:rPr>
              <w:t>Signs the session cookie</w:t>
            </w:r>
          </w:p>
        </w:tc>
        <w:tc>
          <w:tcPr>
            <w:tcW w:type="dxa" w:w="3969"/>
            <w:vAlign w:val="top"/>
          </w:tcPr>
          <w:p>
            <w:pPr>
              <w:spacing w:after="20" w:line="252" w:lineRule="auto"/>
            </w:pPr>
            <w:r>
              <w:rPr>
                <w:b w:val="0"/>
                <w:i w:val="0"/>
                <w:sz w:val="16"/>
              </w:rPr>
              <w:t>Rotate yearly or on staff change; all users sign in again</w:t>
            </w:r>
          </w:p>
        </w:tc>
      </w:tr>
      <w:tr>
        <w:trPr>
          <w:cantSplit/>
        </w:trPr>
        <w:tc>
          <w:tcPr>
            <w:tcW w:type="dxa" w:w="2721"/>
            <w:vAlign w:val="top"/>
            <w:shd w:val="clear" w:color="auto" w:fill="FDF0F7"/>
          </w:tcPr>
          <w:p>
            <w:pPr>
              <w:spacing w:after="20" w:line="252" w:lineRule="auto"/>
            </w:pPr>
            <w:r>
              <w:rPr>
                <w:b w:val="0"/>
                <w:i w:val="0"/>
                <w:sz w:val="16"/>
              </w:rPr>
              <w:t>FIELD_ENCRYPTION_KEY</w:t>
            </w:r>
          </w:p>
        </w:tc>
        <w:tc>
          <w:tcPr>
            <w:tcW w:type="dxa" w:w="2948"/>
            <w:vAlign w:val="top"/>
            <w:shd w:val="clear" w:color="auto" w:fill="FDF0F7"/>
          </w:tcPr>
          <w:p>
            <w:pPr>
              <w:spacing w:after="20" w:line="252" w:lineRule="auto"/>
            </w:pPr>
            <w:r>
              <w:rPr>
                <w:b w:val="0"/>
                <w:i w:val="0"/>
                <w:sz w:val="16"/>
              </w:rPr>
              <w:t>Encrypts identification numbers</w:t>
            </w:r>
          </w:p>
        </w:tc>
        <w:tc>
          <w:tcPr>
            <w:tcW w:type="dxa" w:w="3969"/>
            <w:vAlign w:val="top"/>
            <w:shd w:val="clear" w:color="auto" w:fill="FDF0F7"/>
          </w:tcPr>
          <w:p>
            <w:pPr>
              <w:spacing w:after="20" w:line="252" w:lineRule="auto"/>
            </w:pPr>
            <w:r>
              <w:rPr>
                <w:b w:val="0"/>
                <w:i w:val="0"/>
                <w:sz w:val="16"/>
              </w:rPr>
              <w:t>Version prefix v1 in each value; re-encryption tool for a v2 key delivered during implementation</w:t>
            </w:r>
          </w:p>
        </w:tc>
      </w:tr>
      <w:tr>
        <w:trPr>
          <w:cantSplit/>
        </w:trPr>
        <w:tc>
          <w:tcPr>
            <w:tcW w:type="dxa" w:w="2721"/>
            <w:vAlign w:val="top"/>
          </w:tcPr>
          <w:p>
            <w:pPr>
              <w:spacing w:after="20" w:line="252" w:lineRule="auto"/>
            </w:pPr>
            <w:r>
              <w:rPr>
                <w:b w:val="0"/>
                <w:i w:val="0"/>
                <w:sz w:val="16"/>
              </w:rPr>
              <w:t>FIELD_HASH_KEY</w:t>
            </w:r>
          </w:p>
        </w:tc>
        <w:tc>
          <w:tcPr>
            <w:tcW w:type="dxa" w:w="2948"/>
            <w:vAlign w:val="top"/>
          </w:tcPr>
          <w:p>
            <w:pPr>
              <w:spacing w:after="20" w:line="252" w:lineRule="auto"/>
            </w:pPr>
            <w:r>
              <w:rPr>
                <w:b w:val="0"/>
                <w:i w:val="0"/>
                <w:sz w:val="16"/>
              </w:rPr>
              <w:t>Blind index of identification numbers</w:t>
            </w:r>
          </w:p>
        </w:tc>
        <w:tc>
          <w:tcPr>
            <w:tcW w:type="dxa" w:w="3969"/>
            <w:vAlign w:val="top"/>
          </w:tcPr>
          <w:p>
            <w:pPr>
              <w:spacing w:after="20" w:line="252" w:lineRule="auto"/>
            </w:pPr>
            <w:r>
              <w:rPr>
                <w:b w:val="0"/>
                <w:i w:val="0"/>
                <w:sz w:val="16"/>
              </w:rPr>
              <w:t>Rotation needs every blind index recomputed; same tool</w:t>
            </w:r>
          </w:p>
        </w:tc>
      </w:tr>
      <w:tr>
        <w:trPr>
          <w:cantSplit/>
        </w:trPr>
        <w:tc>
          <w:tcPr>
            <w:tcW w:type="dxa" w:w="2721"/>
            <w:vAlign w:val="top"/>
            <w:shd w:val="clear" w:color="auto" w:fill="FDF0F7"/>
          </w:tcPr>
          <w:p>
            <w:pPr>
              <w:spacing w:after="20" w:line="252" w:lineRule="auto"/>
            </w:pPr>
            <w:r>
              <w:rPr>
                <w:b w:val="0"/>
                <w:i w:val="0"/>
                <w:sz w:val="16"/>
              </w:rPr>
              <w:t>DOCUMENT_ENCRYPTION_KEY</w:t>
            </w:r>
          </w:p>
        </w:tc>
        <w:tc>
          <w:tcPr>
            <w:tcW w:type="dxa" w:w="2948"/>
            <w:vAlign w:val="top"/>
            <w:shd w:val="clear" w:color="auto" w:fill="FDF0F7"/>
          </w:tcPr>
          <w:p>
            <w:pPr>
              <w:spacing w:after="20" w:line="252" w:lineRule="auto"/>
            </w:pPr>
            <w:r>
              <w:rPr>
                <w:b w:val="0"/>
                <w:i w:val="0"/>
                <w:sz w:val="16"/>
              </w:rPr>
              <w:t>Encrypts stored files</w:t>
            </w:r>
          </w:p>
        </w:tc>
        <w:tc>
          <w:tcPr>
            <w:tcW w:type="dxa" w:w="3969"/>
            <w:vAlign w:val="top"/>
            <w:shd w:val="clear" w:color="auto" w:fill="FDF0F7"/>
          </w:tcPr>
          <w:p>
            <w:pPr>
              <w:spacing w:after="20" w:line="252" w:lineRule="auto"/>
            </w:pPr>
            <w:r>
              <w:rPr>
                <w:b w:val="0"/>
                <w:i w:val="0"/>
                <w:sz w:val="16"/>
              </w:rPr>
              <w:t>Rotation re-encrypts the store; tool delivered during implementation</w:t>
            </w:r>
          </w:p>
        </w:tc>
      </w:tr>
      <w:tr>
        <w:trPr>
          <w:cantSplit/>
        </w:trPr>
        <w:tc>
          <w:tcPr>
            <w:tcW w:type="dxa" w:w="2721"/>
            <w:vAlign w:val="top"/>
          </w:tcPr>
          <w:p>
            <w:pPr>
              <w:spacing w:after="20" w:line="252" w:lineRule="auto"/>
            </w:pPr>
            <w:r>
              <w:rPr>
                <w:b w:val="0"/>
                <w:i w:val="0"/>
                <w:sz w:val="16"/>
              </w:rPr>
              <w:t>INBOUND_API_KEY_SHA256</w:t>
            </w:r>
          </w:p>
        </w:tc>
        <w:tc>
          <w:tcPr>
            <w:tcW w:type="dxa" w:w="2948"/>
            <w:vAlign w:val="top"/>
          </w:tcPr>
          <w:p>
            <w:pPr>
              <w:spacing w:after="20" w:line="252" w:lineRule="auto"/>
            </w:pPr>
            <w:r>
              <w:rPr>
                <w:b w:val="0"/>
                <w:i w:val="0"/>
                <w:sz w:val="16"/>
              </w:rPr>
              <w:t>Hash of the key Core and FIN present</w:t>
            </w:r>
          </w:p>
        </w:tc>
        <w:tc>
          <w:tcPr>
            <w:tcW w:type="dxa" w:w="3969"/>
            <w:vAlign w:val="top"/>
          </w:tcPr>
          <w:p>
            <w:pPr>
              <w:spacing w:after="20" w:line="252" w:lineRule="auto"/>
            </w:pPr>
            <w:r>
              <w:rPr>
                <w:b w:val="0"/>
                <w:i w:val="0"/>
                <w:sz w:val="16"/>
              </w:rPr>
              <w:t>Rotate yearly; issue new key, update hash, retire old key</w:t>
            </w:r>
          </w:p>
        </w:tc>
      </w:tr>
      <w:tr>
        <w:trPr>
          <w:cantSplit/>
        </w:trPr>
        <w:tc>
          <w:tcPr>
            <w:tcW w:type="dxa" w:w="2721"/>
            <w:vAlign w:val="top"/>
            <w:shd w:val="clear" w:color="auto" w:fill="FDF0F7"/>
          </w:tcPr>
          <w:p>
            <w:pPr>
              <w:spacing w:after="20" w:line="252" w:lineRule="auto"/>
            </w:pPr>
            <w:r>
              <w:rPr>
                <w:b w:val="0"/>
                <w:i w:val="0"/>
                <w:sz w:val="16"/>
              </w:rPr>
              <w:t>CORE/FINANCE/AML/SMS API keys</w:t>
            </w:r>
          </w:p>
        </w:tc>
        <w:tc>
          <w:tcPr>
            <w:tcW w:type="dxa" w:w="2948"/>
            <w:vAlign w:val="top"/>
            <w:shd w:val="clear" w:color="auto" w:fill="FDF0F7"/>
          </w:tcPr>
          <w:p>
            <w:pPr>
              <w:spacing w:after="20" w:line="252" w:lineRule="auto"/>
            </w:pPr>
            <w:r>
              <w:rPr>
                <w:b w:val="0"/>
                <w:i w:val="0"/>
                <w:sz w:val="16"/>
              </w:rPr>
              <w:t>Outbound authentication</w:t>
            </w:r>
          </w:p>
        </w:tc>
        <w:tc>
          <w:tcPr>
            <w:tcW w:type="dxa" w:w="3969"/>
            <w:vAlign w:val="top"/>
            <w:shd w:val="clear" w:color="auto" w:fill="FDF0F7"/>
          </w:tcPr>
          <w:p>
            <w:pPr>
              <w:spacing w:after="20" w:line="252" w:lineRule="auto"/>
            </w:pPr>
            <w:r>
              <w:rPr>
                <w:b w:val="0"/>
                <w:i w:val="0"/>
                <w:sz w:val="16"/>
              </w:rPr>
              <w:t>Per provider policy</w:t>
            </w:r>
          </w:p>
        </w:tc>
      </w:tr>
      <w:tr>
        <w:trPr>
          <w:cantSplit/>
        </w:trPr>
        <w:tc>
          <w:tcPr>
            <w:tcW w:type="dxa" w:w="2721"/>
            <w:vAlign w:val="top"/>
          </w:tcPr>
          <w:p>
            <w:pPr>
              <w:spacing w:after="20" w:line="252" w:lineRule="auto"/>
            </w:pPr>
            <w:r>
              <w:rPr>
                <w:b w:val="0"/>
                <w:i w:val="0"/>
                <w:sz w:val="16"/>
              </w:rPr>
              <w:t>SMTP_PASSWORD, LDAP_BIND_PASSWORD</w:t>
            </w:r>
          </w:p>
        </w:tc>
        <w:tc>
          <w:tcPr>
            <w:tcW w:type="dxa" w:w="2948"/>
            <w:vAlign w:val="top"/>
          </w:tcPr>
          <w:p>
            <w:pPr>
              <w:spacing w:after="20" w:line="252" w:lineRule="auto"/>
            </w:pPr>
            <w:r>
              <w:rPr>
                <w:b w:val="0"/>
                <w:i w:val="0"/>
                <w:sz w:val="16"/>
              </w:rPr>
              <w:t>Relay and directory service accounts</w:t>
            </w:r>
          </w:p>
        </w:tc>
        <w:tc>
          <w:tcPr>
            <w:tcW w:type="dxa" w:w="3969"/>
            <w:vAlign w:val="top"/>
          </w:tcPr>
          <w:p>
            <w:pPr>
              <w:spacing w:after="20" w:line="252" w:lineRule="auto"/>
            </w:pPr>
            <w:r>
              <w:rPr>
                <w:b w:val="0"/>
                <w:i w:val="0"/>
                <w:sz w:val="16"/>
              </w:rPr>
              <w:t>Per IITH policy</w:t>
            </w:r>
          </w:p>
        </w:tc>
      </w:tr>
      <w:tr>
        <w:trPr>
          <w:cantSplit/>
        </w:trPr>
        <w:tc>
          <w:tcPr>
            <w:tcW w:type="dxa" w:w="2721"/>
            <w:vAlign w:val="top"/>
            <w:shd w:val="clear" w:color="auto" w:fill="FDF0F7"/>
          </w:tcPr>
          <w:p>
            <w:pPr>
              <w:spacing w:after="20" w:line="252" w:lineRule="auto"/>
            </w:pPr>
            <w:r>
              <w:rPr>
                <w:b w:val="0"/>
                <w:i w:val="0"/>
                <w:sz w:val="16"/>
              </w:rPr>
              <w:t>Database passwords</w:t>
            </w:r>
          </w:p>
        </w:tc>
        <w:tc>
          <w:tcPr>
            <w:tcW w:type="dxa" w:w="2948"/>
            <w:vAlign w:val="top"/>
            <w:shd w:val="clear" w:color="auto" w:fill="FDF0F7"/>
          </w:tcPr>
          <w:p>
            <w:pPr>
              <w:spacing w:after="20" w:line="252" w:lineRule="auto"/>
            </w:pPr>
            <w:r>
              <w:rPr>
                <w:b w:val="0"/>
                <w:i w:val="0"/>
                <w:sz w:val="16"/>
              </w:rPr>
              <w:t>Application and migration roles</w:t>
            </w:r>
          </w:p>
        </w:tc>
        <w:tc>
          <w:tcPr>
            <w:tcW w:type="dxa" w:w="3969"/>
            <w:vAlign w:val="top"/>
            <w:shd w:val="clear" w:color="auto" w:fill="FDF0F7"/>
          </w:tcPr>
          <w:p>
            <w:pPr>
              <w:spacing w:after="20" w:line="252" w:lineRule="auto"/>
            </w:pPr>
            <w:r>
              <w:rPr>
                <w:b w:val="0"/>
                <w:i w:val="0"/>
                <w:sz w:val="16"/>
              </w:rPr>
              <w:t>Per IITH policy</w:t>
            </w:r>
          </w:p>
        </w:tc>
      </w:tr>
      <w:tr>
        <w:trPr>
          <w:cantSplit/>
        </w:trPr>
        <w:tc>
          <w:tcPr>
            <w:tcW w:type="dxa" w:w="2721"/>
            <w:vAlign w:val="top"/>
          </w:tcPr>
          <w:p>
            <w:pPr>
              <w:spacing w:after="20" w:line="252" w:lineRule="auto"/>
            </w:pPr>
            <w:r>
              <w:rPr>
                <w:b w:val="0"/>
                <w:i w:val="0"/>
                <w:sz w:val="16"/>
              </w:rPr>
              <w:t>METRICS_TOKEN</w:t>
            </w:r>
          </w:p>
        </w:tc>
        <w:tc>
          <w:tcPr>
            <w:tcW w:type="dxa" w:w="2948"/>
            <w:vAlign w:val="top"/>
          </w:tcPr>
          <w:p>
            <w:pPr>
              <w:spacing w:after="20" w:line="252" w:lineRule="auto"/>
            </w:pPr>
            <w:r>
              <w:rPr>
                <w:b w:val="0"/>
                <w:i w:val="0"/>
                <w:sz w:val="16"/>
              </w:rPr>
              <w:t>Protects /metrics</w:t>
            </w:r>
          </w:p>
        </w:tc>
        <w:tc>
          <w:tcPr>
            <w:tcW w:type="dxa" w:w="3969"/>
            <w:vAlign w:val="top"/>
          </w:tcPr>
          <w:p>
            <w:pPr>
              <w:spacing w:after="20" w:line="252" w:lineRule="auto"/>
            </w:pPr>
            <w:r>
              <w:rPr>
                <w:b w:val="0"/>
                <w:i w:val="0"/>
                <w:sz w:val="16"/>
              </w:rPr>
              <w:t>Yearly</w:t>
            </w:r>
          </w:p>
        </w:tc>
      </w:tr>
    </w:tbl>
    <w:p>
      <w:pPr>
        <w:pStyle w:val="Caption"/>
        <w:jc w:val="center"/>
      </w:pPr>
      <w:r>
        <w:rPr>
          <w:b w:val="0"/>
          <w:i w:val="0"/>
        </w:rPr>
        <w:t>Table 20: Secrets</w:t>
      </w:r>
    </w:p>
    <w:p>
      <w:pPr>
        <w:pStyle w:val="Heading2"/>
      </w:pPr>
      <w:r>
        <w:t>8.4 Security testing</w:t>
      </w:r>
    </w:p>
    <w:p>
      <w:pPr>
        <w:pStyle w:val="ListBullet"/>
      </w:pPr>
      <w:r>
        <w:rPr>
          <w:b w:val="0"/>
          <w:i w:val="0"/>
        </w:rPr>
        <w:t>End-to-end tests cover authentication, access control across audiences and data scopes, and the policy lifecycle against a real database on every CI run.</w:t>
      </w:r>
    </w:p>
    <w:p>
      <w:pPr>
        <w:pStyle w:val="ListBullet"/>
      </w:pPr>
      <w:r>
        <w:rPr>
          <w:b w:val="0"/>
          <w:i w:val="0"/>
        </w:rPr>
        <w:t>tools/security/security-checks.mjs runs repeatable OWASP Top 10 checks against a test environment before each release.</w:t>
      </w:r>
    </w:p>
    <w:p>
      <w:pPr>
        <w:pStyle w:val="ListBullet"/>
      </w:pPr>
      <w:r>
        <w:rPr>
          <w:b w:val="0"/>
          <w:i w:val="0"/>
        </w:rPr>
        <w:t>CI blocks a release on moderate or higher npm audit findings and on unfixed critical or high container image findings.</w:t>
      </w:r>
    </w:p>
    <w:p>
      <w:pPr>
        <w:pStyle w:val="ListBullet"/>
      </w:pPr>
      <w:r>
        <w:rPr>
          <w:b w:val="0"/>
          <w:i w:val="0"/>
        </w:rPr>
        <w:t>An independent VAPT is performed before go-live; no critical or high finding may remain open (NFR-13).</w:t>
      </w:r>
    </w:p>
    <w:p>
      <w:pPr>
        <w:pStyle w:val="Heading1"/>
        <w:pageBreakBefore/>
        <w:pBdr>
          <w:bottom w:val="single" w:sz="12" w:space="4" w:color="F58220"/>
        </w:pBdr>
      </w:pPr>
      <w:r>
        <w:t>9. Deployment Architecture</w:t>
      </w:r>
    </w:p>
    <w:p>
      <w:pPr>
        <w:pStyle w:val="Heading2"/>
      </w:pPr>
      <w:r>
        <w:t>9.1 Environments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1927"/>
        <w:gridCol w:w="1701"/>
        <w:gridCol w:w="1474"/>
        <w:gridCol w:w="1474"/>
        <w:gridCol w:w="1360"/>
        <w:gridCol w:w="1020"/>
      </w:tblGrid>
      <w:tr>
        <w:trPr>
          <w:cantSplit/>
          <w:tblHeader/>
        </w:trPr>
        <w:tc>
          <w:tcPr>
            <w:tcW w:type="dxa" w:w="680"/>
            <w:shd w:val="clear" w:color="auto" w:fill="E1058C"/>
            <w:vAlign w:val="center"/>
          </w:tcPr>
          <w:p>
            <w:pPr>
              <w:spacing w:after="0"/>
            </w:pPr>
            <w:r>
              <w:rPr>
                <w:b/>
                <w:i w:val="0"/>
                <w:color w:val="FFFFFF"/>
                <w:sz w:val="16"/>
              </w:rPr>
              <w:t>Env.</w:t>
            </w:r>
          </w:p>
        </w:tc>
        <w:tc>
          <w:tcPr>
            <w:tcW w:type="dxa" w:w="1928"/>
            <w:shd w:val="clear" w:color="auto" w:fill="E1058C"/>
            <w:vAlign w:val="center"/>
          </w:tcPr>
          <w:p>
            <w:pPr>
              <w:spacing w:after="0"/>
            </w:pPr>
            <w:r>
              <w:rPr>
                <w:b/>
                <w:i w:val="0"/>
                <w:color w:val="FFFFFF"/>
                <w:sz w:val="16"/>
              </w:rPr>
              <w:t>Purpose</w:t>
            </w:r>
          </w:p>
        </w:tc>
        <w:tc>
          <w:tcPr>
            <w:tcW w:type="dxa" w:w="1701"/>
            <w:shd w:val="clear" w:color="auto" w:fill="E1058C"/>
            <w:vAlign w:val="center"/>
          </w:tcPr>
          <w:p>
            <w:pPr>
              <w:spacing w:after="0"/>
            </w:pPr>
            <w:r>
              <w:rPr>
                <w:b/>
                <w:i w:val="0"/>
                <w:color w:val="FFFFFF"/>
                <w:sz w:val="16"/>
              </w:rPr>
              <w:t>Hosted by</w:t>
            </w:r>
          </w:p>
        </w:tc>
        <w:tc>
          <w:tcPr>
            <w:tcW w:type="dxa" w:w="1474"/>
            <w:shd w:val="clear" w:color="auto" w:fill="E1058C"/>
            <w:vAlign w:val="center"/>
          </w:tcPr>
          <w:p>
            <w:pPr>
              <w:spacing w:after="0"/>
            </w:pPr>
            <w:r>
              <w:rPr>
                <w:b/>
                <w:i w:val="0"/>
                <w:color w:val="FFFFFF"/>
                <w:sz w:val="16"/>
              </w:rPr>
              <w:t>Shape</w:t>
            </w:r>
          </w:p>
        </w:tc>
        <w:tc>
          <w:tcPr>
            <w:tcW w:type="dxa" w:w="1474"/>
            <w:shd w:val="clear" w:color="auto" w:fill="E1058C"/>
            <w:vAlign w:val="center"/>
          </w:tcPr>
          <w:p>
            <w:pPr>
              <w:spacing w:after="0"/>
            </w:pPr>
            <w:r>
              <w:rPr>
                <w:b/>
                <w:i w:val="0"/>
                <w:color w:val="FFFFFF"/>
                <w:sz w:val="16"/>
              </w:rPr>
              <w:t>Data</w:t>
            </w:r>
          </w:p>
        </w:tc>
        <w:tc>
          <w:tcPr>
            <w:tcW w:type="dxa" w:w="1361"/>
            <w:shd w:val="clear" w:color="auto" w:fill="E1058C"/>
            <w:vAlign w:val="center"/>
          </w:tcPr>
          <w:p>
            <w:pPr>
              <w:spacing w:after="0"/>
            </w:pPr>
            <w:r>
              <w:rPr>
                <w:b/>
                <w:i w:val="0"/>
                <w:color w:val="FFFFFF"/>
                <w:sz w:val="16"/>
              </w:rPr>
              <w:t>Integration</w:t>
            </w:r>
          </w:p>
        </w:tc>
        <w:tc>
          <w:tcPr>
            <w:tcW w:type="dxa" w:w="1020"/>
            <w:shd w:val="clear" w:color="auto" w:fill="E1058C"/>
            <w:vAlign w:val="center"/>
          </w:tcPr>
          <w:p>
            <w:pPr>
              <w:spacing w:after="0"/>
            </w:pPr>
            <w:r>
              <w:rPr>
                <w:b/>
                <w:i w:val="0"/>
                <w:color w:val="FFFFFF"/>
                <w:sz w:val="16"/>
              </w:rPr>
              <w:t>API docs</w:t>
            </w:r>
          </w:p>
        </w:tc>
      </w:tr>
      <w:tr>
        <w:trPr>
          <w:cantSplit/>
        </w:trPr>
        <w:tc>
          <w:tcPr>
            <w:tcW w:type="dxa" w:w="680"/>
            <w:vAlign w:val="top"/>
          </w:tcPr>
          <w:p>
            <w:pPr>
              <w:spacing w:after="20" w:line="252" w:lineRule="auto"/>
            </w:pPr>
            <w:r>
              <w:rPr>
                <w:b/>
                <w:i w:val="0"/>
                <w:sz w:val="16"/>
              </w:rPr>
              <w:t>DEV</w:t>
            </w:r>
          </w:p>
        </w:tc>
        <w:tc>
          <w:tcPr>
            <w:tcW w:type="dxa" w:w="1928"/>
            <w:vAlign w:val="top"/>
          </w:tcPr>
          <w:p>
            <w:pPr>
              <w:spacing w:after="20" w:line="252" w:lineRule="auto"/>
            </w:pPr>
            <w:r>
              <w:rPr>
                <w:b w:val="0"/>
                <w:i w:val="0"/>
                <w:sz w:val="16"/>
              </w:rPr>
              <w:t>Development, sprint demos</w:t>
            </w:r>
          </w:p>
        </w:tc>
        <w:tc>
          <w:tcPr>
            <w:tcW w:type="dxa" w:w="1701"/>
            <w:vAlign w:val="top"/>
          </w:tcPr>
          <w:p>
            <w:pPr>
              <w:spacing w:after="20" w:line="252" w:lineRule="auto"/>
            </w:pPr>
            <w:r>
              <w:rPr>
                <w:b w:val="0"/>
                <w:i w:val="0"/>
                <w:sz w:val="16"/>
              </w:rPr>
              <w:t>iorta</w:t>
            </w:r>
          </w:p>
        </w:tc>
        <w:tc>
          <w:tcPr>
            <w:tcW w:type="dxa" w:w="1474"/>
            <w:vAlign w:val="top"/>
          </w:tcPr>
          <w:p>
            <w:pPr>
              <w:spacing w:after="20" w:line="252" w:lineRule="auto"/>
            </w:pPr>
            <w:r>
              <w:rPr>
                <w:b w:val="0"/>
                <w:i w:val="0"/>
                <w:sz w:val="16"/>
              </w:rPr>
              <w:t>1 VM or laptop compose</w:t>
            </w:r>
          </w:p>
        </w:tc>
        <w:tc>
          <w:tcPr>
            <w:tcW w:type="dxa" w:w="1474"/>
            <w:vAlign w:val="top"/>
          </w:tcPr>
          <w:p>
            <w:pPr>
              <w:spacing w:after="20" w:line="252" w:lineRule="auto"/>
            </w:pPr>
            <w:r>
              <w:rPr>
                <w:b w:val="0"/>
                <w:i w:val="0"/>
                <w:sz w:val="16"/>
              </w:rPr>
              <w:t>Synthetic, demo seed</w:t>
            </w:r>
          </w:p>
        </w:tc>
        <w:tc>
          <w:tcPr>
            <w:tcW w:type="dxa" w:w="1361"/>
            <w:vAlign w:val="top"/>
          </w:tcPr>
          <w:p>
            <w:pPr>
              <w:spacing w:after="20" w:line="252" w:lineRule="auto"/>
            </w:pPr>
            <w:r>
              <w:rPr>
                <w:b w:val="0"/>
                <w:i w:val="0"/>
                <w:sz w:val="16"/>
              </w:rPr>
              <w:t>simulated</w:t>
            </w:r>
          </w:p>
        </w:tc>
        <w:tc>
          <w:tcPr>
            <w:tcW w:type="dxa" w:w="1020"/>
            <w:vAlign w:val="top"/>
          </w:tcPr>
          <w:p>
            <w:pPr>
              <w:spacing w:after="20" w:line="252" w:lineRule="auto"/>
            </w:pPr>
            <w:r>
              <w:rPr>
                <w:b w:val="0"/>
                <w:i w:val="0"/>
                <w:sz w:val="16"/>
              </w:rPr>
              <w:t>Enabled</w:t>
            </w:r>
          </w:p>
        </w:tc>
      </w:tr>
      <w:tr>
        <w:trPr>
          <w:cantSplit/>
        </w:trPr>
        <w:tc>
          <w:tcPr>
            <w:tcW w:type="dxa" w:w="680"/>
            <w:vAlign w:val="top"/>
            <w:shd w:val="clear" w:color="auto" w:fill="FDF0F7"/>
          </w:tcPr>
          <w:p>
            <w:pPr>
              <w:spacing w:after="20" w:line="252" w:lineRule="auto"/>
            </w:pPr>
            <w:r>
              <w:rPr>
                <w:b/>
                <w:i w:val="0"/>
                <w:sz w:val="16"/>
              </w:rPr>
              <w:t>SIT</w:t>
            </w:r>
          </w:p>
        </w:tc>
        <w:tc>
          <w:tcPr>
            <w:tcW w:type="dxa" w:w="1928"/>
            <w:vAlign w:val="top"/>
            <w:shd w:val="clear" w:color="auto" w:fill="FDF0F7"/>
          </w:tcPr>
          <w:p>
            <w:pPr>
              <w:spacing w:after="20" w:line="252" w:lineRule="auto"/>
            </w:pPr>
            <w:r>
              <w:rPr>
                <w:b w:val="0"/>
                <w:i w:val="0"/>
                <w:sz w:val="16"/>
              </w:rPr>
              <w:t>Integration and performance testing</w:t>
            </w:r>
          </w:p>
        </w:tc>
        <w:tc>
          <w:tcPr>
            <w:tcW w:type="dxa" w:w="1701"/>
            <w:vAlign w:val="top"/>
            <w:shd w:val="clear" w:color="auto" w:fill="FDF0F7"/>
          </w:tcPr>
          <w:p>
            <w:pPr>
              <w:spacing w:after="20" w:line="252" w:lineRule="auto"/>
            </w:pPr>
            <w:r>
              <w:rPr>
                <w:b w:val="0"/>
                <w:i w:val="0"/>
                <w:sz w:val="16"/>
              </w:rPr>
              <w:t>IIFT (iorta until ready)</w:t>
            </w:r>
          </w:p>
        </w:tc>
        <w:tc>
          <w:tcPr>
            <w:tcW w:type="dxa" w:w="1474"/>
            <w:vAlign w:val="top"/>
            <w:shd w:val="clear" w:color="auto" w:fill="FDF0F7"/>
          </w:tcPr>
          <w:p>
            <w:pPr>
              <w:spacing w:after="20" w:line="252" w:lineRule="auto"/>
            </w:pPr>
            <w:r>
              <w:rPr>
                <w:b w:val="0"/>
                <w:i w:val="0"/>
                <w:sz w:val="16"/>
              </w:rPr>
              <w:t>1 VM, compose</w:t>
            </w:r>
          </w:p>
        </w:tc>
        <w:tc>
          <w:tcPr>
            <w:tcW w:type="dxa" w:w="1474"/>
            <w:vAlign w:val="top"/>
            <w:shd w:val="clear" w:color="auto" w:fill="FDF0F7"/>
          </w:tcPr>
          <w:p>
            <w:pPr>
              <w:spacing w:after="20" w:line="252" w:lineRule="auto"/>
            </w:pPr>
            <w:r>
              <w:rPr>
                <w:b w:val="0"/>
                <w:i w:val="0"/>
                <w:sz w:val="16"/>
              </w:rPr>
              <w:t>Synthetic and masked</w:t>
            </w:r>
          </w:p>
        </w:tc>
        <w:tc>
          <w:tcPr>
            <w:tcW w:type="dxa" w:w="1361"/>
            <w:vAlign w:val="top"/>
            <w:shd w:val="clear" w:color="auto" w:fill="FDF0F7"/>
          </w:tcPr>
          <w:p>
            <w:pPr>
              <w:spacing w:after="20" w:line="252" w:lineRule="auto"/>
            </w:pPr>
            <w:r>
              <w:rPr>
                <w:b w:val="0"/>
                <w:i w:val="0"/>
                <w:sz w:val="16"/>
              </w:rPr>
              <w:t>live (test endpoints)</w:t>
            </w:r>
          </w:p>
        </w:tc>
        <w:tc>
          <w:tcPr>
            <w:tcW w:type="dxa" w:w="1020"/>
            <w:vAlign w:val="top"/>
            <w:shd w:val="clear" w:color="auto" w:fill="FDF0F7"/>
          </w:tcPr>
          <w:p>
            <w:pPr>
              <w:spacing w:after="20" w:line="252" w:lineRule="auto"/>
            </w:pPr>
            <w:r>
              <w:rPr>
                <w:b w:val="0"/>
                <w:i w:val="0"/>
                <w:sz w:val="16"/>
              </w:rPr>
              <w:t>Enabled</w:t>
            </w:r>
          </w:p>
        </w:tc>
      </w:tr>
      <w:tr>
        <w:trPr>
          <w:cantSplit/>
        </w:trPr>
        <w:tc>
          <w:tcPr>
            <w:tcW w:type="dxa" w:w="680"/>
            <w:vAlign w:val="top"/>
          </w:tcPr>
          <w:p>
            <w:pPr>
              <w:spacing w:after="20" w:line="252" w:lineRule="auto"/>
            </w:pPr>
            <w:r>
              <w:rPr>
                <w:b/>
                <w:i w:val="0"/>
                <w:sz w:val="16"/>
              </w:rPr>
              <w:t>UAT</w:t>
            </w:r>
          </w:p>
        </w:tc>
        <w:tc>
          <w:tcPr>
            <w:tcW w:type="dxa" w:w="1928"/>
            <w:vAlign w:val="top"/>
          </w:tcPr>
          <w:p>
            <w:pPr>
              <w:spacing w:after="20" w:line="252" w:lineRule="auto"/>
            </w:pPr>
            <w:r>
              <w:rPr>
                <w:b w:val="0"/>
                <w:i w:val="0"/>
                <w:sz w:val="16"/>
              </w:rPr>
              <w:t>Acceptance, training, release rehearsal</w:t>
            </w:r>
          </w:p>
        </w:tc>
        <w:tc>
          <w:tcPr>
            <w:tcW w:type="dxa" w:w="1701"/>
            <w:vAlign w:val="top"/>
          </w:tcPr>
          <w:p>
            <w:pPr>
              <w:spacing w:after="20" w:line="252" w:lineRule="auto"/>
            </w:pPr>
            <w:r>
              <w:rPr>
                <w:b w:val="0"/>
                <w:i w:val="0"/>
                <w:sz w:val="16"/>
              </w:rPr>
              <w:t>IIFT data centre</w:t>
            </w:r>
          </w:p>
        </w:tc>
        <w:tc>
          <w:tcPr>
            <w:tcW w:type="dxa" w:w="1474"/>
            <w:vAlign w:val="top"/>
          </w:tcPr>
          <w:p>
            <w:pPr>
              <w:spacing w:after="20" w:line="252" w:lineRule="auto"/>
            </w:pPr>
            <w:r>
              <w:rPr>
                <w:b w:val="0"/>
                <w:i w:val="0"/>
                <w:sz w:val="16"/>
              </w:rPr>
              <w:t>1 VM, compose</w:t>
            </w:r>
          </w:p>
        </w:tc>
        <w:tc>
          <w:tcPr>
            <w:tcW w:type="dxa" w:w="1474"/>
            <w:vAlign w:val="top"/>
          </w:tcPr>
          <w:p>
            <w:pPr>
              <w:spacing w:after="20" w:line="252" w:lineRule="auto"/>
            </w:pPr>
            <w:r>
              <w:rPr>
                <w:b w:val="0"/>
                <w:i w:val="0"/>
                <w:sz w:val="16"/>
              </w:rPr>
              <w:t>Masked or migrated</w:t>
            </w:r>
          </w:p>
        </w:tc>
        <w:tc>
          <w:tcPr>
            <w:tcW w:type="dxa" w:w="1361"/>
            <w:vAlign w:val="top"/>
          </w:tcPr>
          <w:p>
            <w:pPr>
              <w:spacing w:after="20" w:line="252" w:lineRule="auto"/>
            </w:pPr>
            <w:r>
              <w:rPr>
                <w:b w:val="0"/>
                <w:i w:val="0"/>
                <w:sz w:val="16"/>
              </w:rPr>
              <w:t>live (test endpoints)</w:t>
            </w:r>
          </w:p>
        </w:tc>
        <w:tc>
          <w:tcPr>
            <w:tcW w:type="dxa" w:w="1020"/>
            <w:vAlign w:val="top"/>
          </w:tcPr>
          <w:p>
            <w:pPr>
              <w:spacing w:after="20" w:line="252" w:lineRule="auto"/>
            </w:pPr>
            <w:r>
              <w:rPr>
                <w:b w:val="0"/>
                <w:i w:val="0"/>
                <w:sz w:val="16"/>
              </w:rPr>
              <w:t>Disabled</w:t>
            </w:r>
          </w:p>
        </w:tc>
      </w:tr>
      <w:tr>
        <w:trPr>
          <w:cantSplit/>
        </w:trPr>
        <w:tc>
          <w:tcPr>
            <w:tcW w:type="dxa" w:w="680"/>
            <w:vAlign w:val="top"/>
            <w:shd w:val="clear" w:color="auto" w:fill="FDF0F7"/>
          </w:tcPr>
          <w:p>
            <w:pPr>
              <w:spacing w:after="20" w:line="252" w:lineRule="auto"/>
            </w:pPr>
            <w:r>
              <w:rPr>
                <w:b/>
                <w:i w:val="0"/>
                <w:sz w:val="16"/>
              </w:rPr>
              <w:t>PROD</w:t>
            </w:r>
          </w:p>
        </w:tc>
        <w:tc>
          <w:tcPr>
            <w:tcW w:type="dxa" w:w="1928"/>
            <w:vAlign w:val="top"/>
            <w:shd w:val="clear" w:color="auto" w:fill="FDF0F7"/>
          </w:tcPr>
          <w:p>
            <w:pPr>
              <w:spacing w:after="20" w:line="252" w:lineRule="auto"/>
            </w:pPr>
            <w:r>
              <w:rPr>
                <w:b w:val="0"/>
                <w:i w:val="0"/>
                <w:sz w:val="16"/>
              </w:rPr>
              <w:t>Live operation</w:t>
            </w:r>
          </w:p>
        </w:tc>
        <w:tc>
          <w:tcPr>
            <w:tcW w:type="dxa" w:w="1701"/>
            <w:vAlign w:val="top"/>
            <w:shd w:val="clear" w:color="auto" w:fill="FDF0F7"/>
          </w:tcPr>
          <w:p>
            <w:pPr>
              <w:spacing w:after="20" w:line="252" w:lineRule="auto"/>
            </w:pPr>
            <w:r>
              <w:rPr>
                <w:b w:val="0"/>
                <w:i w:val="0"/>
                <w:sz w:val="16"/>
              </w:rPr>
              <w:t>IIFT/IITH data centre</w:t>
            </w:r>
          </w:p>
        </w:tc>
        <w:tc>
          <w:tcPr>
            <w:tcW w:type="dxa" w:w="1474"/>
            <w:vAlign w:val="top"/>
            <w:shd w:val="clear" w:color="auto" w:fill="FDF0F7"/>
          </w:tcPr>
          <w:p>
            <w:pPr>
              <w:spacing w:after="20" w:line="252" w:lineRule="auto"/>
            </w:pPr>
            <w:r>
              <w:rPr>
                <w:b w:val="0"/>
                <w:i w:val="0"/>
                <w:sz w:val="16"/>
              </w:rPr>
              <w:t>2 app + 2 DB VMs</w:t>
            </w:r>
          </w:p>
        </w:tc>
        <w:tc>
          <w:tcPr>
            <w:tcW w:type="dxa" w:w="1474"/>
            <w:vAlign w:val="top"/>
            <w:shd w:val="clear" w:color="auto" w:fill="FDF0F7"/>
          </w:tcPr>
          <w:p>
            <w:pPr>
              <w:spacing w:after="20" w:line="252" w:lineRule="auto"/>
            </w:pPr>
            <w:r>
              <w:rPr>
                <w:b w:val="0"/>
                <w:i w:val="0"/>
                <w:sz w:val="16"/>
              </w:rPr>
              <w:t>Production</w:t>
            </w:r>
          </w:p>
        </w:tc>
        <w:tc>
          <w:tcPr>
            <w:tcW w:type="dxa" w:w="1361"/>
            <w:vAlign w:val="top"/>
            <w:shd w:val="clear" w:color="auto" w:fill="FDF0F7"/>
          </w:tcPr>
          <w:p>
            <w:pPr>
              <w:spacing w:after="20" w:line="252" w:lineRule="auto"/>
            </w:pPr>
            <w:r>
              <w:rPr>
                <w:b w:val="0"/>
                <w:i w:val="0"/>
                <w:sz w:val="16"/>
              </w:rPr>
              <w:t>live</w:t>
            </w:r>
          </w:p>
        </w:tc>
        <w:tc>
          <w:tcPr>
            <w:tcW w:type="dxa" w:w="1020"/>
            <w:vAlign w:val="top"/>
            <w:shd w:val="clear" w:color="auto" w:fill="FDF0F7"/>
          </w:tcPr>
          <w:p>
            <w:pPr>
              <w:spacing w:after="20" w:line="252" w:lineRule="auto"/>
            </w:pPr>
            <w:r>
              <w:rPr>
                <w:b w:val="0"/>
                <w:i w:val="0"/>
                <w:sz w:val="16"/>
              </w:rPr>
              <w:t>Disabled</w:t>
            </w:r>
          </w:p>
        </w:tc>
      </w:tr>
      <w:tr>
        <w:trPr>
          <w:cantSplit/>
        </w:trPr>
        <w:tc>
          <w:tcPr>
            <w:tcW w:type="dxa" w:w="680"/>
            <w:vAlign w:val="top"/>
          </w:tcPr>
          <w:p>
            <w:pPr>
              <w:spacing w:after="20" w:line="252" w:lineRule="auto"/>
            </w:pPr>
            <w:r>
              <w:rPr>
                <w:b/>
                <w:i w:val="0"/>
                <w:sz w:val="16"/>
              </w:rPr>
              <w:t>DR</w:t>
            </w:r>
          </w:p>
        </w:tc>
        <w:tc>
          <w:tcPr>
            <w:tcW w:type="dxa" w:w="1928"/>
            <w:vAlign w:val="top"/>
          </w:tcPr>
          <w:p>
            <w:pPr>
              <w:spacing w:after="20" w:line="252" w:lineRule="auto"/>
            </w:pPr>
            <w:r>
              <w:rPr>
                <w:b w:val="0"/>
                <w:i w:val="0"/>
                <w:sz w:val="16"/>
              </w:rPr>
              <w:t>Disaster recovery</w:t>
            </w:r>
          </w:p>
        </w:tc>
        <w:tc>
          <w:tcPr>
            <w:tcW w:type="dxa" w:w="1701"/>
            <w:vAlign w:val="top"/>
          </w:tcPr>
          <w:p>
            <w:pPr>
              <w:spacing w:after="20" w:line="252" w:lineRule="auto"/>
            </w:pPr>
            <w:r>
              <w:rPr>
                <w:b w:val="0"/>
                <w:i w:val="0"/>
                <w:sz w:val="16"/>
              </w:rPr>
              <w:t>IIFT/IITH DR site</w:t>
            </w:r>
          </w:p>
        </w:tc>
        <w:tc>
          <w:tcPr>
            <w:tcW w:type="dxa" w:w="1474"/>
            <w:vAlign w:val="top"/>
          </w:tcPr>
          <w:p>
            <w:pPr>
              <w:spacing w:after="20" w:line="252" w:lineRule="auto"/>
            </w:pPr>
            <w:r>
              <w:rPr>
                <w:b w:val="0"/>
                <w:i w:val="0"/>
                <w:sz w:val="16"/>
              </w:rPr>
              <w:t>1 app + 1 DB VM</w:t>
            </w:r>
          </w:p>
        </w:tc>
        <w:tc>
          <w:tcPr>
            <w:tcW w:type="dxa" w:w="1474"/>
            <w:vAlign w:val="top"/>
          </w:tcPr>
          <w:p>
            <w:pPr>
              <w:spacing w:after="20" w:line="252" w:lineRule="auto"/>
            </w:pPr>
            <w:r>
              <w:rPr>
                <w:b w:val="0"/>
                <w:i w:val="0"/>
                <w:sz w:val="16"/>
              </w:rPr>
              <w:t>Replica of PROD</w:t>
            </w:r>
          </w:p>
        </w:tc>
        <w:tc>
          <w:tcPr>
            <w:tcW w:type="dxa" w:w="1361"/>
            <w:vAlign w:val="top"/>
          </w:tcPr>
          <w:p>
            <w:pPr>
              <w:spacing w:after="20" w:line="252" w:lineRule="auto"/>
            </w:pPr>
            <w:r>
              <w:rPr>
                <w:b w:val="0"/>
                <w:i w:val="0"/>
                <w:sz w:val="16"/>
              </w:rPr>
              <w:t>live (on invocation)</w:t>
            </w:r>
          </w:p>
        </w:tc>
        <w:tc>
          <w:tcPr>
            <w:tcW w:type="dxa" w:w="1020"/>
            <w:vAlign w:val="top"/>
          </w:tcPr>
          <w:p>
            <w:pPr>
              <w:spacing w:after="20" w:line="252" w:lineRule="auto"/>
            </w:pPr>
            <w:r>
              <w:rPr>
                <w:b w:val="0"/>
                <w:i w:val="0"/>
                <w:sz w:val="16"/>
              </w:rPr>
              <w:t>Disabled</w:t>
            </w:r>
          </w:p>
        </w:tc>
      </w:tr>
    </w:tbl>
    <w:p>
      <w:pPr>
        <w:pStyle w:val="Caption"/>
        <w:jc w:val="center"/>
      </w:pPr>
      <w:r>
        <w:rPr>
          <w:b w:val="0"/>
          <w:i w:val="0"/>
        </w:rPr>
        <w:t>Table 21: Environments</w:t>
      </w:r>
    </w:p>
    <w:p>
      <w:pPr>
        <w:keepNext w:val="0"/>
      </w:pPr>
      <w:r>
        <w:rPr>
          <w:b w:val="0"/>
          <w:i w:val="0"/>
        </w:rPr>
        <w:t>Every environment runs the same images; only configuration differs. Promotion is DEV to SIT to UAT to PROD, and nothing reaches PROD that has not passed UAT.</w:t>
      </w:r>
    </w:p>
    <w:p>
      <w:pPr>
        <w:pStyle w:val="Heading2"/>
      </w:pPr>
      <w:r>
        <w:t>9.2 Option A: on-premise high availability (recommended)</w:t>
      </w:r>
    </w:p>
    <w:p>
      <w:pPr>
        <w:keepNext w:val="0"/>
      </w:pPr>
      <w:r>
        <w:rPr>
          <w:b w:val="0"/>
          <w:i w:val="0"/>
        </w:rPr>
        <w:t>Two application VMs sit behind an external WAF and load balancer pair for internet users and an internal load balancer for staff and IITH systems. Each application VM runs the web, API and ClamAV containers. PostgreSQL runs natively on a primary VM with a hot standby fed by streaming replication. Documents are on an NFS share mounted by both application VMs. Losing one application VM leaves the service running; losing the database primary is handled by promoting the standby.</w:t>
      </w:r>
    </w:p>
    <w:p>
      <w:pPr>
        <w:keepNext/>
        <w:spacing w:after="0"/>
        <w:jc w:val="center"/>
      </w:pPr>
      <w:r>
        <w:drawing>
          <wp:inline xmlns:a="http://schemas.openxmlformats.org/drawingml/2006/main" xmlns:pic="http://schemas.openxmlformats.org/drawingml/2006/picture">
            <wp:extent cx="5760000" cy="5842285"/>
            <wp:docPr id="11" name="Picture 11"/>
            <wp:cNvGraphicFramePr>
              <a:graphicFrameLocks noChangeAspect="1"/>
            </wp:cNvGraphicFramePr>
            <a:graphic>
              <a:graphicData uri="http://schemas.openxmlformats.org/drawingml/2006/picture">
                <pic:pic>
                  <pic:nvPicPr>
                    <pic:cNvPr id="0" name="tech-on-prem.png"/>
                    <pic:cNvPicPr/>
                  </pic:nvPicPr>
                  <pic:blipFill>
                    <a:blip r:embed="rId21"/>
                    <a:stretch>
                      <a:fillRect/>
                    </a:stretch>
                  </pic:blipFill>
                  <pic:spPr>
                    <a:xfrm>
                      <a:off x="0" y="0"/>
                      <a:ext cx="5760000" cy="5842285"/>
                    </a:xfrm>
                    <a:prstGeom prst="rect"/>
                  </pic:spPr>
                </pic:pic>
              </a:graphicData>
            </a:graphic>
          </wp:inline>
        </w:drawing>
      </w:r>
    </w:p>
    <w:p>
      <w:pPr>
        <w:pStyle w:val="Caption"/>
        <w:jc w:val="center"/>
      </w:pPr>
      <w:r>
        <w:rPr>
          <w:b w:val="0"/>
          <w:i w:val="0"/>
        </w:rPr>
        <w:t>Figure 9: Option A: on-premise deployment</w:t>
      </w:r>
    </w:p>
    <w:p>
      <w:pPr>
        <w:pStyle w:val="Heading2"/>
      </w:pPr>
      <w:r>
        <w:t>9.3 Option B: cloud</w:t>
      </w:r>
    </w:p>
    <w:p>
      <w:pPr>
        <w:keepNext w:val="0"/>
      </w:pPr>
      <w:r>
        <w:rPr>
          <w:b w:val="0"/>
          <w:i w:val="0"/>
        </w:rPr>
        <w:t>The same images run on AWS Asia Pacific (Singapore) or Azure Southeast Asia, subject to IIFT's data-residency decision and AMBD outsourcing and cloud notification.</w:t>
      </w:r>
    </w:p>
    <w:p>
      <w:pPr>
        <w:keepNext/>
        <w:spacing w:after="0"/>
        <w:jc w:val="center"/>
      </w:pPr>
      <w:r>
        <w:drawing>
          <wp:inline xmlns:a="http://schemas.openxmlformats.org/drawingml/2006/main" xmlns:pic="http://schemas.openxmlformats.org/drawingml/2006/picture">
            <wp:extent cx="5760000" cy="5348571"/>
            <wp:docPr id="12" name="Picture 12"/>
            <wp:cNvGraphicFramePr>
              <a:graphicFrameLocks noChangeAspect="1"/>
            </wp:cNvGraphicFramePr>
            <a:graphic>
              <a:graphicData uri="http://schemas.openxmlformats.org/drawingml/2006/picture">
                <pic:pic>
                  <pic:nvPicPr>
                    <pic:cNvPr id="0" name="tech-cloud.png"/>
                    <pic:cNvPicPr/>
                  </pic:nvPicPr>
                  <pic:blipFill>
                    <a:blip r:embed="rId22"/>
                    <a:stretch>
                      <a:fillRect/>
                    </a:stretch>
                  </pic:blipFill>
                  <pic:spPr>
                    <a:xfrm>
                      <a:off x="0" y="0"/>
                      <a:ext cx="5760000" cy="5348571"/>
                    </a:xfrm>
                    <a:prstGeom prst="rect"/>
                  </pic:spPr>
                </pic:pic>
              </a:graphicData>
            </a:graphic>
          </wp:inline>
        </w:drawing>
      </w:r>
    </w:p>
    <w:p>
      <w:pPr>
        <w:pStyle w:val="Caption"/>
        <w:jc w:val="center"/>
      </w:pPr>
      <w:r>
        <w:rPr>
          <w:b w:val="0"/>
          <w:i w:val="0"/>
        </w:rPr>
        <w:t>Figure 10: Option B: AWS reference deployment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3969"/>
        <w:gridCol w:w="3969"/>
      </w:tblGrid>
      <w:tr>
        <w:trPr>
          <w:cantSplit/>
          <w:tblHeader/>
        </w:trPr>
        <w:tc>
          <w:tcPr>
            <w:tcW w:type="dxa" w:w="1701"/>
            <w:shd w:val="clear" w:color="auto" w:fill="E1058C"/>
            <w:vAlign w:val="center"/>
          </w:tcPr>
          <w:p>
            <w:pPr>
              <w:spacing w:after="0"/>
            </w:pPr>
            <w:r>
              <w:rPr>
                <w:b/>
                <w:i w:val="0"/>
                <w:color w:val="FFFFFF"/>
                <w:sz w:val="16"/>
              </w:rPr>
              <w:t>Component</w:t>
            </w:r>
          </w:p>
        </w:tc>
        <w:tc>
          <w:tcPr>
            <w:tcW w:type="dxa" w:w="3969"/>
            <w:shd w:val="clear" w:color="auto" w:fill="E1058C"/>
            <w:vAlign w:val="center"/>
          </w:tcPr>
          <w:p>
            <w:pPr>
              <w:spacing w:after="0"/>
            </w:pPr>
            <w:r>
              <w:rPr>
                <w:b/>
                <w:i w:val="0"/>
                <w:color w:val="FFFFFF"/>
                <w:sz w:val="16"/>
              </w:rPr>
              <w:t>AWS (Singapore)</w:t>
            </w:r>
          </w:p>
        </w:tc>
        <w:tc>
          <w:tcPr>
            <w:tcW w:type="dxa" w:w="3969"/>
            <w:shd w:val="clear" w:color="auto" w:fill="E1058C"/>
            <w:vAlign w:val="center"/>
          </w:tcPr>
          <w:p>
            <w:pPr>
              <w:spacing w:after="0"/>
            </w:pPr>
            <w:r>
              <w:rPr>
                <w:b/>
                <w:i w:val="0"/>
                <w:color w:val="FFFFFF"/>
                <w:sz w:val="16"/>
              </w:rPr>
              <w:t>Azure (Southeast Asia)</w:t>
            </w:r>
          </w:p>
        </w:tc>
      </w:tr>
      <w:tr>
        <w:trPr>
          <w:cantSplit/>
        </w:trPr>
        <w:tc>
          <w:tcPr>
            <w:tcW w:type="dxa" w:w="1701"/>
            <w:vAlign w:val="top"/>
          </w:tcPr>
          <w:p>
            <w:pPr>
              <w:spacing w:after="20" w:line="252" w:lineRule="auto"/>
            </w:pPr>
            <w:r>
              <w:rPr>
                <w:b/>
                <w:i w:val="0"/>
                <w:sz w:val="16"/>
              </w:rPr>
              <w:t>Edge</w:t>
            </w:r>
          </w:p>
        </w:tc>
        <w:tc>
          <w:tcPr>
            <w:tcW w:type="dxa" w:w="3969"/>
            <w:vAlign w:val="top"/>
          </w:tcPr>
          <w:p>
            <w:pPr>
              <w:spacing w:after="20" w:line="252" w:lineRule="auto"/>
            </w:pPr>
            <w:r>
              <w:rPr>
                <w:b w:val="0"/>
                <w:i w:val="0"/>
                <w:sz w:val="16"/>
              </w:rPr>
              <w:t>Application Load Balancer, AWS WAF, ACM certificate</w:t>
            </w:r>
          </w:p>
        </w:tc>
        <w:tc>
          <w:tcPr>
            <w:tcW w:type="dxa" w:w="3969"/>
            <w:vAlign w:val="top"/>
          </w:tcPr>
          <w:p>
            <w:pPr>
              <w:spacing w:after="20" w:line="252" w:lineRule="auto"/>
            </w:pPr>
            <w:r>
              <w:rPr>
                <w:b w:val="0"/>
                <w:i w:val="0"/>
                <w:sz w:val="16"/>
              </w:rPr>
              <w:t>Application Gateway with WAF</w:t>
            </w:r>
          </w:p>
        </w:tc>
      </w:tr>
      <w:tr>
        <w:trPr>
          <w:cantSplit/>
        </w:trPr>
        <w:tc>
          <w:tcPr>
            <w:tcW w:type="dxa" w:w="1701"/>
            <w:vAlign w:val="top"/>
            <w:shd w:val="clear" w:color="auto" w:fill="FDF0F7"/>
          </w:tcPr>
          <w:p>
            <w:pPr>
              <w:spacing w:after="20" w:line="252" w:lineRule="auto"/>
            </w:pPr>
            <w:r>
              <w:rPr>
                <w:b/>
                <w:i w:val="0"/>
                <w:sz w:val="16"/>
              </w:rPr>
              <w:t>Containers</w:t>
            </w:r>
          </w:p>
        </w:tc>
        <w:tc>
          <w:tcPr>
            <w:tcW w:type="dxa" w:w="3969"/>
            <w:vAlign w:val="top"/>
            <w:shd w:val="clear" w:color="auto" w:fill="FDF0F7"/>
          </w:tcPr>
          <w:p>
            <w:pPr>
              <w:spacing w:after="20" w:line="252" w:lineRule="auto"/>
            </w:pPr>
            <w:r>
              <w:rPr>
                <w:b w:val="0"/>
                <w:i w:val="0"/>
                <w:sz w:val="16"/>
              </w:rPr>
              <w:t>ECS Fargate, 2 tasks in 2 AZs</w:t>
            </w:r>
          </w:p>
        </w:tc>
        <w:tc>
          <w:tcPr>
            <w:tcW w:type="dxa" w:w="3969"/>
            <w:vAlign w:val="top"/>
            <w:shd w:val="clear" w:color="auto" w:fill="FDF0F7"/>
          </w:tcPr>
          <w:p>
            <w:pPr>
              <w:spacing w:after="20" w:line="252" w:lineRule="auto"/>
            </w:pPr>
            <w:r>
              <w:rPr>
                <w:b w:val="0"/>
                <w:i w:val="0"/>
                <w:sz w:val="16"/>
              </w:rPr>
              <w:t>Azure Container Apps or AKS, 2 replicas in 2 zones</w:t>
            </w:r>
          </w:p>
        </w:tc>
      </w:tr>
      <w:tr>
        <w:trPr>
          <w:cantSplit/>
        </w:trPr>
        <w:tc>
          <w:tcPr>
            <w:tcW w:type="dxa" w:w="1701"/>
            <w:vAlign w:val="top"/>
          </w:tcPr>
          <w:p>
            <w:pPr>
              <w:spacing w:after="20" w:line="252" w:lineRule="auto"/>
            </w:pPr>
            <w:r>
              <w:rPr>
                <w:b/>
                <w:i w:val="0"/>
                <w:sz w:val="16"/>
              </w:rPr>
              <w:t>Database</w:t>
            </w:r>
          </w:p>
        </w:tc>
        <w:tc>
          <w:tcPr>
            <w:tcW w:type="dxa" w:w="3969"/>
            <w:vAlign w:val="top"/>
          </w:tcPr>
          <w:p>
            <w:pPr>
              <w:spacing w:after="20" w:line="252" w:lineRule="auto"/>
            </w:pPr>
            <w:r>
              <w:rPr>
                <w:b w:val="0"/>
                <w:i w:val="0"/>
                <w:sz w:val="16"/>
              </w:rPr>
              <w:t>RDS for PostgreSQL 16, Multi-AZ</w:t>
            </w:r>
          </w:p>
        </w:tc>
        <w:tc>
          <w:tcPr>
            <w:tcW w:type="dxa" w:w="3969"/>
            <w:vAlign w:val="top"/>
          </w:tcPr>
          <w:p>
            <w:pPr>
              <w:spacing w:after="20" w:line="252" w:lineRule="auto"/>
            </w:pPr>
            <w:r>
              <w:rPr>
                <w:b w:val="0"/>
                <w:i w:val="0"/>
                <w:sz w:val="16"/>
              </w:rPr>
              <w:t>Azure Database for PostgreSQL flexible server, zone-redundant HA</w:t>
            </w:r>
          </w:p>
        </w:tc>
      </w:tr>
      <w:tr>
        <w:trPr>
          <w:cantSplit/>
        </w:trPr>
        <w:tc>
          <w:tcPr>
            <w:tcW w:type="dxa" w:w="1701"/>
            <w:vAlign w:val="top"/>
            <w:shd w:val="clear" w:color="auto" w:fill="FDF0F7"/>
          </w:tcPr>
          <w:p>
            <w:pPr>
              <w:spacing w:after="20" w:line="252" w:lineRule="auto"/>
            </w:pPr>
            <w:r>
              <w:rPr>
                <w:b/>
                <w:i w:val="0"/>
                <w:sz w:val="16"/>
              </w:rPr>
              <w:t>Documents</w:t>
            </w:r>
          </w:p>
        </w:tc>
        <w:tc>
          <w:tcPr>
            <w:tcW w:type="dxa" w:w="3969"/>
            <w:vAlign w:val="top"/>
            <w:shd w:val="clear" w:color="auto" w:fill="FDF0F7"/>
          </w:tcPr>
          <w:p>
            <w:pPr>
              <w:spacing w:after="20" w:line="252" w:lineRule="auto"/>
            </w:pPr>
            <w:r>
              <w:rPr>
                <w:b w:val="0"/>
                <w:i w:val="0"/>
                <w:sz w:val="16"/>
              </w:rPr>
              <w:t>Amazon EFS, encrypted, mounted at /data/documents</w:t>
            </w:r>
          </w:p>
        </w:tc>
        <w:tc>
          <w:tcPr>
            <w:tcW w:type="dxa" w:w="3969"/>
            <w:vAlign w:val="top"/>
            <w:shd w:val="clear" w:color="auto" w:fill="FDF0F7"/>
          </w:tcPr>
          <w:p>
            <w:pPr>
              <w:spacing w:after="20" w:line="252" w:lineRule="auto"/>
            </w:pPr>
            <w:r>
              <w:rPr>
                <w:b w:val="0"/>
                <w:i w:val="0"/>
                <w:sz w:val="16"/>
              </w:rPr>
              <w:t>Azure Files, encrypted</w:t>
            </w:r>
          </w:p>
        </w:tc>
      </w:tr>
      <w:tr>
        <w:trPr>
          <w:cantSplit/>
        </w:trPr>
        <w:tc>
          <w:tcPr>
            <w:tcW w:type="dxa" w:w="1701"/>
            <w:vAlign w:val="top"/>
          </w:tcPr>
          <w:p>
            <w:pPr>
              <w:spacing w:after="20" w:line="252" w:lineRule="auto"/>
            </w:pPr>
            <w:r>
              <w:rPr>
                <w:b/>
                <w:i w:val="0"/>
                <w:sz w:val="16"/>
              </w:rPr>
              <w:t>Backups and exports</w:t>
            </w:r>
          </w:p>
        </w:tc>
        <w:tc>
          <w:tcPr>
            <w:tcW w:type="dxa" w:w="3969"/>
            <w:vAlign w:val="top"/>
          </w:tcPr>
          <w:p>
            <w:pPr>
              <w:spacing w:after="20" w:line="252" w:lineRule="auto"/>
            </w:pPr>
            <w:r>
              <w:rPr>
                <w:b w:val="0"/>
                <w:i w:val="0"/>
                <w:sz w:val="16"/>
              </w:rPr>
              <w:t>S3 with SSE-KMS, cross-region copy</w:t>
            </w:r>
          </w:p>
        </w:tc>
        <w:tc>
          <w:tcPr>
            <w:tcW w:type="dxa" w:w="3969"/>
            <w:vAlign w:val="top"/>
          </w:tcPr>
          <w:p>
            <w:pPr>
              <w:spacing w:after="20" w:line="252" w:lineRule="auto"/>
            </w:pPr>
            <w:r>
              <w:rPr>
                <w:b w:val="0"/>
                <w:i w:val="0"/>
                <w:sz w:val="16"/>
              </w:rPr>
              <w:t>Blob Storage, geo-redundant</w:t>
            </w:r>
          </w:p>
        </w:tc>
      </w:tr>
      <w:tr>
        <w:trPr>
          <w:cantSplit/>
        </w:trPr>
        <w:tc>
          <w:tcPr>
            <w:tcW w:type="dxa" w:w="1701"/>
            <w:vAlign w:val="top"/>
            <w:shd w:val="clear" w:color="auto" w:fill="FDF0F7"/>
          </w:tcPr>
          <w:p>
            <w:pPr>
              <w:spacing w:after="20" w:line="252" w:lineRule="auto"/>
            </w:pPr>
            <w:r>
              <w:rPr>
                <w:b/>
                <w:i w:val="0"/>
                <w:sz w:val="16"/>
              </w:rPr>
              <w:t>Secrets</w:t>
            </w:r>
          </w:p>
        </w:tc>
        <w:tc>
          <w:tcPr>
            <w:tcW w:type="dxa" w:w="3969"/>
            <w:vAlign w:val="top"/>
            <w:shd w:val="clear" w:color="auto" w:fill="FDF0F7"/>
          </w:tcPr>
          <w:p>
            <w:pPr>
              <w:spacing w:after="20" w:line="252" w:lineRule="auto"/>
            </w:pPr>
            <w:r>
              <w:rPr>
                <w:b w:val="0"/>
                <w:i w:val="0"/>
                <w:sz w:val="16"/>
              </w:rPr>
              <w:t>Secrets Manager and KMS</w:t>
            </w:r>
          </w:p>
        </w:tc>
        <w:tc>
          <w:tcPr>
            <w:tcW w:type="dxa" w:w="3969"/>
            <w:vAlign w:val="top"/>
            <w:shd w:val="clear" w:color="auto" w:fill="FDF0F7"/>
          </w:tcPr>
          <w:p>
            <w:pPr>
              <w:spacing w:after="20" w:line="252" w:lineRule="auto"/>
            </w:pPr>
            <w:r>
              <w:rPr>
                <w:b w:val="0"/>
                <w:i w:val="0"/>
                <w:sz w:val="16"/>
              </w:rPr>
              <w:t>Key Vault</w:t>
            </w:r>
          </w:p>
        </w:tc>
      </w:tr>
      <w:tr>
        <w:trPr>
          <w:cantSplit/>
        </w:trPr>
        <w:tc>
          <w:tcPr>
            <w:tcW w:type="dxa" w:w="1701"/>
            <w:vAlign w:val="top"/>
          </w:tcPr>
          <w:p>
            <w:pPr>
              <w:spacing w:after="20" w:line="252" w:lineRule="auto"/>
            </w:pPr>
            <w:r>
              <w:rPr>
                <w:b/>
                <w:i w:val="0"/>
                <w:sz w:val="16"/>
              </w:rPr>
              <w:t>Monitoring</w:t>
            </w:r>
          </w:p>
        </w:tc>
        <w:tc>
          <w:tcPr>
            <w:tcW w:type="dxa" w:w="3969"/>
            <w:vAlign w:val="top"/>
          </w:tcPr>
          <w:p>
            <w:pPr>
              <w:spacing w:after="20" w:line="252" w:lineRule="auto"/>
            </w:pPr>
            <w:r>
              <w:rPr>
                <w:b w:val="0"/>
                <w:i w:val="0"/>
                <w:sz w:val="16"/>
              </w:rPr>
              <w:t>CloudWatch logs, metrics, alarms</w:t>
            </w:r>
          </w:p>
        </w:tc>
        <w:tc>
          <w:tcPr>
            <w:tcW w:type="dxa" w:w="3969"/>
            <w:vAlign w:val="top"/>
          </w:tcPr>
          <w:p>
            <w:pPr>
              <w:spacing w:after="20" w:line="252" w:lineRule="auto"/>
            </w:pPr>
            <w:r>
              <w:rPr>
                <w:b w:val="0"/>
                <w:i w:val="0"/>
                <w:sz w:val="16"/>
              </w:rPr>
              <w:t>Azure Monitor, Log Analytics</w:t>
            </w:r>
          </w:p>
        </w:tc>
      </w:tr>
      <w:tr>
        <w:trPr>
          <w:cantSplit/>
        </w:trPr>
        <w:tc>
          <w:tcPr>
            <w:tcW w:type="dxa" w:w="1701"/>
            <w:vAlign w:val="top"/>
            <w:shd w:val="clear" w:color="auto" w:fill="FDF0F7"/>
          </w:tcPr>
          <w:p>
            <w:pPr>
              <w:spacing w:after="20" w:line="252" w:lineRule="auto"/>
            </w:pPr>
            <w:r>
              <w:rPr>
                <w:b/>
                <w:i w:val="0"/>
                <w:sz w:val="16"/>
              </w:rPr>
              <w:t>Connectivity</w:t>
            </w:r>
          </w:p>
        </w:tc>
        <w:tc>
          <w:tcPr>
            <w:tcW w:type="dxa" w:w="3969"/>
            <w:vAlign w:val="top"/>
            <w:shd w:val="clear" w:color="auto" w:fill="FDF0F7"/>
          </w:tcPr>
          <w:p>
            <w:pPr>
              <w:spacing w:after="20" w:line="252" w:lineRule="auto"/>
            </w:pPr>
            <w:r>
              <w:rPr>
                <w:b w:val="0"/>
                <w:i w:val="0"/>
                <w:sz w:val="16"/>
              </w:rPr>
              <w:t>Site-to-site VPN or Direct Connect to IITH</w:t>
            </w:r>
          </w:p>
        </w:tc>
        <w:tc>
          <w:tcPr>
            <w:tcW w:type="dxa" w:w="3969"/>
            <w:vAlign w:val="top"/>
            <w:shd w:val="clear" w:color="auto" w:fill="FDF0F7"/>
          </w:tcPr>
          <w:p>
            <w:pPr>
              <w:spacing w:after="20" w:line="252" w:lineRule="auto"/>
            </w:pPr>
            <w:r>
              <w:rPr>
                <w:b w:val="0"/>
                <w:i w:val="0"/>
                <w:sz w:val="16"/>
              </w:rPr>
              <w:t>VPN Gateway or ExpressRoute</w:t>
            </w:r>
          </w:p>
        </w:tc>
      </w:tr>
    </w:tbl>
    <w:p>
      <w:pPr>
        <w:pStyle w:val="Caption"/>
        <w:jc w:val="center"/>
      </w:pPr>
      <w:r>
        <w:rPr>
          <w:b w:val="0"/>
          <w:i w:val="0"/>
        </w:rPr>
        <w:t>Table 22: Cloud services</w:t>
      </w:r>
    </w:p>
    <w:p>
      <w:pPr>
        <w:pStyle w:val="Heading2"/>
      </w:pPr>
      <w:r>
        <w:t>9.4 Option C: hybrid</w:t>
      </w:r>
    </w:p>
    <w:p>
      <w:pPr>
        <w:keepNext w:val="0"/>
      </w:pPr>
      <w:r>
        <w:rPr>
          <w:b w:val="0"/>
          <w:i w:val="0"/>
        </w:rPr>
        <w:t>The back-office, API, database and documents stay in the IITH data centre; only the web tier for internet users (nginx with the SPA) runs in the DMZ or at a cloud edge and forwards /api calls over a private encrypted link. Personal data never leaves the data centre.</w:t>
      </w:r>
    </w:p>
    <w:p>
      <w:pPr>
        <w:pStyle w:val="Heading2"/>
      </w:pPr>
      <w:r>
        <w:t>9.5 Disaster recovery</w:t>
      </w:r>
    </w:p>
    <w:p>
      <w:pPr>
        <w:keepNext/>
        <w:spacing w:after="0"/>
        <w:jc w:val="center"/>
      </w:pPr>
      <w:r>
        <w:drawing>
          <wp:inline xmlns:a="http://schemas.openxmlformats.org/drawingml/2006/main" xmlns:pic="http://schemas.openxmlformats.org/drawingml/2006/picture">
            <wp:extent cx="5580000" cy="3587143"/>
            <wp:docPr id="13" name="Picture 13"/>
            <wp:cNvGraphicFramePr>
              <a:graphicFrameLocks noChangeAspect="1"/>
            </wp:cNvGraphicFramePr>
            <a:graphic>
              <a:graphicData uri="http://schemas.openxmlformats.org/drawingml/2006/picture">
                <pic:pic>
                  <pic:nvPicPr>
                    <pic:cNvPr id="0" name="tech-dr.png"/>
                    <pic:cNvPicPr/>
                  </pic:nvPicPr>
                  <pic:blipFill>
                    <a:blip r:embed="rId23"/>
                    <a:stretch>
                      <a:fillRect/>
                    </a:stretch>
                  </pic:blipFill>
                  <pic:spPr>
                    <a:xfrm>
                      <a:off x="0" y="0"/>
                      <a:ext cx="5580000" cy="3587143"/>
                    </a:xfrm>
                    <a:prstGeom prst="rect"/>
                  </pic:spPr>
                </pic:pic>
              </a:graphicData>
            </a:graphic>
          </wp:inline>
        </w:drawing>
      </w:r>
    </w:p>
    <w:p>
      <w:pPr>
        <w:pStyle w:val="Caption"/>
        <w:jc w:val="center"/>
      </w:pPr>
      <w:r>
        <w:rPr>
          <w:b w:val="0"/>
          <w:i w:val="0"/>
        </w:rPr>
        <w:t>Figure 11: Disaster recovery topology</w:t>
      </w:r>
    </w:p>
    <w:p>
      <w:pPr>
        <w:keepNext w:val="0"/>
      </w:pPr>
      <w:r>
        <w:rPr>
          <w:b w:val="0"/>
          <w:i w:val="0"/>
        </w:rPr>
        <w:t>The DR site holds an asynchronous PostgreSQL replica, a copy of the document store refreshed every 15 minutes, copies of the backups, and a cold application VM with the current images. Invocation promotes the replica, mounts the document copy, starts the containers with DR configuration and moves DNS or the load-balancer VIP. The Production Support Handover gives the step-by-step procedure and the test schedule.</w:t>
      </w:r>
    </w:p>
    <w:p>
      <w:pPr>
        <w:pStyle w:val="Heading2"/>
      </w:pPr>
      <w:r>
        <w:t>9.6 Container images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2721"/>
        <w:gridCol w:w="4649"/>
      </w:tblGrid>
      <w:tr>
        <w:trPr>
          <w:cantSplit/>
          <w:tblHeader/>
        </w:trPr>
        <w:tc>
          <w:tcPr>
            <w:tcW w:type="dxa" w:w="2268"/>
            <w:shd w:val="clear" w:color="auto" w:fill="E1058C"/>
            <w:vAlign w:val="center"/>
          </w:tcPr>
          <w:p>
            <w:pPr>
              <w:spacing w:after="0"/>
            </w:pPr>
            <w:r>
              <w:rPr>
                <w:b/>
                <w:i w:val="0"/>
                <w:color w:val="FFFFFF"/>
                <w:sz w:val="16"/>
              </w:rPr>
              <w:t>Image</w:t>
            </w:r>
          </w:p>
        </w:tc>
        <w:tc>
          <w:tcPr>
            <w:tcW w:type="dxa" w:w="2721"/>
            <w:shd w:val="clear" w:color="auto" w:fill="E1058C"/>
            <w:vAlign w:val="center"/>
          </w:tcPr>
          <w:p>
            <w:pPr>
              <w:spacing w:after="0"/>
            </w:pPr>
            <w:r>
              <w:rPr>
                <w:b/>
                <w:i w:val="0"/>
                <w:color w:val="FFFFFF"/>
                <w:sz w:val="16"/>
              </w:rPr>
              <w:t>Source</w:t>
            </w:r>
          </w:p>
        </w:tc>
        <w:tc>
          <w:tcPr>
            <w:tcW w:type="dxa" w:w="4649"/>
            <w:shd w:val="clear" w:color="auto" w:fill="E1058C"/>
            <w:vAlign w:val="center"/>
          </w:tcPr>
          <w:p>
            <w:pPr>
              <w:spacing w:after="0"/>
            </w:pPr>
            <w:r>
              <w:rPr>
                <w:b/>
                <w:i w:val="0"/>
                <w:color w:val="FFFFFF"/>
                <w:sz w:val="16"/>
              </w:rPr>
              <w:t>Notes</w:t>
            </w:r>
          </w:p>
        </w:tc>
      </w:tr>
      <w:tr>
        <w:trPr>
          <w:cantSplit/>
        </w:trPr>
        <w:tc>
          <w:tcPr>
            <w:tcW w:type="dxa" w:w="2268"/>
            <w:vAlign w:val="top"/>
          </w:tcPr>
          <w:p>
            <w:pPr>
              <w:spacing w:after="20" w:line="252" w:lineRule="auto"/>
            </w:pPr>
            <w:r>
              <w:rPr>
                <w:b w:val="0"/>
                <w:i w:val="0"/>
                <w:sz w:val="16"/>
              </w:rPr>
              <w:t>salesverse-api (runtime)</w:t>
            </w:r>
          </w:p>
        </w:tc>
        <w:tc>
          <w:tcPr>
            <w:tcW w:type="dxa" w:w="2721"/>
            <w:vAlign w:val="top"/>
          </w:tcPr>
          <w:p>
            <w:pPr>
              <w:spacing w:after="20" w:line="252" w:lineRule="auto"/>
            </w:pPr>
            <w:r>
              <w:rPr>
                <w:b w:val="0"/>
                <w:i w:val="0"/>
                <w:sz w:val="16"/>
              </w:rPr>
              <w:t>apps/api/Dockerfile, target runtime</w:t>
            </w:r>
          </w:p>
        </w:tc>
        <w:tc>
          <w:tcPr>
            <w:tcW w:type="dxa" w:w="4649"/>
            <w:vAlign w:val="top"/>
          </w:tcPr>
          <w:p>
            <w:pPr>
              <w:spacing w:after="20" w:line="252" w:lineRule="auto"/>
            </w:pPr>
            <w:r>
              <w:rPr>
                <w:b w:val="0"/>
                <w:i w:val="0"/>
                <w:sz w:val="16"/>
              </w:rPr>
              <w:t>node:22-bookworm-slim; production dependencies only; runs as user salesverse under tini; HEALTHCHECK on /health/ready; port 3000; documents at /data/documents</w:t>
            </w:r>
          </w:p>
        </w:tc>
      </w:tr>
      <w:tr>
        <w:trPr>
          <w:cantSplit/>
        </w:trPr>
        <w:tc>
          <w:tcPr>
            <w:tcW w:type="dxa" w:w="2268"/>
            <w:vAlign w:val="top"/>
            <w:shd w:val="clear" w:color="auto" w:fill="FDF0F7"/>
          </w:tcPr>
          <w:p>
            <w:pPr>
              <w:spacing w:after="20" w:line="252" w:lineRule="auto"/>
            </w:pPr>
            <w:r>
              <w:rPr>
                <w:b w:val="0"/>
                <w:i w:val="0"/>
                <w:sz w:val="16"/>
              </w:rPr>
              <w:t>salesverse-api (migrate)</w:t>
            </w:r>
          </w:p>
        </w:tc>
        <w:tc>
          <w:tcPr>
            <w:tcW w:type="dxa" w:w="2721"/>
            <w:vAlign w:val="top"/>
            <w:shd w:val="clear" w:color="auto" w:fill="FDF0F7"/>
          </w:tcPr>
          <w:p>
            <w:pPr>
              <w:spacing w:after="20" w:line="252" w:lineRule="auto"/>
            </w:pPr>
            <w:r>
              <w:rPr>
                <w:b w:val="0"/>
                <w:i w:val="0"/>
                <w:sz w:val="16"/>
              </w:rPr>
              <w:t>apps/api/Dockerfile, target migrate</w:t>
            </w:r>
          </w:p>
        </w:tc>
        <w:tc>
          <w:tcPr>
            <w:tcW w:type="dxa" w:w="4649"/>
            <w:vAlign w:val="top"/>
            <w:shd w:val="clear" w:color="auto" w:fill="FDF0F7"/>
          </w:tcPr>
          <w:p>
            <w:pPr>
              <w:spacing w:after="20" w:line="252" w:lineRule="auto"/>
            </w:pPr>
            <w:r>
              <w:rPr>
                <w:b w:val="0"/>
                <w:i w:val="0"/>
                <w:sz w:val="16"/>
              </w:rPr>
              <w:t>One-off job: prisma migrate deploy, then the reference-data seed (idempotent)</w:t>
            </w:r>
          </w:p>
        </w:tc>
      </w:tr>
      <w:tr>
        <w:trPr>
          <w:cantSplit/>
        </w:trPr>
        <w:tc>
          <w:tcPr>
            <w:tcW w:type="dxa" w:w="2268"/>
            <w:vAlign w:val="top"/>
          </w:tcPr>
          <w:p>
            <w:pPr>
              <w:spacing w:after="20" w:line="252" w:lineRule="auto"/>
            </w:pPr>
            <w:r>
              <w:rPr>
                <w:b w:val="0"/>
                <w:i w:val="0"/>
                <w:sz w:val="16"/>
              </w:rPr>
              <w:t>salesverse-web</w:t>
            </w:r>
          </w:p>
        </w:tc>
        <w:tc>
          <w:tcPr>
            <w:tcW w:type="dxa" w:w="2721"/>
            <w:vAlign w:val="top"/>
          </w:tcPr>
          <w:p>
            <w:pPr>
              <w:spacing w:after="20" w:line="252" w:lineRule="auto"/>
            </w:pPr>
            <w:r>
              <w:rPr>
                <w:b w:val="0"/>
                <w:i w:val="0"/>
                <w:sz w:val="16"/>
              </w:rPr>
              <w:t>apps/web/Dockerfile</w:t>
            </w:r>
          </w:p>
        </w:tc>
        <w:tc>
          <w:tcPr>
            <w:tcW w:type="dxa" w:w="4649"/>
            <w:vAlign w:val="top"/>
          </w:tcPr>
          <w:p>
            <w:pPr>
              <w:spacing w:after="20" w:line="252" w:lineRule="auto"/>
            </w:pPr>
            <w:r>
              <w:rPr>
                <w:b w:val="0"/>
                <w:i w:val="0"/>
                <w:sz w:val="16"/>
              </w:rPr>
              <w:t>Vite build served by nginxinc/nginx-unprivileged 1.29 on port 8080 with security headers, CSP, rate limiting and /api proxy</w:t>
            </w:r>
          </w:p>
        </w:tc>
      </w:tr>
      <w:tr>
        <w:trPr>
          <w:cantSplit/>
        </w:trPr>
        <w:tc>
          <w:tcPr>
            <w:tcW w:type="dxa" w:w="2268"/>
            <w:vAlign w:val="top"/>
            <w:shd w:val="clear" w:color="auto" w:fill="FDF0F7"/>
          </w:tcPr>
          <w:p>
            <w:pPr>
              <w:spacing w:after="20" w:line="252" w:lineRule="auto"/>
            </w:pPr>
            <w:r>
              <w:rPr>
                <w:b w:val="0"/>
                <w:i w:val="0"/>
                <w:sz w:val="16"/>
              </w:rPr>
              <w:t>clamav</w:t>
            </w:r>
          </w:p>
        </w:tc>
        <w:tc>
          <w:tcPr>
            <w:tcW w:type="dxa" w:w="2721"/>
            <w:vAlign w:val="top"/>
            <w:shd w:val="clear" w:color="auto" w:fill="FDF0F7"/>
          </w:tcPr>
          <w:p>
            <w:pPr>
              <w:spacing w:after="20" w:line="252" w:lineRule="auto"/>
            </w:pPr>
            <w:r>
              <w:rPr>
                <w:b w:val="0"/>
                <w:i w:val="0"/>
                <w:sz w:val="16"/>
              </w:rPr>
              <w:t>clamav/clamav:stable</w:t>
            </w:r>
          </w:p>
        </w:tc>
        <w:tc>
          <w:tcPr>
            <w:tcW w:type="dxa" w:w="4649"/>
            <w:vAlign w:val="top"/>
            <w:shd w:val="clear" w:color="auto" w:fill="FDF0F7"/>
          </w:tcPr>
          <w:p>
            <w:pPr>
              <w:spacing w:after="20" w:line="252" w:lineRule="auto"/>
            </w:pPr>
            <w:r>
              <w:rPr>
                <w:b w:val="0"/>
                <w:i w:val="0"/>
                <w:sz w:val="16"/>
              </w:rPr>
              <w:t>clamd for upload scanning, port 3310, internal only</w:t>
            </w:r>
          </w:p>
        </w:tc>
      </w:tr>
      <w:tr>
        <w:trPr>
          <w:cantSplit/>
        </w:trPr>
        <w:tc>
          <w:tcPr>
            <w:tcW w:type="dxa" w:w="2268"/>
            <w:vAlign w:val="top"/>
          </w:tcPr>
          <w:p>
            <w:pPr>
              <w:spacing w:after="20" w:line="252" w:lineRule="auto"/>
            </w:pPr>
            <w:r>
              <w:rPr>
                <w:b w:val="0"/>
                <w:i w:val="0"/>
                <w:sz w:val="16"/>
              </w:rPr>
              <w:t>PostgreSQL 16</w:t>
            </w:r>
          </w:p>
        </w:tc>
        <w:tc>
          <w:tcPr>
            <w:tcW w:type="dxa" w:w="2721"/>
            <w:vAlign w:val="top"/>
          </w:tcPr>
          <w:p>
            <w:pPr>
              <w:spacing w:after="20" w:line="252" w:lineRule="auto"/>
            </w:pPr>
            <w:r>
              <w:rPr>
                <w:b w:val="0"/>
                <w:i w:val="0"/>
                <w:sz w:val="16"/>
              </w:rPr>
              <w:t>postgres:16-alpine (DEV, SIT, UAT); OS packages on the PROD database VMs</w:t>
            </w:r>
          </w:p>
        </w:tc>
        <w:tc>
          <w:tcPr>
            <w:tcW w:type="dxa" w:w="4649"/>
            <w:vAlign w:val="top"/>
          </w:tcPr>
          <w:p>
            <w:pPr>
              <w:spacing w:after="20" w:line="252" w:lineRule="auto"/>
            </w:pPr>
            <w:r>
              <w:rPr>
                <w:b w:val="0"/>
                <w:i w:val="0"/>
                <w:sz w:val="16"/>
              </w:rPr>
              <w:t>Streaming replication and pgBackRest on PROD</w:t>
            </w:r>
          </w:p>
        </w:tc>
      </w:tr>
    </w:tbl>
    <w:p>
      <w:pPr>
        <w:pStyle w:val="Caption"/>
        <w:jc w:val="center"/>
      </w:pPr>
      <w:r>
        <w:rPr>
          <w:b w:val="0"/>
          <w:i w:val="0"/>
        </w:rPr>
        <w:t>Table 23: Images</w:t>
      </w:r>
    </w:p>
    <w:p>
      <w:pPr>
        <w:keepNext w:val="0"/>
      </w:pPr>
      <w:r>
        <w:rPr>
          <w:b w:val="0"/>
          <w:i w:val="0"/>
        </w:rPr>
        <w:t>Docker Compose (deploy/docker-compose.yml) runs the full stack on one host for DEV, SIT and UAT, and the web, API and ClamAV services on each production application VM, with the database on dedicated VMs. Kubernetes or ECS manifests are produced during implementation if IIFT selects a cloud option.</w:t>
      </w:r>
    </w:p>
    <w:p>
      <w:pPr>
        <w:pStyle w:val="Heading2"/>
      </w:pPr>
      <w:r>
        <w:t>9.7 Build and release pipeline</w:t>
      </w:r>
    </w:p>
    <w:p>
      <w:pPr>
        <w:keepNext/>
        <w:spacing w:after="0"/>
        <w:jc w:val="center"/>
      </w:pPr>
      <w:r>
        <w:drawing>
          <wp:inline xmlns:a="http://schemas.openxmlformats.org/drawingml/2006/main" xmlns:pic="http://schemas.openxmlformats.org/drawingml/2006/picture">
            <wp:extent cx="5760000" cy="2583771"/>
            <wp:docPr id="14" name="Picture 14"/>
            <wp:cNvGraphicFramePr>
              <a:graphicFrameLocks noChangeAspect="1"/>
            </wp:cNvGraphicFramePr>
            <a:graphic>
              <a:graphicData uri="http://schemas.openxmlformats.org/drawingml/2006/picture">
                <pic:pic>
                  <pic:nvPicPr>
                    <pic:cNvPr id="0" name="tech-pipeline.png"/>
                    <pic:cNvPicPr/>
                  </pic:nvPicPr>
                  <pic:blipFill>
                    <a:blip r:embed="rId24"/>
                    <a:stretch>
                      <a:fillRect/>
                    </a:stretch>
                  </pic:blipFill>
                  <pic:spPr>
                    <a:xfrm>
                      <a:off x="0" y="0"/>
                      <a:ext cx="5760000" cy="2583771"/>
                    </a:xfrm>
                    <a:prstGeom prst="rect"/>
                  </pic:spPr>
                </pic:pic>
              </a:graphicData>
            </a:graphic>
          </wp:inline>
        </w:drawing>
      </w:r>
    </w:p>
    <w:p>
      <w:pPr>
        <w:pStyle w:val="Caption"/>
        <w:jc w:val="center"/>
      </w:pPr>
      <w:r>
        <w:rPr>
          <w:b w:val="0"/>
          <w:i w:val="0"/>
        </w:rPr>
        <w:t>Figure 12: Build and release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5556"/>
        <w:gridCol w:w="2268"/>
      </w:tblGrid>
      <w:tr>
        <w:trPr>
          <w:cantSplit/>
          <w:tblHeader/>
        </w:trPr>
        <w:tc>
          <w:tcPr>
            <w:tcW w:type="dxa" w:w="1814"/>
            <w:shd w:val="clear" w:color="auto" w:fill="E1058C"/>
            <w:vAlign w:val="center"/>
          </w:tcPr>
          <w:p>
            <w:pPr>
              <w:spacing w:after="0"/>
            </w:pPr>
            <w:r>
              <w:rPr>
                <w:b/>
                <w:i w:val="0"/>
                <w:color w:val="FFFFFF"/>
                <w:sz w:val="16"/>
              </w:rPr>
              <w:t>Stage</w:t>
            </w:r>
          </w:p>
        </w:tc>
        <w:tc>
          <w:tcPr>
            <w:tcW w:type="dxa" w:w="5556"/>
            <w:shd w:val="clear" w:color="auto" w:fill="E1058C"/>
            <w:vAlign w:val="center"/>
          </w:tcPr>
          <w:p>
            <w:pPr>
              <w:spacing w:after="0"/>
            </w:pPr>
            <w:r>
              <w:rPr>
                <w:b/>
                <w:i w:val="0"/>
                <w:color w:val="FFFFFF"/>
                <w:sz w:val="16"/>
              </w:rPr>
              <w:t>Activities</w:t>
            </w:r>
          </w:p>
        </w:tc>
        <w:tc>
          <w:tcPr>
            <w:tcW w:type="dxa" w:w="2268"/>
            <w:shd w:val="clear" w:color="auto" w:fill="E1058C"/>
            <w:vAlign w:val="center"/>
          </w:tcPr>
          <w:p>
            <w:pPr>
              <w:spacing w:after="0"/>
            </w:pPr>
            <w:r>
              <w:rPr>
                <w:b/>
                <w:i w:val="0"/>
                <w:color w:val="FFFFFF"/>
                <w:sz w:val="16"/>
              </w:rPr>
              <w:t>Status</w:t>
            </w:r>
          </w:p>
        </w:tc>
      </w:tr>
      <w:tr>
        <w:trPr>
          <w:cantSplit/>
        </w:trPr>
        <w:tc>
          <w:tcPr>
            <w:tcW w:type="dxa" w:w="1814"/>
            <w:vAlign w:val="top"/>
          </w:tcPr>
          <w:p>
            <w:pPr>
              <w:spacing w:after="20" w:line="252" w:lineRule="auto"/>
            </w:pPr>
            <w:r>
              <w:rPr>
                <w:b w:val="0"/>
                <w:i w:val="0"/>
                <w:sz w:val="16"/>
              </w:rPr>
              <w:t>Verify</w:t>
            </w:r>
          </w:p>
        </w:tc>
        <w:tc>
          <w:tcPr>
            <w:tcW w:type="dxa" w:w="5556"/>
            <w:vAlign w:val="top"/>
          </w:tcPr>
          <w:p>
            <w:pPr>
              <w:spacing w:after="20" w:line="252" w:lineRule="auto"/>
            </w:pPr>
            <w:r>
              <w:rPr>
                <w:b w:val="0"/>
                <w:i w:val="0"/>
                <w:sz w:val="16"/>
              </w:rPr>
              <w:t>npm ci; prisma generate; prettier check; oxlint; tsc type check; unit tests; end-to-end API tests against a PostgreSQL 16 service; production build; npm audit (moderate and above)</w:t>
            </w:r>
          </w:p>
        </w:tc>
        <w:tc>
          <w:tcPr>
            <w:tcW w:type="dxa" w:w="2268"/>
            <w:vAlign w:val="top"/>
          </w:tcPr>
          <w:p>
            <w:pPr>
              <w:spacing w:after="20" w:line="252" w:lineRule="auto"/>
            </w:pPr>
            <w:r>
              <w:rPr>
                <w:b w:val="0"/>
                <w:i w:val="0"/>
                <w:sz w:val="16"/>
              </w:rPr>
              <w:t>Running (.github/workflows/ci.yml)</w:t>
            </w:r>
          </w:p>
        </w:tc>
      </w:tr>
      <w:tr>
        <w:trPr>
          <w:cantSplit/>
        </w:trPr>
        <w:tc>
          <w:tcPr>
            <w:tcW w:type="dxa" w:w="1814"/>
            <w:vAlign w:val="top"/>
            <w:shd w:val="clear" w:color="auto" w:fill="FDF0F7"/>
          </w:tcPr>
          <w:p>
            <w:pPr>
              <w:spacing w:after="20" w:line="252" w:lineRule="auto"/>
            </w:pPr>
            <w:r>
              <w:rPr>
                <w:b w:val="0"/>
                <w:i w:val="0"/>
                <w:sz w:val="16"/>
              </w:rPr>
              <w:t>Images</w:t>
            </w:r>
          </w:p>
        </w:tc>
        <w:tc>
          <w:tcPr>
            <w:tcW w:type="dxa" w:w="5556"/>
            <w:vAlign w:val="top"/>
            <w:shd w:val="clear" w:color="auto" w:fill="FDF0F7"/>
          </w:tcPr>
          <w:p>
            <w:pPr>
              <w:spacing w:after="20" w:line="252" w:lineRule="auto"/>
            </w:pPr>
            <w:r>
              <w:rPr>
                <w:b w:val="0"/>
                <w:i w:val="0"/>
                <w:sz w:val="16"/>
              </w:rPr>
              <w:t>Build API and web images; Trivy scan fails on unfixed CRITICAL or HIGH findings</w:t>
            </w:r>
          </w:p>
        </w:tc>
        <w:tc>
          <w:tcPr>
            <w:tcW w:type="dxa" w:w="2268"/>
            <w:vAlign w:val="top"/>
            <w:shd w:val="clear" w:color="auto" w:fill="FDF0F7"/>
          </w:tcPr>
          <w:p>
            <w:pPr>
              <w:spacing w:after="20" w:line="252" w:lineRule="auto"/>
            </w:pPr>
            <w:r>
              <w:rPr>
                <w:b w:val="0"/>
                <w:i w:val="0"/>
                <w:sz w:val="16"/>
              </w:rPr>
              <w:t>Running</w:t>
            </w:r>
          </w:p>
        </w:tc>
      </w:tr>
      <w:tr>
        <w:trPr>
          <w:cantSplit/>
        </w:trPr>
        <w:tc>
          <w:tcPr>
            <w:tcW w:type="dxa" w:w="1814"/>
            <w:vAlign w:val="top"/>
          </w:tcPr>
          <w:p>
            <w:pPr>
              <w:spacing w:after="20" w:line="252" w:lineRule="auto"/>
            </w:pPr>
            <w:r>
              <w:rPr>
                <w:b w:val="0"/>
                <w:i w:val="0"/>
                <w:sz w:val="16"/>
              </w:rPr>
              <w:t>Static analysis and secrets</w:t>
            </w:r>
          </w:p>
        </w:tc>
        <w:tc>
          <w:tcPr>
            <w:tcW w:type="dxa" w:w="5556"/>
            <w:vAlign w:val="top"/>
          </w:tcPr>
          <w:p>
            <w:pPr>
              <w:spacing w:after="20" w:line="252" w:lineRule="auto"/>
            </w:pPr>
            <w:r>
              <w:rPr>
                <w:b w:val="0"/>
                <w:i w:val="0"/>
                <w:sz w:val="16"/>
              </w:rPr>
              <w:t>SAST rules and secret scanning on every pull request</w:t>
            </w:r>
          </w:p>
        </w:tc>
        <w:tc>
          <w:tcPr>
            <w:tcW w:type="dxa" w:w="2268"/>
            <w:vAlign w:val="top"/>
          </w:tcPr>
          <w:p>
            <w:pPr>
              <w:spacing w:after="20" w:line="252" w:lineRule="auto"/>
            </w:pPr>
            <w:r>
              <w:rPr>
                <w:b w:val="0"/>
                <w:i w:val="0"/>
                <w:sz w:val="16"/>
              </w:rPr>
              <w:t>Delivered during implementation</w:t>
            </w:r>
          </w:p>
        </w:tc>
      </w:tr>
      <w:tr>
        <w:trPr>
          <w:cantSplit/>
        </w:trPr>
        <w:tc>
          <w:tcPr>
            <w:tcW w:type="dxa" w:w="1814"/>
            <w:vAlign w:val="top"/>
            <w:shd w:val="clear" w:color="auto" w:fill="FDF0F7"/>
          </w:tcPr>
          <w:p>
            <w:pPr>
              <w:spacing w:after="20" w:line="252" w:lineRule="auto"/>
            </w:pPr>
            <w:r>
              <w:rPr>
                <w:b w:val="0"/>
                <w:i w:val="0"/>
                <w:sz w:val="16"/>
              </w:rPr>
              <w:t>Package</w:t>
            </w:r>
          </w:p>
        </w:tc>
        <w:tc>
          <w:tcPr>
            <w:tcW w:type="dxa" w:w="5556"/>
            <w:vAlign w:val="top"/>
            <w:shd w:val="clear" w:color="auto" w:fill="FDF0F7"/>
          </w:tcPr>
          <w:p>
            <w:pPr>
              <w:spacing w:after="20" w:line="252" w:lineRule="auto"/>
            </w:pPr>
            <w:r>
              <w:rPr>
                <w:b w:val="0"/>
                <w:i w:val="0"/>
                <w:sz w:val="16"/>
              </w:rPr>
              <w:t>Tag images with the release version, sign them, attach SBOM and release notes, push to the IITH registry</w:t>
            </w:r>
          </w:p>
        </w:tc>
        <w:tc>
          <w:tcPr>
            <w:tcW w:type="dxa" w:w="2268"/>
            <w:vAlign w:val="top"/>
            <w:shd w:val="clear" w:color="auto" w:fill="FDF0F7"/>
          </w:tcPr>
          <w:p>
            <w:pPr>
              <w:spacing w:after="20" w:line="252" w:lineRule="auto"/>
            </w:pPr>
            <w:r>
              <w:rPr>
                <w:b w:val="0"/>
                <w:i w:val="0"/>
                <w:sz w:val="16"/>
              </w:rPr>
              <w:t>Delivered during implementation</w:t>
            </w:r>
          </w:p>
        </w:tc>
      </w:tr>
      <w:tr>
        <w:trPr>
          <w:cantSplit/>
        </w:trPr>
        <w:tc>
          <w:tcPr>
            <w:tcW w:type="dxa" w:w="1814"/>
            <w:vAlign w:val="top"/>
          </w:tcPr>
          <w:p>
            <w:pPr>
              <w:spacing w:after="20" w:line="252" w:lineRule="auto"/>
            </w:pPr>
            <w:r>
              <w:rPr>
                <w:b w:val="0"/>
                <w:i w:val="0"/>
                <w:sz w:val="16"/>
              </w:rPr>
              <w:t>Deploy SIT and UAT</w:t>
            </w:r>
          </w:p>
        </w:tc>
        <w:tc>
          <w:tcPr>
            <w:tcW w:type="dxa" w:w="5556"/>
            <w:vAlign w:val="top"/>
          </w:tcPr>
          <w:p>
            <w:pPr>
              <w:spacing w:after="20" w:line="252" w:lineRule="auto"/>
            </w:pPr>
            <w:r>
              <w:rPr>
                <w:b w:val="0"/>
                <w:i w:val="0"/>
                <w:sz w:val="16"/>
              </w:rPr>
              <w:t>Run the migrate job, roll out containers, smoke tests</w:t>
            </w:r>
          </w:p>
        </w:tc>
        <w:tc>
          <w:tcPr>
            <w:tcW w:type="dxa" w:w="2268"/>
            <w:vAlign w:val="top"/>
          </w:tcPr>
          <w:p>
            <w:pPr>
              <w:spacing w:after="20" w:line="252" w:lineRule="auto"/>
            </w:pPr>
            <w:r>
              <w:rPr>
                <w:b w:val="0"/>
                <w:i w:val="0"/>
                <w:sz w:val="16"/>
              </w:rPr>
              <w:t>Delivered during implementation</w:t>
            </w:r>
          </w:p>
        </w:tc>
      </w:tr>
      <w:tr>
        <w:trPr>
          <w:cantSplit/>
        </w:trPr>
        <w:tc>
          <w:tcPr>
            <w:tcW w:type="dxa" w:w="1814"/>
            <w:vAlign w:val="top"/>
            <w:shd w:val="clear" w:color="auto" w:fill="FDF0F7"/>
          </w:tcPr>
          <w:p>
            <w:pPr>
              <w:spacing w:after="20" w:line="252" w:lineRule="auto"/>
            </w:pPr>
            <w:r>
              <w:rPr>
                <w:b w:val="0"/>
                <w:i w:val="0"/>
                <w:sz w:val="16"/>
              </w:rPr>
              <w:t>Deploy PROD</w:t>
            </w:r>
          </w:p>
        </w:tc>
        <w:tc>
          <w:tcPr>
            <w:tcW w:type="dxa" w:w="5556"/>
            <w:vAlign w:val="top"/>
            <w:shd w:val="clear" w:color="auto" w:fill="FDF0F7"/>
          </w:tcPr>
          <w:p>
            <w:pPr>
              <w:spacing w:after="20" w:line="252" w:lineRule="auto"/>
            </w:pPr>
            <w:r>
              <w:rPr>
                <w:b w:val="0"/>
                <w:i w:val="0"/>
                <w:sz w:val="16"/>
              </w:rPr>
              <w:t>After IIFT change approval, in the agreed window, same images as UAT</w:t>
            </w:r>
          </w:p>
        </w:tc>
        <w:tc>
          <w:tcPr>
            <w:tcW w:type="dxa" w:w="2268"/>
            <w:vAlign w:val="top"/>
            <w:shd w:val="clear" w:color="auto" w:fill="FDF0F7"/>
          </w:tcPr>
          <w:p>
            <w:pPr>
              <w:spacing w:after="20" w:line="252" w:lineRule="auto"/>
            </w:pPr>
            <w:r>
              <w:rPr>
                <w:b w:val="0"/>
                <w:i w:val="0"/>
                <w:sz w:val="16"/>
              </w:rPr>
              <w:t>Delivered during implementation</w:t>
            </w:r>
          </w:p>
        </w:tc>
      </w:tr>
    </w:tbl>
    <w:p>
      <w:pPr>
        <w:pStyle w:val="Caption"/>
        <w:jc w:val="center"/>
      </w:pPr>
      <w:r>
        <w:rPr>
          <w:b w:val="0"/>
          <w:i w:val="0"/>
        </w:rPr>
        <w:t>Table 24: Pipeline stages</w:t>
      </w:r>
    </w:p>
    <w:p>
      <w:pPr>
        <w:keepNext w:val="0"/>
      </w:pPr>
      <w:r>
        <w:rPr>
          <w:b w:val="0"/>
          <w:i w:val="0"/>
        </w:rPr>
        <w:t>Database changes follow expand-and-contract: a release first adds columns or tables that the previous version ignores, and removes old structures only in a later release. The previous images therefore run on the new schema, so an application rollback does not need a database restore.</w:t>
      </w:r>
    </w:p>
    <w:p>
      <w:pPr>
        <w:pStyle w:val="Heading1"/>
        <w:pageBreakBefore/>
        <w:pBdr>
          <w:bottom w:val="single" w:sz="12" w:space="4" w:color="F58220"/>
        </w:pBdr>
      </w:pPr>
      <w:r>
        <w:t>10. Infrastructure Sizing</w:t>
      </w:r>
    </w:p>
    <w:p>
      <w:pPr>
        <w:pStyle w:val="Heading2"/>
      </w:pPr>
      <w:r>
        <w:t>10.1 Load assumptions</w:t>
      </w:r>
    </w:p>
    <w:p>
      <w:pPr>
        <w:keepNext w:val="0"/>
      </w:pPr>
      <w:r>
        <w:rPr>
          <w:b w:val="0"/>
          <w:i w:val="0"/>
        </w:rPr>
        <w:t>Appendix 1 lists 26 named users: 12 bank portal users, 5 IIFT back-office users, 5 IIFT portal users and 4 agent portal users. The design target is 100 concurrent and 500 named users without redesign. Appendix 2 gives the policy volumes below.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1814"/>
        <w:gridCol w:w="1020"/>
        <w:gridCol w:w="1360"/>
        <w:gridCol w:w="1247"/>
      </w:tblGrid>
      <w:tr>
        <w:trPr>
          <w:cantSplit/>
          <w:tblHeader/>
        </w:trPr>
        <w:tc>
          <w:tcPr>
            <w:tcW w:type="dxa" w:w="4195"/>
            <w:shd w:val="clear" w:color="auto" w:fill="E1058C"/>
            <w:vAlign w:val="center"/>
          </w:tcPr>
          <w:p>
            <w:pPr>
              <w:spacing w:after="0"/>
            </w:pPr>
            <w:r>
              <w:rPr>
                <w:b/>
                <w:i w:val="0"/>
                <w:color w:val="FFFFFF"/>
                <w:sz w:val="16"/>
              </w:rPr>
              <w:t>Product</w:t>
            </w:r>
          </w:p>
        </w:tc>
        <w:tc>
          <w:tcPr>
            <w:tcW w:type="dxa" w:w="1814"/>
            <w:shd w:val="clear" w:color="auto" w:fill="E1058C"/>
            <w:vAlign w:val="center"/>
          </w:tcPr>
          <w:p>
            <w:pPr>
              <w:spacing w:after="0"/>
            </w:pPr>
            <w:r>
              <w:rPr>
                <w:b/>
                <w:i w:val="0"/>
                <w:color w:val="FFFFFF"/>
                <w:sz w:val="16"/>
              </w:rPr>
              <w:t>Line</w:t>
            </w:r>
          </w:p>
        </w:tc>
        <w:tc>
          <w:tcPr>
            <w:tcW w:type="dxa" w:w="1020"/>
            <w:shd w:val="clear" w:color="auto" w:fill="E1058C"/>
            <w:vAlign w:val="center"/>
          </w:tcPr>
          <w:p>
            <w:pPr>
              <w:spacing w:after="0"/>
            </w:pPr>
            <w:r>
              <w:rPr>
                <w:b/>
                <w:i w:val="0"/>
                <w:color w:val="FFFFFF"/>
                <w:sz w:val="16"/>
              </w:rPr>
              <w:t>2025</w:t>
            </w:r>
          </w:p>
        </w:tc>
        <w:tc>
          <w:tcPr>
            <w:tcW w:type="dxa" w:w="1361"/>
            <w:shd w:val="clear" w:color="auto" w:fill="E1058C"/>
            <w:vAlign w:val="center"/>
          </w:tcPr>
          <w:p>
            <w:pPr>
              <w:spacing w:after="0"/>
            </w:pPr>
            <w:r>
              <w:rPr>
                <w:b/>
                <w:i w:val="0"/>
                <w:color w:val="FFFFFF"/>
                <w:sz w:val="16"/>
              </w:rPr>
              <w:t>2026 to July</w:t>
            </w:r>
          </w:p>
        </w:tc>
        <w:tc>
          <w:tcPr>
            <w:tcW w:type="dxa" w:w="1247"/>
            <w:shd w:val="clear" w:color="auto" w:fill="E1058C"/>
            <w:vAlign w:val="center"/>
          </w:tcPr>
          <w:p>
            <w:pPr>
              <w:spacing w:after="0"/>
            </w:pPr>
            <w:r>
              <w:rPr>
                <w:b/>
                <w:i w:val="0"/>
                <w:color w:val="FFFFFF"/>
                <w:sz w:val="16"/>
              </w:rPr>
              <w:t>In 5 years</w:t>
            </w:r>
          </w:p>
        </w:tc>
      </w:tr>
      <w:tr>
        <w:trPr>
          <w:cantSplit/>
        </w:trPr>
        <w:tc>
          <w:tcPr>
            <w:tcW w:type="dxa" w:w="4195"/>
            <w:vAlign w:val="top"/>
          </w:tcPr>
          <w:p>
            <w:pPr>
              <w:spacing w:after="20" w:line="252" w:lineRule="auto"/>
            </w:pPr>
            <w:r>
              <w:rPr>
                <w:b w:val="0"/>
                <w:i w:val="0"/>
                <w:sz w:val="16"/>
              </w:rPr>
              <w:t>Financing Takaful Plan – Hire Purchase (FTP-HP)</w:t>
            </w:r>
          </w:p>
        </w:tc>
        <w:tc>
          <w:tcPr>
            <w:tcW w:type="dxa" w:w="1814"/>
            <w:vAlign w:val="top"/>
          </w:tcPr>
          <w:p>
            <w:pPr>
              <w:spacing w:after="20" w:line="252" w:lineRule="auto"/>
            </w:pPr>
            <w:r>
              <w:rPr>
                <w:b w:val="0"/>
                <w:i w:val="0"/>
                <w:sz w:val="16"/>
              </w:rPr>
              <w:t>Mortgage Takaful</w:t>
            </w:r>
          </w:p>
        </w:tc>
        <w:tc>
          <w:tcPr>
            <w:tcW w:type="dxa" w:w="1020"/>
            <w:vAlign w:val="top"/>
          </w:tcPr>
          <w:p>
            <w:pPr>
              <w:spacing w:after="20" w:line="252" w:lineRule="auto"/>
              <w:jc w:val="right"/>
            </w:pPr>
            <w:r>
              <w:rPr>
                <w:b w:val="0"/>
                <w:i w:val="0"/>
                <w:sz w:val="16"/>
              </w:rPr>
              <w:t>59</w:t>
            </w:r>
          </w:p>
        </w:tc>
        <w:tc>
          <w:tcPr>
            <w:tcW w:type="dxa" w:w="1361"/>
            <w:vAlign w:val="top"/>
          </w:tcPr>
          <w:p>
            <w:pPr>
              <w:spacing w:after="20" w:line="252" w:lineRule="auto"/>
              <w:jc w:val="right"/>
            </w:pPr>
            <w:r>
              <w:rPr>
                <w:b w:val="0"/>
                <w:i w:val="0"/>
                <w:sz w:val="16"/>
              </w:rPr>
              <w:t>16</w:t>
            </w:r>
          </w:p>
        </w:tc>
        <w:tc>
          <w:tcPr>
            <w:tcW w:type="dxa" w:w="1247"/>
            <w:vAlign w:val="top"/>
          </w:tcPr>
          <w:p>
            <w:pPr>
              <w:spacing w:after="20" w:line="252" w:lineRule="auto"/>
              <w:jc w:val="right"/>
            </w:pPr>
            <w:r>
              <w:rPr>
                <w:b w:val="0"/>
                <w:i w:val="0"/>
                <w:sz w:val="16"/>
              </w:rPr>
              <w:t>75</w:t>
            </w:r>
          </w:p>
        </w:tc>
      </w:tr>
      <w:tr>
        <w:trPr>
          <w:cantSplit/>
        </w:trPr>
        <w:tc>
          <w:tcPr>
            <w:tcW w:type="dxa" w:w="4195"/>
            <w:vAlign w:val="top"/>
            <w:shd w:val="clear" w:color="auto" w:fill="FDF0F7"/>
          </w:tcPr>
          <w:p>
            <w:pPr>
              <w:spacing w:after="20" w:line="252" w:lineRule="auto"/>
            </w:pPr>
            <w:r>
              <w:rPr>
                <w:b w:val="0"/>
                <w:i w:val="0"/>
                <w:sz w:val="16"/>
              </w:rPr>
              <w:t>Financing Takaful Plan – Non-Participating (FTP-NP)</w:t>
            </w:r>
          </w:p>
        </w:tc>
        <w:tc>
          <w:tcPr>
            <w:tcW w:type="dxa" w:w="1814"/>
            <w:vAlign w:val="top"/>
            <w:shd w:val="clear" w:color="auto" w:fill="FDF0F7"/>
          </w:tcPr>
          <w:p>
            <w:pPr>
              <w:spacing w:after="20" w:line="252" w:lineRule="auto"/>
            </w:pPr>
            <w:r>
              <w:rPr>
                <w:b w:val="0"/>
                <w:i w:val="0"/>
                <w:sz w:val="16"/>
              </w:rPr>
              <w:t>Mortgage Takaful</w:t>
            </w:r>
          </w:p>
        </w:tc>
        <w:tc>
          <w:tcPr>
            <w:tcW w:type="dxa" w:w="1020"/>
            <w:vAlign w:val="top"/>
            <w:shd w:val="clear" w:color="auto" w:fill="FDF0F7"/>
          </w:tcPr>
          <w:p>
            <w:pPr>
              <w:spacing w:after="20" w:line="252" w:lineRule="auto"/>
              <w:jc w:val="right"/>
            </w:pPr>
            <w:r>
              <w:rPr>
                <w:b w:val="0"/>
                <w:i w:val="0"/>
                <w:sz w:val="16"/>
              </w:rPr>
              <w:t>158</w:t>
            </w:r>
          </w:p>
        </w:tc>
        <w:tc>
          <w:tcPr>
            <w:tcW w:type="dxa" w:w="1361"/>
            <w:vAlign w:val="top"/>
            <w:shd w:val="clear" w:color="auto" w:fill="FDF0F7"/>
          </w:tcPr>
          <w:p>
            <w:pPr>
              <w:spacing w:after="20" w:line="252" w:lineRule="auto"/>
              <w:jc w:val="right"/>
            </w:pPr>
            <w:r>
              <w:rPr>
                <w:b w:val="0"/>
                <w:i w:val="0"/>
                <w:sz w:val="16"/>
              </w:rPr>
              <w:t>65</w:t>
            </w:r>
          </w:p>
        </w:tc>
        <w:tc>
          <w:tcPr>
            <w:tcW w:type="dxa" w:w="1247"/>
            <w:vAlign w:val="top"/>
            <w:shd w:val="clear" w:color="auto" w:fill="FDF0F7"/>
          </w:tcPr>
          <w:p>
            <w:pPr>
              <w:spacing w:after="20" w:line="252" w:lineRule="auto"/>
              <w:jc w:val="right"/>
            </w:pPr>
            <w:r>
              <w:rPr>
                <w:b w:val="0"/>
                <w:i w:val="0"/>
                <w:sz w:val="16"/>
              </w:rPr>
              <w:t>205</w:t>
            </w:r>
          </w:p>
        </w:tc>
      </w:tr>
      <w:tr>
        <w:trPr>
          <w:cantSplit/>
        </w:trPr>
        <w:tc>
          <w:tcPr>
            <w:tcW w:type="dxa" w:w="4195"/>
            <w:vAlign w:val="top"/>
          </w:tcPr>
          <w:p>
            <w:pPr>
              <w:spacing w:after="20" w:line="252" w:lineRule="auto"/>
            </w:pPr>
            <w:r>
              <w:rPr>
                <w:b w:val="0"/>
                <w:i w:val="0"/>
                <w:sz w:val="16"/>
              </w:rPr>
              <w:t>Property Financing Takaful (PFT)</w:t>
            </w:r>
          </w:p>
        </w:tc>
        <w:tc>
          <w:tcPr>
            <w:tcW w:type="dxa" w:w="1814"/>
            <w:vAlign w:val="top"/>
          </w:tcPr>
          <w:p>
            <w:pPr>
              <w:spacing w:after="20" w:line="252" w:lineRule="auto"/>
            </w:pPr>
            <w:r>
              <w:rPr>
                <w:b w:val="0"/>
                <w:i w:val="0"/>
                <w:sz w:val="16"/>
              </w:rPr>
              <w:t>Mortgage Takaful</w:t>
            </w:r>
          </w:p>
        </w:tc>
        <w:tc>
          <w:tcPr>
            <w:tcW w:type="dxa" w:w="1020"/>
            <w:vAlign w:val="top"/>
          </w:tcPr>
          <w:p>
            <w:pPr>
              <w:spacing w:after="20" w:line="252" w:lineRule="auto"/>
              <w:jc w:val="right"/>
            </w:pPr>
            <w:r>
              <w:rPr>
                <w:b w:val="0"/>
                <w:i w:val="0"/>
                <w:sz w:val="16"/>
              </w:rPr>
              <w:t>88</w:t>
            </w:r>
          </w:p>
        </w:tc>
        <w:tc>
          <w:tcPr>
            <w:tcW w:type="dxa" w:w="1361"/>
            <w:vAlign w:val="top"/>
          </w:tcPr>
          <w:p>
            <w:pPr>
              <w:spacing w:after="20" w:line="252" w:lineRule="auto"/>
              <w:jc w:val="right"/>
            </w:pPr>
            <w:r>
              <w:rPr>
                <w:b w:val="0"/>
                <w:i w:val="0"/>
                <w:sz w:val="16"/>
              </w:rPr>
              <w:t>60</w:t>
            </w:r>
          </w:p>
        </w:tc>
        <w:tc>
          <w:tcPr>
            <w:tcW w:type="dxa" w:w="1247"/>
            <w:vAlign w:val="top"/>
          </w:tcPr>
          <w:p>
            <w:pPr>
              <w:spacing w:after="20" w:line="252" w:lineRule="auto"/>
              <w:jc w:val="right"/>
            </w:pPr>
            <w:r>
              <w:rPr>
                <w:b w:val="0"/>
                <w:i w:val="0"/>
                <w:sz w:val="16"/>
              </w:rPr>
              <w:t>115</w:t>
            </w:r>
          </w:p>
        </w:tc>
      </w:tr>
      <w:tr>
        <w:trPr>
          <w:cantSplit/>
        </w:trPr>
        <w:tc>
          <w:tcPr>
            <w:tcW w:type="dxa" w:w="4195"/>
            <w:vAlign w:val="top"/>
            <w:shd w:val="clear" w:color="auto" w:fill="FDF0F7"/>
          </w:tcPr>
          <w:p>
            <w:pPr>
              <w:spacing w:after="20" w:line="252" w:lineRule="auto"/>
            </w:pPr>
            <w:r>
              <w:rPr>
                <w:b w:val="0"/>
                <w:i w:val="0"/>
                <w:sz w:val="16"/>
              </w:rPr>
              <w:t>Personal Home Assistant Takaful (PHA)</w:t>
            </w:r>
          </w:p>
        </w:tc>
        <w:tc>
          <w:tcPr>
            <w:tcW w:type="dxa" w:w="1814"/>
            <w:vAlign w:val="top"/>
            <w:shd w:val="clear" w:color="auto" w:fill="FDF0F7"/>
          </w:tcPr>
          <w:p>
            <w:pPr>
              <w:spacing w:after="20" w:line="252" w:lineRule="auto"/>
            </w:pPr>
            <w:r>
              <w:rPr>
                <w:b w:val="0"/>
                <w:i w:val="0"/>
                <w:sz w:val="16"/>
              </w:rPr>
              <w:t>Annual</w:t>
            </w:r>
          </w:p>
        </w:tc>
        <w:tc>
          <w:tcPr>
            <w:tcW w:type="dxa" w:w="1020"/>
            <w:vAlign w:val="top"/>
            <w:shd w:val="clear" w:color="auto" w:fill="FDF0F7"/>
          </w:tcPr>
          <w:p>
            <w:pPr>
              <w:spacing w:after="20" w:line="252" w:lineRule="auto"/>
              <w:jc w:val="right"/>
            </w:pPr>
            <w:r>
              <w:rPr>
                <w:b w:val="0"/>
                <w:i w:val="0"/>
                <w:sz w:val="16"/>
              </w:rPr>
              <w:t>102</w:t>
            </w:r>
          </w:p>
        </w:tc>
        <w:tc>
          <w:tcPr>
            <w:tcW w:type="dxa" w:w="1361"/>
            <w:vAlign w:val="top"/>
            <w:shd w:val="clear" w:color="auto" w:fill="FDF0F7"/>
          </w:tcPr>
          <w:p>
            <w:pPr>
              <w:spacing w:after="20" w:line="252" w:lineRule="auto"/>
              <w:jc w:val="right"/>
            </w:pPr>
            <w:r>
              <w:rPr>
                <w:b w:val="0"/>
                <w:i w:val="0"/>
                <w:sz w:val="16"/>
              </w:rPr>
              <w:t>41</w:t>
            </w:r>
          </w:p>
        </w:tc>
        <w:tc>
          <w:tcPr>
            <w:tcW w:type="dxa" w:w="1247"/>
            <w:vAlign w:val="top"/>
            <w:shd w:val="clear" w:color="auto" w:fill="FDF0F7"/>
          </w:tcPr>
          <w:p>
            <w:pPr>
              <w:spacing w:after="20" w:line="252" w:lineRule="auto"/>
              <w:jc w:val="right"/>
            </w:pPr>
            <w:r>
              <w:rPr>
                <w:b w:val="0"/>
                <w:i w:val="0"/>
                <w:sz w:val="16"/>
              </w:rPr>
              <w:t>132</w:t>
            </w:r>
          </w:p>
        </w:tc>
      </w:tr>
      <w:tr>
        <w:trPr>
          <w:cantSplit/>
        </w:trPr>
        <w:tc>
          <w:tcPr>
            <w:tcW w:type="dxa" w:w="4195"/>
            <w:vAlign w:val="top"/>
          </w:tcPr>
          <w:p>
            <w:pPr>
              <w:spacing w:after="20" w:line="252" w:lineRule="auto"/>
            </w:pPr>
            <w:r>
              <w:rPr>
                <w:b w:val="0"/>
                <w:i w:val="0"/>
                <w:sz w:val="16"/>
              </w:rPr>
              <w:t>Professional Takaful Plan (PRO)</w:t>
            </w:r>
          </w:p>
        </w:tc>
        <w:tc>
          <w:tcPr>
            <w:tcW w:type="dxa" w:w="1814"/>
            <w:vAlign w:val="top"/>
          </w:tcPr>
          <w:p>
            <w:pPr>
              <w:spacing w:after="20" w:line="252" w:lineRule="auto"/>
            </w:pPr>
            <w:r>
              <w:rPr>
                <w:b w:val="0"/>
                <w:i w:val="0"/>
                <w:sz w:val="16"/>
              </w:rPr>
              <w:t>Annual</w:t>
            </w:r>
          </w:p>
        </w:tc>
        <w:tc>
          <w:tcPr>
            <w:tcW w:type="dxa" w:w="1020"/>
            <w:vAlign w:val="top"/>
          </w:tcPr>
          <w:p>
            <w:pPr>
              <w:spacing w:after="20" w:line="252" w:lineRule="auto"/>
              <w:jc w:val="right"/>
            </w:pPr>
            <w:r>
              <w:rPr>
                <w:b w:val="0"/>
                <w:i w:val="0"/>
                <w:sz w:val="16"/>
              </w:rPr>
              <w:t>40</w:t>
            </w:r>
          </w:p>
        </w:tc>
        <w:tc>
          <w:tcPr>
            <w:tcW w:type="dxa" w:w="1361"/>
            <w:vAlign w:val="top"/>
          </w:tcPr>
          <w:p>
            <w:pPr>
              <w:spacing w:after="20" w:line="252" w:lineRule="auto"/>
              <w:jc w:val="right"/>
            </w:pPr>
            <w:r>
              <w:rPr>
                <w:b w:val="0"/>
                <w:i w:val="0"/>
                <w:sz w:val="16"/>
              </w:rPr>
              <w:t>19</w:t>
            </w:r>
          </w:p>
        </w:tc>
        <w:tc>
          <w:tcPr>
            <w:tcW w:type="dxa" w:w="1247"/>
            <w:vAlign w:val="top"/>
          </w:tcPr>
          <w:p>
            <w:pPr>
              <w:spacing w:after="20" w:line="252" w:lineRule="auto"/>
              <w:jc w:val="right"/>
            </w:pPr>
            <w:r>
              <w:rPr>
                <w:b w:val="0"/>
                <w:i w:val="0"/>
                <w:sz w:val="16"/>
              </w:rPr>
              <w:t>52</w:t>
            </w:r>
          </w:p>
        </w:tc>
      </w:tr>
      <w:tr>
        <w:trPr>
          <w:cantSplit/>
        </w:trPr>
        <w:tc>
          <w:tcPr>
            <w:tcW w:type="dxa" w:w="4195"/>
            <w:vAlign w:val="top"/>
            <w:shd w:val="clear" w:color="auto" w:fill="FDF0F7"/>
          </w:tcPr>
          <w:p>
            <w:pPr>
              <w:spacing w:after="20" w:line="252" w:lineRule="auto"/>
            </w:pPr>
            <w:r>
              <w:rPr>
                <w:b w:val="0"/>
                <w:i w:val="0"/>
                <w:sz w:val="16"/>
              </w:rPr>
              <w:t>Khairat Takaful Plan (KHR)</w:t>
            </w:r>
          </w:p>
        </w:tc>
        <w:tc>
          <w:tcPr>
            <w:tcW w:type="dxa" w:w="1814"/>
            <w:vAlign w:val="top"/>
            <w:shd w:val="clear" w:color="auto" w:fill="FDF0F7"/>
          </w:tcPr>
          <w:p>
            <w:pPr>
              <w:spacing w:after="20" w:line="252" w:lineRule="auto"/>
            </w:pPr>
            <w:r>
              <w:rPr>
                <w:b w:val="0"/>
                <w:i w:val="0"/>
                <w:sz w:val="16"/>
              </w:rPr>
              <w:t>Annual</w:t>
            </w:r>
          </w:p>
        </w:tc>
        <w:tc>
          <w:tcPr>
            <w:tcW w:type="dxa" w:w="1020"/>
            <w:vAlign w:val="top"/>
            <w:shd w:val="clear" w:color="auto" w:fill="FDF0F7"/>
          </w:tcPr>
          <w:p>
            <w:pPr>
              <w:spacing w:after="20" w:line="252" w:lineRule="auto"/>
              <w:jc w:val="right"/>
            </w:pPr>
            <w:r>
              <w:rPr>
                <w:b w:val="0"/>
                <w:i w:val="0"/>
                <w:sz w:val="16"/>
              </w:rPr>
              <w:t>31</w:t>
            </w:r>
          </w:p>
        </w:tc>
        <w:tc>
          <w:tcPr>
            <w:tcW w:type="dxa" w:w="1361"/>
            <w:vAlign w:val="top"/>
            <w:shd w:val="clear" w:color="auto" w:fill="FDF0F7"/>
          </w:tcPr>
          <w:p>
            <w:pPr>
              <w:spacing w:after="20" w:line="252" w:lineRule="auto"/>
              <w:jc w:val="right"/>
            </w:pPr>
            <w:r>
              <w:rPr>
                <w:b w:val="0"/>
                <w:i w:val="0"/>
                <w:sz w:val="16"/>
              </w:rPr>
              <w:t>16</w:t>
            </w:r>
          </w:p>
        </w:tc>
        <w:tc>
          <w:tcPr>
            <w:tcW w:type="dxa" w:w="1247"/>
            <w:vAlign w:val="top"/>
            <w:shd w:val="clear" w:color="auto" w:fill="FDF0F7"/>
          </w:tcPr>
          <w:p>
            <w:pPr>
              <w:spacing w:after="20" w:line="252" w:lineRule="auto"/>
              <w:jc w:val="right"/>
            </w:pPr>
            <w:r>
              <w:rPr>
                <w:b w:val="0"/>
                <w:i w:val="0"/>
                <w:sz w:val="16"/>
              </w:rPr>
              <w:t>40</w:t>
            </w:r>
          </w:p>
        </w:tc>
      </w:tr>
      <w:tr>
        <w:trPr>
          <w:cantSplit/>
        </w:trPr>
        <w:tc>
          <w:tcPr>
            <w:tcW w:type="dxa" w:w="4195"/>
            <w:vAlign w:val="top"/>
          </w:tcPr>
          <w:p>
            <w:pPr>
              <w:spacing w:after="20" w:line="252" w:lineRule="auto"/>
            </w:pPr>
            <w:r>
              <w:rPr>
                <w:b w:val="0"/>
                <w:i w:val="0"/>
                <w:sz w:val="16"/>
              </w:rPr>
              <w:t>Overseas Student Assist Takaful (OSA)</w:t>
            </w:r>
          </w:p>
        </w:tc>
        <w:tc>
          <w:tcPr>
            <w:tcW w:type="dxa" w:w="1814"/>
            <w:vAlign w:val="top"/>
          </w:tcPr>
          <w:p>
            <w:pPr>
              <w:spacing w:after="20" w:line="252" w:lineRule="auto"/>
            </w:pPr>
            <w:r>
              <w:rPr>
                <w:b w:val="0"/>
                <w:i w:val="0"/>
                <w:sz w:val="16"/>
              </w:rPr>
              <w:t>Annual</w:t>
            </w:r>
          </w:p>
        </w:tc>
        <w:tc>
          <w:tcPr>
            <w:tcW w:type="dxa" w:w="1020"/>
            <w:vAlign w:val="top"/>
          </w:tcPr>
          <w:p>
            <w:pPr>
              <w:spacing w:after="20" w:line="252" w:lineRule="auto"/>
              <w:jc w:val="right"/>
            </w:pPr>
            <w:r>
              <w:rPr>
                <w:b w:val="0"/>
                <w:i w:val="0"/>
                <w:sz w:val="16"/>
              </w:rPr>
              <w:t>7</w:t>
            </w:r>
          </w:p>
        </w:tc>
        <w:tc>
          <w:tcPr>
            <w:tcW w:type="dxa" w:w="1361"/>
            <w:vAlign w:val="top"/>
          </w:tcPr>
          <w:p>
            <w:pPr>
              <w:spacing w:after="20" w:line="252" w:lineRule="auto"/>
              <w:jc w:val="right"/>
            </w:pPr>
            <w:r>
              <w:rPr>
                <w:b w:val="0"/>
                <w:i w:val="0"/>
                <w:sz w:val="16"/>
              </w:rPr>
              <w:t>2</w:t>
            </w:r>
          </w:p>
        </w:tc>
        <w:tc>
          <w:tcPr>
            <w:tcW w:type="dxa" w:w="1247"/>
            <w:vAlign w:val="top"/>
          </w:tcPr>
          <w:p>
            <w:pPr>
              <w:spacing w:after="20" w:line="252" w:lineRule="auto"/>
              <w:jc w:val="right"/>
            </w:pPr>
            <w:r>
              <w:rPr>
                <w:b w:val="0"/>
                <w:i w:val="0"/>
                <w:sz w:val="16"/>
              </w:rPr>
              <w:t>9</w:t>
            </w:r>
          </w:p>
        </w:tc>
      </w:tr>
      <w:tr>
        <w:trPr>
          <w:cantSplit/>
        </w:trPr>
        <w:tc>
          <w:tcPr>
            <w:tcW w:type="dxa" w:w="4195"/>
            <w:vAlign w:val="top"/>
            <w:shd w:val="clear" w:color="auto" w:fill="FEEBDD"/>
          </w:tcPr>
          <w:p>
            <w:pPr>
              <w:spacing w:after="20" w:line="252" w:lineRule="auto"/>
            </w:pPr>
            <w:r>
              <w:rPr>
                <w:b/>
                <w:i w:val="0"/>
                <w:sz w:val="16"/>
              </w:rPr>
              <w:t>Total</w:t>
            </w:r>
          </w:p>
        </w:tc>
        <w:tc>
          <w:tcPr>
            <w:tcW w:type="dxa" w:w="1814"/>
            <w:vAlign w:val="top"/>
            <w:shd w:val="clear" w:color="auto" w:fill="FEEBDD"/>
          </w:tcPr>
          <w:p>
            <w:pPr>
              <w:spacing w:after="20" w:line="252" w:lineRule="auto"/>
            </w:pPr>
          </w:p>
        </w:tc>
        <w:tc>
          <w:tcPr>
            <w:tcW w:type="dxa" w:w="1020"/>
            <w:vAlign w:val="top"/>
            <w:shd w:val="clear" w:color="auto" w:fill="FEEBDD"/>
          </w:tcPr>
          <w:p>
            <w:pPr>
              <w:spacing w:after="20" w:line="252" w:lineRule="auto"/>
              <w:jc w:val="right"/>
            </w:pPr>
            <w:r>
              <w:rPr>
                <w:b/>
                <w:i w:val="0"/>
                <w:sz w:val="16"/>
              </w:rPr>
              <w:t>485</w:t>
            </w:r>
          </w:p>
        </w:tc>
        <w:tc>
          <w:tcPr>
            <w:tcW w:type="dxa" w:w="1361"/>
            <w:vAlign w:val="top"/>
            <w:shd w:val="clear" w:color="auto" w:fill="FEEBDD"/>
          </w:tcPr>
          <w:p>
            <w:pPr>
              <w:spacing w:after="20" w:line="252" w:lineRule="auto"/>
              <w:jc w:val="right"/>
            </w:pPr>
            <w:r>
              <w:rPr>
                <w:b/>
                <w:i w:val="0"/>
                <w:sz w:val="16"/>
              </w:rPr>
              <w:t>219</w:t>
            </w:r>
          </w:p>
        </w:tc>
        <w:tc>
          <w:tcPr>
            <w:tcW w:type="dxa" w:w="1247"/>
            <w:vAlign w:val="top"/>
            <w:shd w:val="clear" w:color="auto" w:fill="FEEBDD"/>
          </w:tcPr>
          <w:p>
            <w:pPr>
              <w:spacing w:after="20" w:line="252" w:lineRule="auto"/>
              <w:jc w:val="right"/>
            </w:pPr>
            <w:r>
              <w:rPr>
                <w:b/>
                <w:i w:val="0"/>
                <w:sz w:val="16"/>
              </w:rPr>
              <w:t>628</w:t>
            </w:r>
          </w:p>
        </w:tc>
      </w:tr>
    </w:tbl>
    <w:p>
      <w:pPr>
        <w:pStyle w:val="Caption"/>
        <w:jc w:val="center"/>
      </w:pPr>
      <w:r>
        <w:rPr>
          <w:b w:val="0"/>
          <w:i w:val="0"/>
        </w:rPr>
        <w:t>Table 25: Appendix 2 policy volumes per year</w:t>
      </w:r>
    </w:p>
    <w:p>
      <w:pPr>
        <w:keepNext w:val="0"/>
      </w:pPr>
      <w:r>
        <w:rPr>
          <w:b w:val="0"/>
          <w:i w:val="0"/>
        </w:rPr>
        <w:t>Growing from 485 policies in 2025 to 628 a year in five years is 5.3% a year. The sizing uses that rate from go-live: 2027: 538, 2028: 566, 2029: 596, 2030: 628, 2031: 661. Every figure is then multiplied by 10 for headroom, which also covers the target of 100 concurrent users. At this scale the limiting factor is availability, not capacity.</w:t>
      </w:r>
    </w:p>
    <w:p>
      <w:pPr>
        <w:pStyle w:val="Heading2"/>
      </w:pPr>
      <w:r>
        <w:t>10.2 On-premise servers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1247"/>
        <w:gridCol w:w="680"/>
        <w:gridCol w:w="793"/>
        <w:gridCol w:w="1360"/>
        <w:gridCol w:w="3515"/>
      </w:tblGrid>
      <w:tr>
        <w:trPr>
          <w:cantSplit/>
          <w:tblHeader/>
        </w:trPr>
        <w:tc>
          <w:tcPr>
            <w:tcW w:type="dxa" w:w="2041"/>
            <w:shd w:val="clear" w:color="auto" w:fill="E1058C"/>
            <w:vAlign w:val="center"/>
          </w:tcPr>
          <w:p>
            <w:pPr>
              <w:spacing w:after="0"/>
            </w:pPr>
            <w:r>
              <w:rPr>
                <w:b/>
                <w:i w:val="0"/>
                <w:color w:val="FFFFFF"/>
                <w:sz w:val="16"/>
              </w:rPr>
              <w:t>Server</w:t>
            </w:r>
          </w:p>
        </w:tc>
        <w:tc>
          <w:tcPr>
            <w:tcW w:type="dxa" w:w="1247"/>
            <w:shd w:val="clear" w:color="auto" w:fill="E1058C"/>
            <w:vAlign w:val="center"/>
          </w:tcPr>
          <w:p>
            <w:pPr>
              <w:spacing w:after="0"/>
            </w:pPr>
            <w:r>
              <w:rPr>
                <w:b/>
                <w:i w:val="0"/>
                <w:color w:val="FFFFFF"/>
                <w:sz w:val="16"/>
              </w:rPr>
              <w:t>Qty</w:t>
            </w:r>
          </w:p>
        </w:tc>
        <w:tc>
          <w:tcPr>
            <w:tcW w:type="dxa" w:w="680"/>
            <w:shd w:val="clear" w:color="auto" w:fill="E1058C"/>
            <w:vAlign w:val="center"/>
          </w:tcPr>
          <w:p>
            <w:pPr>
              <w:spacing w:after="0"/>
            </w:pPr>
            <w:r>
              <w:rPr>
                <w:b/>
                <w:i w:val="0"/>
                <w:color w:val="FFFFFF"/>
                <w:sz w:val="16"/>
              </w:rPr>
              <w:t>vCPU</w:t>
            </w:r>
          </w:p>
        </w:tc>
        <w:tc>
          <w:tcPr>
            <w:tcW w:type="dxa" w:w="794"/>
            <w:shd w:val="clear" w:color="auto" w:fill="E1058C"/>
            <w:vAlign w:val="center"/>
          </w:tcPr>
          <w:p>
            <w:pPr>
              <w:spacing w:after="0"/>
            </w:pPr>
            <w:r>
              <w:rPr>
                <w:b/>
                <w:i w:val="0"/>
                <w:color w:val="FFFFFF"/>
                <w:sz w:val="16"/>
              </w:rPr>
              <w:t>RAM</w:t>
            </w:r>
          </w:p>
        </w:tc>
        <w:tc>
          <w:tcPr>
            <w:tcW w:type="dxa" w:w="1361"/>
            <w:shd w:val="clear" w:color="auto" w:fill="E1058C"/>
            <w:vAlign w:val="center"/>
          </w:tcPr>
          <w:p>
            <w:pPr>
              <w:spacing w:after="0"/>
            </w:pPr>
            <w:r>
              <w:rPr>
                <w:b/>
                <w:i w:val="0"/>
                <w:color w:val="FFFFFF"/>
                <w:sz w:val="16"/>
              </w:rPr>
              <w:t>Storage</w:t>
            </w:r>
          </w:p>
        </w:tc>
        <w:tc>
          <w:tcPr>
            <w:tcW w:type="dxa" w:w="3515"/>
            <w:shd w:val="clear" w:color="auto" w:fill="E1058C"/>
            <w:vAlign w:val="center"/>
          </w:tcPr>
          <w:p>
            <w:pPr>
              <w:spacing w:after="0"/>
            </w:pPr>
            <w:r>
              <w:rPr>
                <w:b/>
                <w:i w:val="0"/>
                <w:color w:val="FFFFFF"/>
                <w:sz w:val="16"/>
              </w:rPr>
              <w:t>Software</w:t>
            </w:r>
          </w:p>
        </w:tc>
      </w:tr>
      <w:tr>
        <w:trPr>
          <w:cantSplit/>
        </w:trPr>
        <w:tc>
          <w:tcPr>
            <w:tcW w:type="dxa" w:w="3515"/>
            <w:gridSpan w:val="6"/>
            <w:shd w:val="clear" w:color="auto" w:fill="FEEBDD"/>
          </w:tcPr>
          <w:p>
            <w:pPr>
              <w:keepNext/>
              <w:spacing w:after="0"/>
            </w:pPr>
            <w:r>
              <w:rPr>
                <w:b/>
                <w:i w:val="0"/>
                <w:color w:val="333333"/>
                <w:sz w:val="16"/>
              </w:rPr>
              <w:t>Production</w:t>
            </w:r>
          </w:p>
        </w:tc>
      </w:tr>
      <w:tr>
        <w:trPr>
          <w:cantSplit/>
        </w:trPr>
        <w:tc>
          <w:tcPr>
            <w:tcW w:type="dxa" w:w="2041"/>
            <w:vAlign w:val="top"/>
          </w:tcPr>
          <w:p>
            <w:pPr>
              <w:spacing w:after="20" w:line="252" w:lineRule="auto"/>
            </w:pPr>
            <w:r>
              <w:rPr>
                <w:b w:val="0"/>
                <w:i w:val="0"/>
                <w:sz w:val="16"/>
              </w:rPr>
              <w:t>WAF / load balancer</w:t>
            </w:r>
          </w:p>
        </w:tc>
        <w:tc>
          <w:tcPr>
            <w:tcW w:type="dxa" w:w="1247"/>
            <w:vAlign w:val="top"/>
          </w:tcPr>
          <w:p>
            <w:pPr>
              <w:spacing w:after="20" w:line="252" w:lineRule="auto"/>
            </w:pPr>
            <w:r>
              <w:rPr>
                <w:b w:val="0"/>
                <w:i w:val="0"/>
                <w:sz w:val="16"/>
              </w:rPr>
              <w:t>2 (or existing)</w:t>
            </w:r>
          </w:p>
        </w:tc>
        <w:tc>
          <w:tcPr>
            <w:tcW w:type="dxa" w:w="680"/>
            <w:vAlign w:val="top"/>
          </w:tcPr>
          <w:p>
            <w:pPr>
              <w:spacing w:after="20" w:line="252" w:lineRule="auto"/>
            </w:pPr>
            <w:r>
              <w:rPr>
                <w:b w:val="0"/>
                <w:i w:val="0"/>
                <w:sz w:val="16"/>
              </w:rPr>
              <w:t>2</w:t>
            </w:r>
          </w:p>
        </w:tc>
        <w:tc>
          <w:tcPr>
            <w:tcW w:type="dxa" w:w="794"/>
            <w:vAlign w:val="top"/>
          </w:tcPr>
          <w:p>
            <w:pPr>
              <w:spacing w:after="20" w:line="252" w:lineRule="auto"/>
            </w:pPr>
            <w:r>
              <w:rPr>
                <w:b w:val="0"/>
                <w:i w:val="0"/>
                <w:sz w:val="16"/>
              </w:rPr>
              <w:t>4 GB</w:t>
            </w:r>
          </w:p>
        </w:tc>
        <w:tc>
          <w:tcPr>
            <w:tcW w:type="dxa" w:w="1361"/>
            <w:vAlign w:val="top"/>
          </w:tcPr>
          <w:p>
            <w:pPr>
              <w:spacing w:after="20" w:line="252" w:lineRule="auto"/>
            </w:pPr>
            <w:r>
              <w:rPr>
                <w:b w:val="0"/>
                <w:i w:val="0"/>
                <w:sz w:val="16"/>
              </w:rPr>
              <w:t>–</w:t>
            </w:r>
          </w:p>
        </w:tc>
        <w:tc>
          <w:tcPr>
            <w:tcW w:type="dxa" w:w="3515"/>
            <w:vAlign w:val="top"/>
          </w:tcPr>
          <w:p>
            <w:pPr>
              <w:spacing w:after="20" w:line="252" w:lineRule="auto"/>
            </w:pPr>
            <w:r>
              <w:rPr>
                <w:b w:val="0"/>
                <w:i w:val="0"/>
                <w:sz w:val="16"/>
              </w:rPr>
              <w:t>IITH appliance or HAProxy/nginx pair</w:t>
            </w:r>
          </w:p>
        </w:tc>
      </w:tr>
      <w:tr>
        <w:trPr>
          <w:cantSplit/>
        </w:trPr>
        <w:tc>
          <w:tcPr>
            <w:tcW w:type="dxa" w:w="2041"/>
            <w:vAlign w:val="top"/>
            <w:shd w:val="clear" w:color="auto" w:fill="FDF0F7"/>
          </w:tcPr>
          <w:p>
            <w:pPr>
              <w:spacing w:after="20" w:line="252" w:lineRule="auto"/>
            </w:pPr>
            <w:r>
              <w:rPr>
                <w:b w:val="0"/>
                <w:i w:val="0"/>
                <w:sz w:val="16"/>
              </w:rPr>
              <w:t>Application VM</w:t>
            </w:r>
          </w:p>
        </w:tc>
        <w:tc>
          <w:tcPr>
            <w:tcW w:type="dxa" w:w="1247"/>
            <w:vAlign w:val="top"/>
            <w:shd w:val="clear" w:color="auto" w:fill="FDF0F7"/>
          </w:tcPr>
          <w:p>
            <w:pPr>
              <w:spacing w:after="20" w:line="252" w:lineRule="auto"/>
            </w:pPr>
            <w:r>
              <w:rPr>
                <w:b w:val="0"/>
                <w:i w:val="0"/>
                <w:sz w:val="16"/>
              </w:rPr>
              <w:t>2</w:t>
            </w:r>
          </w:p>
        </w:tc>
        <w:tc>
          <w:tcPr>
            <w:tcW w:type="dxa" w:w="680"/>
            <w:vAlign w:val="top"/>
            <w:shd w:val="clear" w:color="auto" w:fill="FDF0F7"/>
          </w:tcPr>
          <w:p>
            <w:pPr>
              <w:spacing w:after="20" w:line="252" w:lineRule="auto"/>
            </w:pPr>
            <w:r>
              <w:rPr>
                <w:b w:val="0"/>
                <w:i w:val="0"/>
                <w:sz w:val="16"/>
              </w:rPr>
              <w:t>4</w:t>
            </w:r>
          </w:p>
        </w:tc>
        <w:tc>
          <w:tcPr>
            <w:tcW w:type="dxa" w:w="794"/>
            <w:vAlign w:val="top"/>
            <w:shd w:val="clear" w:color="auto" w:fill="FDF0F7"/>
          </w:tcPr>
          <w:p>
            <w:pPr>
              <w:spacing w:after="20" w:line="252" w:lineRule="auto"/>
            </w:pPr>
            <w:r>
              <w:rPr>
                <w:b w:val="0"/>
                <w:i w:val="0"/>
                <w:sz w:val="16"/>
              </w:rPr>
              <w:t>8 GB</w:t>
            </w:r>
          </w:p>
        </w:tc>
        <w:tc>
          <w:tcPr>
            <w:tcW w:type="dxa" w:w="1361"/>
            <w:vAlign w:val="top"/>
            <w:shd w:val="clear" w:color="auto" w:fill="FDF0F7"/>
          </w:tcPr>
          <w:p>
            <w:pPr>
              <w:spacing w:after="20" w:line="252" w:lineRule="auto"/>
            </w:pPr>
            <w:r>
              <w:rPr>
                <w:b w:val="0"/>
                <w:i w:val="0"/>
                <w:sz w:val="16"/>
              </w:rPr>
              <w:t>100 GB</w:t>
            </w:r>
          </w:p>
        </w:tc>
        <w:tc>
          <w:tcPr>
            <w:tcW w:type="dxa" w:w="3515"/>
            <w:vAlign w:val="top"/>
            <w:shd w:val="clear" w:color="auto" w:fill="FDF0F7"/>
          </w:tcPr>
          <w:p>
            <w:pPr>
              <w:spacing w:after="20" w:line="252" w:lineRule="auto"/>
            </w:pPr>
            <w:r>
              <w:rPr>
                <w:b w:val="0"/>
                <w:i w:val="0"/>
                <w:sz w:val="16"/>
              </w:rPr>
              <w:t>Linux, Docker Engine; web, api, clamav containers</w:t>
            </w:r>
          </w:p>
        </w:tc>
      </w:tr>
      <w:tr>
        <w:trPr>
          <w:cantSplit/>
        </w:trPr>
        <w:tc>
          <w:tcPr>
            <w:tcW w:type="dxa" w:w="2041"/>
            <w:vAlign w:val="top"/>
          </w:tcPr>
          <w:p>
            <w:pPr>
              <w:spacing w:after="20" w:line="252" w:lineRule="auto"/>
            </w:pPr>
            <w:r>
              <w:rPr>
                <w:b w:val="0"/>
                <w:i w:val="0"/>
                <w:sz w:val="16"/>
              </w:rPr>
              <w:t>Database VM</w:t>
            </w:r>
          </w:p>
        </w:tc>
        <w:tc>
          <w:tcPr>
            <w:tcW w:type="dxa" w:w="1247"/>
            <w:vAlign w:val="top"/>
          </w:tcPr>
          <w:p>
            <w:pPr>
              <w:spacing w:after="20" w:line="252" w:lineRule="auto"/>
            </w:pPr>
            <w:r>
              <w:rPr>
                <w:b w:val="0"/>
                <w:i w:val="0"/>
                <w:sz w:val="16"/>
              </w:rPr>
              <w:t>2</w:t>
            </w:r>
          </w:p>
        </w:tc>
        <w:tc>
          <w:tcPr>
            <w:tcW w:type="dxa" w:w="680"/>
            <w:vAlign w:val="top"/>
          </w:tcPr>
          <w:p>
            <w:pPr>
              <w:spacing w:after="20" w:line="252" w:lineRule="auto"/>
            </w:pPr>
            <w:r>
              <w:rPr>
                <w:b w:val="0"/>
                <w:i w:val="0"/>
                <w:sz w:val="16"/>
              </w:rPr>
              <w:t>4</w:t>
            </w:r>
          </w:p>
        </w:tc>
        <w:tc>
          <w:tcPr>
            <w:tcW w:type="dxa" w:w="794"/>
            <w:vAlign w:val="top"/>
          </w:tcPr>
          <w:p>
            <w:pPr>
              <w:spacing w:after="20" w:line="252" w:lineRule="auto"/>
            </w:pPr>
            <w:r>
              <w:rPr>
                <w:b w:val="0"/>
                <w:i w:val="0"/>
                <w:sz w:val="16"/>
              </w:rPr>
              <w:t>16 GB</w:t>
            </w:r>
          </w:p>
        </w:tc>
        <w:tc>
          <w:tcPr>
            <w:tcW w:type="dxa" w:w="1361"/>
            <w:vAlign w:val="top"/>
          </w:tcPr>
          <w:p>
            <w:pPr>
              <w:spacing w:after="20" w:line="252" w:lineRule="auto"/>
            </w:pPr>
            <w:r>
              <w:rPr>
                <w:b w:val="0"/>
                <w:i w:val="0"/>
                <w:sz w:val="16"/>
              </w:rPr>
              <w:t>200 GB SSD</w:t>
            </w:r>
          </w:p>
        </w:tc>
        <w:tc>
          <w:tcPr>
            <w:tcW w:type="dxa" w:w="3515"/>
            <w:vAlign w:val="top"/>
          </w:tcPr>
          <w:p>
            <w:pPr>
              <w:spacing w:after="20" w:line="252" w:lineRule="auto"/>
            </w:pPr>
            <w:r>
              <w:rPr>
                <w:b w:val="0"/>
                <w:i w:val="0"/>
                <w:sz w:val="16"/>
              </w:rPr>
              <w:t>PostgreSQL 16 primary and hot standby, pgBackRest</w:t>
            </w:r>
          </w:p>
        </w:tc>
      </w:tr>
      <w:tr>
        <w:trPr>
          <w:cantSplit/>
        </w:trPr>
        <w:tc>
          <w:tcPr>
            <w:tcW w:type="dxa" w:w="2041"/>
            <w:vAlign w:val="top"/>
            <w:shd w:val="clear" w:color="auto" w:fill="FDF0F7"/>
          </w:tcPr>
          <w:p>
            <w:pPr>
              <w:spacing w:after="20" w:line="252" w:lineRule="auto"/>
            </w:pPr>
            <w:r>
              <w:rPr>
                <w:b w:val="0"/>
                <w:i w:val="0"/>
                <w:sz w:val="16"/>
              </w:rPr>
              <w:t>Document store</w:t>
            </w:r>
          </w:p>
        </w:tc>
        <w:tc>
          <w:tcPr>
            <w:tcW w:type="dxa" w:w="1247"/>
            <w:vAlign w:val="top"/>
            <w:shd w:val="clear" w:color="auto" w:fill="FDF0F7"/>
          </w:tcPr>
          <w:p>
            <w:pPr>
              <w:spacing w:after="20" w:line="252" w:lineRule="auto"/>
            </w:pPr>
            <w:r>
              <w:rPr>
                <w:b w:val="0"/>
                <w:i w:val="0"/>
                <w:sz w:val="16"/>
              </w:rPr>
              <w:t>1 share</w:t>
            </w:r>
          </w:p>
        </w:tc>
        <w:tc>
          <w:tcPr>
            <w:tcW w:type="dxa" w:w="680"/>
            <w:vAlign w:val="top"/>
            <w:shd w:val="clear" w:color="auto" w:fill="FDF0F7"/>
          </w:tcPr>
          <w:p>
            <w:pPr>
              <w:spacing w:after="20" w:line="252" w:lineRule="auto"/>
            </w:pPr>
            <w:r>
              <w:rPr>
                <w:b w:val="0"/>
                <w:i w:val="0"/>
                <w:sz w:val="16"/>
              </w:rPr>
              <w:t>–</w:t>
            </w:r>
          </w:p>
        </w:tc>
        <w:tc>
          <w:tcPr>
            <w:tcW w:type="dxa" w:w="794"/>
            <w:vAlign w:val="top"/>
            <w:shd w:val="clear" w:color="auto" w:fill="FDF0F7"/>
          </w:tcPr>
          <w:p>
            <w:pPr>
              <w:spacing w:after="20" w:line="252" w:lineRule="auto"/>
            </w:pPr>
            <w:r>
              <w:rPr>
                <w:b w:val="0"/>
                <w:i w:val="0"/>
                <w:sz w:val="16"/>
              </w:rPr>
              <w:t>–</w:t>
            </w:r>
          </w:p>
        </w:tc>
        <w:tc>
          <w:tcPr>
            <w:tcW w:type="dxa" w:w="1361"/>
            <w:vAlign w:val="top"/>
            <w:shd w:val="clear" w:color="auto" w:fill="FDF0F7"/>
          </w:tcPr>
          <w:p>
            <w:pPr>
              <w:spacing w:after="20" w:line="252" w:lineRule="auto"/>
            </w:pPr>
            <w:r>
              <w:rPr>
                <w:b w:val="0"/>
                <w:i w:val="0"/>
                <w:sz w:val="16"/>
              </w:rPr>
              <w:t>500 GB</w:t>
            </w:r>
          </w:p>
        </w:tc>
        <w:tc>
          <w:tcPr>
            <w:tcW w:type="dxa" w:w="3515"/>
            <w:vAlign w:val="top"/>
            <w:shd w:val="clear" w:color="auto" w:fill="FDF0F7"/>
          </w:tcPr>
          <w:p>
            <w:pPr>
              <w:spacing w:after="20" w:line="252" w:lineRule="auto"/>
            </w:pPr>
            <w:r>
              <w:rPr>
                <w:b w:val="0"/>
                <w:i w:val="0"/>
                <w:sz w:val="16"/>
              </w:rPr>
              <w:t>NFS export, encrypted volume</w:t>
            </w:r>
          </w:p>
        </w:tc>
      </w:tr>
      <w:tr>
        <w:trPr>
          <w:cantSplit/>
        </w:trPr>
        <w:tc>
          <w:tcPr>
            <w:tcW w:type="dxa" w:w="2041"/>
            <w:vAlign w:val="top"/>
          </w:tcPr>
          <w:p>
            <w:pPr>
              <w:spacing w:after="20" w:line="252" w:lineRule="auto"/>
            </w:pPr>
            <w:r>
              <w:rPr>
                <w:b w:val="0"/>
                <w:i w:val="0"/>
                <w:sz w:val="16"/>
              </w:rPr>
              <w:t>Backup repository</w:t>
            </w:r>
          </w:p>
        </w:tc>
        <w:tc>
          <w:tcPr>
            <w:tcW w:type="dxa" w:w="1247"/>
            <w:vAlign w:val="top"/>
          </w:tcPr>
          <w:p>
            <w:pPr>
              <w:spacing w:after="20" w:line="252" w:lineRule="auto"/>
            </w:pPr>
            <w:r>
              <w:rPr>
                <w:b w:val="0"/>
                <w:i w:val="0"/>
                <w:sz w:val="16"/>
              </w:rPr>
              <w:t>1</w:t>
            </w:r>
          </w:p>
        </w:tc>
        <w:tc>
          <w:tcPr>
            <w:tcW w:type="dxa" w:w="680"/>
            <w:vAlign w:val="top"/>
          </w:tcPr>
          <w:p>
            <w:pPr>
              <w:spacing w:after="20" w:line="252" w:lineRule="auto"/>
            </w:pPr>
            <w:r>
              <w:rPr>
                <w:b w:val="0"/>
                <w:i w:val="0"/>
                <w:sz w:val="16"/>
              </w:rPr>
              <w:t>–</w:t>
            </w:r>
          </w:p>
        </w:tc>
        <w:tc>
          <w:tcPr>
            <w:tcW w:type="dxa" w:w="794"/>
            <w:vAlign w:val="top"/>
          </w:tcPr>
          <w:p>
            <w:pPr>
              <w:spacing w:after="20" w:line="252" w:lineRule="auto"/>
            </w:pPr>
            <w:r>
              <w:rPr>
                <w:b w:val="0"/>
                <w:i w:val="0"/>
                <w:sz w:val="16"/>
              </w:rPr>
              <w:t>–</w:t>
            </w:r>
          </w:p>
        </w:tc>
        <w:tc>
          <w:tcPr>
            <w:tcW w:type="dxa" w:w="1361"/>
            <w:vAlign w:val="top"/>
          </w:tcPr>
          <w:p>
            <w:pPr>
              <w:spacing w:after="20" w:line="252" w:lineRule="auto"/>
            </w:pPr>
            <w:r>
              <w:rPr>
                <w:b w:val="0"/>
                <w:i w:val="0"/>
                <w:sz w:val="16"/>
              </w:rPr>
              <w:t>1 TB</w:t>
            </w:r>
          </w:p>
        </w:tc>
        <w:tc>
          <w:tcPr>
            <w:tcW w:type="dxa" w:w="3515"/>
            <w:vAlign w:val="top"/>
          </w:tcPr>
          <w:p>
            <w:pPr>
              <w:spacing w:after="20" w:line="252" w:lineRule="auto"/>
            </w:pPr>
            <w:r>
              <w:rPr>
                <w:b w:val="0"/>
                <w:i w:val="0"/>
                <w:sz w:val="16"/>
              </w:rPr>
              <w:t>pgBackRest repository, document backups</w:t>
            </w:r>
          </w:p>
        </w:tc>
      </w:tr>
      <w:tr>
        <w:trPr>
          <w:cantSplit/>
        </w:trPr>
        <w:tc>
          <w:tcPr>
            <w:tcW w:type="dxa" w:w="2041"/>
            <w:vAlign w:val="top"/>
            <w:shd w:val="clear" w:color="auto" w:fill="FDF0F7"/>
          </w:tcPr>
          <w:p>
            <w:pPr>
              <w:spacing w:after="20" w:line="252" w:lineRule="auto"/>
            </w:pPr>
            <w:r>
              <w:rPr>
                <w:b w:val="0"/>
                <w:i w:val="0"/>
                <w:sz w:val="16"/>
              </w:rPr>
              <w:t>Monitoring</w:t>
            </w:r>
          </w:p>
        </w:tc>
        <w:tc>
          <w:tcPr>
            <w:tcW w:type="dxa" w:w="1247"/>
            <w:vAlign w:val="top"/>
            <w:shd w:val="clear" w:color="auto" w:fill="FDF0F7"/>
          </w:tcPr>
          <w:p>
            <w:pPr>
              <w:spacing w:after="20" w:line="252" w:lineRule="auto"/>
            </w:pPr>
            <w:r>
              <w:rPr>
                <w:b w:val="0"/>
                <w:i w:val="0"/>
                <w:sz w:val="16"/>
              </w:rPr>
              <w:t>1 (or existing)</w:t>
            </w:r>
          </w:p>
        </w:tc>
        <w:tc>
          <w:tcPr>
            <w:tcW w:type="dxa" w:w="680"/>
            <w:vAlign w:val="top"/>
            <w:shd w:val="clear" w:color="auto" w:fill="FDF0F7"/>
          </w:tcPr>
          <w:p>
            <w:pPr>
              <w:spacing w:after="20" w:line="252" w:lineRule="auto"/>
            </w:pPr>
            <w:r>
              <w:rPr>
                <w:b w:val="0"/>
                <w:i w:val="0"/>
                <w:sz w:val="16"/>
              </w:rPr>
              <w:t>2</w:t>
            </w:r>
          </w:p>
        </w:tc>
        <w:tc>
          <w:tcPr>
            <w:tcW w:type="dxa" w:w="794"/>
            <w:vAlign w:val="top"/>
            <w:shd w:val="clear" w:color="auto" w:fill="FDF0F7"/>
          </w:tcPr>
          <w:p>
            <w:pPr>
              <w:spacing w:after="20" w:line="252" w:lineRule="auto"/>
            </w:pPr>
            <w:r>
              <w:rPr>
                <w:b w:val="0"/>
                <w:i w:val="0"/>
                <w:sz w:val="16"/>
              </w:rPr>
              <w:t>4 GB</w:t>
            </w:r>
          </w:p>
        </w:tc>
        <w:tc>
          <w:tcPr>
            <w:tcW w:type="dxa" w:w="1361"/>
            <w:vAlign w:val="top"/>
            <w:shd w:val="clear" w:color="auto" w:fill="FDF0F7"/>
          </w:tcPr>
          <w:p>
            <w:pPr>
              <w:spacing w:after="20" w:line="252" w:lineRule="auto"/>
            </w:pPr>
            <w:r>
              <w:rPr>
                <w:b w:val="0"/>
                <w:i w:val="0"/>
                <w:sz w:val="16"/>
              </w:rPr>
              <w:t>100 GB</w:t>
            </w:r>
          </w:p>
        </w:tc>
        <w:tc>
          <w:tcPr>
            <w:tcW w:type="dxa" w:w="3515"/>
            <w:vAlign w:val="top"/>
            <w:shd w:val="clear" w:color="auto" w:fill="FDF0F7"/>
          </w:tcPr>
          <w:p>
            <w:pPr>
              <w:spacing w:after="20" w:line="252" w:lineRule="auto"/>
            </w:pPr>
            <w:r>
              <w:rPr>
                <w:b w:val="0"/>
                <w:i w:val="0"/>
                <w:sz w:val="16"/>
              </w:rPr>
              <w:t>Prometheus, Grafana, log collector</w:t>
            </w:r>
          </w:p>
        </w:tc>
      </w:tr>
      <w:tr>
        <w:trPr>
          <w:cantSplit/>
        </w:trPr>
        <w:tc>
          <w:tcPr>
            <w:tcW w:type="dxa" w:w="3515"/>
            <w:gridSpan w:val="6"/>
            <w:shd w:val="clear" w:color="auto" w:fill="FEEBDD"/>
          </w:tcPr>
          <w:p>
            <w:pPr>
              <w:keepNext/>
              <w:spacing w:after="0"/>
            </w:pPr>
            <w:r>
              <w:rPr>
                <w:b/>
                <w:i w:val="0"/>
                <w:color w:val="333333"/>
                <w:sz w:val="16"/>
              </w:rPr>
              <w:t>Non-production</w:t>
            </w:r>
          </w:p>
        </w:tc>
      </w:tr>
      <w:tr>
        <w:trPr>
          <w:cantSplit/>
        </w:trPr>
        <w:tc>
          <w:tcPr>
            <w:tcW w:type="dxa" w:w="2041"/>
            <w:vAlign w:val="top"/>
          </w:tcPr>
          <w:p>
            <w:pPr>
              <w:spacing w:after="20" w:line="252" w:lineRule="auto"/>
            </w:pPr>
            <w:r>
              <w:rPr>
                <w:b w:val="0"/>
                <w:i w:val="0"/>
                <w:sz w:val="16"/>
              </w:rPr>
              <w:t>SIT</w:t>
            </w:r>
          </w:p>
        </w:tc>
        <w:tc>
          <w:tcPr>
            <w:tcW w:type="dxa" w:w="1247"/>
            <w:vAlign w:val="top"/>
          </w:tcPr>
          <w:p>
            <w:pPr>
              <w:spacing w:after="20" w:line="252" w:lineRule="auto"/>
            </w:pPr>
            <w:r>
              <w:rPr>
                <w:b w:val="0"/>
                <w:i w:val="0"/>
                <w:sz w:val="16"/>
              </w:rPr>
              <w:t>1</w:t>
            </w:r>
          </w:p>
        </w:tc>
        <w:tc>
          <w:tcPr>
            <w:tcW w:type="dxa" w:w="680"/>
            <w:vAlign w:val="top"/>
          </w:tcPr>
          <w:p>
            <w:pPr>
              <w:spacing w:after="20" w:line="252" w:lineRule="auto"/>
            </w:pPr>
            <w:r>
              <w:rPr>
                <w:b w:val="0"/>
                <w:i w:val="0"/>
                <w:sz w:val="16"/>
              </w:rPr>
              <w:t>4</w:t>
            </w:r>
          </w:p>
        </w:tc>
        <w:tc>
          <w:tcPr>
            <w:tcW w:type="dxa" w:w="794"/>
            <w:vAlign w:val="top"/>
          </w:tcPr>
          <w:p>
            <w:pPr>
              <w:spacing w:after="20" w:line="252" w:lineRule="auto"/>
            </w:pPr>
            <w:r>
              <w:rPr>
                <w:b w:val="0"/>
                <w:i w:val="0"/>
                <w:sz w:val="16"/>
              </w:rPr>
              <w:t>16 GB</w:t>
            </w:r>
          </w:p>
        </w:tc>
        <w:tc>
          <w:tcPr>
            <w:tcW w:type="dxa" w:w="1361"/>
            <w:vAlign w:val="top"/>
          </w:tcPr>
          <w:p>
            <w:pPr>
              <w:spacing w:after="20" w:line="252" w:lineRule="auto"/>
            </w:pPr>
            <w:r>
              <w:rPr>
                <w:b w:val="0"/>
                <w:i w:val="0"/>
                <w:sz w:val="16"/>
              </w:rPr>
              <w:t>200 GB</w:t>
            </w:r>
          </w:p>
        </w:tc>
        <w:tc>
          <w:tcPr>
            <w:tcW w:type="dxa" w:w="3515"/>
            <w:vAlign w:val="top"/>
          </w:tcPr>
          <w:p>
            <w:pPr>
              <w:spacing w:after="20" w:line="252" w:lineRule="auto"/>
            </w:pPr>
            <w:r>
              <w:rPr>
                <w:b w:val="0"/>
                <w:i w:val="0"/>
                <w:sz w:val="16"/>
              </w:rPr>
              <w:t>Compose: web, api, clamav, PostgreSQL</w:t>
            </w:r>
          </w:p>
        </w:tc>
      </w:tr>
      <w:tr>
        <w:trPr>
          <w:cantSplit/>
        </w:trPr>
        <w:tc>
          <w:tcPr>
            <w:tcW w:type="dxa" w:w="2041"/>
            <w:vAlign w:val="top"/>
            <w:shd w:val="clear" w:color="auto" w:fill="FDF0F7"/>
          </w:tcPr>
          <w:p>
            <w:pPr>
              <w:spacing w:after="20" w:line="252" w:lineRule="auto"/>
            </w:pPr>
            <w:r>
              <w:rPr>
                <w:b w:val="0"/>
                <w:i w:val="0"/>
                <w:sz w:val="16"/>
              </w:rPr>
              <w:t>UAT</w:t>
            </w:r>
          </w:p>
        </w:tc>
        <w:tc>
          <w:tcPr>
            <w:tcW w:type="dxa" w:w="1247"/>
            <w:vAlign w:val="top"/>
            <w:shd w:val="clear" w:color="auto" w:fill="FDF0F7"/>
          </w:tcPr>
          <w:p>
            <w:pPr>
              <w:spacing w:after="20" w:line="252" w:lineRule="auto"/>
            </w:pPr>
            <w:r>
              <w:rPr>
                <w:b w:val="0"/>
                <w:i w:val="0"/>
                <w:sz w:val="16"/>
              </w:rPr>
              <w:t>1</w:t>
            </w:r>
          </w:p>
        </w:tc>
        <w:tc>
          <w:tcPr>
            <w:tcW w:type="dxa" w:w="680"/>
            <w:vAlign w:val="top"/>
            <w:shd w:val="clear" w:color="auto" w:fill="FDF0F7"/>
          </w:tcPr>
          <w:p>
            <w:pPr>
              <w:spacing w:after="20" w:line="252" w:lineRule="auto"/>
            </w:pPr>
            <w:r>
              <w:rPr>
                <w:b w:val="0"/>
                <w:i w:val="0"/>
                <w:sz w:val="16"/>
              </w:rPr>
              <w:t>4</w:t>
            </w:r>
          </w:p>
        </w:tc>
        <w:tc>
          <w:tcPr>
            <w:tcW w:type="dxa" w:w="794"/>
            <w:vAlign w:val="top"/>
            <w:shd w:val="clear" w:color="auto" w:fill="FDF0F7"/>
          </w:tcPr>
          <w:p>
            <w:pPr>
              <w:spacing w:after="20" w:line="252" w:lineRule="auto"/>
            </w:pPr>
            <w:r>
              <w:rPr>
                <w:b w:val="0"/>
                <w:i w:val="0"/>
                <w:sz w:val="16"/>
              </w:rPr>
              <w:t>16 GB</w:t>
            </w:r>
          </w:p>
        </w:tc>
        <w:tc>
          <w:tcPr>
            <w:tcW w:type="dxa" w:w="1361"/>
            <w:vAlign w:val="top"/>
            <w:shd w:val="clear" w:color="auto" w:fill="FDF0F7"/>
          </w:tcPr>
          <w:p>
            <w:pPr>
              <w:spacing w:after="20" w:line="252" w:lineRule="auto"/>
            </w:pPr>
            <w:r>
              <w:rPr>
                <w:b w:val="0"/>
                <w:i w:val="0"/>
                <w:sz w:val="16"/>
              </w:rPr>
              <w:t>200 GB</w:t>
            </w:r>
          </w:p>
        </w:tc>
        <w:tc>
          <w:tcPr>
            <w:tcW w:type="dxa" w:w="3515"/>
            <w:vAlign w:val="top"/>
            <w:shd w:val="clear" w:color="auto" w:fill="FDF0F7"/>
          </w:tcPr>
          <w:p>
            <w:pPr>
              <w:spacing w:after="20" w:line="252" w:lineRule="auto"/>
            </w:pPr>
            <w:r>
              <w:rPr>
                <w:b w:val="0"/>
                <w:i w:val="0"/>
                <w:sz w:val="16"/>
              </w:rPr>
              <w:t>Compose: web, api, clamav, PostgreSQL</w:t>
            </w:r>
          </w:p>
        </w:tc>
      </w:tr>
      <w:tr>
        <w:trPr>
          <w:cantSplit/>
        </w:trPr>
        <w:tc>
          <w:tcPr>
            <w:tcW w:type="dxa" w:w="3515"/>
            <w:gridSpan w:val="6"/>
            <w:shd w:val="clear" w:color="auto" w:fill="FEEBDD"/>
          </w:tcPr>
          <w:p>
            <w:pPr>
              <w:keepNext/>
              <w:spacing w:after="0"/>
            </w:pPr>
            <w:r>
              <w:rPr>
                <w:b/>
                <w:i w:val="0"/>
                <w:color w:val="333333"/>
                <w:sz w:val="16"/>
              </w:rPr>
              <w:t>DR site</w:t>
            </w:r>
          </w:p>
        </w:tc>
      </w:tr>
      <w:tr>
        <w:trPr>
          <w:cantSplit/>
        </w:trPr>
        <w:tc>
          <w:tcPr>
            <w:tcW w:type="dxa" w:w="2041"/>
            <w:vAlign w:val="top"/>
          </w:tcPr>
          <w:p>
            <w:pPr>
              <w:spacing w:after="20" w:line="252" w:lineRule="auto"/>
            </w:pPr>
            <w:r>
              <w:rPr>
                <w:b w:val="0"/>
                <w:i w:val="0"/>
                <w:sz w:val="16"/>
              </w:rPr>
              <w:t>Application VM</w:t>
            </w:r>
          </w:p>
        </w:tc>
        <w:tc>
          <w:tcPr>
            <w:tcW w:type="dxa" w:w="1247"/>
            <w:vAlign w:val="top"/>
          </w:tcPr>
          <w:p>
            <w:pPr>
              <w:spacing w:after="20" w:line="252" w:lineRule="auto"/>
            </w:pPr>
            <w:r>
              <w:rPr>
                <w:b w:val="0"/>
                <w:i w:val="0"/>
                <w:sz w:val="16"/>
              </w:rPr>
              <w:t>1</w:t>
            </w:r>
          </w:p>
        </w:tc>
        <w:tc>
          <w:tcPr>
            <w:tcW w:type="dxa" w:w="680"/>
            <w:vAlign w:val="top"/>
          </w:tcPr>
          <w:p>
            <w:pPr>
              <w:spacing w:after="20" w:line="252" w:lineRule="auto"/>
            </w:pPr>
            <w:r>
              <w:rPr>
                <w:b w:val="0"/>
                <w:i w:val="0"/>
                <w:sz w:val="16"/>
              </w:rPr>
              <w:t>4</w:t>
            </w:r>
          </w:p>
        </w:tc>
        <w:tc>
          <w:tcPr>
            <w:tcW w:type="dxa" w:w="794"/>
            <w:vAlign w:val="top"/>
          </w:tcPr>
          <w:p>
            <w:pPr>
              <w:spacing w:after="20" w:line="252" w:lineRule="auto"/>
            </w:pPr>
            <w:r>
              <w:rPr>
                <w:b w:val="0"/>
                <w:i w:val="0"/>
                <w:sz w:val="16"/>
              </w:rPr>
              <w:t>8 GB</w:t>
            </w:r>
          </w:p>
        </w:tc>
        <w:tc>
          <w:tcPr>
            <w:tcW w:type="dxa" w:w="1361"/>
            <w:vAlign w:val="top"/>
          </w:tcPr>
          <w:p>
            <w:pPr>
              <w:spacing w:after="20" w:line="252" w:lineRule="auto"/>
            </w:pPr>
            <w:r>
              <w:rPr>
                <w:b w:val="0"/>
                <w:i w:val="0"/>
                <w:sz w:val="16"/>
              </w:rPr>
              <w:t>100 GB</w:t>
            </w:r>
          </w:p>
        </w:tc>
        <w:tc>
          <w:tcPr>
            <w:tcW w:type="dxa" w:w="3515"/>
            <w:vAlign w:val="top"/>
          </w:tcPr>
          <w:p>
            <w:pPr>
              <w:spacing w:after="20" w:line="252" w:lineRule="auto"/>
            </w:pPr>
            <w:r>
              <w:rPr>
                <w:b w:val="0"/>
                <w:i w:val="0"/>
                <w:sz w:val="16"/>
              </w:rPr>
              <w:t>Cold standby, same images</w:t>
            </w:r>
          </w:p>
        </w:tc>
      </w:tr>
      <w:tr>
        <w:trPr>
          <w:cantSplit/>
        </w:trPr>
        <w:tc>
          <w:tcPr>
            <w:tcW w:type="dxa" w:w="2041"/>
            <w:vAlign w:val="top"/>
            <w:shd w:val="clear" w:color="auto" w:fill="FDF0F7"/>
          </w:tcPr>
          <w:p>
            <w:pPr>
              <w:spacing w:after="20" w:line="252" w:lineRule="auto"/>
            </w:pPr>
            <w:r>
              <w:rPr>
                <w:b w:val="0"/>
                <w:i w:val="0"/>
                <w:sz w:val="16"/>
              </w:rPr>
              <w:t>Database VM</w:t>
            </w:r>
          </w:p>
        </w:tc>
        <w:tc>
          <w:tcPr>
            <w:tcW w:type="dxa" w:w="1247"/>
            <w:vAlign w:val="top"/>
            <w:shd w:val="clear" w:color="auto" w:fill="FDF0F7"/>
          </w:tcPr>
          <w:p>
            <w:pPr>
              <w:spacing w:after="20" w:line="252" w:lineRule="auto"/>
            </w:pPr>
            <w:r>
              <w:rPr>
                <w:b w:val="0"/>
                <w:i w:val="0"/>
                <w:sz w:val="16"/>
              </w:rPr>
              <w:t>1</w:t>
            </w:r>
          </w:p>
        </w:tc>
        <w:tc>
          <w:tcPr>
            <w:tcW w:type="dxa" w:w="680"/>
            <w:vAlign w:val="top"/>
            <w:shd w:val="clear" w:color="auto" w:fill="FDF0F7"/>
          </w:tcPr>
          <w:p>
            <w:pPr>
              <w:spacing w:after="20" w:line="252" w:lineRule="auto"/>
            </w:pPr>
            <w:r>
              <w:rPr>
                <w:b w:val="0"/>
                <w:i w:val="0"/>
                <w:sz w:val="16"/>
              </w:rPr>
              <w:t>4</w:t>
            </w:r>
          </w:p>
        </w:tc>
        <w:tc>
          <w:tcPr>
            <w:tcW w:type="dxa" w:w="794"/>
            <w:vAlign w:val="top"/>
            <w:shd w:val="clear" w:color="auto" w:fill="FDF0F7"/>
          </w:tcPr>
          <w:p>
            <w:pPr>
              <w:spacing w:after="20" w:line="252" w:lineRule="auto"/>
            </w:pPr>
            <w:r>
              <w:rPr>
                <w:b w:val="0"/>
                <w:i w:val="0"/>
                <w:sz w:val="16"/>
              </w:rPr>
              <w:t>16 GB</w:t>
            </w:r>
          </w:p>
        </w:tc>
        <w:tc>
          <w:tcPr>
            <w:tcW w:type="dxa" w:w="1361"/>
            <w:vAlign w:val="top"/>
            <w:shd w:val="clear" w:color="auto" w:fill="FDF0F7"/>
          </w:tcPr>
          <w:p>
            <w:pPr>
              <w:spacing w:after="20" w:line="252" w:lineRule="auto"/>
            </w:pPr>
            <w:r>
              <w:rPr>
                <w:b w:val="0"/>
                <w:i w:val="0"/>
                <w:sz w:val="16"/>
              </w:rPr>
              <w:t>200 GB SSD</w:t>
            </w:r>
          </w:p>
        </w:tc>
        <w:tc>
          <w:tcPr>
            <w:tcW w:type="dxa" w:w="3515"/>
            <w:vAlign w:val="top"/>
            <w:shd w:val="clear" w:color="auto" w:fill="FDF0F7"/>
          </w:tcPr>
          <w:p>
            <w:pPr>
              <w:spacing w:after="20" w:line="252" w:lineRule="auto"/>
            </w:pPr>
            <w:r>
              <w:rPr>
                <w:b w:val="0"/>
                <w:i w:val="0"/>
                <w:sz w:val="16"/>
              </w:rPr>
              <w:t>Asynchronous replica</w:t>
            </w:r>
          </w:p>
        </w:tc>
      </w:tr>
      <w:tr>
        <w:trPr>
          <w:cantSplit/>
        </w:trPr>
        <w:tc>
          <w:tcPr>
            <w:tcW w:type="dxa" w:w="2041"/>
            <w:vAlign w:val="top"/>
          </w:tcPr>
          <w:p>
            <w:pPr>
              <w:spacing w:after="20" w:line="252" w:lineRule="auto"/>
            </w:pPr>
            <w:r>
              <w:rPr>
                <w:b w:val="0"/>
                <w:i w:val="0"/>
                <w:sz w:val="16"/>
              </w:rPr>
              <w:t>Document and backup copies</w:t>
            </w:r>
          </w:p>
        </w:tc>
        <w:tc>
          <w:tcPr>
            <w:tcW w:type="dxa" w:w="1247"/>
            <w:vAlign w:val="top"/>
          </w:tcPr>
          <w:p>
            <w:pPr>
              <w:spacing w:after="20" w:line="252" w:lineRule="auto"/>
            </w:pPr>
            <w:r>
              <w:rPr>
                <w:b w:val="0"/>
                <w:i w:val="0"/>
                <w:sz w:val="16"/>
              </w:rPr>
              <w:t>–</w:t>
            </w:r>
          </w:p>
        </w:tc>
        <w:tc>
          <w:tcPr>
            <w:tcW w:type="dxa" w:w="680"/>
            <w:vAlign w:val="top"/>
          </w:tcPr>
          <w:p>
            <w:pPr>
              <w:spacing w:after="20" w:line="252" w:lineRule="auto"/>
            </w:pPr>
            <w:r>
              <w:rPr>
                <w:b w:val="0"/>
                <w:i w:val="0"/>
                <w:sz w:val="16"/>
              </w:rPr>
              <w:t>–</w:t>
            </w:r>
          </w:p>
        </w:tc>
        <w:tc>
          <w:tcPr>
            <w:tcW w:type="dxa" w:w="794"/>
            <w:vAlign w:val="top"/>
          </w:tcPr>
          <w:p>
            <w:pPr>
              <w:spacing w:after="20" w:line="252" w:lineRule="auto"/>
            </w:pPr>
            <w:r>
              <w:rPr>
                <w:b w:val="0"/>
                <w:i w:val="0"/>
                <w:sz w:val="16"/>
              </w:rPr>
              <w:t>–</w:t>
            </w:r>
          </w:p>
        </w:tc>
        <w:tc>
          <w:tcPr>
            <w:tcW w:type="dxa" w:w="1361"/>
            <w:vAlign w:val="top"/>
          </w:tcPr>
          <w:p>
            <w:pPr>
              <w:spacing w:after="20" w:line="252" w:lineRule="auto"/>
            </w:pPr>
            <w:r>
              <w:rPr>
                <w:b w:val="0"/>
                <w:i w:val="0"/>
                <w:sz w:val="16"/>
              </w:rPr>
              <w:t>500 GB + 1 TB</w:t>
            </w:r>
          </w:p>
        </w:tc>
        <w:tc>
          <w:tcPr>
            <w:tcW w:type="dxa" w:w="3515"/>
            <w:vAlign w:val="top"/>
          </w:tcPr>
          <w:p>
            <w:pPr>
              <w:spacing w:after="20" w:line="252" w:lineRule="auto"/>
            </w:pPr>
            <w:r>
              <w:rPr>
                <w:b w:val="0"/>
                <w:i w:val="0"/>
                <w:sz w:val="16"/>
              </w:rPr>
              <w:t>rsync target, backup copy</w:t>
            </w:r>
          </w:p>
        </w:tc>
      </w:tr>
    </w:tbl>
    <w:p>
      <w:pPr>
        <w:pStyle w:val="Caption"/>
        <w:jc w:val="center"/>
      </w:pPr>
      <w:r>
        <w:rPr>
          <w:b w:val="0"/>
          <w:i w:val="0"/>
        </w:rPr>
        <w:t>Table 26: On-premise sizing (Option A)</w:t>
      </w:r>
    </w:p>
    <w:p>
      <w:pPr>
        <w:keepNext w:val="0"/>
      </w:pPr>
      <w:r>
        <w:rPr>
          <w:b w:val="0"/>
          <w:i w:val="0"/>
        </w:rPr>
        <w:t>Operating system: Red Hat Enterprise Linux 9 or Ubuntu 24.04 LTS, hardened to the IITH baseline. Each application VM has spare capacity for a second API container if load grows. ClamAV needs about 1.5 GB of memory for its signature database, which is included.</w:t>
      </w:r>
    </w:p>
    <w:p>
      <w:pPr>
        <w:pStyle w:val="Heading2"/>
      </w:pPr>
      <w:r>
        <w:t>10.3 Cloud services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876"/>
        <w:gridCol w:w="3175"/>
        <w:gridCol w:w="1587"/>
      </w:tblGrid>
      <w:tr>
        <w:trPr>
          <w:cantSplit/>
          <w:tblHeader/>
        </w:trPr>
        <w:tc>
          <w:tcPr>
            <w:tcW w:type="dxa" w:w="4876"/>
            <w:shd w:val="clear" w:color="auto" w:fill="E1058C"/>
            <w:vAlign w:val="center"/>
          </w:tcPr>
          <w:p>
            <w:pPr>
              <w:spacing w:after="0"/>
            </w:pPr>
            <w:r>
              <w:rPr>
                <w:b/>
                <w:i w:val="0"/>
                <w:color w:val="FFFFFF"/>
                <w:sz w:val="16"/>
              </w:rPr>
              <w:t>Service</w:t>
            </w:r>
          </w:p>
        </w:tc>
        <w:tc>
          <w:tcPr>
            <w:tcW w:type="dxa" w:w="3175"/>
            <w:shd w:val="clear" w:color="auto" w:fill="E1058C"/>
            <w:vAlign w:val="center"/>
          </w:tcPr>
          <w:p>
            <w:pPr>
              <w:spacing w:after="0"/>
            </w:pPr>
            <w:r>
              <w:rPr>
                <w:b/>
                <w:i w:val="0"/>
                <w:color w:val="FFFFFF"/>
                <w:sz w:val="16"/>
              </w:rPr>
              <w:t>Purpose</w:t>
            </w:r>
          </w:p>
        </w:tc>
        <w:tc>
          <w:tcPr>
            <w:tcW w:type="dxa" w:w="1587"/>
            <w:shd w:val="clear" w:color="auto" w:fill="E1058C"/>
            <w:vAlign w:val="center"/>
          </w:tcPr>
          <w:p>
            <w:pPr>
              <w:spacing w:after="0"/>
            </w:pPr>
            <w:r>
              <w:rPr>
                <w:b/>
                <w:i w:val="0"/>
                <w:color w:val="FFFFFF"/>
                <w:sz w:val="16"/>
              </w:rPr>
              <w:t>Indicative B$ / month</w:t>
            </w:r>
          </w:p>
        </w:tc>
      </w:tr>
      <w:tr>
        <w:trPr>
          <w:cantSplit/>
        </w:trPr>
        <w:tc>
          <w:tcPr>
            <w:tcW w:type="dxa" w:w="4876"/>
            <w:vAlign w:val="top"/>
          </w:tcPr>
          <w:p>
            <w:pPr>
              <w:spacing w:after="20" w:line="252" w:lineRule="auto"/>
            </w:pPr>
            <w:r>
              <w:rPr>
                <w:b w:val="0"/>
                <w:i w:val="0"/>
                <w:sz w:val="16"/>
              </w:rPr>
              <w:t>Container compute (2 tasks across 2 availability zones)</w:t>
            </w:r>
          </w:p>
        </w:tc>
        <w:tc>
          <w:tcPr>
            <w:tcW w:type="dxa" w:w="3175"/>
            <w:vAlign w:val="top"/>
          </w:tcPr>
          <w:p>
            <w:pPr>
              <w:spacing w:after="20" w:line="252" w:lineRule="auto"/>
            </w:pPr>
            <w:r>
              <w:rPr>
                <w:b w:val="0"/>
                <w:i w:val="0"/>
                <w:sz w:val="16"/>
              </w:rPr>
              <w:t>Portal, back-office and API</w:t>
            </w:r>
          </w:p>
        </w:tc>
        <w:tc>
          <w:tcPr>
            <w:tcW w:type="dxa" w:w="1587"/>
            <w:vAlign w:val="top"/>
          </w:tcPr>
          <w:p>
            <w:pPr>
              <w:spacing w:after="20" w:line="252" w:lineRule="auto"/>
              <w:jc w:val="right"/>
            </w:pPr>
            <w:r>
              <w:rPr>
                <w:b w:val="0"/>
                <w:i w:val="0"/>
                <w:sz w:val="16"/>
              </w:rPr>
              <w:t>B$ 180</w:t>
            </w:r>
          </w:p>
        </w:tc>
      </w:tr>
      <w:tr>
        <w:trPr>
          <w:cantSplit/>
        </w:trPr>
        <w:tc>
          <w:tcPr>
            <w:tcW w:type="dxa" w:w="4876"/>
            <w:vAlign w:val="top"/>
            <w:shd w:val="clear" w:color="auto" w:fill="FDF0F7"/>
          </w:tcPr>
          <w:p>
            <w:pPr>
              <w:spacing w:after="20" w:line="252" w:lineRule="auto"/>
            </w:pPr>
            <w:r>
              <w:rPr>
                <w:b w:val="0"/>
                <w:i w:val="0"/>
                <w:sz w:val="16"/>
              </w:rPr>
              <w:t>Managed PostgreSQL, Multi-AZ, with storage and automated backups</w:t>
            </w:r>
          </w:p>
        </w:tc>
        <w:tc>
          <w:tcPr>
            <w:tcW w:type="dxa" w:w="3175"/>
            <w:vAlign w:val="top"/>
            <w:shd w:val="clear" w:color="auto" w:fill="FDF0F7"/>
          </w:tcPr>
          <w:p>
            <w:pPr>
              <w:spacing w:after="20" w:line="252" w:lineRule="auto"/>
            </w:pPr>
            <w:r>
              <w:rPr>
                <w:b w:val="0"/>
                <w:i w:val="0"/>
                <w:sz w:val="16"/>
              </w:rPr>
              <w:t>Database and PITR</w:t>
            </w:r>
          </w:p>
        </w:tc>
        <w:tc>
          <w:tcPr>
            <w:tcW w:type="dxa" w:w="1587"/>
            <w:vAlign w:val="top"/>
            <w:shd w:val="clear" w:color="auto" w:fill="FDF0F7"/>
          </w:tcPr>
          <w:p>
            <w:pPr>
              <w:spacing w:after="20" w:line="252" w:lineRule="auto"/>
              <w:jc w:val="right"/>
            </w:pPr>
            <w:r>
              <w:rPr>
                <w:b w:val="0"/>
                <w:i w:val="0"/>
                <w:sz w:val="16"/>
              </w:rPr>
              <w:t>B$ 330</w:t>
            </w:r>
          </w:p>
        </w:tc>
      </w:tr>
      <w:tr>
        <w:trPr>
          <w:cantSplit/>
        </w:trPr>
        <w:tc>
          <w:tcPr>
            <w:tcW w:type="dxa" w:w="4876"/>
            <w:vAlign w:val="top"/>
          </w:tcPr>
          <w:p>
            <w:pPr>
              <w:spacing w:after="20" w:line="252" w:lineRule="auto"/>
            </w:pPr>
            <w:r>
              <w:rPr>
                <w:b w:val="0"/>
                <w:i w:val="0"/>
                <w:sz w:val="16"/>
              </w:rPr>
              <w:t>Application load balancer and web application firewall</w:t>
            </w:r>
          </w:p>
        </w:tc>
        <w:tc>
          <w:tcPr>
            <w:tcW w:type="dxa" w:w="3175"/>
            <w:vAlign w:val="top"/>
          </w:tcPr>
          <w:p>
            <w:pPr>
              <w:spacing w:after="20" w:line="252" w:lineRule="auto"/>
            </w:pPr>
            <w:r>
              <w:rPr>
                <w:b w:val="0"/>
                <w:i w:val="0"/>
                <w:sz w:val="16"/>
              </w:rPr>
              <w:t>TLS termination, OWASP rules</w:t>
            </w:r>
          </w:p>
        </w:tc>
        <w:tc>
          <w:tcPr>
            <w:tcW w:type="dxa" w:w="1587"/>
            <w:vAlign w:val="top"/>
          </w:tcPr>
          <w:p>
            <w:pPr>
              <w:spacing w:after="20" w:line="252" w:lineRule="auto"/>
              <w:jc w:val="right"/>
            </w:pPr>
            <w:r>
              <w:rPr>
                <w:b w:val="0"/>
                <w:i w:val="0"/>
                <w:sz w:val="16"/>
              </w:rPr>
              <w:t>B$ 120</w:t>
            </w:r>
          </w:p>
        </w:tc>
      </w:tr>
      <w:tr>
        <w:trPr>
          <w:cantSplit/>
        </w:trPr>
        <w:tc>
          <w:tcPr>
            <w:tcW w:type="dxa" w:w="4876"/>
            <w:vAlign w:val="top"/>
            <w:shd w:val="clear" w:color="auto" w:fill="FDF0F7"/>
          </w:tcPr>
          <w:p>
            <w:pPr>
              <w:spacing w:after="20" w:line="252" w:lineRule="auto"/>
            </w:pPr>
            <w:r>
              <w:rPr>
                <w:b w:val="0"/>
                <w:i w:val="0"/>
                <w:sz w:val="16"/>
              </w:rPr>
              <w:t>NAT gateway and data transfer</w:t>
            </w:r>
          </w:p>
        </w:tc>
        <w:tc>
          <w:tcPr>
            <w:tcW w:type="dxa" w:w="3175"/>
            <w:vAlign w:val="top"/>
            <w:shd w:val="clear" w:color="auto" w:fill="FDF0F7"/>
          </w:tcPr>
          <w:p>
            <w:pPr>
              <w:spacing w:after="20" w:line="252" w:lineRule="auto"/>
            </w:pPr>
            <w:r>
              <w:rPr>
                <w:b w:val="0"/>
                <w:i w:val="0"/>
                <w:sz w:val="16"/>
              </w:rPr>
              <w:t>Outbound integration and updates</w:t>
            </w:r>
          </w:p>
        </w:tc>
        <w:tc>
          <w:tcPr>
            <w:tcW w:type="dxa" w:w="1587"/>
            <w:vAlign w:val="top"/>
            <w:shd w:val="clear" w:color="auto" w:fill="FDF0F7"/>
          </w:tcPr>
          <w:p>
            <w:pPr>
              <w:spacing w:after="20" w:line="252" w:lineRule="auto"/>
              <w:jc w:val="right"/>
            </w:pPr>
            <w:r>
              <w:rPr>
                <w:b w:val="0"/>
                <w:i w:val="0"/>
                <w:sz w:val="16"/>
              </w:rPr>
              <w:t>B$ 120</w:t>
            </w:r>
          </w:p>
        </w:tc>
      </w:tr>
      <w:tr>
        <w:trPr>
          <w:cantSplit/>
        </w:trPr>
        <w:tc>
          <w:tcPr>
            <w:tcW w:type="dxa" w:w="4876"/>
            <w:vAlign w:val="top"/>
          </w:tcPr>
          <w:p>
            <w:pPr>
              <w:spacing w:after="20" w:line="252" w:lineRule="auto"/>
            </w:pPr>
            <w:r>
              <w:rPr>
                <w:b w:val="0"/>
                <w:i w:val="0"/>
                <w:sz w:val="16"/>
              </w:rPr>
              <w:t>Object storage (SSE-KMS) and cross-region snapshot copy</w:t>
            </w:r>
          </w:p>
        </w:tc>
        <w:tc>
          <w:tcPr>
            <w:tcW w:type="dxa" w:w="3175"/>
            <w:vAlign w:val="top"/>
          </w:tcPr>
          <w:p>
            <w:pPr>
              <w:spacing w:after="20" w:line="252" w:lineRule="auto"/>
            </w:pPr>
            <w:r>
              <w:rPr>
                <w:b w:val="0"/>
                <w:i w:val="0"/>
                <w:sz w:val="16"/>
              </w:rPr>
              <w:t>Documents, backups, DR copies</w:t>
            </w:r>
          </w:p>
        </w:tc>
        <w:tc>
          <w:tcPr>
            <w:tcW w:type="dxa" w:w="1587"/>
            <w:vAlign w:val="top"/>
          </w:tcPr>
          <w:p>
            <w:pPr>
              <w:spacing w:after="20" w:line="252" w:lineRule="auto"/>
              <w:jc w:val="right"/>
            </w:pPr>
            <w:r>
              <w:rPr>
                <w:b w:val="0"/>
                <w:i w:val="0"/>
                <w:sz w:val="16"/>
              </w:rPr>
              <w:t>B$ 60</w:t>
            </w:r>
          </w:p>
        </w:tc>
      </w:tr>
      <w:tr>
        <w:trPr>
          <w:cantSplit/>
        </w:trPr>
        <w:tc>
          <w:tcPr>
            <w:tcW w:type="dxa" w:w="4876"/>
            <w:vAlign w:val="top"/>
            <w:shd w:val="clear" w:color="auto" w:fill="FDF0F7"/>
          </w:tcPr>
          <w:p>
            <w:pPr>
              <w:spacing w:after="20" w:line="252" w:lineRule="auto"/>
            </w:pPr>
            <w:r>
              <w:rPr>
                <w:b w:val="0"/>
                <w:i w:val="0"/>
                <w:sz w:val="16"/>
              </w:rPr>
              <w:t>Logging, metrics and alarms</w:t>
            </w:r>
          </w:p>
        </w:tc>
        <w:tc>
          <w:tcPr>
            <w:tcW w:type="dxa" w:w="3175"/>
            <w:vAlign w:val="top"/>
            <w:shd w:val="clear" w:color="auto" w:fill="FDF0F7"/>
          </w:tcPr>
          <w:p>
            <w:pPr>
              <w:spacing w:after="20" w:line="252" w:lineRule="auto"/>
            </w:pPr>
            <w:r>
              <w:rPr>
                <w:b w:val="0"/>
                <w:i w:val="0"/>
                <w:sz w:val="16"/>
              </w:rPr>
              <w:t>Monitoring and alerting</w:t>
            </w:r>
          </w:p>
        </w:tc>
        <w:tc>
          <w:tcPr>
            <w:tcW w:type="dxa" w:w="1587"/>
            <w:vAlign w:val="top"/>
            <w:shd w:val="clear" w:color="auto" w:fill="FDF0F7"/>
          </w:tcPr>
          <w:p>
            <w:pPr>
              <w:spacing w:after="20" w:line="252" w:lineRule="auto"/>
              <w:jc w:val="right"/>
            </w:pPr>
            <w:r>
              <w:rPr>
                <w:b w:val="0"/>
                <w:i w:val="0"/>
                <w:sz w:val="16"/>
              </w:rPr>
              <w:t>B$ 60</w:t>
            </w:r>
          </w:p>
        </w:tc>
      </w:tr>
      <w:tr>
        <w:trPr>
          <w:cantSplit/>
        </w:trPr>
        <w:tc>
          <w:tcPr>
            <w:tcW w:type="dxa" w:w="4876"/>
            <w:vAlign w:val="top"/>
          </w:tcPr>
          <w:p>
            <w:pPr>
              <w:spacing w:after="20" w:line="252" w:lineRule="auto"/>
            </w:pPr>
            <w:r>
              <w:rPr>
                <w:b w:val="0"/>
                <w:i w:val="0"/>
                <w:sz w:val="16"/>
              </w:rPr>
              <w:t>Secrets and key management</w:t>
            </w:r>
          </w:p>
        </w:tc>
        <w:tc>
          <w:tcPr>
            <w:tcW w:type="dxa" w:w="3175"/>
            <w:vAlign w:val="top"/>
          </w:tcPr>
          <w:p>
            <w:pPr>
              <w:spacing w:after="20" w:line="252" w:lineRule="auto"/>
            </w:pPr>
            <w:r>
              <w:rPr>
                <w:b w:val="0"/>
                <w:i w:val="0"/>
                <w:sz w:val="16"/>
              </w:rPr>
              <w:t>Credentials and encryption keys</w:t>
            </w:r>
          </w:p>
        </w:tc>
        <w:tc>
          <w:tcPr>
            <w:tcW w:type="dxa" w:w="1587"/>
            <w:vAlign w:val="top"/>
          </w:tcPr>
          <w:p>
            <w:pPr>
              <w:spacing w:after="20" w:line="252" w:lineRule="auto"/>
              <w:jc w:val="right"/>
            </w:pPr>
            <w:r>
              <w:rPr>
                <w:b w:val="0"/>
                <w:i w:val="0"/>
                <w:sz w:val="16"/>
              </w:rPr>
              <w:t>B$ 20</w:t>
            </w:r>
          </w:p>
        </w:tc>
      </w:tr>
      <w:tr>
        <w:trPr>
          <w:cantSplit/>
        </w:trPr>
        <w:tc>
          <w:tcPr>
            <w:tcW w:type="dxa" w:w="4876"/>
            <w:vAlign w:val="top"/>
            <w:shd w:val="clear" w:color="auto" w:fill="FDF0F7"/>
          </w:tcPr>
          <w:p>
            <w:pPr>
              <w:spacing w:after="20" w:line="252" w:lineRule="auto"/>
            </w:pPr>
            <w:r>
              <w:rPr>
                <w:b w:val="0"/>
                <w:i w:val="0"/>
                <w:sz w:val="16"/>
              </w:rPr>
              <w:t>Scaled-down UAT environment</w:t>
            </w:r>
          </w:p>
        </w:tc>
        <w:tc>
          <w:tcPr>
            <w:tcW w:type="dxa" w:w="3175"/>
            <w:vAlign w:val="top"/>
            <w:shd w:val="clear" w:color="auto" w:fill="FDF0F7"/>
          </w:tcPr>
          <w:p>
            <w:pPr>
              <w:spacing w:after="20" w:line="252" w:lineRule="auto"/>
            </w:pPr>
            <w:r>
              <w:rPr>
                <w:b w:val="0"/>
                <w:i w:val="0"/>
                <w:sz w:val="16"/>
              </w:rPr>
              <w:t>Non-production testing</w:t>
            </w:r>
          </w:p>
        </w:tc>
        <w:tc>
          <w:tcPr>
            <w:tcW w:type="dxa" w:w="1587"/>
            <w:vAlign w:val="top"/>
            <w:shd w:val="clear" w:color="auto" w:fill="FDF0F7"/>
          </w:tcPr>
          <w:p>
            <w:pPr>
              <w:spacing w:after="20" w:line="252" w:lineRule="auto"/>
              <w:jc w:val="right"/>
            </w:pPr>
            <w:r>
              <w:rPr>
                <w:b w:val="0"/>
                <w:i w:val="0"/>
                <w:sz w:val="16"/>
              </w:rPr>
              <w:t>B$ 60</w:t>
            </w:r>
          </w:p>
        </w:tc>
      </w:tr>
      <w:tr>
        <w:trPr>
          <w:cantSplit/>
        </w:trPr>
        <w:tc>
          <w:tcPr>
            <w:tcW w:type="dxa" w:w="4876"/>
            <w:vAlign w:val="top"/>
            <w:shd w:val="clear" w:color="auto" w:fill="FEEBDD"/>
          </w:tcPr>
          <w:p>
            <w:pPr>
              <w:spacing w:after="20" w:line="252" w:lineRule="auto"/>
            </w:pPr>
            <w:r>
              <w:rPr>
                <w:b/>
                <w:i w:val="0"/>
                <w:sz w:val="16"/>
              </w:rPr>
              <w:t>Total per month</w:t>
            </w:r>
          </w:p>
        </w:tc>
        <w:tc>
          <w:tcPr>
            <w:tcW w:type="dxa" w:w="3175"/>
            <w:vAlign w:val="top"/>
            <w:shd w:val="clear" w:color="auto" w:fill="FEEBDD"/>
          </w:tcPr>
          <w:p>
            <w:pPr>
              <w:spacing w:after="20" w:line="252" w:lineRule="auto"/>
            </w:pPr>
          </w:p>
        </w:tc>
        <w:tc>
          <w:tcPr>
            <w:tcW w:type="dxa" w:w="1587"/>
            <w:vAlign w:val="top"/>
            <w:shd w:val="clear" w:color="auto" w:fill="FEEBDD"/>
          </w:tcPr>
          <w:p>
            <w:pPr>
              <w:spacing w:after="20" w:line="252" w:lineRule="auto"/>
              <w:jc w:val="right"/>
            </w:pPr>
            <w:r>
              <w:rPr>
                <w:b/>
                <w:i w:val="0"/>
                <w:sz w:val="16"/>
              </w:rPr>
              <w:t>B$ 950</w:t>
            </w:r>
          </w:p>
        </w:tc>
      </w:tr>
      <w:tr>
        <w:trPr>
          <w:cantSplit/>
        </w:trPr>
        <w:tc>
          <w:tcPr>
            <w:tcW w:type="dxa" w:w="4876"/>
            <w:vAlign w:val="top"/>
            <w:shd w:val="clear" w:color="auto" w:fill="FEEBDD"/>
          </w:tcPr>
          <w:p>
            <w:pPr>
              <w:spacing w:after="20" w:line="252" w:lineRule="auto"/>
            </w:pPr>
            <w:r>
              <w:rPr>
                <w:b/>
                <w:i w:val="0"/>
                <w:sz w:val="16"/>
              </w:rPr>
              <w:t>Total per year</w:t>
            </w:r>
          </w:p>
        </w:tc>
        <w:tc>
          <w:tcPr>
            <w:tcW w:type="dxa" w:w="3175"/>
            <w:vAlign w:val="top"/>
            <w:shd w:val="clear" w:color="auto" w:fill="FEEBDD"/>
          </w:tcPr>
          <w:p>
            <w:pPr>
              <w:spacing w:after="20" w:line="252" w:lineRule="auto"/>
            </w:pPr>
          </w:p>
        </w:tc>
        <w:tc>
          <w:tcPr>
            <w:tcW w:type="dxa" w:w="1587"/>
            <w:vAlign w:val="top"/>
            <w:shd w:val="clear" w:color="auto" w:fill="FEEBDD"/>
          </w:tcPr>
          <w:p>
            <w:pPr>
              <w:spacing w:after="20" w:line="252" w:lineRule="auto"/>
              <w:jc w:val="right"/>
            </w:pPr>
            <w:r>
              <w:rPr>
                <w:b/>
                <w:i w:val="0"/>
                <w:sz w:val="16"/>
              </w:rPr>
              <w:t>B$ 11,400</w:t>
            </w:r>
          </w:p>
        </w:tc>
      </w:tr>
    </w:tbl>
    <w:p>
      <w:pPr>
        <w:pStyle w:val="Caption"/>
        <w:jc w:val="center"/>
      </w:pPr>
      <w:r>
        <w:rPr>
          <w:b w:val="0"/>
          <w:i w:val="0"/>
        </w:rPr>
        <w:t>Table 27: Option B indicative cost (pass-through)</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3175"/>
        <w:gridCol w:w="4422"/>
      </w:tblGrid>
      <w:tr>
        <w:trPr>
          <w:cantSplit/>
          <w:tblHeader/>
        </w:trPr>
        <w:tc>
          <w:tcPr>
            <w:tcW w:type="dxa" w:w="2041"/>
            <w:shd w:val="clear" w:color="auto" w:fill="E1058C"/>
            <w:vAlign w:val="center"/>
          </w:tcPr>
          <w:p>
            <w:pPr>
              <w:spacing w:after="0"/>
            </w:pPr>
            <w:r>
              <w:rPr>
                <w:b/>
                <w:i w:val="0"/>
                <w:color w:val="FFFFFF"/>
                <w:sz w:val="16"/>
              </w:rPr>
              <w:t>Component</w:t>
            </w:r>
          </w:p>
        </w:tc>
        <w:tc>
          <w:tcPr>
            <w:tcW w:type="dxa" w:w="3175"/>
            <w:shd w:val="clear" w:color="auto" w:fill="E1058C"/>
            <w:vAlign w:val="center"/>
          </w:tcPr>
          <w:p>
            <w:pPr>
              <w:spacing w:after="0"/>
            </w:pPr>
            <w:r>
              <w:rPr>
                <w:b/>
                <w:i w:val="0"/>
                <w:color w:val="FFFFFF"/>
                <w:sz w:val="16"/>
              </w:rPr>
              <w:t>Size</w:t>
            </w:r>
          </w:p>
        </w:tc>
        <w:tc>
          <w:tcPr>
            <w:tcW w:type="dxa" w:w="4422"/>
            <w:shd w:val="clear" w:color="auto" w:fill="E1058C"/>
            <w:vAlign w:val="center"/>
          </w:tcPr>
          <w:p>
            <w:pPr>
              <w:spacing w:after="0"/>
            </w:pPr>
            <w:r>
              <w:rPr>
                <w:b/>
                <w:i w:val="0"/>
                <w:color w:val="FFFFFF"/>
                <w:sz w:val="16"/>
              </w:rPr>
              <w:t>Notes</w:t>
            </w:r>
          </w:p>
        </w:tc>
      </w:tr>
      <w:tr>
        <w:trPr>
          <w:cantSplit/>
        </w:trPr>
        <w:tc>
          <w:tcPr>
            <w:tcW w:type="dxa" w:w="2041"/>
            <w:vAlign w:val="top"/>
          </w:tcPr>
          <w:p>
            <w:pPr>
              <w:spacing w:after="20" w:line="252" w:lineRule="auto"/>
            </w:pPr>
            <w:r>
              <w:rPr>
                <w:b w:val="0"/>
                <w:i w:val="0"/>
                <w:sz w:val="16"/>
              </w:rPr>
              <w:t>ECS Fargate tasks</w:t>
            </w:r>
          </w:p>
        </w:tc>
        <w:tc>
          <w:tcPr>
            <w:tcW w:type="dxa" w:w="3175"/>
            <w:vAlign w:val="top"/>
          </w:tcPr>
          <w:p>
            <w:pPr>
              <w:spacing w:after="20" w:line="252" w:lineRule="auto"/>
            </w:pPr>
            <w:r>
              <w:rPr>
                <w:b w:val="0"/>
                <w:i w:val="0"/>
                <w:sz w:val="16"/>
              </w:rPr>
              <w:t>2 × (1 vCPU, 2 GB)</w:t>
            </w:r>
          </w:p>
        </w:tc>
        <w:tc>
          <w:tcPr>
            <w:tcW w:type="dxa" w:w="4422"/>
            <w:vAlign w:val="top"/>
          </w:tcPr>
          <w:p>
            <w:pPr>
              <w:spacing w:after="20" w:line="252" w:lineRule="auto"/>
            </w:pPr>
            <w:r>
              <w:rPr>
                <w:b w:val="0"/>
                <w:i w:val="0"/>
                <w:sz w:val="16"/>
              </w:rPr>
              <w:t>web and api containers per task; scale to 4 tasks if needed</w:t>
            </w:r>
          </w:p>
        </w:tc>
      </w:tr>
      <w:tr>
        <w:trPr>
          <w:cantSplit/>
        </w:trPr>
        <w:tc>
          <w:tcPr>
            <w:tcW w:type="dxa" w:w="2041"/>
            <w:vAlign w:val="top"/>
            <w:shd w:val="clear" w:color="auto" w:fill="FDF0F7"/>
          </w:tcPr>
          <w:p>
            <w:pPr>
              <w:spacing w:after="20" w:line="252" w:lineRule="auto"/>
            </w:pPr>
            <w:r>
              <w:rPr>
                <w:b w:val="0"/>
                <w:i w:val="0"/>
                <w:sz w:val="16"/>
              </w:rPr>
              <w:t>RDS for PostgreSQL</w:t>
            </w:r>
          </w:p>
        </w:tc>
        <w:tc>
          <w:tcPr>
            <w:tcW w:type="dxa" w:w="3175"/>
            <w:vAlign w:val="top"/>
            <w:shd w:val="clear" w:color="auto" w:fill="FDF0F7"/>
          </w:tcPr>
          <w:p>
            <w:pPr>
              <w:spacing w:after="20" w:line="252" w:lineRule="auto"/>
            </w:pPr>
            <w:r>
              <w:rPr>
                <w:b w:val="0"/>
                <w:i w:val="0"/>
                <w:sz w:val="16"/>
              </w:rPr>
              <w:t>db.t4g.large (2 vCPU, 8 GB), Multi-AZ</w:t>
            </w:r>
          </w:p>
        </w:tc>
        <w:tc>
          <w:tcPr>
            <w:tcW w:type="dxa" w:w="4422"/>
            <w:vAlign w:val="top"/>
            <w:shd w:val="clear" w:color="auto" w:fill="FDF0F7"/>
          </w:tcPr>
          <w:p>
            <w:pPr>
              <w:spacing w:after="20" w:line="252" w:lineRule="auto"/>
            </w:pPr>
            <w:r>
              <w:rPr>
                <w:b w:val="0"/>
                <w:i w:val="0"/>
                <w:sz w:val="16"/>
              </w:rPr>
              <w:t>100 GB gp3, 35-day automated backups and PITR</w:t>
            </w:r>
          </w:p>
        </w:tc>
      </w:tr>
      <w:tr>
        <w:trPr>
          <w:cantSplit/>
        </w:trPr>
        <w:tc>
          <w:tcPr>
            <w:tcW w:type="dxa" w:w="2041"/>
            <w:vAlign w:val="top"/>
          </w:tcPr>
          <w:p>
            <w:pPr>
              <w:spacing w:after="20" w:line="252" w:lineRule="auto"/>
            </w:pPr>
            <w:r>
              <w:rPr>
                <w:b w:val="0"/>
                <w:i w:val="0"/>
                <w:sz w:val="16"/>
              </w:rPr>
              <w:t>Amazon EFS</w:t>
            </w:r>
          </w:p>
        </w:tc>
        <w:tc>
          <w:tcPr>
            <w:tcW w:type="dxa" w:w="3175"/>
            <w:vAlign w:val="top"/>
          </w:tcPr>
          <w:p>
            <w:pPr>
              <w:spacing w:after="20" w:line="252" w:lineRule="auto"/>
            </w:pPr>
            <w:r>
              <w:rPr>
                <w:b w:val="0"/>
                <w:i w:val="0"/>
                <w:sz w:val="16"/>
              </w:rPr>
              <w:t>Up to 100 GB in five years</w:t>
            </w:r>
          </w:p>
        </w:tc>
        <w:tc>
          <w:tcPr>
            <w:tcW w:type="dxa" w:w="4422"/>
            <w:vAlign w:val="top"/>
          </w:tcPr>
          <w:p>
            <w:pPr>
              <w:spacing w:after="20" w:line="252" w:lineRule="auto"/>
            </w:pPr>
            <w:r>
              <w:rPr>
                <w:b w:val="0"/>
                <w:i w:val="0"/>
                <w:sz w:val="16"/>
              </w:rPr>
              <w:t>Encrypted, lifecycle to infrequent access</w:t>
            </w:r>
          </w:p>
        </w:tc>
      </w:tr>
      <w:tr>
        <w:trPr>
          <w:cantSplit/>
        </w:trPr>
        <w:tc>
          <w:tcPr>
            <w:tcW w:type="dxa" w:w="2041"/>
            <w:vAlign w:val="top"/>
            <w:shd w:val="clear" w:color="auto" w:fill="FDF0F7"/>
          </w:tcPr>
          <w:p>
            <w:pPr>
              <w:spacing w:after="20" w:line="252" w:lineRule="auto"/>
            </w:pPr>
            <w:r>
              <w:rPr>
                <w:b w:val="0"/>
                <w:i w:val="0"/>
                <w:sz w:val="16"/>
              </w:rPr>
              <w:t>S3</w:t>
            </w:r>
          </w:p>
        </w:tc>
        <w:tc>
          <w:tcPr>
            <w:tcW w:type="dxa" w:w="3175"/>
            <w:vAlign w:val="top"/>
            <w:shd w:val="clear" w:color="auto" w:fill="FDF0F7"/>
          </w:tcPr>
          <w:p>
            <w:pPr>
              <w:spacing w:after="20" w:line="252" w:lineRule="auto"/>
            </w:pPr>
            <w:r>
              <w:rPr>
                <w:b w:val="0"/>
                <w:i w:val="0"/>
                <w:sz w:val="16"/>
              </w:rPr>
              <w:t>About 200 GB</w:t>
            </w:r>
          </w:p>
        </w:tc>
        <w:tc>
          <w:tcPr>
            <w:tcW w:type="dxa" w:w="4422"/>
            <w:vAlign w:val="top"/>
            <w:shd w:val="clear" w:color="auto" w:fill="FDF0F7"/>
          </w:tcPr>
          <w:p>
            <w:pPr>
              <w:spacing w:after="20" w:line="252" w:lineRule="auto"/>
            </w:pPr>
            <w:r>
              <w:rPr>
                <w:b w:val="0"/>
                <w:i w:val="0"/>
                <w:sz w:val="16"/>
              </w:rPr>
              <w:t>Backups and exports, SSE-KMS, cross-region copy</w:t>
            </w:r>
          </w:p>
        </w:tc>
      </w:tr>
      <w:tr>
        <w:trPr>
          <w:cantSplit/>
        </w:trPr>
        <w:tc>
          <w:tcPr>
            <w:tcW w:type="dxa" w:w="2041"/>
            <w:vAlign w:val="top"/>
          </w:tcPr>
          <w:p>
            <w:pPr>
              <w:spacing w:after="20" w:line="252" w:lineRule="auto"/>
            </w:pPr>
            <w:r>
              <w:rPr>
                <w:b w:val="0"/>
                <w:i w:val="0"/>
                <w:sz w:val="16"/>
              </w:rPr>
              <w:t>ClamAV</w:t>
            </w:r>
          </w:p>
        </w:tc>
        <w:tc>
          <w:tcPr>
            <w:tcW w:type="dxa" w:w="3175"/>
            <w:vAlign w:val="top"/>
          </w:tcPr>
          <w:p>
            <w:pPr>
              <w:spacing w:after="20" w:line="252" w:lineRule="auto"/>
            </w:pPr>
            <w:r>
              <w:rPr>
                <w:b w:val="0"/>
                <w:i w:val="0"/>
                <w:sz w:val="16"/>
              </w:rPr>
              <w:t>Sidecar per task (1 GB)</w:t>
            </w:r>
          </w:p>
        </w:tc>
        <w:tc>
          <w:tcPr>
            <w:tcW w:type="dxa" w:w="4422"/>
            <w:vAlign w:val="top"/>
          </w:tcPr>
          <w:p>
            <w:pPr>
              <w:spacing w:after="20" w:line="252" w:lineRule="auto"/>
            </w:pPr>
            <w:r>
              <w:rPr>
                <w:b w:val="0"/>
                <w:i w:val="0"/>
                <w:sz w:val="16"/>
              </w:rPr>
              <w:t>Or a small shared service</w:t>
            </w:r>
          </w:p>
        </w:tc>
      </w:tr>
      <w:tr>
        <w:trPr>
          <w:cantSplit/>
        </w:trPr>
        <w:tc>
          <w:tcPr>
            <w:tcW w:type="dxa" w:w="2041"/>
            <w:vAlign w:val="top"/>
            <w:shd w:val="clear" w:color="auto" w:fill="FDF0F7"/>
          </w:tcPr>
          <w:p>
            <w:pPr>
              <w:spacing w:after="20" w:line="252" w:lineRule="auto"/>
            </w:pPr>
            <w:r>
              <w:rPr>
                <w:b w:val="0"/>
                <w:i w:val="0"/>
                <w:sz w:val="16"/>
              </w:rPr>
              <w:t>UAT</w:t>
            </w:r>
          </w:p>
        </w:tc>
        <w:tc>
          <w:tcPr>
            <w:tcW w:type="dxa" w:w="3175"/>
            <w:vAlign w:val="top"/>
            <w:shd w:val="clear" w:color="auto" w:fill="FDF0F7"/>
          </w:tcPr>
          <w:p>
            <w:pPr>
              <w:spacing w:after="20" w:line="252" w:lineRule="auto"/>
            </w:pPr>
            <w:r>
              <w:rPr>
                <w:b w:val="0"/>
                <w:i w:val="0"/>
                <w:sz w:val="16"/>
              </w:rPr>
              <w:t>1 task and a single-AZ db.t4g.medium</w:t>
            </w:r>
          </w:p>
        </w:tc>
        <w:tc>
          <w:tcPr>
            <w:tcW w:type="dxa" w:w="4422"/>
            <w:vAlign w:val="top"/>
            <w:shd w:val="clear" w:color="auto" w:fill="FDF0F7"/>
          </w:tcPr>
          <w:p>
            <w:pPr>
              <w:spacing w:after="20" w:line="252" w:lineRule="auto"/>
            </w:pPr>
            <w:r>
              <w:rPr>
                <w:b w:val="0"/>
                <w:i w:val="0"/>
                <w:sz w:val="16"/>
              </w:rPr>
              <w:t>Scaled down, stopped outside test periods</w:t>
            </w:r>
          </w:p>
        </w:tc>
      </w:tr>
    </w:tbl>
    <w:p>
      <w:pPr>
        <w:pStyle w:val="Caption"/>
        <w:jc w:val="center"/>
      </w:pPr>
      <w:r>
        <w:rPr>
          <w:b w:val="0"/>
          <w:i w:val="0"/>
        </w:rPr>
        <w:t>Table 28: Cloud sizing</w:t>
      </w:r>
    </w:p>
    <w:p>
      <w:pPr>
        <w:pStyle w:val="Heading2"/>
      </w:pPr>
      <w:r>
        <w:t>10.4 Database sizing</w:t>
      </w:r>
    </w:p>
    <w:p>
      <w:pPr>
        <w:keepNext w:val="0"/>
      </w:pPr>
      <w:r>
        <w:rPr>
          <w:b w:val="0"/>
          <w:i w:val="0"/>
        </w:rPr>
        <w:t>Rows per issued policy were estimated from how the application writes data: quotations not taken up, policy history, documents, payments, approvals, notifications, outbox messages, integration log entries and audit rows. Index overhead is added at 60%.</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268"/>
        <w:gridCol w:w="1474"/>
        <w:gridCol w:w="1474"/>
        <w:gridCol w:w="4422"/>
      </w:tblGrid>
      <w:tr>
        <w:trPr>
          <w:cantSplit/>
          <w:tblHeader/>
        </w:trPr>
        <w:tc>
          <w:tcPr>
            <w:tcW w:type="dxa" w:w="2268"/>
            <w:shd w:val="clear" w:color="auto" w:fill="E1058C"/>
            <w:vAlign w:val="center"/>
          </w:tcPr>
          <w:p>
            <w:pPr>
              <w:spacing w:after="0"/>
            </w:pPr>
            <w:r>
              <w:rPr>
                <w:b/>
                <w:i w:val="0"/>
                <w:color w:val="FFFFFF"/>
                <w:sz w:val="15"/>
              </w:rPr>
              <w:t>Table</w:t>
            </w:r>
          </w:p>
        </w:tc>
        <w:tc>
          <w:tcPr>
            <w:tcW w:type="dxa" w:w="1474"/>
            <w:shd w:val="clear" w:color="auto" w:fill="E1058C"/>
            <w:vAlign w:val="center"/>
          </w:tcPr>
          <w:p>
            <w:pPr>
              <w:spacing w:after="0"/>
            </w:pPr>
            <w:r>
              <w:rPr>
                <w:b/>
                <w:i w:val="0"/>
                <w:color w:val="FFFFFF"/>
                <w:sz w:val="15"/>
              </w:rPr>
              <w:t>Rows per policy</w:t>
            </w:r>
          </w:p>
        </w:tc>
        <w:tc>
          <w:tcPr>
            <w:tcW w:type="dxa" w:w="1474"/>
            <w:shd w:val="clear" w:color="auto" w:fill="E1058C"/>
            <w:vAlign w:val="center"/>
          </w:tcPr>
          <w:p>
            <w:pPr>
              <w:spacing w:after="0"/>
            </w:pPr>
            <w:r>
              <w:rPr>
                <w:b/>
                <w:i w:val="0"/>
                <w:color w:val="FFFFFF"/>
                <w:sz w:val="15"/>
              </w:rPr>
              <w:t>Bytes per row</w:t>
            </w:r>
          </w:p>
        </w:tc>
        <w:tc>
          <w:tcPr>
            <w:tcW w:type="dxa" w:w="4422"/>
            <w:shd w:val="clear" w:color="auto" w:fill="E1058C"/>
            <w:vAlign w:val="center"/>
          </w:tcPr>
          <w:p>
            <w:pPr>
              <w:spacing w:after="0"/>
            </w:pPr>
            <w:r>
              <w:rPr>
                <w:b/>
                <w:i w:val="0"/>
                <w:color w:val="FFFFFF"/>
                <w:sz w:val="15"/>
              </w:rPr>
              <w:t>Basis</w:t>
            </w:r>
          </w:p>
        </w:tc>
      </w:tr>
      <w:tr>
        <w:trPr>
          <w:cantSplit/>
        </w:trPr>
        <w:tc>
          <w:tcPr>
            <w:tcW w:type="dxa" w:w="2268"/>
            <w:vAlign w:val="top"/>
          </w:tcPr>
          <w:p>
            <w:pPr>
              <w:spacing w:after="20" w:line="252" w:lineRule="auto"/>
            </w:pPr>
            <w:r>
              <w:rPr>
                <w:b w:val="0"/>
                <w:i w:val="0"/>
                <w:sz w:val="15"/>
              </w:rPr>
              <w:t>policy</w:t>
            </w:r>
          </w:p>
        </w:tc>
        <w:tc>
          <w:tcPr>
            <w:tcW w:type="dxa" w:w="1474"/>
            <w:vAlign w:val="top"/>
          </w:tcPr>
          <w:p>
            <w:pPr>
              <w:spacing w:after="20" w:line="252" w:lineRule="auto"/>
              <w:jc w:val="right"/>
            </w:pPr>
            <w:r>
              <w:rPr>
                <w:b w:val="0"/>
                <w:i w:val="0"/>
                <w:sz w:val="15"/>
              </w:rPr>
              <w:t>2.5</w:t>
            </w:r>
          </w:p>
        </w:tc>
        <w:tc>
          <w:tcPr>
            <w:tcW w:type="dxa" w:w="1474"/>
            <w:vAlign w:val="top"/>
          </w:tcPr>
          <w:p>
            <w:pPr>
              <w:spacing w:after="20" w:line="252" w:lineRule="auto"/>
              <w:jc w:val="right"/>
            </w:pPr>
            <w:r>
              <w:rPr>
                <w:b w:val="0"/>
                <w:i w:val="0"/>
                <w:sz w:val="15"/>
              </w:rPr>
              <w:t>2,600</w:t>
            </w:r>
          </w:p>
        </w:tc>
        <w:tc>
          <w:tcPr>
            <w:tcW w:type="dxa" w:w="4422"/>
            <w:vAlign w:val="top"/>
          </w:tcPr>
          <w:p>
            <w:pPr>
              <w:spacing w:after="20" w:line="252" w:lineRule="auto"/>
            </w:pPr>
            <w:r>
              <w:rPr>
                <w:b w:val="0"/>
                <w:i w:val="0"/>
                <w:sz w:val="15"/>
              </w:rPr>
              <w:t>issued policy plus 1.5 quotations not taken up</w:t>
            </w:r>
          </w:p>
        </w:tc>
      </w:tr>
      <w:tr>
        <w:trPr>
          <w:cantSplit/>
        </w:trPr>
        <w:tc>
          <w:tcPr>
            <w:tcW w:type="dxa" w:w="2268"/>
            <w:vAlign w:val="top"/>
            <w:shd w:val="clear" w:color="auto" w:fill="FDF0F7"/>
          </w:tcPr>
          <w:p>
            <w:pPr>
              <w:spacing w:after="20" w:line="252" w:lineRule="auto"/>
            </w:pPr>
            <w:r>
              <w:rPr>
                <w:b w:val="0"/>
                <w:i w:val="0"/>
                <w:sz w:val="15"/>
              </w:rPr>
              <w:t>policy_event</w:t>
            </w:r>
          </w:p>
        </w:tc>
        <w:tc>
          <w:tcPr>
            <w:tcW w:type="dxa" w:w="1474"/>
            <w:vAlign w:val="top"/>
            <w:shd w:val="clear" w:color="auto" w:fill="FDF0F7"/>
          </w:tcPr>
          <w:p>
            <w:pPr>
              <w:spacing w:after="20" w:line="252" w:lineRule="auto"/>
              <w:jc w:val="right"/>
            </w:pPr>
            <w:r>
              <w:rPr>
                <w:b w:val="0"/>
                <w:i w:val="0"/>
                <w:sz w:val="15"/>
              </w:rPr>
              <w:t>10</w:t>
            </w:r>
          </w:p>
        </w:tc>
        <w:tc>
          <w:tcPr>
            <w:tcW w:type="dxa" w:w="1474"/>
            <w:vAlign w:val="top"/>
            <w:shd w:val="clear" w:color="auto" w:fill="FDF0F7"/>
          </w:tcPr>
          <w:p>
            <w:pPr>
              <w:spacing w:after="20" w:line="252" w:lineRule="auto"/>
              <w:jc w:val="right"/>
            </w:pPr>
            <w:r>
              <w:rPr>
                <w:b w:val="0"/>
                <w:i w:val="0"/>
                <w:sz w:val="15"/>
              </w:rPr>
              <w:t>260</w:t>
            </w:r>
          </w:p>
        </w:tc>
        <w:tc>
          <w:tcPr>
            <w:tcW w:type="dxa" w:w="4422"/>
            <w:vAlign w:val="top"/>
            <w:shd w:val="clear" w:color="auto" w:fill="FDF0F7"/>
          </w:tcPr>
          <w:p>
            <w:pPr>
              <w:spacing w:after="20" w:line="252" w:lineRule="auto"/>
            </w:pPr>
            <w:r>
              <w:rPr>
                <w:b w:val="0"/>
                <w:i w:val="0"/>
                <w:sz w:val="15"/>
              </w:rPr>
              <w:t>history entries</w:t>
            </w:r>
          </w:p>
        </w:tc>
      </w:tr>
      <w:tr>
        <w:trPr>
          <w:cantSplit/>
        </w:trPr>
        <w:tc>
          <w:tcPr>
            <w:tcW w:type="dxa" w:w="2268"/>
            <w:vAlign w:val="top"/>
          </w:tcPr>
          <w:p>
            <w:pPr>
              <w:spacing w:after="20" w:line="252" w:lineRule="auto"/>
            </w:pPr>
            <w:r>
              <w:rPr>
                <w:b w:val="0"/>
                <w:i w:val="0"/>
                <w:sz w:val="15"/>
              </w:rPr>
              <w:t>nominee</w:t>
            </w:r>
          </w:p>
        </w:tc>
        <w:tc>
          <w:tcPr>
            <w:tcW w:type="dxa" w:w="1474"/>
            <w:vAlign w:val="top"/>
          </w:tcPr>
          <w:p>
            <w:pPr>
              <w:spacing w:after="20" w:line="252" w:lineRule="auto"/>
              <w:jc w:val="right"/>
            </w:pPr>
            <w:r>
              <w:rPr>
                <w:b w:val="0"/>
                <w:i w:val="0"/>
                <w:sz w:val="15"/>
              </w:rPr>
              <w:t>1.5</w:t>
            </w:r>
          </w:p>
        </w:tc>
        <w:tc>
          <w:tcPr>
            <w:tcW w:type="dxa" w:w="1474"/>
            <w:vAlign w:val="top"/>
          </w:tcPr>
          <w:p>
            <w:pPr>
              <w:spacing w:after="20" w:line="252" w:lineRule="auto"/>
              <w:jc w:val="right"/>
            </w:pPr>
            <w:r>
              <w:rPr>
                <w:b w:val="0"/>
                <w:i w:val="0"/>
                <w:sz w:val="15"/>
              </w:rPr>
              <w:t>300</w:t>
            </w:r>
          </w:p>
        </w:tc>
        <w:tc>
          <w:tcPr>
            <w:tcW w:type="dxa" w:w="4422"/>
            <w:vAlign w:val="top"/>
          </w:tcPr>
          <w:p>
            <w:pPr>
              <w:spacing w:after="20" w:line="252" w:lineRule="auto"/>
            </w:pPr>
          </w:p>
        </w:tc>
      </w:tr>
      <w:tr>
        <w:trPr>
          <w:cantSplit/>
        </w:trPr>
        <w:tc>
          <w:tcPr>
            <w:tcW w:type="dxa" w:w="2268"/>
            <w:vAlign w:val="top"/>
            <w:shd w:val="clear" w:color="auto" w:fill="FDF0F7"/>
          </w:tcPr>
          <w:p>
            <w:pPr>
              <w:spacing w:after="20" w:line="252" w:lineRule="auto"/>
            </w:pPr>
            <w:r>
              <w:rPr>
                <w:b w:val="0"/>
                <w:i w:val="0"/>
                <w:sz w:val="15"/>
              </w:rPr>
              <w:t>participant</w:t>
            </w:r>
          </w:p>
        </w:tc>
        <w:tc>
          <w:tcPr>
            <w:tcW w:type="dxa" w:w="1474"/>
            <w:vAlign w:val="top"/>
            <w:shd w:val="clear" w:color="auto" w:fill="FDF0F7"/>
          </w:tcPr>
          <w:p>
            <w:pPr>
              <w:spacing w:after="20" w:line="252" w:lineRule="auto"/>
              <w:jc w:val="right"/>
            </w:pPr>
            <w:r>
              <w:rPr>
                <w:b w:val="0"/>
                <w:i w:val="0"/>
                <w:sz w:val="15"/>
              </w:rPr>
              <w:t>0.8</w:t>
            </w:r>
          </w:p>
        </w:tc>
        <w:tc>
          <w:tcPr>
            <w:tcW w:type="dxa" w:w="1474"/>
            <w:vAlign w:val="top"/>
            <w:shd w:val="clear" w:color="auto" w:fill="FDF0F7"/>
          </w:tcPr>
          <w:p>
            <w:pPr>
              <w:spacing w:after="20" w:line="252" w:lineRule="auto"/>
              <w:jc w:val="right"/>
            </w:pPr>
            <w:r>
              <w:rPr>
                <w:b w:val="0"/>
                <w:i w:val="0"/>
                <w:sz w:val="15"/>
              </w:rPr>
              <w:t>850</w:t>
            </w:r>
          </w:p>
        </w:tc>
        <w:tc>
          <w:tcPr>
            <w:tcW w:type="dxa" w:w="4422"/>
            <w:vAlign w:val="top"/>
            <w:shd w:val="clear" w:color="auto" w:fill="FDF0F7"/>
          </w:tcPr>
          <w:p>
            <w:pPr>
              <w:spacing w:after="20" w:line="252" w:lineRule="auto"/>
            </w:pPr>
            <w:r>
              <w:rPr>
                <w:b w:val="0"/>
                <w:i w:val="0"/>
                <w:sz w:val="15"/>
              </w:rPr>
              <w:t>some participants hold several policies</w:t>
            </w:r>
          </w:p>
        </w:tc>
      </w:tr>
      <w:tr>
        <w:trPr>
          <w:cantSplit/>
        </w:trPr>
        <w:tc>
          <w:tcPr>
            <w:tcW w:type="dxa" w:w="2268"/>
            <w:vAlign w:val="top"/>
          </w:tcPr>
          <w:p>
            <w:pPr>
              <w:spacing w:after="20" w:line="252" w:lineRule="auto"/>
            </w:pPr>
            <w:r>
              <w:rPr>
                <w:b w:val="0"/>
                <w:i w:val="0"/>
                <w:sz w:val="15"/>
              </w:rPr>
              <w:t>aml_screening</w:t>
            </w:r>
          </w:p>
        </w:tc>
        <w:tc>
          <w:tcPr>
            <w:tcW w:type="dxa" w:w="1474"/>
            <w:vAlign w:val="top"/>
          </w:tcPr>
          <w:p>
            <w:pPr>
              <w:spacing w:after="20" w:line="252" w:lineRule="auto"/>
              <w:jc w:val="right"/>
            </w:pPr>
            <w:r>
              <w:rPr>
                <w:b w:val="0"/>
                <w:i w:val="0"/>
                <w:sz w:val="15"/>
              </w:rPr>
              <w:t>1</w:t>
            </w:r>
          </w:p>
        </w:tc>
        <w:tc>
          <w:tcPr>
            <w:tcW w:type="dxa" w:w="1474"/>
            <w:vAlign w:val="top"/>
          </w:tcPr>
          <w:p>
            <w:pPr>
              <w:spacing w:after="20" w:line="252" w:lineRule="auto"/>
              <w:jc w:val="right"/>
            </w:pPr>
            <w:r>
              <w:rPr>
                <w:b w:val="0"/>
                <w:i w:val="0"/>
                <w:sz w:val="15"/>
              </w:rPr>
              <w:t>900</w:t>
            </w:r>
          </w:p>
        </w:tc>
        <w:tc>
          <w:tcPr>
            <w:tcW w:type="dxa" w:w="4422"/>
            <w:vAlign w:val="top"/>
          </w:tcPr>
          <w:p>
            <w:pPr>
              <w:spacing w:after="20" w:line="252" w:lineRule="auto"/>
            </w:pPr>
            <w:r>
              <w:rPr>
                <w:b w:val="0"/>
                <w:i w:val="0"/>
                <w:sz w:val="15"/>
              </w:rPr>
              <w:t>screening on registration and name change</w:t>
            </w:r>
          </w:p>
        </w:tc>
      </w:tr>
      <w:tr>
        <w:trPr>
          <w:cantSplit/>
        </w:trPr>
        <w:tc>
          <w:tcPr>
            <w:tcW w:type="dxa" w:w="2268"/>
            <w:vAlign w:val="top"/>
            <w:shd w:val="clear" w:color="auto" w:fill="FDF0F7"/>
          </w:tcPr>
          <w:p>
            <w:pPr>
              <w:spacing w:after="20" w:line="252" w:lineRule="auto"/>
            </w:pPr>
            <w:r>
              <w:rPr>
                <w:b w:val="0"/>
                <w:i w:val="0"/>
                <w:sz w:val="15"/>
              </w:rPr>
              <w:t>signature_request</w:t>
            </w:r>
          </w:p>
        </w:tc>
        <w:tc>
          <w:tcPr>
            <w:tcW w:type="dxa" w:w="1474"/>
            <w:vAlign w:val="top"/>
            <w:shd w:val="clear" w:color="auto" w:fill="FDF0F7"/>
          </w:tcPr>
          <w:p>
            <w:pPr>
              <w:spacing w:after="20" w:line="252" w:lineRule="auto"/>
              <w:jc w:val="right"/>
            </w:pPr>
            <w:r>
              <w:rPr>
                <w:b w:val="0"/>
                <w:i w:val="0"/>
                <w:sz w:val="15"/>
              </w:rPr>
              <w:t>0.5</w:t>
            </w:r>
          </w:p>
        </w:tc>
        <w:tc>
          <w:tcPr>
            <w:tcW w:type="dxa" w:w="1474"/>
            <w:vAlign w:val="top"/>
            <w:shd w:val="clear" w:color="auto" w:fill="FDF0F7"/>
          </w:tcPr>
          <w:p>
            <w:pPr>
              <w:spacing w:after="20" w:line="252" w:lineRule="auto"/>
              <w:jc w:val="right"/>
            </w:pPr>
            <w:r>
              <w:rPr>
                <w:b w:val="0"/>
                <w:i w:val="0"/>
                <w:sz w:val="15"/>
              </w:rPr>
              <w:t>420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document</w:t>
            </w:r>
          </w:p>
        </w:tc>
        <w:tc>
          <w:tcPr>
            <w:tcW w:type="dxa" w:w="1474"/>
            <w:vAlign w:val="top"/>
          </w:tcPr>
          <w:p>
            <w:pPr>
              <w:spacing w:after="20" w:line="252" w:lineRule="auto"/>
              <w:jc w:val="right"/>
            </w:pPr>
            <w:r>
              <w:rPr>
                <w:b w:val="0"/>
                <w:i w:val="0"/>
                <w:sz w:val="15"/>
              </w:rPr>
              <w:t>9</w:t>
            </w:r>
          </w:p>
        </w:tc>
        <w:tc>
          <w:tcPr>
            <w:tcW w:type="dxa" w:w="1474"/>
            <w:vAlign w:val="top"/>
          </w:tcPr>
          <w:p>
            <w:pPr>
              <w:spacing w:after="20" w:line="252" w:lineRule="auto"/>
              <w:jc w:val="right"/>
            </w:pPr>
            <w:r>
              <w:rPr>
                <w:b w:val="0"/>
                <w:i w:val="0"/>
                <w:sz w:val="15"/>
              </w:rPr>
              <w:t>420</w:t>
            </w:r>
          </w:p>
        </w:tc>
        <w:tc>
          <w:tcPr>
            <w:tcW w:type="dxa" w:w="4422"/>
            <w:vAlign w:val="top"/>
          </w:tcPr>
          <w:p>
            <w:pPr>
              <w:spacing w:after="20" w:line="252" w:lineRule="auto"/>
            </w:pPr>
            <w:r>
              <w:rPr>
                <w:b w:val="0"/>
                <w:i w:val="0"/>
                <w:sz w:val="15"/>
              </w:rPr>
              <w:t>metadata only; files counted separately</w:t>
            </w:r>
          </w:p>
        </w:tc>
      </w:tr>
      <w:tr>
        <w:trPr>
          <w:cantSplit/>
        </w:trPr>
        <w:tc>
          <w:tcPr>
            <w:tcW w:type="dxa" w:w="2268"/>
            <w:vAlign w:val="top"/>
            <w:shd w:val="clear" w:color="auto" w:fill="FDF0F7"/>
          </w:tcPr>
          <w:p>
            <w:pPr>
              <w:spacing w:after="20" w:line="252" w:lineRule="auto"/>
            </w:pPr>
            <w:r>
              <w:rPr>
                <w:b w:val="0"/>
                <w:i w:val="0"/>
                <w:sz w:val="15"/>
              </w:rPr>
              <w:t>payment</w:t>
            </w:r>
          </w:p>
        </w:tc>
        <w:tc>
          <w:tcPr>
            <w:tcW w:type="dxa" w:w="1474"/>
            <w:vAlign w:val="top"/>
            <w:shd w:val="clear" w:color="auto" w:fill="FDF0F7"/>
          </w:tcPr>
          <w:p>
            <w:pPr>
              <w:spacing w:after="20" w:line="252" w:lineRule="auto"/>
              <w:jc w:val="right"/>
            </w:pPr>
            <w:r>
              <w:rPr>
                <w:b w:val="0"/>
                <w:i w:val="0"/>
                <w:sz w:val="15"/>
              </w:rPr>
              <w:t>0.5</w:t>
            </w:r>
          </w:p>
        </w:tc>
        <w:tc>
          <w:tcPr>
            <w:tcW w:type="dxa" w:w="1474"/>
            <w:vAlign w:val="top"/>
            <w:shd w:val="clear" w:color="auto" w:fill="FDF0F7"/>
          </w:tcPr>
          <w:p>
            <w:pPr>
              <w:spacing w:after="20" w:line="252" w:lineRule="auto"/>
              <w:jc w:val="right"/>
            </w:pPr>
            <w:r>
              <w:rPr>
                <w:b w:val="0"/>
                <w:i w:val="0"/>
                <w:sz w:val="15"/>
              </w:rPr>
              <w:t>420</w:t>
            </w:r>
          </w:p>
        </w:tc>
        <w:tc>
          <w:tcPr>
            <w:tcW w:type="dxa" w:w="4422"/>
            <w:vAlign w:val="top"/>
            <w:shd w:val="clear" w:color="auto" w:fill="FDF0F7"/>
          </w:tcPr>
          <w:p>
            <w:pPr>
              <w:spacing w:after="20" w:line="252" w:lineRule="auto"/>
            </w:pPr>
            <w:r>
              <w:rPr>
                <w:b w:val="0"/>
                <w:i w:val="0"/>
                <w:sz w:val="15"/>
              </w:rPr>
              <w:t>bulk payments cover about two policies</w:t>
            </w:r>
          </w:p>
        </w:tc>
      </w:tr>
      <w:tr>
        <w:trPr>
          <w:cantSplit/>
        </w:trPr>
        <w:tc>
          <w:tcPr>
            <w:tcW w:type="dxa" w:w="2268"/>
            <w:vAlign w:val="top"/>
          </w:tcPr>
          <w:p>
            <w:pPr>
              <w:spacing w:after="20" w:line="252" w:lineRule="auto"/>
            </w:pPr>
            <w:r>
              <w:rPr>
                <w:b w:val="0"/>
                <w:i w:val="0"/>
                <w:sz w:val="15"/>
              </w:rPr>
              <w:t>payment_allocation</w:t>
            </w:r>
          </w:p>
        </w:tc>
        <w:tc>
          <w:tcPr>
            <w:tcW w:type="dxa" w:w="1474"/>
            <w:vAlign w:val="top"/>
          </w:tcPr>
          <w:p>
            <w:pPr>
              <w:spacing w:after="20" w:line="252" w:lineRule="auto"/>
              <w:jc w:val="right"/>
            </w:pPr>
            <w:r>
              <w:rPr>
                <w:b w:val="0"/>
                <w:i w:val="0"/>
                <w:sz w:val="15"/>
              </w:rPr>
              <w:t>1.1</w:t>
            </w:r>
          </w:p>
        </w:tc>
        <w:tc>
          <w:tcPr>
            <w:tcW w:type="dxa" w:w="1474"/>
            <w:vAlign w:val="top"/>
          </w:tcPr>
          <w:p>
            <w:pPr>
              <w:spacing w:after="20" w:line="252" w:lineRule="auto"/>
              <w:jc w:val="right"/>
            </w:pPr>
            <w:r>
              <w:rPr>
                <w:b w:val="0"/>
                <w:i w:val="0"/>
                <w:sz w:val="15"/>
              </w:rPr>
              <w:t>130</w:t>
            </w:r>
          </w:p>
        </w:tc>
        <w:tc>
          <w:tcPr>
            <w:tcW w:type="dxa" w:w="4422"/>
            <w:vAlign w:val="top"/>
          </w:tcPr>
          <w:p>
            <w:pPr>
              <w:spacing w:after="20" w:line="252" w:lineRule="auto"/>
            </w:pPr>
          </w:p>
        </w:tc>
      </w:tr>
      <w:tr>
        <w:trPr>
          <w:cantSplit/>
        </w:trPr>
        <w:tc>
          <w:tcPr>
            <w:tcW w:type="dxa" w:w="2268"/>
            <w:vAlign w:val="top"/>
            <w:shd w:val="clear" w:color="auto" w:fill="FDF0F7"/>
          </w:tcPr>
          <w:p>
            <w:pPr>
              <w:spacing w:after="20" w:line="252" w:lineRule="auto"/>
            </w:pPr>
            <w:r>
              <w:rPr>
                <w:b w:val="0"/>
                <w:i w:val="0"/>
                <w:sz w:val="15"/>
              </w:rPr>
              <w:t>receipt</w:t>
            </w:r>
          </w:p>
        </w:tc>
        <w:tc>
          <w:tcPr>
            <w:tcW w:type="dxa" w:w="1474"/>
            <w:vAlign w:val="top"/>
            <w:shd w:val="clear" w:color="auto" w:fill="FDF0F7"/>
          </w:tcPr>
          <w:p>
            <w:pPr>
              <w:spacing w:after="20" w:line="252" w:lineRule="auto"/>
              <w:jc w:val="right"/>
            </w:pPr>
            <w:r>
              <w:rPr>
                <w:b w:val="0"/>
                <w:i w:val="0"/>
                <w:sz w:val="15"/>
              </w:rPr>
              <w:t>1.1</w:t>
            </w:r>
          </w:p>
        </w:tc>
        <w:tc>
          <w:tcPr>
            <w:tcW w:type="dxa" w:w="1474"/>
            <w:vAlign w:val="top"/>
            <w:shd w:val="clear" w:color="auto" w:fill="FDF0F7"/>
          </w:tcPr>
          <w:p>
            <w:pPr>
              <w:spacing w:after="20" w:line="252" w:lineRule="auto"/>
              <w:jc w:val="right"/>
            </w:pPr>
            <w:r>
              <w:rPr>
                <w:b w:val="0"/>
                <w:i w:val="0"/>
                <w:sz w:val="15"/>
              </w:rPr>
              <w:t>220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commission</w:t>
            </w:r>
          </w:p>
        </w:tc>
        <w:tc>
          <w:tcPr>
            <w:tcW w:type="dxa" w:w="1474"/>
            <w:vAlign w:val="top"/>
          </w:tcPr>
          <w:p>
            <w:pPr>
              <w:spacing w:after="20" w:line="252" w:lineRule="auto"/>
              <w:jc w:val="right"/>
            </w:pPr>
            <w:r>
              <w:rPr>
                <w:b w:val="0"/>
                <w:i w:val="0"/>
                <w:sz w:val="15"/>
              </w:rPr>
              <w:t>1</w:t>
            </w:r>
          </w:p>
        </w:tc>
        <w:tc>
          <w:tcPr>
            <w:tcW w:type="dxa" w:w="1474"/>
            <w:vAlign w:val="top"/>
          </w:tcPr>
          <w:p>
            <w:pPr>
              <w:spacing w:after="20" w:line="252" w:lineRule="auto"/>
              <w:jc w:val="right"/>
            </w:pPr>
            <w:r>
              <w:rPr>
                <w:b w:val="0"/>
                <w:i w:val="0"/>
                <w:sz w:val="15"/>
              </w:rPr>
              <w:t>220</w:t>
            </w:r>
          </w:p>
        </w:tc>
        <w:tc>
          <w:tcPr>
            <w:tcW w:type="dxa" w:w="4422"/>
            <w:vAlign w:val="top"/>
          </w:tcPr>
          <w:p>
            <w:pPr>
              <w:spacing w:after="20" w:line="252" w:lineRule="auto"/>
            </w:pPr>
          </w:p>
        </w:tc>
      </w:tr>
      <w:tr>
        <w:trPr>
          <w:cantSplit/>
        </w:trPr>
        <w:tc>
          <w:tcPr>
            <w:tcW w:type="dxa" w:w="2268"/>
            <w:vAlign w:val="top"/>
            <w:shd w:val="clear" w:color="auto" w:fill="FDF0F7"/>
          </w:tcPr>
          <w:p>
            <w:pPr>
              <w:spacing w:after="20" w:line="252" w:lineRule="auto"/>
            </w:pPr>
            <w:r>
              <w:rPr>
                <w:b w:val="0"/>
                <w:i w:val="0"/>
                <w:sz w:val="15"/>
              </w:rPr>
              <w:t>claim</w:t>
            </w:r>
          </w:p>
        </w:tc>
        <w:tc>
          <w:tcPr>
            <w:tcW w:type="dxa" w:w="1474"/>
            <w:vAlign w:val="top"/>
            <w:shd w:val="clear" w:color="auto" w:fill="FDF0F7"/>
          </w:tcPr>
          <w:p>
            <w:pPr>
              <w:spacing w:after="20" w:line="252" w:lineRule="auto"/>
              <w:jc w:val="right"/>
            </w:pPr>
            <w:r>
              <w:rPr>
                <w:b w:val="0"/>
                <w:i w:val="0"/>
                <w:sz w:val="15"/>
              </w:rPr>
              <w:t>0.05</w:t>
            </w:r>
          </w:p>
        </w:tc>
        <w:tc>
          <w:tcPr>
            <w:tcW w:type="dxa" w:w="1474"/>
            <w:vAlign w:val="top"/>
            <w:shd w:val="clear" w:color="auto" w:fill="FDF0F7"/>
          </w:tcPr>
          <w:p>
            <w:pPr>
              <w:spacing w:after="20" w:line="252" w:lineRule="auto"/>
              <w:jc w:val="right"/>
            </w:pPr>
            <w:r>
              <w:rPr>
                <w:b w:val="0"/>
                <w:i w:val="0"/>
                <w:sz w:val="15"/>
              </w:rPr>
              <w:t>900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approval_request</w:t>
            </w:r>
          </w:p>
        </w:tc>
        <w:tc>
          <w:tcPr>
            <w:tcW w:type="dxa" w:w="1474"/>
            <w:vAlign w:val="top"/>
          </w:tcPr>
          <w:p>
            <w:pPr>
              <w:spacing w:after="20" w:line="252" w:lineRule="auto"/>
              <w:jc w:val="right"/>
            </w:pPr>
            <w:r>
              <w:rPr>
                <w:b w:val="0"/>
                <w:i w:val="0"/>
                <w:sz w:val="15"/>
              </w:rPr>
              <w:t>0.8</w:t>
            </w:r>
          </w:p>
        </w:tc>
        <w:tc>
          <w:tcPr>
            <w:tcW w:type="dxa" w:w="1474"/>
            <w:vAlign w:val="top"/>
          </w:tcPr>
          <w:p>
            <w:pPr>
              <w:spacing w:after="20" w:line="252" w:lineRule="auto"/>
              <w:jc w:val="right"/>
            </w:pPr>
            <w:r>
              <w:rPr>
                <w:b w:val="0"/>
                <w:i w:val="0"/>
                <w:sz w:val="15"/>
              </w:rPr>
              <w:t>1,600</w:t>
            </w:r>
          </w:p>
        </w:tc>
        <w:tc>
          <w:tcPr>
            <w:tcW w:type="dxa" w:w="4422"/>
            <w:vAlign w:val="top"/>
          </w:tcPr>
          <w:p>
            <w:pPr>
              <w:spacing w:after="20" w:line="252" w:lineRule="auto"/>
            </w:pPr>
            <w:r>
              <w:rPr>
                <w:b w:val="0"/>
                <w:i w:val="0"/>
                <w:sz w:val="15"/>
              </w:rPr>
              <w:t>referrals, payment verification, endorsements</w:t>
            </w:r>
          </w:p>
        </w:tc>
      </w:tr>
      <w:tr>
        <w:trPr>
          <w:cantSplit/>
        </w:trPr>
        <w:tc>
          <w:tcPr>
            <w:tcW w:type="dxa" w:w="2268"/>
            <w:vAlign w:val="top"/>
            <w:shd w:val="clear" w:color="auto" w:fill="FDF0F7"/>
          </w:tcPr>
          <w:p>
            <w:pPr>
              <w:spacing w:after="20" w:line="252" w:lineRule="auto"/>
            </w:pPr>
            <w:r>
              <w:rPr>
                <w:b w:val="0"/>
                <w:i w:val="0"/>
                <w:sz w:val="15"/>
              </w:rPr>
              <w:t>approval_action</w:t>
            </w:r>
          </w:p>
        </w:tc>
        <w:tc>
          <w:tcPr>
            <w:tcW w:type="dxa" w:w="1474"/>
            <w:vAlign w:val="top"/>
            <w:shd w:val="clear" w:color="auto" w:fill="FDF0F7"/>
          </w:tcPr>
          <w:p>
            <w:pPr>
              <w:spacing w:after="20" w:line="252" w:lineRule="auto"/>
              <w:jc w:val="right"/>
            </w:pPr>
            <w:r>
              <w:rPr>
                <w:b w:val="0"/>
                <w:i w:val="0"/>
                <w:sz w:val="15"/>
              </w:rPr>
              <w:t>2</w:t>
            </w:r>
          </w:p>
        </w:tc>
        <w:tc>
          <w:tcPr>
            <w:tcW w:type="dxa" w:w="1474"/>
            <w:vAlign w:val="top"/>
            <w:shd w:val="clear" w:color="auto" w:fill="FDF0F7"/>
          </w:tcPr>
          <w:p>
            <w:pPr>
              <w:spacing w:after="20" w:line="252" w:lineRule="auto"/>
              <w:jc w:val="right"/>
            </w:pPr>
            <w:r>
              <w:rPr>
                <w:b w:val="0"/>
                <w:i w:val="0"/>
                <w:sz w:val="15"/>
              </w:rPr>
              <w:t>260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notification</w:t>
            </w:r>
          </w:p>
        </w:tc>
        <w:tc>
          <w:tcPr>
            <w:tcW w:type="dxa" w:w="1474"/>
            <w:vAlign w:val="top"/>
          </w:tcPr>
          <w:p>
            <w:pPr>
              <w:spacing w:after="20" w:line="252" w:lineRule="auto"/>
              <w:jc w:val="right"/>
            </w:pPr>
            <w:r>
              <w:rPr>
                <w:b w:val="0"/>
                <w:i w:val="0"/>
                <w:sz w:val="15"/>
              </w:rPr>
              <w:t>14</w:t>
            </w:r>
          </w:p>
        </w:tc>
        <w:tc>
          <w:tcPr>
            <w:tcW w:type="dxa" w:w="1474"/>
            <w:vAlign w:val="top"/>
          </w:tcPr>
          <w:p>
            <w:pPr>
              <w:spacing w:after="20" w:line="252" w:lineRule="auto"/>
              <w:jc w:val="right"/>
            </w:pPr>
            <w:r>
              <w:rPr>
                <w:b w:val="0"/>
                <w:i w:val="0"/>
                <w:sz w:val="15"/>
              </w:rPr>
              <w:t>900</w:t>
            </w:r>
          </w:p>
        </w:tc>
        <w:tc>
          <w:tcPr>
            <w:tcW w:type="dxa" w:w="4422"/>
            <w:vAlign w:val="top"/>
          </w:tcPr>
          <w:p>
            <w:pPr>
              <w:spacing w:after="20" w:line="252" w:lineRule="auto"/>
            </w:pPr>
            <w:r>
              <w:rPr>
                <w:b w:val="0"/>
                <w:i w:val="0"/>
                <w:sz w:val="15"/>
              </w:rPr>
              <w:t>in-app, e-mail and SMS</w:t>
            </w:r>
          </w:p>
        </w:tc>
      </w:tr>
      <w:tr>
        <w:trPr>
          <w:cantSplit/>
        </w:trPr>
        <w:tc>
          <w:tcPr>
            <w:tcW w:type="dxa" w:w="2268"/>
            <w:vAlign w:val="top"/>
            <w:shd w:val="clear" w:color="auto" w:fill="FDF0F7"/>
          </w:tcPr>
          <w:p>
            <w:pPr>
              <w:spacing w:after="20" w:line="252" w:lineRule="auto"/>
            </w:pPr>
            <w:r>
              <w:rPr>
                <w:b w:val="0"/>
                <w:i w:val="0"/>
                <w:sz w:val="15"/>
              </w:rPr>
              <w:t>outbox_message</w:t>
            </w:r>
          </w:p>
        </w:tc>
        <w:tc>
          <w:tcPr>
            <w:tcW w:type="dxa" w:w="1474"/>
            <w:vAlign w:val="top"/>
            <w:shd w:val="clear" w:color="auto" w:fill="FDF0F7"/>
          </w:tcPr>
          <w:p>
            <w:pPr>
              <w:spacing w:after="20" w:line="252" w:lineRule="auto"/>
              <w:jc w:val="right"/>
            </w:pPr>
            <w:r>
              <w:rPr>
                <w:b w:val="0"/>
                <w:i w:val="0"/>
                <w:sz w:val="15"/>
              </w:rPr>
              <w:t>3.5</w:t>
            </w:r>
          </w:p>
        </w:tc>
        <w:tc>
          <w:tcPr>
            <w:tcW w:type="dxa" w:w="1474"/>
            <w:vAlign w:val="top"/>
            <w:shd w:val="clear" w:color="auto" w:fill="FDF0F7"/>
          </w:tcPr>
          <w:p>
            <w:pPr>
              <w:spacing w:after="20" w:line="252" w:lineRule="auto"/>
              <w:jc w:val="right"/>
            </w:pPr>
            <w:r>
              <w:rPr>
                <w:b w:val="0"/>
                <w:i w:val="0"/>
                <w:sz w:val="15"/>
              </w:rPr>
              <w:t>1,000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integration_log</w:t>
            </w:r>
          </w:p>
        </w:tc>
        <w:tc>
          <w:tcPr>
            <w:tcW w:type="dxa" w:w="1474"/>
            <w:vAlign w:val="top"/>
          </w:tcPr>
          <w:p>
            <w:pPr>
              <w:spacing w:after="20" w:line="252" w:lineRule="auto"/>
              <w:jc w:val="right"/>
            </w:pPr>
            <w:r>
              <w:rPr>
                <w:b w:val="0"/>
                <w:i w:val="0"/>
                <w:sz w:val="15"/>
              </w:rPr>
              <w:t>18</w:t>
            </w:r>
          </w:p>
        </w:tc>
        <w:tc>
          <w:tcPr>
            <w:tcW w:type="dxa" w:w="1474"/>
            <w:vAlign w:val="top"/>
          </w:tcPr>
          <w:p>
            <w:pPr>
              <w:spacing w:after="20" w:line="252" w:lineRule="auto"/>
              <w:jc w:val="right"/>
            </w:pPr>
            <w:r>
              <w:rPr>
                <w:b w:val="0"/>
                <w:i w:val="0"/>
                <w:sz w:val="15"/>
              </w:rPr>
              <w:t>420</w:t>
            </w:r>
          </w:p>
        </w:tc>
        <w:tc>
          <w:tcPr>
            <w:tcW w:type="dxa" w:w="4422"/>
            <w:vAlign w:val="top"/>
          </w:tcPr>
          <w:p>
            <w:pPr>
              <w:spacing w:after="20" w:line="252" w:lineRule="auto"/>
            </w:pPr>
            <w:r>
              <w:rPr>
                <w:b w:val="0"/>
                <w:i w:val="0"/>
                <w:sz w:val="15"/>
              </w:rPr>
              <w:t>outbound, inbound, e-mail and SMS calls</w:t>
            </w:r>
          </w:p>
        </w:tc>
      </w:tr>
      <w:tr>
        <w:trPr>
          <w:cantSplit/>
        </w:trPr>
        <w:tc>
          <w:tcPr>
            <w:tcW w:type="dxa" w:w="2268"/>
            <w:vAlign w:val="top"/>
            <w:shd w:val="clear" w:color="auto" w:fill="FDF0F7"/>
          </w:tcPr>
          <w:p>
            <w:pPr>
              <w:spacing w:after="20" w:line="252" w:lineRule="auto"/>
            </w:pPr>
            <w:r>
              <w:rPr>
                <w:b w:val="0"/>
                <w:i w:val="0"/>
                <w:sz w:val="15"/>
              </w:rPr>
              <w:t>audit_log</w:t>
            </w:r>
          </w:p>
        </w:tc>
        <w:tc>
          <w:tcPr>
            <w:tcW w:type="dxa" w:w="1474"/>
            <w:vAlign w:val="top"/>
            <w:shd w:val="clear" w:color="auto" w:fill="FDF0F7"/>
          </w:tcPr>
          <w:p>
            <w:pPr>
              <w:spacing w:after="20" w:line="252" w:lineRule="auto"/>
              <w:jc w:val="right"/>
            </w:pPr>
            <w:r>
              <w:rPr>
                <w:b w:val="0"/>
                <w:i w:val="0"/>
                <w:sz w:val="15"/>
              </w:rPr>
              <w:t>35</w:t>
            </w:r>
          </w:p>
        </w:tc>
        <w:tc>
          <w:tcPr>
            <w:tcW w:type="dxa" w:w="1474"/>
            <w:vAlign w:val="top"/>
            <w:shd w:val="clear" w:color="auto" w:fill="FDF0F7"/>
          </w:tcPr>
          <w:p>
            <w:pPr>
              <w:spacing w:after="20" w:line="252" w:lineRule="auto"/>
              <w:jc w:val="right"/>
            </w:pPr>
            <w:r>
              <w:rPr>
                <w:b w:val="0"/>
                <w:i w:val="0"/>
                <w:sz w:val="15"/>
              </w:rPr>
              <w:t>1,500</w:t>
            </w:r>
          </w:p>
        </w:tc>
        <w:tc>
          <w:tcPr>
            <w:tcW w:type="dxa" w:w="4422"/>
            <w:vAlign w:val="top"/>
            <w:shd w:val="clear" w:color="auto" w:fill="FDF0F7"/>
          </w:tcPr>
          <w:p>
            <w:pPr>
              <w:spacing w:after="20" w:line="252" w:lineRule="auto"/>
            </w:pPr>
            <w:r>
              <w:rPr>
                <w:b w:val="0"/>
                <w:i w:val="0"/>
                <w:sz w:val="15"/>
              </w:rPr>
              <w:t>before and after values</w:t>
            </w:r>
          </w:p>
        </w:tc>
      </w:tr>
    </w:tbl>
    <w:p>
      <w:pPr>
        <w:pStyle w:val="Caption"/>
        <w:jc w:val="center"/>
      </w:pPr>
      <w:r>
        <w:rPr>
          <w:b w:val="0"/>
          <w:i w:val="0"/>
        </w:rPr>
        <w:t>Table 29: Sizing basis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020"/>
        <w:gridCol w:w="1360"/>
        <w:gridCol w:w="1587"/>
        <w:gridCol w:w="1587"/>
        <w:gridCol w:w="1927"/>
        <w:gridCol w:w="2154"/>
      </w:tblGrid>
      <w:tr>
        <w:trPr>
          <w:cantSplit/>
          <w:tblHeader/>
        </w:trPr>
        <w:tc>
          <w:tcPr>
            <w:tcW w:type="dxa" w:w="1020"/>
            <w:shd w:val="clear" w:color="auto" w:fill="E1058C"/>
            <w:vAlign w:val="center"/>
          </w:tcPr>
          <w:p>
            <w:pPr>
              <w:spacing w:after="0"/>
            </w:pPr>
            <w:r>
              <w:rPr>
                <w:b/>
                <w:i w:val="0"/>
                <w:color w:val="FFFFFF"/>
                <w:sz w:val="17"/>
              </w:rPr>
              <w:t>Year</w:t>
            </w:r>
          </w:p>
        </w:tc>
        <w:tc>
          <w:tcPr>
            <w:tcW w:type="dxa" w:w="1361"/>
            <w:shd w:val="clear" w:color="auto" w:fill="E1058C"/>
            <w:vAlign w:val="center"/>
          </w:tcPr>
          <w:p>
            <w:pPr>
              <w:spacing w:after="0"/>
            </w:pPr>
            <w:r>
              <w:rPr>
                <w:b/>
                <w:i w:val="0"/>
                <w:color w:val="FFFFFF"/>
                <w:sz w:val="17"/>
              </w:rPr>
              <w:t>Policies</w:t>
            </w:r>
          </w:p>
        </w:tc>
        <w:tc>
          <w:tcPr>
            <w:tcW w:type="dxa" w:w="1587"/>
            <w:shd w:val="clear" w:color="auto" w:fill="E1058C"/>
            <w:vAlign w:val="center"/>
          </w:tcPr>
          <w:p>
            <w:pPr>
              <w:spacing w:after="0"/>
            </w:pPr>
            <w:r>
              <w:rPr>
                <w:b/>
                <w:i w:val="0"/>
                <w:color w:val="FFFFFF"/>
                <w:sz w:val="17"/>
              </w:rPr>
              <w:t>Cumulative</w:t>
            </w:r>
          </w:p>
        </w:tc>
        <w:tc>
          <w:tcPr>
            <w:tcW w:type="dxa" w:w="1587"/>
            <w:shd w:val="clear" w:color="auto" w:fill="E1058C"/>
            <w:vAlign w:val="center"/>
          </w:tcPr>
          <w:p>
            <w:pPr>
              <w:spacing w:after="0"/>
            </w:pPr>
            <w:r>
              <w:rPr>
                <w:b/>
                <w:i w:val="0"/>
                <w:color w:val="FFFFFF"/>
                <w:sz w:val="17"/>
              </w:rPr>
              <w:t>Growth</w:t>
            </w:r>
          </w:p>
        </w:tc>
        <w:tc>
          <w:tcPr>
            <w:tcW w:type="dxa" w:w="1928"/>
            <w:shd w:val="clear" w:color="auto" w:fill="E1058C"/>
            <w:vAlign w:val="center"/>
          </w:tcPr>
          <w:p>
            <w:pPr>
              <w:spacing w:after="0"/>
            </w:pPr>
            <w:r>
              <w:rPr>
                <w:b/>
                <w:i w:val="0"/>
                <w:color w:val="FFFFFF"/>
                <w:sz w:val="17"/>
              </w:rPr>
              <w:t>Database size</w:t>
            </w:r>
          </w:p>
        </w:tc>
        <w:tc>
          <w:tcPr>
            <w:tcW w:type="dxa" w:w="2154"/>
            <w:shd w:val="clear" w:color="auto" w:fill="E1058C"/>
            <w:vAlign w:val="center"/>
          </w:tcPr>
          <w:p>
            <w:pPr>
              <w:spacing w:after="0"/>
            </w:pPr>
            <w:r>
              <w:rPr>
                <w:b/>
                <w:i w:val="0"/>
                <w:color w:val="FFFFFF"/>
                <w:sz w:val="17"/>
              </w:rPr>
              <w:t>×10 headroom</w:t>
            </w:r>
          </w:p>
        </w:tc>
      </w:tr>
      <w:tr>
        <w:trPr>
          <w:cantSplit/>
        </w:trPr>
        <w:tc>
          <w:tcPr>
            <w:tcW w:type="dxa" w:w="1020"/>
            <w:vAlign w:val="top"/>
          </w:tcPr>
          <w:p>
            <w:pPr>
              <w:spacing w:after="20" w:line="252" w:lineRule="auto"/>
            </w:pPr>
            <w:r>
              <w:rPr>
                <w:b w:val="0"/>
                <w:i w:val="0"/>
                <w:sz w:val="17"/>
              </w:rPr>
              <w:t>2027</w:t>
            </w:r>
          </w:p>
        </w:tc>
        <w:tc>
          <w:tcPr>
            <w:tcW w:type="dxa" w:w="1361"/>
            <w:vAlign w:val="top"/>
          </w:tcPr>
          <w:p>
            <w:pPr>
              <w:spacing w:after="20" w:line="252" w:lineRule="auto"/>
              <w:jc w:val="right"/>
            </w:pPr>
            <w:r>
              <w:rPr>
                <w:b w:val="0"/>
                <w:i w:val="0"/>
                <w:sz w:val="17"/>
              </w:rPr>
              <w:t>538</w:t>
            </w:r>
          </w:p>
        </w:tc>
        <w:tc>
          <w:tcPr>
            <w:tcW w:type="dxa" w:w="1587"/>
            <w:vAlign w:val="top"/>
          </w:tcPr>
          <w:p>
            <w:pPr>
              <w:spacing w:after="20" w:line="252" w:lineRule="auto"/>
              <w:jc w:val="right"/>
            </w:pPr>
            <w:r>
              <w:rPr>
                <w:b w:val="0"/>
                <w:i w:val="0"/>
                <w:sz w:val="17"/>
              </w:rPr>
              <w:t>538</w:t>
            </w:r>
          </w:p>
        </w:tc>
        <w:tc>
          <w:tcPr>
            <w:tcW w:type="dxa" w:w="1587"/>
            <w:vAlign w:val="top"/>
          </w:tcPr>
          <w:p>
            <w:pPr>
              <w:spacing w:after="20" w:line="252" w:lineRule="auto"/>
              <w:jc w:val="right"/>
            </w:pPr>
            <w:r>
              <w:rPr>
                <w:b w:val="0"/>
                <w:i w:val="0"/>
                <w:sz w:val="17"/>
              </w:rPr>
              <w:t>89 MB</w:t>
            </w:r>
          </w:p>
        </w:tc>
        <w:tc>
          <w:tcPr>
            <w:tcW w:type="dxa" w:w="1928"/>
            <w:vAlign w:val="top"/>
          </w:tcPr>
          <w:p>
            <w:pPr>
              <w:spacing w:after="20" w:line="252" w:lineRule="auto"/>
              <w:jc w:val="right"/>
            </w:pPr>
            <w:r>
              <w:rPr>
                <w:b w:val="0"/>
                <w:i w:val="0"/>
                <w:sz w:val="17"/>
              </w:rPr>
              <w:t>89 MB</w:t>
            </w:r>
          </w:p>
        </w:tc>
        <w:tc>
          <w:tcPr>
            <w:tcW w:type="dxa" w:w="2154"/>
            <w:vAlign w:val="top"/>
          </w:tcPr>
          <w:p>
            <w:pPr>
              <w:spacing w:after="20" w:line="252" w:lineRule="auto"/>
              <w:jc w:val="right"/>
            </w:pPr>
            <w:r>
              <w:rPr>
                <w:b w:val="0"/>
                <w:i w:val="0"/>
                <w:sz w:val="17"/>
              </w:rPr>
              <w:t>0.9 GB</w:t>
            </w:r>
          </w:p>
        </w:tc>
      </w:tr>
      <w:tr>
        <w:trPr>
          <w:cantSplit/>
        </w:trPr>
        <w:tc>
          <w:tcPr>
            <w:tcW w:type="dxa" w:w="1020"/>
            <w:vAlign w:val="top"/>
            <w:shd w:val="clear" w:color="auto" w:fill="FDF0F7"/>
          </w:tcPr>
          <w:p>
            <w:pPr>
              <w:spacing w:after="20" w:line="252" w:lineRule="auto"/>
            </w:pPr>
            <w:r>
              <w:rPr>
                <w:b w:val="0"/>
                <w:i w:val="0"/>
                <w:sz w:val="17"/>
              </w:rPr>
              <w:t>2028</w:t>
            </w:r>
          </w:p>
        </w:tc>
        <w:tc>
          <w:tcPr>
            <w:tcW w:type="dxa" w:w="1361"/>
            <w:vAlign w:val="top"/>
            <w:shd w:val="clear" w:color="auto" w:fill="FDF0F7"/>
          </w:tcPr>
          <w:p>
            <w:pPr>
              <w:spacing w:after="20" w:line="252" w:lineRule="auto"/>
              <w:jc w:val="right"/>
            </w:pPr>
            <w:r>
              <w:rPr>
                <w:b w:val="0"/>
                <w:i w:val="0"/>
                <w:sz w:val="17"/>
              </w:rPr>
              <w:t>566</w:t>
            </w:r>
          </w:p>
        </w:tc>
        <w:tc>
          <w:tcPr>
            <w:tcW w:type="dxa" w:w="1587"/>
            <w:vAlign w:val="top"/>
            <w:shd w:val="clear" w:color="auto" w:fill="FDF0F7"/>
          </w:tcPr>
          <w:p>
            <w:pPr>
              <w:spacing w:after="20" w:line="252" w:lineRule="auto"/>
              <w:jc w:val="right"/>
            </w:pPr>
            <w:r>
              <w:rPr>
                <w:b w:val="0"/>
                <w:i w:val="0"/>
                <w:sz w:val="17"/>
              </w:rPr>
              <w:t>1,104</w:t>
            </w:r>
          </w:p>
        </w:tc>
        <w:tc>
          <w:tcPr>
            <w:tcW w:type="dxa" w:w="1587"/>
            <w:vAlign w:val="top"/>
            <w:shd w:val="clear" w:color="auto" w:fill="FDF0F7"/>
          </w:tcPr>
          <w:p>
            <w:pPr>
              <w:spacing w:after="20" w:line="252" w:lineRule="auto"/>
              <w:jc w:val="right"/>
            </w:pPr>
            <w:r>
              <w:rPr>
                <w:b w:val="0"/>
                <w:i w:val="0"/>
                <w:sz w:val="17"/>
              </w:rPr>
              <w:t>93 MB</w:t>
            </w:r>
          </w:p>
        </w:tc>
        <w:tc>
          <w:tcPr>
            <w:tcW w:type="dxa" w:w="1928"/>
            <w:vAlign w:val="top"/>
            <w:shd w:val="clear" w:color="auto" w:fill="FDF0F7"/>
          </w:tcPr>
          <w:p>
            <w:pPr>
              <w:spacing w:after="20" w:line="252" w:lineRule="auto"/>
              <w:jc w:val="right"/>
            </w:pPr>
            <w:r>
              <w:rPr>
                <w:b w:val="0"/>
                <w:i w:val="0"/>
                <w:sz w:val="17"/>
              </w:rPr>
              <w:t>182 MB</w:t>
            </w:r>
          </w:p>
        </w:tc>
        <w:tc>
          <w:tcPr>
            <w:tcW w:type="dxa" w:w="2154"/>
            <w:vAlign w:val="top"/>
            <w:shd w:val="clear" w:color="auto" w:fill="FDF0F7"/>
          </w:tcPr>
          <w:p>
            <w:pPr>
              <w:spacing w:after="20" w:line="252" w:lineRule="auto"/>
              <w:jc w:val="right"/>
            </w:pPr>
            <w:r>
              <w:rPr>
                <w:b w:val="0"/>
                <w:i w:val="0"/>
                <w:sz w:val="17"/>
              </w:rPr>
              <w:t>1.8 GB</w:t>
            </w:r>
          </w:p>
        </w:tc>
      </w:tr>
      <w:tr>
        <w:trPr>
          <w:cantSplit/>
        </w:trPr>
        <w:tc>
          <w:tcPr>
            <w:tcW w:type="dxa" w:w="1020"/>
            <w:vAlign w:val="top"/>
          </w:tcPr>
          <w:p>
            <w:pPr>
              <w:spacing w:after="20" w:line="252" w:lineRule="auto"/>
            </w:pPr>
            <w:r>
              <w:rPr>
                <w:b w:val="0"/>
                <w:i w:val="0"/>
                <w:sz w:val="17"/>
              </w:rPr>
              <w:t>2029</w:t>
            </w:r>
          </w:p>
        </w:tc>
        <w:tc>
          <w:tcPr>
            <w:tcW w:type="dxa" w:w="1361"/>
            <w:vAlign w:val="top"/>
          </w:tcPr>
          <w:p>
            <w:pPr>
              <w:spacing w:after="20" w:line="252" w:lineRule="auto"/>
              <w:jc w:val="right"/>
            </w:pPr>
            <w:r>
              <w:rPr>
                <w:b w:val="0"/>
                <w:i w:val="0"/>
                <w:sz w:val="17"/>
              </w:rPr>
              <w:t>596</w:t>
            </w:r>
          </w:p>
        </w:tc>
        <w:tc>
          <w:tcPr>
            <w:tcW w:type="dxa" w:w="1587"/>
            <w:vAlign w:val="top"/>
          </w:tcPr>
          <w:p>
            <w:pPr>
              <w:spacing w:after="20" w:line="252" w:lineRule="auto"/>
              <w:jc w:val="right"/>
            </w:pPr>
            <w:r>
              <w:rPr>
                <w:b w:val="0"/>
                <w:i w:val="0"/>
                <w:sz w:val="17"/>
              </w:rPr>
              <w:t>1,700</w:t>
            </w:r>
          </w:p>
        </w:tc>
        <w:tc>
          <w:tcPr>
            <w:tcW w:type="dxa" w:w="1587"/>
            <w:vAlign w:val="top"/>
          </w:tcPr>
          <w:p>
            <w:pPr>
              <w:spacing w:after="20" w:line="252" w:lineRule="auto"/>
              <w:jc w:val="right"/>
            </w:pPr>
            <w:r>
              <w:rPr>
                <w:b w:val="0"/>
                <w:i w:val="0"/>
                <w:sz w:val="17"/>
              </w:rPr>
              <w:t>97 MB</w:t>
            </w:r>
          </w:p>
        </w:tc>
        <w:tc>
          <w:tcPr>
            <w:tcW w:type="dxa" w:w="1928"/>
            <w:vAlign w:val="top"/>
          </w:tcPr>
          <w:p>
            <w:pPr>
              <w:spacing w:after="20" w:line="252" w:lineRule="auto"/>
              <w:jc w:val="right"/>
            </w:pPr>
            <w:r>
              <w:rPr>
                <w:b w:val="0"/>
                <w:i w:val="0"/>
                <w:sz w:val="17"/>
              </w:rPr>
              <w:t>280 MB</w:t>
            </w:r>
          </w:p>
        </w:tc>
        <w:tc>
          <w:tcPr>
            <w:tcW w:type="dxa" w:w="2154"/>
            <w:vAlign w:val="top"/>
          </w:tcPr>
          <w:p>
            <w:pPr>
              <w:spacing w:after="20" w:line="252" w:lineRule="auto"/>
              <w:jc w:val="right"/>
            </w:pPr>
            <w:r>
              <w:rPr>
                <w:b w:val="0"/>
                <w:i w:val="0"/>
                <w:sz w:val="17"/>
              </w:rPr>
              <w:t>2.7 GB</w:t>
            </w:r>
          </w:p>
        </w:tc>
      </w:tr>
      <w:tr>
        <w:trPr>
          <w:cantSplit/>
        </w:trPr>
        <w:tc>
          <w:tcPr>
            <w:tcW w:type="dxa" w:w="1020"/>
            <w:vAlign w:val="top"/>
            <w:shd w:val="clear" w:color="auto" w:fill="FDF0F7"/>
          </w:tcPr>
          <w:p>
            <w:pPr>
              <w:spacing w:after="20" w:line="252" w:lineRule="auto"/>
            </w:pPr>
            <w:r>
              <w:rPr>
                <w:b w:val="0"/>
                <w:i w:val="0"/>
                <w:sz w:val="17"/>
              </w:rPr>
              <w:t>2030</w:t>
            </w:r>
          </w:p>
        </w:tc>
        <w:tc>
          <w:tcPr>
            <w:tcW w:type="dxa" w:w="1361"/>
            <w:vAlign w:val="top"/>
            <w:shd w:val="clear" w:color="auto" w:fill="FDF0F7"/>
          </w:tcPr>
          <w:p>
            <w:pPr>
              <w:spacing w:after="20" w:line="252" w:lineRule="auto"/>
              <w:jc w:val="right"/>
            </w:pPr>
            <w:r>
              <w:rPr>
                <w:b w:val="0"/>
                <w:i w:val="0"/>
                <w:sz w:val="17"/>
              </w:rPr>
              <w:t>628</w:t>
            </w:r>
          </w:p>
        </w:tc>
        <w:tc>
          <w:tcPr>
            <w:tcW w:type="dxa" w:w="1587"/>
            <w:vAlign w:val="top"/>
            <w:shd w:val="clear" w:color="auto" w:fill="FDF0F7"/>
          </w:tcPr>
          <w:p>
            <w:pPr>
              <w:spacing w:after="20" w:line="252" w:lineRule="auto"/>
              <w:jc w:val="right"/>
            </w:pPr>
            <w:r>
              <w:rPr>
                <w:b w:val="0"/>
                <w:i w:val="0"/>
                <w:sz w:val="17"/>
              </w:rPr>
              <w:t>2,328</w:t>
            </w:r>
          </w:p>
        </w:tc>
        <w:tc>
          <w:tcPr>
            <w:tcW w:type="dxa" w:w="1587"/>
            <w:vAlign w:val="top"/>
            <w:shd w:val="clear" w:color="auto" w:fill="FDF0F7"/>
          </w:tcPr>
          <w:p>
            <w:pPr>
              <w:spacing w:after="20" w:line="252" w:lineRule="auto"/>
              <w:jc w:val="right"/>
            </w:pPr>
            <w:r>
              <w:rPr>
                <w:b w:val="0"/>
                <w:i w:val="0"/>
                <w:sz w:val="17"/>
              </w:rPr>
              <w:t>102 MB</w:t>
            </w:r>
          </w:p>
        </w:tc>
        <w:tc>
          <w:tcPr>
            <w:tcW w:type="dxa" w:w="1928"/>
            <w:vAlign w:val="top"/>
            <w:shd w:val="clear" w:color="auto" w:fill="FDF0F7"/>
          </w:tcPr>
          <w:p>
            <w:pPr>
              <w:spacing w:after="20" w:line="252" w:lineRule="auto"/>
              <w:jc w:val="right"/>
            </w:pPr>
            <w:r>
              <w:rPr>
                <w:b w:val="0"/>
                <w:i w:val="0"/>
                <w:sz w:val="17"/>
              </w:rPr>
              <w:t>382 MB</w:t>
            </w:r>
          </w:p>
        </w:tc>
        <w:tc>
          <w:tcPr>
            <w:tcW w:type="dxa" w:w="2154"/>
            <w:vAlign w:val="top"/>
            <w:shd w:val="clear" w:color="auto" w:fill="FDF0F7"/>
          </w:tcPr>
          <w:p>
            <w:pPr>
              <w:spacing w:after="20" w:line="252" w:lineRule="auto"/>
              <w:jc w:val="right"/>
            </w:pPr>
            <w:r>
              <w:rPr>
                <w:b w:val="0"/>
                <w:i w:val="0"/>
                <w:sz w:val="17"/>
              </w:rPr>
              <w:t>3.7 GB</w:t>
            </w:r>
          </w:p>
        </w:tc>
      </w:tr>
      <w:tr>
        <w:trPr>
          <w:cantSplit/>
        </w:trPr>
        <w:tc>
          <w:tcPr>
            <w:tcW w:type="dxa" w:w="1020"/>
            <w:vAlign w:val="top"/>
          </w:tcPr>
          <w:p>
            <w:pPr>
              <w:spacing w:after="20" w:line="252" w:lineRule="auto"/>
            </w:pPr>
            <w:r>
              <w:rPr>
                <w:b w:val="0"/>
                <w:i w:val="0"/>
                <w:sz w:val="17"/>
              </w:rPr>
              <w:t>2031</w:t>
            </w:r>
          </w:p>
        </w:tc>
        <w:tc>
          <w:tcPr>
            <w:tcW w:type="dxa" w:w="1361"/>
            <w:vAlign w:val="top"/>
          </w:tcPr>
          <w:p>
            <w:pPr>
              <w:spacing w:after="20" w:line="252" w:lineRule="auto"/>
              <w:jc w:val="right"/>
            </w:pPr>
            <w:r>
              <w:rPr>
                <w:b w:val="0"/>
                <w:i w:val="0"/>
                <w:sz w:val="17"/>
              </w:rPr>
              <w:t>661</w:t>
            </w:r>
          </w:p>
        </w:tc>
        <w:tc>
          <w:tcPr>
            <w:tcW w:type="dxa" w:w="1587"/>
            <w:vAlign w:val="top"/>
          </w:tcPr>
          <w:p>
            <w:pPr>
              <w:spacing w:after="20" w:line="252" w:lineRule="auto"/>
              <w:jc w:val="right"/>
            </w:pPr>
            <w:r>
              <w:rPr>
                <w:b w:val="0"/>
                <w:i w:val="0"/>
                <w:sz w:val="17"/>
              </w:rPr>
              <w:t>2,989</w:t>
            </w:r>
          </w:p>
        </w:tc>
        <w:tc>
          <w:tcPr>
            <w:tcW w:type="dxa" w:w="1587"/>
            <w:vAlign w:val="top"/>
          </w:tcPr>
          <w:p>
            <w:pPr>
              <w:spacing w:after="20" w:line="252" w:lineRule="auto"/>
              <w:jc w:val="right"/>
            </w:pPr>
            <w:r>
              <w:rPr>
                <w:b w:val="0"/>
                <w:i w:val="0"/>
                <w:sz w:val="17"/>
              </w:rPr>
              <w:t>107 MB</w:t>
            </w:r>
          </w:p>
        </w:tc>
        <w:tc>
          <w:tcPr>
            <w:tcW w:type="dxa" w:w="1928"/>
            <w:vAlign w:val="top"/>
          </w:tcPr>
          <w:p>
            <w:pPr>
              <w:spacing w:after="20" w:line="252" w:lineRule="auto"/>
              <w:jc w:val="right"/>
            </w:pPr>
            <w:r>
              <w:rPr>
                <w:b w:val="0"/>
                <w:i w:val="0"/>
                <w:sz w:val="17"/>
              </w:rPr>
              <w:t>488 MB</w:t>
            </w:r>
          </w:p>
        </w:tc>
        <w:tc>
          <w:tcPr>
            <w:tcW w:type="dxa" w:w="2154"/>
            <w:vAlign w:val="top"/>
          </w:tcPr>
          <w:p>
            <w:pPr>
              <w:spacing w:after="20" w:line="252" w:lineRule="auto"/>
              <w:jc w:val="right"/>
            </w:pPr>
            <w:r>
              <w:rPr>
                <w:b w:val="0"/>
                <w:i w:val="0"/>
                <w:sz w:val="17"/>
              </w:rPr>
              <w:t>4.8 GB</w:t>
            </w:r>
          </w:p>
        </w:tc>
      </w:tr>
    </w:tbl>
    <w:p>
      <w:pPr>
        <w:pStyle w:val="Caption"/>
        <w:jc w:val="center"/>
      </w:pPr>
      <w:r>
        <w:rPr>
          <w:b w:val="0"/>
          <w:i w:val="0"/>
        </w:rPr>
        <w:t>Table 30: Database growth</w:t>
      </w:r>
    </w:p>
    <w:p>
      <w:pPr>
        <w:keepNext w:val="0"/>
      </w:pPr>
      <w:r>
        <w:rPr>
          <w:b w:val="0"/>
          <w:i w:val="0"/>
        </w:rPr>
        <w:t>After five years the database holds about 488 MB, or 4.8 GB at ten times the volume. The 200 GB database volume therefore leaves room for WAL, temporary files, local backups and growth well beyond the contract. PostgreSQL settings: shared_buffers 4 GB, effective_cache_size 12 GB, max_connections 100 (two API instances use at most 30), wal_level replica, archive_timeout 300 seconds.</w:t>
      </w:r>
    </w:p>
    <w:p>
      <w:pPr>
        <w:pStyle w:val="Heading2"/>
      </w:pPr>
      <w:r>
        <w:t>10.5 Document storage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237"/>
        <w:gridCol w:w="1134"/>
        <w:gridCol w:w="2268"/>
      </w:tblGrid>
      <w:tr>
        <w:trPr>
          <w:cantSplit/>
          <w:tblHeader/>
        </w:trPr>
        <w:tc>
          <w:tcPr>
            <w:tcW w:type="dxa" w:w="6236"/>
            <w:shd w:val="clear" w:color="auto" w:fill="E1058C"/>
            <w:vAlign w:val="center"/>
          </w:tcPr>
          <w:p>
            <w:pPr>
              <w:spacing w:after="0"/>
            </w:pPr>
            <w:r>
              <w:rPr>
                <w:b/>
                <w:i w:val="0"/>
                <w:color w:val="FFFFFF"/>
                <w:sz w:val="16"/>
              </w:rPr>
              <w:t>Item</w:t>
            </w:r>
          </w:p>
        </w:tc>
        <w:tc>
          <w:tcPr>
            <w:tcW w:type="dxa" w:w="1134"/>
            <w:shd w:val="clear" w:color="auto" w:fill="E1058C"/>
            <w:vAlign w:val="center"/>
          </w:tcPr>
          <w:p>
            <w:pPr>
              <w:spacing w:after="0"/>
            </w:pPr>
            <w:r>
              <w:rPr>
                <w:b/>
                <w:i w:val="0"/>
                <w:color w:val="FFFFFF"/>
                <w:sz w:val="16"/>
              </w:rPr>
              <w:t>Files</w:t>
            </w:r>
          </w:p>
        </w:tc>
        <w:tc>
          <w:tcPr>
            <w:tcW w:type="dxa" w:w="2268"/>
            <w:shd w:val="clear" w:color="auto" w:fill="E1058C"/>
            <w:vAlign w:val="center"/>
          </w:tcPr>
          <w:p>
            <w:pPr>
              <w:spacing w:after="0"/>
            </w:pPr>
            <w:r>
              <w:rPr>
                <w:b/>
                <w:i w:val="0"/>
                <w:color w:val="FFFFFF"/>
                <w:sz w:val="16"/>
              </w:rPr>
              <w:t>Average size</w:t>
            </w:r>
          </w:p>
        </w:tc>
      </w:tr>
      <w:tr>
        <w:trPr>
          <w:cantSplit/>
        </w:trPr>
        <w:tc>
          <w:tcPr>
            <w:tcW w:type="dxa" w:w="6236"/>
            <w:vAlign w:val="top"/>
          </w:tcPr>
          <w:p>
            <w:pPr>
              <w:spacing w:after="20" w:line="252" w:lineRule="auto"/>
            </w:pPr>
            <w:r>
              <w:rPr>
                <w:b w:val="0"/>
                <w:i w:val="0"/>
                <w:sz w:val="16"/>
              </w:rPr>
              <w:t>Uploaded supporting documents (IC, proposal form, PDS, product documents)</w:t>
            </w:r>
          </w:p>
        </w:tc>
        <w:tc>
          <w:tcPr>
            <w:tcW w:type="dxa" w:w="1134"/>
            <w:vAlign w:val="top"/>
          </w:tcPr>
          <w:p>
            <w:pPr>
              <w:spacing w:after="20" w:line="252" w:lineRule="auto"/>
              <w:jc w:val="right"/>
            </w:pPr>
            <w:r>
              <w:rPr>
                <w:b w:val="0"/>
                <w:i w:val="0"/>
                <w:sz w:val="16"/>
              </w:rPr>
              <w:t>5</w:t>
            </w:r>
          </w:p>
        </w:tc>
        <w:tc>
          <w:tcPr>
            <w:tcW w:type="dxa" w:w="2268"/>
            <w:vAlign w:val="top"/>
          </w:tcPr>
          <w:p>
            <w:pPr>
              <w:spacing w:after="20" w:line="252" w:lineRule="auto"/>
              <w:jc w:val="right"/>
            </w:pPr>
            <w:r>
              <w:rPr>
                <w:b w:val="0"/>
                <w:i w:val="0"/>
                <w:sz w:val="16"/>
              </w:rPr>
              <w:t>0.40 MB</w:t>
            </w:r>
          </w:p>
        </w:tc>
      </w:tr>
      <w:tr>
        <w:trPr>
          <w:cantSplit/>
        </w:trPr>
        <w:tc>
          <w:tcPr>
            <w:tcW w:type="dxa" w:w="6236"/>
            <w:vAlign w:val="top"/>
            <w:shd w:val="clear" w:color="auto" w:fill="FDF0F7"/>
          </w:tcPr>
          <w:p>
            <w:pPr>
              <w:spacing w:after="20" w:line="252" w:lineRule="auto"/>
            </w:pPr>
            <w:r>
              <w:rPr>
                <w:b w:val="0"/>
                <w:i w:val="0"/>
                <w:sz w:val="16"/>
              </w:rPr>
              <w:t>System-generated e-Policy schedule and e-Receipt (PDF)</w:t>
            </w:r>
          </w:p>
        </w:tc>
        <w:tc>
          <w:tcPr>
            <w:tcW w:type="dxa" w:w="1134"/>
            <w:vAlign w:val="top"/>
            <w:shd w:val="clear" w:color="auto" w:fill="FDF0F7"/>
          </w:tcPr>
          <w:p>
            <w:pPr>
              <w:spacing w:after="20" w:line="252" w:lineRule="auto"/>
              <w:jc w:val="right"/>
            </w:pPr>
            <w:r>
              <w:rPr>
                <w:b w:val="0"/>
                <w:i w:val="0"/>
                <w:sz w:val="16"/>
              </w:rPr>
              <w:t>2</w:t>
            </w:r>
          </w:p>
        </w:tc>
        <w:tc>
          <w:tcPr>
            <w:tcW w:type="dxa" w:w="2268"/>
            <w:vAlign w:val="top"/>
            <w:shd w:val="clear" w:color="auto" w:fill="FDF0F7"/>
          </w:tcPr>
          <w:p>
            <w:pPr>
              <w:spacing w:after="20" w:line="252" w:lineRule="auto"/>
              <w:jc w:val="right"/>
            </w:pPr>
            <w:r>
              <w:rPr>
                <w:b w:val="0"/>
                <w:i w:val="0"/>
                <w:sz w:val="16"/>
              </w:rPr>
              <w:t>0.05 MB</w:t>
            </w:r>
          </w:p>
        </w:tc>
      </w:tr>
      <w:tr>
        <w:trPr>
          <w:cantSplit/>
        </w:trPr>
        <w:tc>
          <w:tcPr>
            <w:tcW w:type="dxa" w:w="6236"/>
            <w:vAlign w:val="top"/>
          </w:tcPr>
          <w:p>
            <w:pPr>
              <w:spacing w:after="20" w:line="252" w:lineRule="auto"/>
            </w:pPr>
            <w:r>
              <w:rPr>
                <w:b w:val="0"/>
                <w:i w:val="0"/>
                <w:sz w:val="16"/>
              </w:rPr>
              <w:t>Signatures (PNG)</w:t>
            </w:r>
          </w:p>
        </w:tc>
        <w:tc>
          <w:tcPr>
            <w:tcW w:type="dxa" w:w="1134"/>
            <w:vAlign w:val="top"/>
          </w:tcPr>
          <w:p>
            <w:pPr>
              <w:spacing w:after="20" w:line="252" w:lineRule="auto"/>
              <w:jc w:val="right"/>
            </w:pPr>
            <w:r>
              <w:rPr>
                <w:b w:val="0"/>
                <w:i w:val="0"/>
                <w:sz w:val="16"/>
              </w:rPr>
              <w:t>2</w:t>
            </w:r>
          </w:p>
        </w:tc>
        <w:tc>
          <w:tcPr>
            <w:tcW w:type="dxa" w:w="2268"/>
            <w:vAlign w:val="top"/>
          </w:tcPr>
          <w:p>
            <w:pPr>
              <w:spacing w:after="20" w:line="252" w:lineRule="auto"/>
              <w:jc w:val="right"/>
            </w:pPr>
            <w:r>
              <w:rPr>
                <w:b w:val="0"/>
                <w:i w:val="0"/>
                <w:sz w:val="16"/>
              </w:rPr>
              <w:t>0.02 MB</w:t>
            </w:r>
          </w:p>
        </w:tc>
      </w:tr>
      <w:tr>
        <w:trPr>
          <w:cantSplit/>
        </w:trPr>
        <w:tc>
          <w:tcPr>
            <w:tcW w:type="dxa" w:w="6236"/>
            <w:vAlign w:val="top"/>
            <w:shd w:val="clear" w:color="auto" w:fill="FDF0F7"/>
          </w:tcPr>
          <w:p>
            <w:pPr>
              <w:spacing w:after="20" w:line="252" w:lineRule="auto"/>
            </w:pPr>
            <w:r>
              <w:rPr>
                <w:b w:val="0"/>
                <w:i w:val="0"/>
                <w:sz w:val="16"/>
              </w:rPr>
              <w:t>Payment proof (shared by about two policies)</w:t>
            </w:r>
          </w:p>
        </w:tc>
        <w:tc>
          <w:tcPr>
            <w:tcW w:type="dxa" w:w="1134"/>
            <w:vAlign w:val="top"/>
            <w:shd w:val="clear" w:color="auto" w:fill="FDF0F7"/>
          </w:tcPr>
          <w:p>
            <w:pPr>
              <w:spacing w:after="20" w:line="252" w:lineRule="auto"/>
              <w:jc w:val="right"/>
            </w:pPr>
            <w:r>
              <w:rPr>
                <w:b w:val="0"/>
                <w:i w:val="0"/>
                <w:sz w:val="16"/>
              </w:rPr>
              <w:t>0.5</w:t>
            </w:r>
          </w:p>
        </w:tc>
        <w:tc>
          <w:tcPr>
            <w:tcW w:type="dxa" w:w="2268"/>
            <w:vAlign w:val="top"/>
            <w:shd w:val="clear" w:color="auto" w:fill="FDF0F7"/>
          </w:tcPr>
          <w:p>
            <w:pPr>
              <w:spacing w:after="20" w:line="252" w:lineRule="auto"/>
              <w:jc w:val="right"/>
            </w:pPr>
            <w:r>
              <w:rPr>
                <w:b w:val="0"/>
                <w:i w:val="0"/>
                <w:sz w:val="16"/>
              </w:rPr>
              <w:t>0.50 MB</w:t>
            </w:r>
          </w:p>
        </w:tc>
      </w:tr>
      <w:tr>
        <w:trPr>
          <w:cantSplit/>
        </w:trPr>
        <w:tc>
          <w:tcPr>
            <w:tcW w:type="dxa" w:w="6236"/>
            <w:vAlign w:val="top"/>
            <w:shd w:val="clear" w:color="auto" w:fill="FEEBDD"/>
          </w:tcPr>
          <w:p>
            <w:pPr>
              <w:spacing w:after="20" w:line="252" w:lineRule="auto"/>
            </w:pPr>
            <w:r>
              <w:rPr>
                <w:b/>
                <w:i w:val="0"/>
                <w:sz w:val="16"/>
              </w:rPr>
              <w:t>Per issued policy</w:t>
            </w:r>
          </w:p>
        </w:tc>
        <w:tc>
          <w:tcPr>
            <w:tcW w:type="dxa" w:w="1134"/>
            <w:vAlign w:val="top"/>
            <w:shd w:val="clear" w:color="auto" w:fill="FEEBDD"/>
          </w:tcPr>
          <w:p>
            <w:pPr>
              <w:spacing w:after="20" w:line="252" w:lineRule="auto"/>
              <w:jc w:val="right"/>
            </w:pPr>
          </w:p>
        </w:tc>
        <w:tc>
          <w:tcPr>
            <w:tcW w:type="dxa" w:w="2268"/>
            <w:vAlign w:val="top"/>
            <w:shd w:val="clear" w:color="auto" w:fill="FEEBDD"/>
          </w:tcPr>
          <w:p>
            <w:pPr>
              <w:spacing w:after="20" w:line="252" w:lineRule="auto"/>
              <w:jc w:val="right"/>
            </w:pPr>
            <w:r>
              <w:rPr>
                <w:b/>
                <w:i w:val="0"/>
                <w:sz w:val="16"/>
              </w:rPr>
              <w:t>2.39 MB</w:t>
            </w:r>
          </w:p>
        </w:tc>
      </w:tr>
    </w:tbl>
    <w:p>
      <w:pPr>
        <w:pStyle w:val="Caption"/>
        <w:jc w:val="center"/>
      </w:pPr>
      <w:r>
        <w:rPr>
          <w:b w:val="0"/>
          <w:i w:val="0"/>
        </w:rPr>
        <w:t>Table 31: Document volume per policy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2608"/>
        <w:gridCol w:w="2608"/>
        <w:gridCol w:w="2721"/>
      </w:tblGrid>
      <w:tr>
        <w:trPr>
          <w:cantSplit/>
          <w:tblHeader/>
        </w:trPr>
        <w:tc>
          <w:tcPr>
            <w:tcW w:type="dxa" w:w="1701"/>
            <w:shd w:val="clear" w:color="auto" w:fill="E1058C"/>
            <w:vAlign w:val="center"/>
          </w:tcPr>
          <w:p>
            <w:pPr>
              <w:spacing w:after="0"/>
            </w:pPr>
            <w:r>
              <w:rPr>
                <w:b/>
                <w:i w:val="0"/>
                <w:color w:val="FFFFFF"/>
                <w:sz w:val="17"/>
              </w:rPr>
              <w:t>Year</w:t>
            </w:r>
          </w:p>
        </w:tc>
        <w:tc>
          <w:tcPr>
            <w:tcW w:type="dxa" w:w="2608"/>
            <w:shd w:val="clear" w:color="auto" w:fill="E1058C"/>
            <w:vAlign w:val="center"/>
          </w:tcPr>
          <w:p>
            <w:pPr>
              <w:spacing w:after="0"/>
            </w:pPr>
            <w:r>
              <w:rPr>
                <w:b/>
                <w:i w:val="0"/>
                <w:color w:val="FFFFFF"/>
                <w:sz w:val="17"/>
              </w:rPr>
              <w:t>Added</w:t>
            </w:r>
          </w:p>
        </w:tc>
        <w:tc>
          <w:tcPr>
            <w:tcW w:type="dxa" w:w="2608"/>
            <w:shd w:val="clear" w:color="auto" w:fill="E1058C"/>
            <w:vAlign w:val="center"/>
          </w:tcPr>
          <w:p>
            <w:pPr>
              <w:spacing w:after="0"/>
            </w:pPr>
            <w:r>
              <w:rPr>
                <w:b/>
                <w:i w:val="0"/>
                <w:color w:val="FFFFFF"/>
                <w:sz w:val="17"/>
              </w:rPr>
              <w:t>Cumulative</w:t>
            </w:r>
          </w:p>
        </w:tc>
        <w:tc>
          <w:tcPr>
            <w:tcW w:type="dxa" w:w="2721"/>
            <w:shd w:val="clear" w:color="auto" w:fill="E1058C"/>
            <w:vAlign w:val="center"/>
          </w:tcPr>
          <w:p>
            <w:pPr>
              <w:spacing w:after="0"/>
            </w:pPr>
            <w:r>
              <w:rPr>
                <w:b/>
                <w:i w:val="0"/>
                <w:color w:val="FFFFFF"/>
                <w:sz w:val="17"/>
              </w:rPr>
              <w:t>×10 headroom</w:t>
            </w:r>
          </w:p>
        </w:tc>
      </w:tr>
      <w:tr>
        <w:trPr>
          <w:cantSplit/>
        </w:trPr>
        <w:tc>
          <w:tcPr>
            <w:tcW w:type="dxa" w:w="1701"/>
            <w:vAlign w:val="top"/>
          </w:tcPr>
          <w:p>
            <w:pPr>
              <w:spacing w:after="20" w:line="252" w:lineRule="auto"/>
            </w:pPr>
            <w:r>
              <w:rPr>
                <w:b w:val="0"/>
                <w:i w:val="0"/>
                <w:sz w:val="17"/>
              </w:rPr>
              <w:t>2027</w:t>
            </w:r>
          </w:p>
        </w:tc>
        <w:tc>
          <w:tcPr>
            <w:tcW w:type="dxa" w:w="2608"/>
            <w:vAlign w:val="top"/>
          </w:tcPr>
          <w:p>
            <w:pPr>
              <w:spacing w:after="20" w:line="252" w:lineRule="auto"/>
              <w:jc w:val="right"/>
            </w:pPr>
            <w:r>
              <w:rPr>
                <w:b w:val="0"/>
                <w:i w:val="0"/>
                <w:sz w:val="17"/>
              </w:rPr>
              <w:t>1.4 GB</w:t>
            </w:r>
          </w:p>
        </w:tc>
        <w:tc>
          <w:tcPr>
            <w:tcW w:type="dxa" w:w="2608"/>
            <w:vAlign w:val="top"/>
          </w:tcPr>
          <w:p>
            <w:pPr>
              <w:spacing w:after="20" w:line="252" w:lineRule="auto"/>
              <w:jc w:val="right"/>
            </w:pPr>
            <w:r>
              <w:rPr>
                <w:b w:val="0"/>
                <w:i w:val="0"/>
                <w:sz w:val="17"/>
              </w:rPr>
              <w:t>1.4 GB</w:t>
            </w:r>
          </w:p>
        </w:tc>
        <w:tc>
          <w:tcPr>
            <w:tcW w:type="dxa" w:w="2721"/>
            <w:vAlign w:val="top"/>
          </w:tcPr>
          <w:p>
            <w:pPr>
              <w:spacing w:after="20" w:line="252" w:lineRule="auto"/>
              <w:jc w:val="right"/>
            </w:pPr>
            <w:r>
              <w:rPr>
                <w:b w:val="0"/>
                <w:i w:val="0"/>
                <w:sz w:val="17"/>
              </w:rPr>
              <w:t>14 GB</w:t>
            </w:r>
          </w:p>
        </w:tc>
      </w:tr>
      <w:tr>
        <w:trPr>
          <w:cantSplit/>
        </w:trPr>
        <w:tc>
          <w:tcPr>
            <w:tcW w:type="dxa" w:w="1701"/>
            <w:vAlign w:val="top"/>
            <w:shd w:val="clear" w:color="auto" w:fill="FDF0F7"/>
          </w:tcPr>
          <w:p>
            <w:pPr>
              <w:spacing w:after="20" w:line="252" w:lineRule="auto"/>
            </w:pPr>
            <w:r>
              <w:rPr>
                <w:b w:val="0"/>
                <w:i w:val="0"/>
                <w:sz w:val="17"/>
              </w:rPr>
              <w:t>2028</w:t>
            </w:r>
          </w:p>
        </w:tc>
        <w:tc>
          <w:tcPr>
            <w:tcW w:type="dxa" w:w="2608"/>
            <w:vAlign w:val="top"/>
            <w:shd w:val="clear" w:color="auto" w:fill="FDF0F7"/>
          </w:tcPr>
          <w:p>
            <w:pPr>
              <w:spacing w:after="20" w:line="252" w:lineRule="auto"/>
              <w:jc w:val="right"/>
            </w:pPr>
            <w:r>
              <w:rPr>
                <w:b w:val="0"/>
                <w:i w:val="0"/>
                <w:sz w:val="17"/>
              </w:rPr>
              <w:t>1.4 GB</w:t>
            </w:r>
          </w:p>
        </w:tc>
        <w:tc>
          <w:tcPr>
            <w:tcW w:type="dxa" w:w="2608"/>
            <w:vAlign w:val="top"/>
            <w:shd w:val="clear" w:color="auto" w:fill="FDF0F7"/>
          </w:tcPr>
          <w:p>
            <w:pPr>
              <w:spacing w:after="20" w:line="252" w:lineRule="auto"/>
              <w:jc w:val="right"/>
            </w:pPr>
            <w:r>
              <w:rPr>
                <w:b w:val="0"/>
                <w:i w:val="0"/>
                <w:sz w:val="17"/>
              </w:rPr>
              <w:t>2.8 GB</w:t>
            </w:r>
          </w:p>
        </w:tc>
        <w:tc>
          <w:tcPr>
            <w:tcW w:type="dxa" w:w="2721"/>
            <w:vAlign w:val="top"/>
            <w:shd w:val="clear" w:color="auto" w:fill="FDF0F7"/>
          </w:tcPr>
          <w:p>
            <w:pPr>
              <w:spacing w:after="20" w:line="252" w:lineRule="auto"/>
              <w:jc w:val="right"/>
            </w:pPr>
            <w:r>
              <w:rPr>
                <w:b w:val="0"/>
                <w:i w:val="0"/>
                <w:sz w:val="17"/>
              </w:rPr>
              <w:t>28 GB</w:t>
            </w:r>
          </w:p>
        </w:tc>
      </w:tr>
      <w:tr>
        <w:trPr>
          <w:cantSplit/>
        </w:trPr>
        <w:tc>
          <w:tcPr>
            <w:tcW w:type="dxa" w:w="1701"/>
            <w:vAlign w:val="top"/>
          </w:tcPr>
          <w:p>
            <w:pPr>
              <w:spacing w:after="20" w:line="252" w:lineRule="auto"/>
            </w:pPr>
            <w:r>
              <w:rPr>
                <w:b w:val="0"/>
                <w:i w:val="0"/>
                <w:sz w:val="17"/>
              </w:rPr>
              <w:t>2029</w:t>
            </w:r>
          </w:p>
        </w:tc>
        <w:tc>
          <w:tcPr>
            <w:tcW w:type="dxa" w:w="2608"/>
            <w:vAlign w:val="top"/>
          </w:tcPr>
          <w:p>
            <w:pPr>
              <w:spacing w:after="20" w:line="252" w:lineRule="auto"/>
              <w:jc w:val="right"/>
            </w:pPr>
            <w:r>
              <w:rPr>
                <w:b w:val="0"/>
                <w:i w:val="0"/>
                <w:sz w:val="17"/>
              </w:rPr>
              <w:t>1.5 GB</w:t>
            </w:r>
          </w:p>
        </w:tc>
        <w:tc>
          <w:tcPr>
            <w:tcW w:type="dxa" w:w="2608"/>
            <w:vAlign w:val="top"/>
          </w:tcPr>
          <w:p>
            <w:pPr>
              <w:spacing w:after="20" w:line="252" w:lineRule="auto"/>
              <w:jc w:val="right"/>
            </w:pPr>
            <w:r>
              <w:rPr>
                <w:b w:val="0"/>
                <w:i w:val="0"/>
                <w:sz w:val="17"/>
              </w:rPr>
              <w:t>4.3 GB</w:t>
            </w:r>
          </w:p>
        </w:tc>
        <w:tc>
          <w:tcPr>
            <w:tcW w:type="dxa" w:w="2721"/>
            <w:vAlign w:val="top"/>
          </w:tcPr>
          <w:p>
            <w:pPr>
              <w:spacing w:after="20" w:line="252" w:lineRule="auto"/>
              <w:jc w:val="right"/>
            </w:pPr>
            <w:r>
              <w:rPr>
                <w:b w:val="0"/>
                <w:i w:val="0"/>
                <w:sz w:val="17"/>
              </w:rPr>
              <w:t>43 GB</w:t>
            </w:r>
          </w:p>
        </w:tc>
      </w:tr>
      <w:tr>
        <w:trPr>
          <w:cantSplit/>
        </w:trPr>
        <w:tc>
          <w:tcPr>
            <w:tcW w:type="dxa" w:w="1701"/>
            <w:vAlign w:val="top"/>
            <w:shd w:val="clear" w:color="auto" w:fill="FDF0F7"/>
          </w:tcPr>
          <w:p>
            <w:pPr>
              <w:spacing w:after="20" w:line="252" w:lineRule="auto"/>
            </w:pPr>
            <w:r>
              <w:rPr>
                <w:b w:val="0"/>
                <w:i w:val="0"/>
                <w:sz w:val="17"/>
              </w:rPr>
              <w:t>2030</w:t>
            </w:r>
          </w:p>
        </w:tc>
        <w:tc>
          <w:tcPr>
            <w:tcW w:type="dxa" w:w="2608"/>
            <w:vAlign w:val="top"/>
            <w:shd w:val="clear" w:color="auto" w:fill="FDF0F7"/>
          </w:tcPr>
          <w:p>
            <w:pPr>
              <w:spacing w:after="20" w:line="252" w:lineRule="auto"/>
              <w:jc w:val="right"/>
            </w:pPr>
            <w:r>
              <w:rPr>
                <w:b w:val="0"/>
                <w:i w:val="0"/>
                <w:sz w:val="17"/>
              </w:rPr>
              <w:t>1.6 GB</w:t>
            </w:r>
          </w:p>
        </w:tc>
        <w:tc>
          <w:tcPr>
            <w:tcW w:type="dxa" w:w="2608"/>
            <w:vAlign w:val="top"/>
            <w:shd w:val="clear" w:color="auto" w:fill="FDF0F7"/>
          </w:tcPr>
          <w:p>
            <w:pPr>
              <w:spacing w:after="20" w:line="252" w:lineRule="auto"/>
              <w:jc w:val="right"/>
            </w:pPr>
            <w:r>
              <w:rPr>
                <w:b w:val="0"/>
                <w:i w:val="0"/>
                <w:sz w:val="17"/>
              </w:rPr>
              <w:t>5.9 GB</w:t>
            </w:r>
          </w:p>
        </w:tc>
        <w:tc>
          <w:tcPr>
            <w:tcW w:type="dxa" w:w="2721"/>
            <w:vAlign w:val="top"/>
            <w:shd w:val="clear" w:color="auto" w:fill="FDF0F7"/>
          </w:tcPr>
          <w:p>
            <w:pPr>
              <w:spacing w:after="20" w:line="252" w:lineRule="auto"/>
              <w:jc w:val="right"/>
            </w:pPr>
            <w:r>
              <w:rPr>
                <w:b w:val="0"/>
                <w:i w:val="0"/>
                <w:sz w:val="17"/>
              </w:rPr>
              <w:t>59 GB</w:t>
            </w:r>
          </w:p>
        </w:tc>
      </w:tr>
      <w:tr>
        <w:trPr>
          <w:cantSplit/>
        </w:trPr>
        <w:tc>
          <w:tcPr>
            <w:tcW w:type="dxa" w:w="1701"/>
            <w:vAlign w:val="top"/>
          </w:tcPr>
          <w:p>
            <w:pPr>
              <w:spacing w:after="20" w:line="252" w:lineRule="auto"/>
            </w:pPr>
            <w:r>
              <w:rPr>
                <w:b w:val="0"/>
                <w:i w:val="0"/>
                <w:sz w:val="17"/>
              </w:rPr>
              <w:t>2031</w:t>
            </w:r>
          </w:p>
        </w:tc>
        <w:tc>
          <w:tcPr>
            <w:tcW w:type="dxa" w:w="2608"/>
            <w:vAlign w:val="top"/>
          </w:tcPr>
          <w:p>
            <w:pPr>
              <w:spacing w:after="20" w:line="252" w:lineRule="auto"/>
              <w:jc w:val="right"/>
            </w:pPr>
            <w:r>
              <w:rPr>
                <w:b w:val="0"/>
                <w:i w:val="0"/>
                <w:sz w:val="17"/>
              </w:rPr>
              <w:t>1.7 GB</w:t>
            </w:r>
          </w:p>
        </w:tc>
        <w:tc>
          <w:tcPr>
            <w:tcW w:type="dxa" w:w="2608"/>
            <w:vAlign w:val="top"/>
          </w:tcPr>
          <w:p>
            <w:pPr>
              <w:spacing w:after="20" w:line="252" w:lineRule="auto"/>
              <w:jc w:val="right"/>
            </w:pPr>
            <w:r>
              <w:rPr>
                <w:b w:val="0"/>
                <w:i w:val="0"/>
                <w:sz w:val="17"/>
              </w:rPr>
              <w:t>7.6 GB</w:t>
            </w:r>
          </w:p>
        </w:tc>
        <w:tc>
          <w:tcPr>
            <w:tcW w:type="dxa" w:w="2721"/>
            <w:vAlign w:val="top"/>
          </w:tcPr>
          <w:p>
            <w:pPr>
              <w:spacing w:after="20" w:line="252" w:lineRule="auto"/>
              <w:jc w:val="right"/>
            </w:pPr>
            <w:r>
              <w:rPr>
                <w:b w:val="0"/>
                <w:i w:val="0"/>
                <w:sz w:val="17"/>
              </w:rPr>
              <w:t>76 GB</w:t>
            </w:r>
          </w:p>
        </w:tc>
      </w:tr>
    </w:tbl>
    <w:p>
      <w:pPr>
        <w:pStyle w:val="Caption"/>
        <w:jc w:val="center"/>
      </w:pPr>
      <w:r>
        <w:rPr>
          <w:b w:val="0"/>
          <w:i w:val="0"/>
        </w:rPr>
        <w:t>Table 32: Document store growth</w:t>
      </w:r>
    </w:p>
    <w:p>
      <w:pPr>
        <w:keepNext w:val="0"/>
      </w:pPr>
      <w:r>
        <w:rPr>
          <w:b w:val="0"/>
          <w:i w:val="0"/>
        </w:rPr>
        <w:t>Including 120 MB a year for EOD reports, FIN files, scheduled reports and agent, claim and issue documents, the store reaches about 8 GB in five years and 76 GB with headroom, inside the 500 GB share.</w:t>
      </w:r>
    </w:p>
    <w:p>
      <w:pPr>
        <w:pStyle w:val="Heading2"/>
      </w:pPr>
      <w:r>
        <w:t>10.6 Backup, RPO and RTO</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Item</w:t>
            </w:r>
          </w:p>
        </w:tc>
        <w:tc>
          <w:tcPr>
            <w:tcW w:type="dxa" w:w="7597"/>
            <w:shd w:val="clear" w:color="auto" w:fill="E1058C"/>
            <w:vAlign w:val="center"/>
          </w:tcPr>
          <w:p>
            <w:pPr>
              <w:spacing w:after="0"/>
            </w:pPr>
            <w:r>
              <w:rPr>
                <w:b/>
                <w:i w:val="0"/>
                <w:color w:val="FFFFFF"/>
                <w:sz w:val="17"/>
              </w:rPr>
              <w:t>Design</w:t>
            </w:r>
          </w:p>
        </w:tc>
      </w:tr>
      <w:tr>
        <w:trPr>
          <w:cantSplit/>
        </w:trPr>
        <w:tc>
          <w:tcPr>
            <w:tcW w:type="dxa" w:w="2041"/>
            <w:vAlign w:val="top"/>
          </w:tcPr>
          <w:p>
            <w:pPr>
              <w:spacing w:after="20" w:line="252" w:lineRule="auto"/>
            </w:pPr>
            <w:r>
              <w:rPr>
                <w:b/>
                <w:i w:val="0"/>
                <w:sz w:val="17"/>
              </w:rPr>
              <w:t>Database backups</w:t>
            </w:r>
          </w:p>
        </w:tc>
        <w:tc>
          <w:tcPr>
            <w:tcW w:type="dxa" w:w="7597"/>
            <w:vAlign w:val="top"/>
          </w:tcPr>
          <w:p>
            <w:pPr>
              <w:spacing w:after="20" w:line="252" w:lineRule="auto"/>
            </w:pPr>
            <w:r>
              <w:rPr>
                <w:b w:val="0"/>
                <w:i w:val="0"/>
                <w:sz w:val="17"/>
              </w:rPr>
              <w:t>pgBackRest full backup daily at 02:00, after EOD and the overnight jobs; continuous WAL archiving with archive_timeout 300 seconds</w:t>
            </w:r>
          </w:p>
        </w:tc>
      </w:tr>
      <w:tr>
        <w:trPr>
          <w:cantSplit/>
        </w:trPr>
        <w:tc>
          <w:tcPr>
            <w:tcW w:type="dxa" w:w="2041"/>
            <w:vAlign w:val="top"/>
            <w:shd w:val="clear" w:color="auto" w:fill="FDF0F7"/>
          </w:tcPr>
          <w:p>
            <w:pPr>
              <w:spacing w:after="20" w:line="252" w:lineRule="auto"/>
            </w:pPr>
            <w:r>
              <w:rPr>
                <w:b/>
                <w:i w:val="0"/>
                <w:sz w:val="17"/>
              </w:rPr>
              <w:t>Document backups</w:t>
            </w:r>
          </w:p>
        </w:tc>
        <w:tc>
          <w:tcPr>
            <w:tcW w:type="dxa" w:w="7597"/>
            <w:vAlign w:val="top"/>
            <w:shd w:val="clear" w:color="auto" w:fill="FDF0F7"/>
          </w:tcPr>
          <w:p>
            <w:pPr>
              <w:spacing w:after="20" w:line="252" w:lineRule="auto"/>
            </w:pPr>
            <w:r>
              <w:rPr>
                <w:b w:val="0"/>
                <w:i w:val="0"/>
                <w:sz w:val="17"/>
              </w:rPr>
              <w:t>Daily incremental, weekly full</w:t>
            </w:r>
          </w:p>
        </w:tc>
      </w:tr>
      <w:tr>
        <w:trPr>
          <w:cantSplit/>
        </w:trPr>
        <w:tc>
          <w:tcPr>
            <w:tcW w:type="dxa" w:w="2041"/>
            <w:vAlign w:val="top"/>
          </w:tcPr>
          <w:p>
            <w:pPr>
              <w:spacing w:after="20" w:line="252" w:lineRule="auto"/>
            </w:pPr>
            <w:r>
              <w:rPr>
                <w:b/>
                <w:i w:val="0"/>
                <w:sz w:val="17"/>
              </w:rPr>
              <w:t>Retention</w:t>
            </w:r>
          </w:p>
        </w:tc>
        <w:tc>
          <w:tcPr>
            <w:tcW w:type="dxa" w:w="7597"/>
            <w:vAlign w:val="top"/>
          </w:tcPr>
          <w:p>
            <w:pPr>
              <w:spacing w:after="20" w:line="252" w:lineRule="auto"/>
            </w:pPr>
            <w:r>
              <w:rPr>
                <w:b w:val="0"/>
                <w:i w:val="0"/>
                <w:sz w:val="17"/>
              </w:rPr>
              <w:t>35 days online; monthly copies kept 12 months; yearly copies per IIFT policy</w:t>
            </w:r>
          </w:p>
        </w:tc>
      </w:tr>
      <w:tr>
        <w:trPr>
          <w:cantSplit/>
        </w:trPr>
        <w:tc>
          <w:tcPr>
            <w:tcW w:type="dxa" w:w="2041"/>
            <w:vAlign w:val="top"/>
            <w:shd w:val="clear" w:color="auto" w:fill="FDF0F7"/>
          </w:tcPr>
          <w:p>
            <w:pPr>
              <w:spacing w:after="20" w:line="252" w:lineRule="auto"/>
            </w:pPr>
            <w:r>
              <w:rPr>
                <w:b/>
                <w:i w:val="0"/>
                <w:sz w:val="17"/>
              </w:rPr>
              <w:t>Off-site</w:t>
            </w:r>
          </w:p>
        </w:tc>
        <w:tc>
          <w:tcPr>
            <w:tcW w:type="dxa" w:w="7597"/>
            <w:vAlign w:val="top"/>
            <w:shd w:val="clear" w:color="auto" w:fill="FDF0F7"/>
          </w:tcPr>
          <w:p>
            <w:pPr>
              <w:spacing w:after="20" w:line="252" w:lineRule="auto"/>
            </w:pPr>
            <w:r>
              <w:rPr>
                <w:b w:val="0"/>
                <w:i w:val="0"/>
                <w:sz w:val="17"/>
              </w:rPr>
              <w:t>Daily copy of backups to the DR site; backups encrypted</w:t>
            </w:r>
          </w:p>
        </w:tc>
      </w:tr>
      <w:tr>
        <w:trPr>
          <w:cantSplit/>
        </w:trPr>
        <w:tc>
          <w:tcPr>
            <w:tcW w:type="dxa" w:w="2041"/>
            <w:vAlign w:val="top"/>
          </w:tcPr>
          <w:p>
            <w:pPr>
              <w:spacing w:after="20" w:line="252" w:lineRule="auto"/>
            </w:pPr>
            <w:r>
              <w:rPr>
                <w:b/>
                <w:i w:val="0"/>
                <w:sz w:val="17"/>
              </w:rPr>
              <w:t>RPO</w:t>
            </w:r>
          </w:p>
        </w:tc>
        <w:tc>
          <w:tcPr>
            <w:tcW w:type="dxa" w:w="7597"/>
            <w:vAlign w:val="top"/>
          </w:tcPr>
          <w:p>
            <w:pPr>
              <w:spacing w:after="20" w:line="252" w:lineRule="auto"/>
            </w:pPr>
            <w:r>
              <w:rPr>
                <w:b w:val="0"/>
                <w:i w:val="0"/>
                <w:sz w:val="17"/>
              </w:rPr>
              <w:t>15 minutes or better: streaming replication to the standby is near-real-time, and archived WAL limits loss to 5 minutes if both database nodes are lost</w:t>
            </w:r>
          </w:p>
        </w:tc>
      </w:tr>
      <w:tr>
        <w:trPr>
          <w:cantSplit/>
        </w:trPr>
        <w:tc>
          <w:tcPr>
            <w:tcW w:type="dxa" w:w="2041"/>
            <w:vAlign w:val="top"/>
            <w:shd w:val="clear" w:color="auto" w:fill="FDF0F7"/>
          </w:tcPr>
          <w:p>
            <w:pPr>
              <w:spacing w:after="20" w:line="252" w:lineRule="auto"/>
            </w:pPr>
            <w:r>
              <w:rPr>
                <w:b/>
                <w:i w:val="0"/>
                <w:sz w:val="17"/>
              </w:rPr>
              <w:t>RTO</w:t>
            </w:r>
          </w:p>
        </w:tc>
        <w:tc>
          <w:tcPr>
            <w:tcW w:type="dxa" w:w="7597"/>
            <w:vAlign w:val="top"/>
            <w:shd w:val="clear" w:color="auto" w:fill="FDF0F7"/>
          </w:tcPr>
          <w:p>
            <w:pPr>
              <w:spacing w:after="20" w:line="252" w:lineRule="auto"/>
            </w:pPr>
            <w:r>
              <w:rPr>
                <w:b w:val="0"/>
                <w:i w:val="0"/>
                <w:sz w:val="17"/>
              </w:rPr>
              <w:t>4 hours for a full site loss; under 30 minutes for loss of an application VM (none, service continues) or the database primary (promote standby)</w:t>
            </w:r>
          </w:p>
        </w:tc>
      </w:tr>
      <w:tr>
        <w:trPr>
          <w:cantSplit/>
        </w:trPr>
        <w:tc>
          <w:tcPr>
            <w:tcW w:type="dxa" w:w="2041"/>
            <w:vAlign w:val="top"/>
          </w:tcPr>
          <w:p>
            <w:pPr>
              <w:spacing w:after="20" w:line="252" w:lineRule="auto"/>
            </w:pPr>
            <w:r>
              <w:rPr>
                <w:b/>
                <w:i w:val="0"/>
                <w:sz w:val="17"/>
              </w:rPr>
              <w:t>Backup storage need</w:t>
            </w:r>
          </w:p>
        </w:tc>
        <w:tc>
          <w:tcPr>
            <w:tcW w:type="dxa" w:w="7597"/>
            <w:vAlign w:val="top"/>
          </w:tcPr>
          <w:p>
            <w:pPr>
              <w:spacing w:after="20" w:line="252" w:lineRule="auto"/>
            </w:pPr>
            <w:r>
              <w:rPr>
                <w:b w:val="0"/>
                <w:i w:val="0"/>
                <w:sz w:val="17"/>
              </w:rPr>
              <w:t>About 150 GB at year 5 (database fulls and WAL, document backups, monthly copies); 1 TB provisioned</w:t>
            </w:r>
          </w:p>
        </w:tc>
      </w:tr>
      <w:tr>
        <w:trPr>
          <w:cantSplit/>
        </w:trPr>
        <w:tc>
          <w:tcPr>
            <w:tcW w:type="dxa" w:w="2041"/>
            <w:vAlign w:val="top"/>
            <w:shd w:val="clear" w:color="auto" w:fill="FDF0F7"/>
          </w:tcPr>
          <w:p>
            <w:pPr>
              <w:spacing w:after="20" w:line="252" w:lineRule="auto"/>
            </w:pPr>
            <w:r>
              <w:rPr>
                <w:b/>
                <w:i w:val="0"/>
                <w:sz w:val="17"/>
              </w:rPr>
              <w:t>Verification</w:t>
            </w:r>
          </w:p>
        </w:tc>
        <w:tc>
          <w:tcPr>
            <w:tcW w:type="dxa" w:w="7597"/>
            <w:vAlign w:val="top"/>
            <w:shd w:val="clear" w:color="auto" w:fill="FDF0F7"/>
          </w:tcPr>
          <w:p>
            <w:pPr>
              <w:spacing w:after="20" w:line="252" w:lineRule="auto"/>
            </w:pPr>
            <w:r>
              <w:rPr>
                <w:b w:val="0"/>
                <w:i w:val="0"/>
                <w:sz w:val="17"/>
              </w:rPr>
              <w:t>Quarterly restore test to a scratch instance with reconciliation of counts; yearly DR test</w:t>
            </w:r>
          </w:p>
        </w:tc>
      </w:tr>
    </w:tbl>
    <w:p>
      <w:pPr>
        <w:pStyle w:val="Caption"/>
        <w:jc w:val="center"/>
      </w:pPr>
      <w:r>
        <w:rPr>
          <w:b w:val="0"/>
          <w:i w:val="0"/>
        </w:rPr>
        <w:t>Table 33: Backup and recovery design</w:t>
      </w:r>
    </w:p>
    <w:p>
      <w:pPr>
        <w:pStyle w:val="Heading2"/>
      </w:pPr>
      <w:r>
        <w:t>10.7 Network ports and firewall rules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2608"/>
        <w:gridCol w:w="1474"/>
        <w:gridCol w:w="3175"/>
      </w:tblGrid>
      <w:tr>
        <w:trPr>
          <w:cantSplit/>
          <w:tblHeader/>
        </w:trPr>
        <w:tc>
          <w:tcPr>
            <w:tcW w:type="dxa" w:w="2381"/>
            <w:shd w:val="clear" w:color="auto" w:fill="E1058C"/>
            <w:vAlign w:val="center"/>
          </w:tcPr>
          <w:p>
            <w:pPr>
              <w:spacing w:after="0"/>
            </w:pPr>
            <w:r>
              <w:rPr>
                <w:b/>
                <w:i w:val="0"/>
                <w:color w:val="FFFFFF"/>
                <w:sz w:val="16"/>
              </w:rPr>
              <w:t>Source</w:t>
            </w:r>
          </w:p>
        </w:tc>
        <w:tc>
          <w:tcPr>
            <w:tcW w:type="dxa" w:w="2608"/>
            <w:shd w:val="clear" w:color="auto" w:fill="E1058C"/>
            <w:vAlign w:val="center"/>
          </w:tcPr>
          <w:p>
            <w:pPr>
              <w:spacing w:after="0"/>
            </w:pPr>
            <w:r>
              <w:rPr>
                <w:b/>
                <w:i w:val="0"/>
                <w:color w:val="FFFFFF"/>
                <w:sz w:val="16"/>
              </w:rPr>
              <w:t>Destination</w:t>
            </w:r>
          </w:p>
        </w:tc>
        <w:tc>
          <w:tcPr>
            <w:tcW w:type="dxa" w:w="1474"/>
            <w:shd w:val="clear" w:color="auto" w:fill="E1058C"/>
            <w:vAlign w:val="center"/>
          </w:tcPr>
          <w:p>
            <w:pPr>
              <w:spacing w:after="0"/>
            </w:pPr>
            <w:r>
              <w:rPr>
                <w:b/>
                <w:i w:val="0"/>
                <w:color w:val="FFFFFF"/>
                <w:sz w:val="16"/>
              </w:rPr>
              <w:t>Port</w:t>
            </w:r>
          </w:p>
        </w:tc>
        <w:tc>
          <w:tcPr>
            <w:tcW w:type="dxa" w:w="3175"/>
            <w:shd w:val="clear" w:color="auto" w:fill="E1058C"/>
            <w:vAlign w:val="center"/>
          </w:tcPr>
          <w:p>
            <w:pPr>
              <w:spacing w:after="0"/>
            </w:pPr>
            <w:r>
              <w:rPr>
                <w:b/>
                <w:i w:val="0"/>
                <w:color w:val="FFFFFF"/>
                <w:sz w:val="16"/>
              </w:rPr>
              <w:t>Purpose</w:t>
            </w:r>
          </w:p>
        </w:tc>
      </w:tr>
      <w:tr>
        <w:trPr>
          <w:cantSplit/>
        </w:trPr>
        <w:tc>
          <w:tcPr>
            <w:tcW w:type="dxa" w:w="2381"/>
            <w:vAlign w:val="top"/>
          </w:tcPr>
          <w:p>
            <w:pPr>
              <w:spacing w:after="20" w:line="252" w:lineRule="auto"/>
            </w:pPr>
            <w:r>
              <w:rPr>
                <w:b w:val="0"/>
                <w:i w:val="0"/>
                <w:sz w:val="16"/>
              </w:rPr>
              <w:t>Internet</w:t>
            </w:r>
          </w:p>
        </w:tc>
        <w:tc>
          <w:tcPr>
            <w:tcW w:type="dxa" w:w="2608"/>
            <w:vAlign w:val="top"/>
          </w:tcPr>
          <w:p>
            <w:pPr>
              <w:spacing w:after="20" w:line="252" w:lineRule="auto"/>
            </w:pPr>
            <w:r>
              <w:rPr>
                <w:b w:val="0"/>
                <w:i w:val="0"/>
                <w:sz w:val="16"/>
              </w:rPr>
              <w:t>External WAF / load balancer</w:t>
            </w:r>
          </w:p>
        </w:tc>
        <w:tc>
          <w:tcPr>
            <w:tcW w:type="dxa" w:w="1474"/>
            <w:vAlign w:val="top"/>
          </w:tcPr>
          <w:p>
            <w:pPr>
              <w:spacing w:after="20" w:line="252" w:lineRule="auto"/>
            </w:pPr>
            <w:r>
              <w:rPr>
                <w:b w:val="0"/>
                <w:i w:val="0"/>
                <w:sz w:val="16"/>
              </w:rPr>
              <w:t>443/tcp</w:t>
            </w:r>
          </w:p>
        </w:tc>
        <w:tc>
          <w:tcPr>
            <w:tcW w:type="dxa" w:w="3175"/>
            <w:vAlign w:val="top"/>
          </w:tcPr>
          <w:p>
            <w:pPr>
              <w:spacing w:after="20" w:line="252" w:lineRule="auto"/>
            </w:pPr>
            <w:r>
              <w:rPr>
                <w:b w:val="0"/>
                <w:i w:val="0"/>
                <w:sz w:val="16"/>
              </w:rPr>
              <w:t>HTTPS for /portal, /esign, /api (80 redirects)</w:t>
            </w:r>
          </w:p>
        </w:tc>
      </w:tr>
      <w:tr>
        <w:trPr>
          <w:cantSplit/>
        </w:trPr>
        <w:tc>
          <w:tcPr>
            <w:tcW w:type="dxa" w:w="2381"/>
            <w:vAlign w:val="top"/>
            <w:shd w:val="clear" w:color="auto" w:fill="FDF0F7"/>
          </w:tcPr>
          <w:p>
            <w:pPr>
              <w:spacing w:after="20" w:line="252" w:lineRule="auto"/>
            </w:pPr>
            <w:r>
              <w:rPr>
                <w:b w:val="0"/>
                <w:i w:val="0"/>
                <w:sz w:val="16"/>
              </w:rPr>
              <w:t>IIFT internal network</w:t>
            </w:r>
          </w:p>
        </w:tc>
        <w:tc>
          <w:tcPr>
            <w:tcW w:type="dxa" w:w="2608"/>
            <w:vAlign w:val="top"/>
            <w:shd w:val="clear" w:color="auto" w:fill="FDF0F7"/>
          </w:tcPr>
          <w:p>
            <w:pPr>
              <w:spacing w:after="20" w:line="252" w:lineRule="auto"/>
            </w:pPr>
            <w:r>
              <w:rPr>
                <w:b w:val="0"/>
                <w:i w:val="0"/>
                <w:sz w:val="16"/>
              </w:rPr>
              <w:t>Internal load balancer</w:t>
            </w:r>
          </w:p>
        </w:tc>
        <w:tc>
          <w:tcPr>
            <w:tcW w:type="dxa" w:w="1474"/>
            <w:vAlign w:val="top"/>
            <w:shd w:val="clear" w:color="auto" w:fill="FDF0F7"/>
          </w:tcPr>
          <w:p>
            <w:pPr>
              <w:spacing w:after="20" w:line="252" w:lineRule="auto"/>
            </w:pPr>
            <w:r>
              <w:rPr>
                <w:b w:val="0"/>
                <w:i w:val="0"/>
                <w:sz w:val="16"/>
              </w:rPr>
              <w:t>443/tcp</w:t>
            </w:r>
          </w:p>
        </w:tc>
        <w:tc>
          <w:tcPr>
            <w:tcW w:type="dxa" w:w="3175"/>
            <w:vAlign w:val="top"/>
            <w:shd w:val="clear" w:color="auto" w:fill="FDF0F7"/>
          </w:tcPr>
          <w:p>
            <w:pPr>
              <w:spacing w:after="20" w:line="252" w:lineRule="auto"/>
            </w:pPr>
            <w:r>
              <w:rPr>
                <w:b w:val="0"/>
                <w:i w:val="0"/>
                <w:sz w:val="16"/>
              </w:rPr>
              <w:t>HTTPS for /backoffice and /api</w:t>
            </w:r>
          </w:p>
        </w:tc>
      </w:tr>
      <w:tr>
        <w:trPr>
          <w:cantSplit/>
        </w:trPr>
        <w:tc>
          <w:tcPr>
            <w:tcW w:type="dxa" w:w="2381"/>
            <w:vAlign w:val="top"/>
          </w:tcPr>
          <w:p>
            <w:pPr>
              <w:spacing w:after="20" w:line="252" w:lineRule="auto"/>
            </w:pPr>
            <w:r>
              <w:rPr>
                <w:b w:val="0"/>
                <w:i w:val="0"/>
                <w:sz w:val="16"/>
              </w:rPr>
              <w:t>Core and FIN hosts</w:t>
            </w:r>
          </w:p>
        </w:tc>
        <w:tc>
          <w:tcPr>
            <w:tcW w:type="dxa" w:w="2608"/>
            <w:vAlign w:val="top"/>
          </w:tcPr>
          <w:p>
            <w:pPr>
              <w:spacing w:after="20" w:line="252" w:lineRule="auto"/>
            </w:pPr>
            <w:r>
              <w:rPr>
                <w:b w:val="0"/>
                <w:i w:val="0"/>
                <w:sz w:val="16"/>
              </w:rPr>
              <w:t>Internal load balancer</w:t>
            </w:r>
          </w:p>
        </w:tc>
        <w:tc>
          <w:tcPr>
            <w:tcW w:type="dxa" w:w="1474"/>
            <w:vAlign w:val="top"/>
          </w:tcPr>
          <w:p>
            <w:pPr>
              <w:spacing w:after="20" w:line="252" w:lineRule="auto"/>
            </w:pPr>
            <w:r>
              <w:rPr>
                <w:b w:val="0"/>
                <w:i w:val="0"/>
                <w:sz w:val="16"/>
              </w:rPr>
              <w:t>443/tcp</w:t>
            </w:r>
          </w:p>
        </w:tc>
        <w:tc>
          <w:tcPr>
            <w:tcW w:type="dxa" w:w="3175"/>
            <w:vAlign w:val="top"/>
          </w:tcPr>
          <w:p>
            <w:pPr>
              <w:spacing w:after="20" w:line="252" w:lineRule="auto"/>
            </w:pPr>
            <w:r>
              <w:rPr>
                <w:b w:val="0"/>
                <w:i w:val="0"/>
                <w:sz w:val="16"/>
              </w:rPr>
              <w:t>/api/v1/integration (IP allow-list)</w:t>
            </w:r>
          </w:p>
        </w:tc>
      </w:tr>
      <w:tr>
        <w:trPr>
          <w:cantSplit/>
        </w:trPr>
        <w:tc>
          <w:tcPr>
            <w:tcW w:type="dxa" w:w="2381"/>
            <w:vAlign w:val="top"/>
            <w:shd w:val="clear" w:color="auto" w:fill="FDF0F7"/>
          </w:tcPr>
          <w:p>
            <w:pPr>
              <w:spacing w:after="20" w:line="252" w:lineRule="auto"/>
            </w:pPr>
            <w:r>
              <w:rPr>
                <w:b w:val="0"/>
                <w:i w:val="0"/>
                <w:sz w:val="16"/>
              </w:rPr>
              <w:t>Load balancers</w:t>
            </w:r>
          </w:p>
        </w:tc>
        <w:tc>
          <w:tcPr>
            <w:tcW w:type="dxa" w:w="2608"/>
            <w:vAlign w:val="top"/>
            <w:shd w:val="clear" w:color="auto" w:fill="FDF0F7"/>
          </w:tcPr>
          <w:p>
            <w:pPr>
              <w:spacing w:after="20" w:line="252" w:lineRule="auto"/>
            </w:pPr>
            <w:r>
              <w:rPr>
                <w:b w:val="0"/>
                <w:i w:val="0"/>
                <w:sz w:val="16"/>
              </w:rPr>
              <w:t>App VMs (web container)</w:t>
            </w:r>
          </w:p>
        </w:tc>
        <w:tc>
          <w:tcPr>
            <w:tcW w:type="dxa" w:w="1474"/>
            <w:vAlign w:val="top"/>
            <w:shd w:val="clear" w:color="auto" w:fill="FDF0F7"/>
          </w:tcPr>
          <w:p>
            <w:pPr>
              <w:spacing w:after="20" w:line="252" w:lineRule="auto"/>
            </w:pPr>
            <w:r>
              <w:rPr>
                <w:b w:val="0"/>
                <w:i w:val="0"/>
                <w:sz w:val="16"/>
              </w:rPr>
              <w:t>8080/tcp</w:t>
            </w:r>
          </w:p>
        </w:tc>
        <w:tc>
          <w:tcPr>
            <w:tcW w:type="dxa" w:w="3175"/>
            <w:vAlign w:val="top"/>
            <w:shd w:val="clear" w:color="auto" w:fill="FDF0F7"/>
          </w:tcPr>
          <w:p>
            <w:pPr>
              <w:spacing w:after="20" w:line="252" w:lineRule="auto"/>
            </w:pPr>
            <w:r>
              <w:rPr>
                <w:b w:val="0"/>
                <w:i w:val="0"/>
                <w:sz w:val="16"/>
              </w:rPr>
              <w:t>HTTP inside the zone, or TLS re-encryption if IITH policy requires</w:t>
            </w:r>
          </w:p>
        </w:tc>
      </w:tr>
      <w:tr>
        <w:trPr>
          <w:cantSplit/>
        </w:trPr>
        <w:tc>
          <w:tcPr>
            <w:tcW w:type="dxa" w:w="2381"/>
            <w:vAlign w:val="top"/>
          </w:tcPr>
          <w:p>
            <w:pPr>
              <w:spacing w:after="20" w:line="252" w:lineRule="auto"/>
            </w:pPr>
            <w:r>
              <w:rPr>
                <w:b w:val="0"/>
                <w:i w:val="0"/>
                <w:sz w:val="16"/>
              </w:rPr>
              <w:t>Web container</w:t>
            </w:r>
          </w:p>
        </w:tc>
        <w:tc>
          <w:tcPr>
            <w:tcW w:type="dxa" w:w="2608"/>
            <w:vAlign w:val="top"/>
          </w:tcPr>
          <w:p>
            <w:pPr>
              <w:spacing w:after="20" w:line="252" w:lineRule="auto"/>
            </w:pPr>
            <w:r>
              <w:rPr>
                <w:b w:val="0"/>
                <w:i w:val="0"/>
                <w:sz w:val="16"/>
              </w:rPr>
              <w:t>API container</w:t>
            </w:r>
          </w:p>
        </w:tc>
        <w:tc>
          <w:tcPr>
            <w:tcW w:type="dxa" w:w="1474"/>
            <w:vAlign w:val="top"/>
          </w:tcPr>
          <w:p>
            <w:pPr>
              <w:spacing w:after="20" w:line="252" w:lineRule="auto"/>
            </w:pPr>
            <w:r>
              <w:rPr>
                <w:b w:val="0"/>
                <w:i w:val="0"/>
                <w:sz w:val="16"/>
              </w:rPr>
              <w:t>3000/tcp</w:t>
            </w:r>
          </w:p>
        </w:tc>
        <w:tc>
          <w:tcPr>
            <w:tcW w:type="dxa" w:w="3175"/>
            <w:vAlign w:val="top"/>
          </w:tcPr>
          <w:p>
            <w:pPr>
              <w:spacing w:after="20" w:line="252" w:lineRule="auto"/>
            </w:pPr>
            <w:r>
              <w:rPr>
                <w:b w:val="0"/>
                <w:i w:val="0"/>
                <w:sz w:val="16"/>
              </w:rPr>
              <w:t>Same host network; not exposed outside the VM</w:t>
            </w:r>
          </w:p>
        </w:tc>
      </w:tr>
      <w:tr>
        <w:trPr>
          <w:cantSplit/>
        </w:trPr>
        <w:tc>
          <w:tcPr>
            <w:tcW w:type="dxa" w:w="2381"/>
            <w:vAlign w:val="top"/>
            <w:shd w:val="clear" w:color="auto" w:fill="FDF0F7"/>
          </w:tcPr>
          <w:p>
            <w:pPr>
              <w:spacing w:after="20" w:line="252" w:lineRule="auto"/>
            </w:pPr>
            <w:r>
              <w:rPr>
                <w:b w:val="0"/>
                <w:i w:val="0"/>
                <w:sz w:val="16"/>
              </w:rPr>
              <w:t>Load balancers, monitoring</w:t>
            </w:r>
          </w:p>
        </w:tc>
        <w:tc>
          <w:tcPr>
            <w:tcW w:type="dxa" w:w="2608"/>
            <w:vAlign w:val="top"/>
            <w:shd w:val="clear" w:color="auto" w:fill="FDF0F7"/>
          </w:tcPr>
          <w:p>
            <w:pPr>
              <w:spacing w:after="20" w:line="252" w:lineRule="auto"/>
            </w:pPr>
            <w:r>
              <w:rPr>
                <w:b w:val="0"/>
                <w:i w:val="0"/>
                <w:sz w:val="16"/>
              </w:rPr>
              <w:t>App VMs</w:t>
            </w:r>
          </w:p>
        </w:tc>
        <w:tc>
          <w:tcPr>
            <w:tcW w:type="dxa" w:w="1474"/>
            <w:vAlign w:val="top"/>
            <w:shd w:val="clear" w:color="auto" w:fill="FDF0F7"/>
          </w:tcPr>
          <w:p>
            <w:pPr>
              <w:spacing w:after="20" w:line="252" w:lineRule="auto"/>
            </w:pPr>
            <w:r>
              <w:rPr>
                <w:b w:val="0"/>
                <w:i w:val="0"/>
                <w:sz w:val="16"/>
              </w:rPr>
              <w:t>3000/tcp</w:t>
            </w:r>
          </w:p>
        </w:tc>
        <w:tc>
          <w:tcPr>
            <w:tcW w:type="dxa" w:w="3175"/>
            <w:vAlign w:val="top"/>
            <w:shd w:val="clear" w:color="auto" w:fill="FDF0F7"/>
          </w:tcPr>
          <w:p>
            <w:pPr>
              <w:spacing w:after="20" w:line="252" w:lineRule="auto"/>
            </w:pPr>
            <w:r>
              <w:rPr>
                <w:b w:val="0"/>
                <w:i w:val="0"/>
                <w:sz w:val="16"/>
              </w:rPr>
              <w:t>/health/live, /health/ready, /metrics (bearer token); published on the VM's internal interface by the production compose override</w:t>
            </w:r>
          </w:p>
        </w:tc>
      </w:tr>
      <w:tr>
        <w:trPr>
          <w:cantSplit/>
        </w:trPr>
        <w:tc>
          <w:tcPr>
            <w:tcW w:type="dxa" w:w="2381"/>
            <w:vAlign w:val="top"/>
          </w:tcPr>
          <w:p>
            <w:pPr>
              <w:spacing w:after="20" w:line="252" w:lineRule="auto"/>
            </w:pPr>
            <w:r>
              <w:rPr>
                <w:b w:val="0"/>
                <w:i w:val="0"/>
                <w:sz w:val="16"/>
              </w:rPr>
              <w:t>App VMs</w:t>
            </w:r>
          </w:p>
        </w:tc>
        <w:tc>
          <w:tcPr>
            <w:tcW w:type="dxa" w:w="2608"/>
            <w:vAlign w:val="top"/>
          </w:tcPr>
          <w:p>
            <w:pPr>
              <w:spacing w:after="20" w:line="252" w:lineRule="auto"/>
            </w:pPr>
            <w:r>
              <w:rPr>
                <w:b w:val="0"/>
                <w:i w:val="0"/>
                <w:sz w:val="16"/>
              </w:rPr>
              <w:t>PostgreSQL VIP / primary</w:t>
            </w:r>
          </w:p>
        </w:tc>
        <w:tc>
          <w:tcPr>
            <w:tcW w:type="dxa" w:w="1474"/>
            <w:vAlign w:val="top"/>
          </w:tcPr>
          <w:p>
            <w:pPr>
              <w:spacing w:after="20" w:line="252" w:lineRule="auto"/>
            </w:pPr>
            <w:r>
              <w:rPr>
                <w:b w:val="0"/>
                <w:i w:val="0"/>
                <w:sz w:val="16"/>
              </w:rPr>
              <w:t>5432/tcp</w:t>
            </w:r>
          </w:p>
        </w:tc>
        <w:tc>
          <w:tcPr>
            <w:tcW w:type="dxa" w:w="3175"/>
            <w:vAlign w:val="top"/>
          </w:tcPr>
          <w:p>
            <w:pPr>
              <w:spacing w:after="20" w:line="252" w:lineRule="auto"/>
            </w:pPr>
            <w:r>
              <w:rPr>
                <w:b w:val="0"/>
                <w:i w:val="0"/>
                <w:sz w:val="16"/>
              </w:rPr>
              <w:t>TLS, application role</w:t>
            </w:r>
          </w:p>
        </w:tc>
      </w:tr>
      <w:tr>
        <w:trPr>
          <w:cantSplit/>
        </w:trPr>
        <w:tc>
          <w:tcPr>
            <w:tcW w:type="dxa" w:w="2381"/>
            <w:vAlign w:val="top"/>
            <w:shd w:val="clear" w:color="auto" w:fill="FDF0F7"/>
          </w:tcPr>
          <w:p>
            <w:pPr>
              <w:spacing w:after="20" w:line="252" w:lineRule="auto"/>
            </w:pPr>
            <w:r>
              <w:rPr>
                <w:b w:val="0"/>
                <w:i w:val="0"/>
                <w:sz w:val="16"/>
              </w:rPr>
              <w:t>App VMs</w:t>
            </w:r>
          </w:p>
        </w:tc>
        <w:tc>
          <w:tcPr>
            <w:tcW w:type="dxa" w:w="2608"/>
            <w:vAlign w:val="top"/>
            <w:shd w:val="clear" w:color="auto" w:fill="FDF0F7"/>
          </w:tcPr>
          <w:p>
            <w:pPr>
              <w:spacing w:after="20" w:line="252" w:lineRule="auto"/>
            </w:pPr>
            <w:r>
              <w:rPr>
                <w:b w:val="0"/>
                <w:i w:val="0"/>
                <w:sz w:val="16"/>
              </w:rPr>
              <w:t>Document store (NFS)</w:t>
            </w:r>
          </w:p>
        </w:tc>
        <w:tc>
          <w:tcPr>
            <w:tcW w:type="dxa" w:w="1474"/>
            <w:vAlign w:val="top"/>
            <w:shd w:val="clear" w:color="auto" w:fill="FDF0F7"/>
          </w:tcPr>
          <w:p>
            <w:pPr>
              <w:spacing w:after="20" w:line="252" w:lineRule="auto"/>
            </w:pPr>
            <w:r>
              <w:rPr>
                <w:b w:val="0"/>
                <w:i w:val="0"/>
                <w:sz w:val="16"/>
              </w:rPr>
              <w:t>2049/tcp</w:t>
            </w:r>
          </w:p>
        </w:tc>
        <w:tc>
          <w:tcPr>
            <w:tcW w:type="dxa" w:w="3175"/>
            <w:vAlign w:val="top"/>
            <w:shd w:val="clear" w:color="auto" w:fill="FDF0F7"/>
          </w:tcPr>
          <w:p>
            <w:pPr>
              <w:spacing w:after="20" w:line="252" w:lineRule="auto"/>
            </w:pPr>
            <w:r>
              <w:rPr>
                <w:b w:val="0"/>
                <w:i w:val="0"/>
                <w:sz w:val="16"/>
              </w:rPr>
              <w:t>NFSv4, export restricted to app VMs</w:t>
            </w:r>
          </w:p>
        </w:tc>
      </w:tr>
      <w:tr>
        <w:trPr>
          <w:cantSplit/>
        </w:trPr>
        <w:tc>
          <w:tcPr>
            <w:tcW w:type="dxa" w:w="2381"/>
            <w:vAlign w:val="top"/>
          </w:tcPr>
          <w:p>
            <w:pPr>
              <w:spacing w:after="20" w:line="252" w:lineRule="auto"/>
            </w:pPr>
            <w:r>
              <w:rPr>
                <w:b w:val="0"/>
                <w:i w:val="0"/>
                <w:sz w:val="16"/>
              </w:rPr>
              <w:t>App VMs</w:t>
            </w:r>
          </w:p>
        </w:tc>
        <w:tc>
          <w:tcPr>
            <w:tcW w:type="dxa" w:w="2608"/>
            <w:vAlign w:val="top"/>
          </w:tcPr>
          <w:p>
            <w:pPr>
              <w:spacing w:after="20" w:line="252" w:lineRule="auto"/>
            </w:pPr>
            <w:r>
              <w:rPr>
                <w:b w:val="0"/>
                <w:i w:val="0"/>
                <w:sz w:val="16"/>
              </w:rPr>
              <w:t>SMTP relay</w:t>
            </w:r>
          </w:p>
        </w:tc>
        <w:tc>
          <w:tcPr>
            <w:tcW w:type="dxa" w:w="1474"/>
            <w:vAlign w:val="top"/>
          </w:tcPr>
          <w:p>
            <w:pPr>
              <w:spacing w:after="20" w:line="252" w:lineRule="auto"/>
            </w:pPr>
            <w:r>
              <w:rPr>
                <w:b w:val="0"/>
                <w:i w:val="0"/>
                <w:sz w:val="16"/>
              </w:rPr>
              <w:t>587/tcp</w:t>
            </w:r>
          </w:p>
        </w:tc>
        <w:tc>
          <w:tcPr>
            <w:tcW w:type="dxa" w:w="3175"/>
            <w:vAlign w:val="top"/>
          </w:tcPr>
          <w:p>
            <w:pPr>
              <w:spacing w:after="20" w:line="252" w:lineRule="auto"/>
            </w:pPr>
            <w:r>
              <w:rPr>
                <w:b w:val="0"/>
                <w:i w:val="0"/>
                <w:sz w:val="16"/>
              </w:rPr>
              <w:t>STARTTLS</w:t>
            </w:r>
          </w:p>
        </w:tc>
      </w:tr>
      <w:tr>
        <w:trPr>
          <w:cantSplit/>
        </w:trPr>
        <w:tc>
          <w:tcPr>
            <w:tcW w:type="dxa" w:w="2381"/>
            <w:vAlign w:val="top"/>
            <w:shd w:val="clear" w:color="auto" w:fill="FDF0F7"/>
          </w:tcPr>
          <w:p>
            <w:pPr>
              <w:spacing w:after="20" w:line="252" w:lineRule="auto"/>
            </w:pPr>
            <w:r>
              <w:rPr>
                <w:b w:val="0"/>
                <w:i w:val="0"/>
                <w:sz w:val="16"/>
              </w:rPr>
              <w:t>App VMs</w:t>
            </w:r>
          </w:p>
        </w:tc>
        <w:tc>
          <w:tcPr>
            <w:tcW w:type="dxa" w:w="2608"/>
            <w:vAlign w:val="top"/>
            <w:shd w:val="clear" w:color="auto" w:fill="FDF0F7"/>
          </w:tcPr>
          <w:p>
            <w:pPr>
              <w:spacing w:after="20" w:line="252" w:lineRule="auto"/>
            </w:pPr>
            <w:r>
              <w:rPr>
                <w:b w:val="0"/>
                <w:i w:val="0"/>
                <w:sz w:val="16"/>
              </w:rPr>
              <w:t>Active Directory</w:t>
            </w:r>
          </w:p>
        </w:tc>
        <w:tc>
          <w:tcPr>
            <w:tcW w:type="dxa" w:w="1474"/>
            <w:vAlign w:val="top"/>
            <w:shd w:val="clear" w:color="auto" w:fill="FDF0F7"/>
          </w:tcPr>
          <w:p>
            <w:pPr>
              <w:spacing w:after="20" w:line="252" w:lineRule="auto"/>
            </w:pPr>
            <w:r>
              <w:rPr>
                <w:b w:val="0"/>
                <w:i w:val="0"/>
                <w:sz w:val="16"/>
              </w:rPr>
              <w:t>636/tcp</w:t>
            </w:r>
          </w:p>
        </w:tc>
        <w:tc>
          <w:tcPr>
            <w:tcW w:type="dxa" w:w="3175"/>
            <w:vAlign w:val="top"/>
            <w:shd w:val="clear" w:color="auto" w:fill="FDF0F7"/>
          </w:tcPr>
          <w:p>
            <w:pPr>
              <w:spacing w:after="20" w:line="252" w:lineRule="auto"/>
            </w:pPr>
            <w:r>
              <w:rPr>
                <w:b w:val="0"/>
                <w:i w:val="0"/>
                <w:sz w:val="16"/>
              </w:rPr>
              <w:t>LDAPS</w:t>
            </w:r>
          </w:p>
        </w:tc>
      </w:tr>
      <w:tr>
        <w:trPr>
          <w:cantSplit/>
        </w:trPr>
        <w:tc>
          <w:tcPr>
            <w:tcW w:type="dxa" w:w="2381"/>
            <w:vAlign w:val="top"/>
          </w:tcPr>
          <w:p>
            <w:pPr>
              <w:spacing w:after="20" w:line="252" w:lineRule="auto"/>
            </w:pPr>
            <w:r>
              <w:rPr>
                <w:b w:val="0"/>
                <w:i w:val="0"/>
                <w:sz w:val="16"/>
              </w:rPr>
              <w:t>App VMs</w:t>
            </w:r>
          </w:p>
        </w:tc>
        <w:tc>
          <w:tcPr>
            <w:tcW w:type="dxa" w:w="2608"/>
            <w:vAlign w:val="top"/>
          </w:tcPr>
          <w:p>
            <w:pPr>
              <w:spacing w:after="20" w:line="252" w:lineRule="auto"/>
            </w:pPr>
            <w:r>
              <w:rPr>
                <w:b w:val="0"/>
                <w:i w:val="0"/>
                <w:sz w:val="16"/>
              </w:rPr>
              <w:t>Core and FIN APIs</w:t>
            </w:r>
          </w:p>
        </w:tc>
        <w:tc>
          <w:tcPr>
            <w:tcW w:type="dxa" w:w="1474"/>
            <w:vAlign w:val="top"/>
          </w:tcPr>
          <w:p>
            <w:pPr>
              <w:spacing w:after="20" w:line="252" w:lineRule="auto"/>
            </w:pPr>
            <w:r>
              <w:rPr>
                <w:b w:val="0"/>
                <w:i w:val="0"/>
                <w:sz w:val="16"/>
              </w:rPr>
              <w:t>443/tcp</w:t>
            </w:r>
          </w:p>
        </w:tc>
        <w:tc>
          <w:tcPr>
            <w:tcW w:type="dxa" w:w="3175"/>
            <w:vAlign w:val="top"/>
          </w:tcPr>
          <w:p>
            <w:pPr>
              <w:spacing w:after="20" w:line="252" w:lineRule="auto"/>
            </w:pPr>
            <w:r>
              <w:rPr>
                <w:b w:val="0"/>
                <w:i w:val="0"/>
                <w:sz w:val="16"/>
              </w:rPr>
              <w:t>HTTPS</w:t>
            </w:r>
          </w:p>
        </w:tc>
      </w:tr>
      <w:tr>
        <w:trPr>
          <w:cantSplit/>
        </w:trPr>
        <w:tc>
          <w:tcPr>
            <w:tcW w:type="dxa" w:w="2381"/>
            <w:vAlign w:val="top"/>
            <w:shd w:val="clear" w:color="auto" w:fill="FDF0F7"/>
          </w:tcPr>
          <w:p>
            <w:pPr>
              <w:spacing w:after="20" w:line="252" w:lineRule="auto"/>
            </w:pPr>
            <w:r>
              <w:rPr>
                <w:b w:val="0"/>
                <w:i w:val="0"/>
                <w:sz w:val="16"/>
              </w:rPr>
              <w:t>App VMs</w:t>
            </w:r>
          </w:p>
        </w:tc>
        <w:tc>
          <w:tcPr>
            <w:tcW w:type="dxa" w:w="2608"/>
            <w:vAlign w:val="top"/>
            <w:shd w:val="clear" w:color="auto" w:fill="FDF0F7"/>
          </w:tcPr>
          <w:p>
            <w:pPr>
              <w:spacing w:after="20" w:line="252" w:lineRule="auto"/>
            </w:pPr>
            <w:r>
              <w:rPr>
                <w:b w:val="0"/>
                <w:i w:val="0"/>
                <w:sz w:val="16"/>
              </w:rPr>
              <w:t>Egress proxy to SMS gateway and AML provider</w:t>
            </w:r>
          </w:p>
        </w:tc>
        <w:tc>
          <w:tcPr>
            <w:tcW w:type="dxa" w:w="1474"/>
            <w:vAlign w:val="top"/>
            <w:shd w:val="clear" w:color="auto" w:fill="FDF0F7"/>
          </w:tcPr>
          <w:p>
            <w:pPr>
              <w:spacing w:after="20" w:line="252" w:lineRule="auto"/>
            </w:pPr>
            <w:r>
              <w:rPr>
                <w:b w:val="0"/>
                <w:i w:val="0"/>
                <w:sz w:val="16"/>
              </w:rPr>
              <w:t>443/tcp</w:t>
            </w:r>
          </w:p>
        </w:tc>
        <w:tc>
          <w:tcPr>
            <w:tcW w:type="dxa" w:w="3175"/>
            <w:vAlign w:val="top"/>
            <w:shd w:val="clear" w:color="auto" w:fill="FDF0F7"/>
          </w:tcPr>
          <w:p>
            <w:pPr>
              <w:spacing w:after="20" w:line="252" w:lineRule="auto"/>
            </w:pPr>
            <w:r>
              <w:rPr>
                <w:b w:val="0"/>
                <w:i w:val="0"/>
                <w:sz w:val="16"/>
              </w:rPr>
              <w:t>HTTPS, destination allow-list</w:t>
            </w:r>
          </w:p>
        </w:tc>
      </w:tr>
      <w:tr>
        <w:trPr>
          <w:cantSplit/>
        </w:trPr>
        <w:tc>
          <w:tcPr>
            <w:tcW w:type="dxa" w:w="2381"/>
            <w:vAlign w:val="top"/>
          </w:tcPr>
          <w:p>
            <w:pPr>
              <w:spacing w:after="20" w:line="252" w:lineRule="auto"/>
            </w:pPr>
            <w:r>
              <w:rPr>
                <w:b w:val="0"/>
                <w:i w:val="0"/>
                <w:sz w:val="16"/>
              </w:rPr>
              <w:t>DB primary</w:t>
            </w:r>
          </w:p>
        </w:tc>
        <w:tc>
          <w:tcPr>
            <w:tcW w:type="dxa" w:w="2608"/>
            <w:vAlign w:val="top"/>
          </w:tcPr>
          <w:p>
            <w:pPr>
              <w:spacing w:after="20" w:line="252" w:lineRule="auto"/>
            </w:pPr>
            <w:r>
              <w:rPr>
                <w:b w:val="0"/>
                <w:i w:val="0"/>
                <w:sz w:val="16"/>
              </w:rPr>
              <w:t>DB standby (local and DR)</w:t>
            </w:r>
          </w:p>
        </w:tc>
        <w:tc>
          <w:tcPr>
            <w:tcW w:type="dxa" w:w="1474"/>
            <w:vAlign w:val="top"/>
          </w:tcPr>
          <w:p>
            <w:pPr>
              <w:spacing w:after="20" w:line="252" w:lineRule="auto"/>
            </w:pPr>
            <w:r>
              <w:rPr>
                <w:b w:val="0"/>
                <w:i w:val="0"/>
                <w:sz w:val="16"/>
              </w:rPr>
              <w:t>5432/tcp</w:t>
            </w:r>
          </w:p>
        </w:tc>
        <w:tc>
          <w:tcPr>
            <w:tcW w:type="dxa" w:w="3175"/>
            <w:vAlign w:val="top"/>
          </w:tcPr>
          <w:p>
            <w:pPr>
              <w:spacing w:after="20" w:line="252" w:lineRule="auto"/>
            </w:pPr>
            <w:r>
              <w:rPr>
                <w:b w:val="0"/>
                <w:i w:val="0"/>
                <w:sz w:val="16"/>
              </w:rPr>
              <w:t>Streaming replication, TLS</w:t>
            </w:r>
          </w:p>
        </w:tc>
      </w:tr>
      <w:tr>
        <w:trPr>
          <w:cantSplit/>
        </w:trPr>
        <w:tc>
          <w:tcPr>
            <w:tcW w:type="dxa" w:w="2381"/>
            <w:vAlign w:val="top"/>
            <w:shd w:val="clear" w:color="auto" w:fill="FDF0F7"/>
          </w:tcPr>
          <w:p>
            <w:pPr>
              <w:spacing w:after="20" w:line="252" w:lineRule="auto"/>
            </w:pPr>
            <w:r>
              <w:rPr>
                <w:b w:val="0"/>
                <w:i w:val="0"/>
                <w:sz w:val="16"/>
              </w:rPr>
              <w:t>DB VMs</w:t>
            </w:r>
          </w:p>
        </w:tc>
        <w:tc>
          <w:tcPr>
            <w:tcW w:type="dxa" w:w="2608"/>
            <w:vAlign w:val="top"/>
            <w:shd w:val="clear" w:color="auto" w:fill="FDF0F7"/>
          </w:tcPr>
          <w:p>
            <w:pPr>
              <w:spacing w:after="20" w:line="252" w:lineRule="auto"/>
            </w:pPr>
            <w:r>
              <w:rPr>
                <w:b w:val="0"/>
                <w:i w:val="0"/>
                <w:sz w:val="16"/>
              </w:rPr>
              <w:t>Backup repository</w:t>
            </w:r>
          </w:p>
        </w:tc>
        <w:tc>
          <w:tcPr>
            <w:tcW w:type="dxa" w:w="1474"/>
            <w:vAlign w:val="top"/>
            <w:shd w:val="clear" w:color="auto" w:fill="FDF0F7"/>
          </w:tcPr>
          <w:p>
            <w:pPr>
              <w:spacing w:after="20" w:line="252" w:lineRule="auto"/>
            </w:pPr>
            <w:r>
              <w:rPr>
                <w:b w:val="0"/>
                <w:i w:val="0"/>
                <w:sz w:val="16"/>
              </w:rPr>
              <w:t>22/tcp</w:t>
            </w:r>
          </w:p>
        </w:tc>
        <w:tc>
          <w:tcPr>
            <w:tcW w:type="dxa" w:w="3175"/>
            <w:vAlign w:val="top"/>
            <w:shd w:val="clear" w:color="auto" w:fill="FDF0F7"/>
          </w:tcPr>
          <w:p>
            <w:pPr>
              <w:spacing w:after="20" w:line="252" w:lineRule="auto"/>
            </w:pPr>
            <w:r>
              <w:rPr>
                <w:b w:val="0"/>
                <w:i w:val="0"/>
                <w:sz w:val="16"/>
              </w:rPr>
              <w:t>pgBackRest over SSH</w:t>
            </w:r>
          </w:p>
        </w:tc>
      </w:tr>
      <w:tr>
        <w:trPr>
          <w:cantSplit/>
        </w:trPr>
        <w:tc>
          <w:tcPr>
            <w:tcW w:type="dxa" w:w="2381"/>
            <w:vAlign w:val="top"/>
          </w:tcPr>
          <w:p>
            <w:pPr>
              <w:spacing w:after="20" w:line="252" w:lineRule="auto"/>
            </w:pPr>
            <w:r>
              <w:rPr>
                <w:b w:val="0"/>
                <w:i w:val="0"/>
                <w:sz w:val="16"/>
              </w:rPr>
              <w:t>Primary site</w:t>
            </w:r>
          </w:p>
        </w:tc>
        <w:tc>
          <w:tcPr>
            <w:tcW w:type="dxa" w:w="2608"/>
            <w:vAlign w:val="top"/>
          </w:tcPr>
          <w:p>
            <w:pPr>
              <w:spacing w:after="20" w:line="252" w:lineRule="auto"/>
            </w:pPr>
            <w:r>
              <w:rPr>
                <w:b w:val="0"/>
                <w:i w:val="0"/>
                <w:sz w:val="16"/>
              </w:rPr>
              <w:t>DR site</w:t>
            </w:r>
          </w:p>
        </w:tc>
        <w:tc>
          <w:tcPr>
            <w:tcW w:type="dxa" w:w="1474"/>
            <w:vAlign w:val="top"/>
          </w:tcPr>
          <w:p>
            <w:pPr>
              <w:spacing w:after="20" w:line="252" w:lineRule="auto"/>
            </w:pPr>
            <w:r>
              <w:rPr>
                <w:b w:val="0"/>
                <w:i w:val="0"/>
                <w:sz w:val="16"/>
              </w:rPr>
              <w:t>22/tcp</w:t>
            </w:r>
          </w:p>
        </w:tc>
        <w:tc>
          <w:tcPr>
            <w:tcW w:type="dxa" w:w="3175"/>
            <w:vAlign w:val="top"/>
          </w:tcPr>
          <w:p>
            <w:pPr>
              <w:spacing w:after="20" w:line="252" w:lineRule="auto"/>
            </w:pPr>
            <w:r>
              <w:rPr>
                <w:b w:val="0"/>
                <w:i w:val="0"/>
                <w:sz w:val="16"/>
              </w:rPr>
              <w:t>Document rsync, backup copy</w:t>
            </w:r>
          </w:p>
        </w:tc>
      </w:tr>
      <w:tr>
        <w:trPr>
          <w:cantSplit/>
        </w:trPr>
        <w:tc>
          <w:tcPr>
            <w:tcW w:type="dxa" w:w="2381"/>
            <w:vAlign w:val="top"/>
            <w:shd w:val="clear" w:color="auto" w:fill="FDF0F7"/>
          </w:tcPr>
          <w:p>
            <w:pPr>
              <w:spacing w:after="20" w:line="252" w:lineRule="auto"/>
            </w:pPr>
            <w:r>
              <w:rPr>
                <w:b w:val="0"/>
                <w:i w:val="0"/>
                <w:sz w:val="16"/>
              </w:rPr>
              <w:t>Monitoring</w:t>
            </w:r>
          </w:p>
        </w:tc>
        <w:tc>
          <w:tcPr>
            <w:tcW w:type="dxa" w:w="2608"/>
            <w:vAlign w:val="top"/>
            <w:shd w:val="clear" w:color="auto" w:fill="FDF0F7"/>
          </w:tcPr>
          <w:p>
            <w:pPr>
              <w:spacing w:after="20" w:line="252" w:lineRule="auto"/>
            </w:pPr>
            <w:r>
              <w:rPr>
                <w:b w:val="0"/>
                <w:i w:val="0"/>
                <w:sz w:val="16"/>
              </w:rPr>
              <w:t>All VMs</w:t>
            </w:r>
          </w:p>
        </w:tc>
        <w:tc>
          <w:tcPr>
            <w:tcW w:type="dxa" w:w="1474"/>
            <w:vAlign w:val="top"/>
            <w:shd w:val="clear" w:color="auto" w:fill="FDF0F7"/>
          </w:tcPr>
          <w:p>
            <w:pPr>
              <w:spacing w:after="20" w:line="252" w:lineRule="auto"/>
            </w:pPr>
            <w:r>
              <w:rPr>
                <w:b w:val="0"/>
                <w:i w:val="0"/>
                <w:sz w:val="16"/>
              </w:rPr>
              <w:t>9100/tcp, 9187/tcp</w:t>
            </w:r>
          </w:p>
        </w:tc>
        <w:tc>
          <w:tcPr>
            <w:tcW w:type="dxa" w:w="3175"/>
            <w:vAlign w:val="top"/>
            <w:shd w:val="clear" w:color="auto" w:fill="FDF0F7"/>
          </w:tcPr>
          <w:p>
            <w:pPr>
              <w:spacing w:after="20" w:line="252" w:lineRule="auto"/>
            </w:pPr>
            <w:r>
              <w:rPr>
                <w:b w:val="0"/>
                <w:i w:val="0"/>
                <w:sz w:val="16"/>
              </w:rPr>
              <w:t>node_exporter and postgres_exporter</w:t>
            </w:r>
          </w:p>
        </w:tc>
      </w:tr>
      <w:tr>
        <w:trPr>
          <w:cantSplit/>
        </w:trPr>
        <w:tc>
          <w:tcPr>
            <w:tcW w:type="dxa" w:w="2381"/>
            <w:vAlign w:val="top"/>
          </w:tcPr>
          <w:p>
            <w:pPr>
              <w:spacing w:after="20" w:line="252" w:lineRule="auto"/>
            </w:pPr>
            <w:r>
              <w:rPr>
                <w:b w:val="0"/>
                <w:i w:val="0"/>
                <w:sz w:val="16"/>
              </w:rPr>
              <w:t>Administrators (bastion)</w:t>
            </w:r>
          </w:p>
        </w:tc>
        <w:tc>
          <w:tcPr>
            <w:tcW w:type="dxa" w:w="2608"/>
            <w:vAlign w:val="top"/>
          </w:tcPr>
          <w:p>
            <w:pPr>
              <w:spacing w:after="20" w:line="252" w:lineRule="auto"/>
            </w:pPr>
            <w:r>
              <w:rPr>
                <w:b w:val="0"/>
                <w:i w:val="0"/>
                <w:sz w:val="16"/>
              </w:rPr>
              <w:t>All VMs</w:t>
            </w:r>
          </w:p>
        </w:tc>
        <w:tc>
          <w:tcPr>
            <w:tcW w:type="dxa" w:w="1474"/>
            <w:vAlign w:val="top"/>
          </w:tcPr>
          <w:p>
            <w:pPr>
              <w:spacing w:after="20" w:line="252" w:lineRule="auto"/>
            </w:pPr>
            <w:r>
              <w:rPr>
                <w:b w:val="0"/>
                <w:i w:val="0"/>
                <w:sz w:val="16"/>
              </w:rPr>
              <w:t>22/tcp</w:t>
            </w:r>
          </w:p>
        </w:tc>
        <w:tc>
          <w:tcPr>
            <w:tcW w:type="dxa" w:w="3175"/>
            <w:vAlign w:val="top"/>
          </w:tcPr>
          <w:p>
            <w:pPr>
              <w:spacing w:after="20" w:line="252" w:lineRule="auto"/>
            </w:pPr>
            <w:r>
              <w:rPr>
                <w:b w:val="0"/>
                <w:i w:val="0"/>
                <w:sz w:val="16"/>
              </w:rPr>
              <w:t>SSH with keys, from the bastion only</w:t>
            </w:r>
          </w:p>
        </w:tc>
      </w:tr>
      <w:tr>
        <w:trPr>
          <w:cantSplit/>
        </w:trPr>
        <w:tc>
          <w:tcPr>
            <w:tcW w:type="dxa" w:w="2381"/>
            <w:vAlign w:val="top"/>
            <w:shd w:val="clear" w:color="auto" w:fill="FDF0F7"/>
          </w:tcPr>
          <w:p>
            <w:pPr>
              <w:spacing w:after="20" w:line="252" w:lineRule="auto"/>
            </w:pPr>
            <w:r>
              <w:rPr>
                <w:b w:val="0"/>
                <w:i w:val="0"/>
                <w:sz w:val="16"/>
              </w:rPr>
              <w:t>All VMs</w:t>
            </w:r>
          </w:p>
        </w:tc>
        <w:tc>
          <w:tcPr>
            <w:tcW w:type="dxa" w:w="2608"/>
            <w:vAlign w:val="top"/>
            <w:shd w:val="clear" w:color="auto" w:fill="FDF0F7"/>
          </w:tcPr>
          <w:p>
            <w:pPr>
              <w:spacing w:after="20" w:line="252" w:lineRule="auto"/>
            </w:pPr>
            <w:r>
              <w:rPr>
                <w:b w:val="0"/>
                <w:i w:val="0"/>
                <w:sz w:val="16"/>
              </w:rPr>
              <w:t>IITH NTP and DNS</w:t>
            </w:r>
          </w:p>
        </w:tc>
        <w:tc>
          <w:tcPr>
            <w:tcW w:type="dxa" w:w="1474"/>
            <w:vAlign w:val="top"/>
            <w:shd w:val="clear" w:color="auto" w:fill="FDF0F7"/>
          </w:tcPr>
          <w:p>
            <w:pPr>
              <w:spacing w:after="20" w:line="252" w:lineRule="auto"/>
            </w:pPr>
            <w:r>
              <w:rPr>
                <w:b w:val="0"/>
                <w:i w:val="0"/>
                <w:sz w:val="16"/>
              </w:rPr>
              <w:t>123/udp, 53</w:t>
            </w:r>
          </w:p>
        </w:tc>
        <w:tc>
          <w:tcPr>
            <w:tcW w:type="dxa" w:w="3175"/>
            <w:vAlign w:val="top"/>
            <w:shd w:val="clear" w:color="auto" w:fill="FDF0F7"/>
          </w:tcPr>
          <w:p>
            <w:pPr>
              <w:spacing w:after="20" w:line="252" w:lineRule="auto"/>
            </w:pPr>
            <w:r>
              <w:rPr>
                <w:b w:val="0"/>
                <w:i w:val="0"/>
                <w:sz w:val="16"/>
              </w:rPr>
              <w:t>Time and name resolution</w:t>
            </w:r>
          </w:p>
        </w:tc>
      </w:tr>
    </w:tbl>
    <w:p>
      <w:pPr>
        <w:pStyle w:val="Caption"/>
        <w:jc w:val="center"/>
      </w:pPr>
      <w:r>
        <w:rPr>
          <w:b w:val="0"/>
          <w:i w:val="0"/>
        </w:rPr>
        <w:t>Table 34: Firewall matrix (Option A)</w:t>
      </w:r>
    </w:p>
    <w:p>
      <w:pPr>
        <w:pStyle w:val="Heading1"/>
        <w:pageBreakBefore/>
        <w:pBdr>
          <w:bottom w:val="single" w:sz="12" w:space="4" w:color="F58220"/>
        </w:pBdr>
      </w:pPr>
      <w:r>
        <w:t>11. Non-functional Design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948"/>
        <w:gridCol w:w="4649"/>
      </w:tblGrid>
      <w:tr>
        <w:trPr>
          <w:cantSplit/>
          <w:tblHeader/>
        </w:trPr>
        <w:tc>
          <w:tcPr>
            <w:tcW w:type="dxa" w:w="2041"/>
            <w:shd w:val="clear" w:color="auto" w:fill="E1058C"/>
            <w:vAlign w:val="center"/>
          </w:tcPr>
          <w:p>
            <w:pPr>
              <w:spacing w:after="0"/>
            </w:pPr>
            <w:r>
              <w:rPr>
                <w:b/>
                <w:i w:val="0"/>
                <w:color w:val="FFFFFF"/>
                <w:sz w:val="16"/>
              </w:rPr>
              <w:t>Area</w:t>
            </w:r>
          </w:p>
        </w:tc>
        <w:tc>
          <w:tcPr>
            <w:tcW w:type="dxa" w:w="2948"/>
            <w:shd w:val="clear" w:color="auto" w:fill="E1058C"/>
            <w:vAlign w:val="center"/>
          </w:tcPr>
          <w:p>
            <w:pPr>
              <w:spacing w:after="0"/>
            </w:pPr>
            <w:r>
              <w:rPr>
                <w:b/>
                <w:i w:val="0"/>
                <w:color w:val="FFFFFF"/>
                <w:sz w:val="16"/>
              </w:rPr>
              <w:t>Target</w:t>
            </w:r>
          </w:p>
        </w:tc>
        <w:tc>
          <w:tcPr>
            <w:tcW w:type="dxa" w:w="4649"/>
            <w:shd w:val="clear" w:color="auto" w:fill="E1058C"/>
            <w:vAlign w:val="center"/>
          </w:tcPr>
          <w:p>
            <w:pPr>
              <w:spacing w:after="0"/>
            </w:pPr>
            <w:r>
              <w:rPr>
                <w:b/>
                <w:i w:val="0"/>
                <w:color w:val="FFFFFF"/>
                <w:sz w:val="16"/>
              </w:rPr>
              <w:t>Design measures</w:t>
            </w:r>
          </w:p>
        </w:tc>
      </w:tr>
      <w:tr>
        <w:trPr>
          <w:cantSplit/>
        </w:trPr>
        <w:tc>
          <w:tcPr>
            <w:tcW w:type="dxa" w:w="2041"/>
            <w:vAlign w:val="top"/>
          </w:tcPr>
          <w:p>
            <w:pPr>
              <w:spacing w:after="20" w:line="252" w:lineRule="auto"/>
            </w:pPr>
            <w:r>
              <w:rPr>
                <w:b/>
                <w:i w:val="0"/>
                <w:sz w:val="16"/>
              </w:rPr>
              <w:t>Performance (NFR-01)</w:t>
            </w:r>
          </w:p>
        </w:tc>
        <w:tc>
          <w:tcPr>
            <w:tcW w:type="dxa" w:w="2948"/>
            <w:vAlign w:val="top"/>
          </w:tcPr>
          <w:p>
            <w:pPr>
              <w:spacing w:after="20" w:line="252" w:lineRule="auto"/>
            </w:pPr>
            <w:r>
              <w:rPr>
                <w:b w:val="0"/>
                <w:i w:val="0"/>
                <w:sz w:val="16"/>
              </w:rPr>
              <w:t>Page load under 3 s; API p95 under 1 s; reports on 12 months of data under 10 s</w:t>
            </w:r>
          </w:p>
        </w:tc>
        <w:tc>
          <w:tcPr>
            <w:tcW w:type="dxa" w:w="4649"/>
            <w:vAlign w:val="top"/>
          </w:tcPr>
          <w:p>
            <w:pPr>
              <w:spacing w:after="20" w:line="252" w:lineRule="auto"/>
            </w:pPr>
            <w:r>
              <w:rPr>
                <w:b w:val="0"/>
                <w:i w:val="0"/>
                <w:sz w:val="16"/>
              </w:rPr>
              <w:t>Indexed list queries with pagination (max 100 rows); lazy-loaded pages and split bundles; gzip and long caching of hashed assets; exports capped and streamed to file</w:t>
            </w:r>
          </w:p>
        </w:tc>
      </w:tr>
      <w:tr>
        <w:trPr>
          <w:cantSplit/>
        </w:trPr>
        <w:tc>
          <w:tcPr>
            <w:tcW w:type="dxa" w:w="2041"/>
            <w:vAlign w:val="top"/>
            <w:shd w:val="clear" w:color="auto" w:fill="FDF0F7"/>
          </w:tcPr>
          <w:p>
            <w:pPr>
              <w:spacing w:after="20" w:line="252" w:lineRule="auto"/>
            </w:pPr>
            <w:r>
              <w:rPr>
                <w:b/>
                <w:i w:val="0"/>
                <w:sz w:val="16"/>
              </w:rPr>
              <w:t>Capacity (NFR-02, 03)</w:t>
            </w:r>
          </w:p>
        </w:tc>
        <w:tc>
          <w:tcPr>
            <w:tcW w:type="dxa" w:w="2948"/>
            <w:vAlign w:val="top"/>
            <w:shd w:val="clear" w:color="auto" w:fill="FDF0F7"/>
          </w:tcPr>
          <w:p>
            <w:pPr>
              <w:spacing w:after="20" w:line="252" w:lineRule="auto"/>
            </w:pPr>
            <w:r>
              <w:rPr>
                <w:b w:val="0"/>
                <w:i w:val="0"/>
                <w:sz w:val="16"/>
              </w:rPr>
              <w:t>100 concurrent, 500 named users; 10× Appendix 2 volume</w:t>
            </w:r>
          </w:p>
        </w:tc>
        <w:tc>
          <w:tcPr>
            <w:tcW w:type="dxa" w:w="4649"/>
            <w:vAlign w:val="top"/>
            <w:shd w:val="clear" w:color="auto" w:fill="FDF0F7"/>
          </w:tcPr>
          <w:p>
            <w:pPr>
              <w:spacing w:after="20" w:line="252" w:lineRule="auto"/>
            </w:pPr>
            <w:r>
              <w:rPr>
                <w:b w:val="0"/>
                <w:i w:val="0"/>
                <w:sz w:val="16"/>
              </w:rPr>
              <w:t>Stateless API instances; connection pools of 10 per instance plus 5 for sessions</w:t>
            </w:r>
          </w:p>
        </w:tc>
      </w:tr>
      <w:tr>
        <w:trPr>
          <w:cantSplit/>
        </w:trPr>
        <w:tc>
          <w:tcPr>
            <w:tcW w:type="dxa" w:w="2041"/>
            <w:vAlign w:val="top"/>
          </w:tcPr>
          <w:p>
            <w:pPr>
              <w:spacing w:after="20" w:line="252" w:lineRule="auto"/>
            </w:pPr>
            <w:r>
              <w:rPr>
                <w:b/>
                <w:i w:val="0"/>
                <w:sz w:val="16"/>
              </w:rPr>
              <w:t>Scalability (NFR-06, 07)</w:t>
            </w:r>
          </w:p>
        </w:tc>
        <w:tc>
          <w:tcPr>
            <w:tcW w:type="dxa" w:w="2948"/>
            <w:vAlign w:val="top"/>
          </w:tcPr>
          <w:p>
            <w:pPr>
              <w:spacing w:after="20" w:line="252" w:lineRule="auto"/>
            </w:pPr>
            <w:r>
              <w:rPr>
                <w:b w:val="0"/>
                <w:i w:val="0"/>
                <w:sz w:val="16"/>
              </w:rPr>
              <w:t>Growth without redesign</w:t>
            </w:r>
          </w:p>
        </w:tc>
        <w:tc>
          <w:tcPr>
            <w:tcW w:type="dxa" w:w="4649"/>
            <w:vAlign w:val="top"/>
          </w:tcPr>
          <w:p>
            <w:pPr>
              <w:spacing w:after="20" w:line="252" w:lineRule="auto"/>
            </w:pPr>
            <w:r>
              <w:rPr>
                <w:b w:val="0"/>
                <w:i w:val="0"/>
                <w:sz w:val="16"/>
              </w:rPr>
              <w:t>Add API containers or VMs behind the load balancer; jobs stay single-runner through advisory locks; database vertical scaling</w:t>
            </w:r>
          </w:p>
        </w:tc>
      </w:tr>
      <w:tr>
        <w:trPr>
          <w:cantSplit/>
        </w:trPr>
        <w:tc>
          <w:tcPr>
            <w:tcW w:type="dxa" w:w="2041"/>
            <w:vAlign w:val="top"/>
            <w:shd w:val="clear" w:color="auto" w:fill="FDF0F7"/>
          </w:tcPr>
          <w:p>
            <w:pPr>
              <w:spacing w:after="20" w:line="252" w:lineRule="auto"/>
            </w:pPr>
            <w:r>
              <w:rPr>
                <w:b/>
                <w:i w:val="0"/>
                <w:sz w:val="16"/>
              </w:rPr>
              <w:t>Availability (NFR-04, 05)</w:t>
            </w:r>
          </w:p>
        </w:tc>
        <w:tc>
          <w:tcPr>
            <w:tcW w:type="dxa" w:w="2948"/>
            <w:vAlign w:val="top"/>
            <w:shd w:val="clear" w:color="auto" w:fill="FDF0F7"/>
          </w:tcPr>
          <w:p>
            <w:pPr>
              <w:spacing w:after="20" w:line="252" w:lineRule="auto"/>
            </w:pPr>
            <w:r>
              <w:rPr>
                <w:b w:val="0"/>
                <w:i w:val="0"/>
                <w:sz w:val="16"/>
              </w:rPr>
              <w:t>99.5% monthly; 99.9% in IIFT business hours</w:t>
            </w:r>
          </w:p>
        </w:tc>
        <w:tc>
          <w:tcPr>
            <w:tcW w:type="dxa" w:w="4649"/>
            <w:vAlign w:val="top"/>
            <w:shd w:val="clear" w:color="auto" w:fill="FDF0F7"/>
          </w:tcPr>
          <w:p>
            <w:pPr>
              <w:spacing w:after="20" w:line="252" w:lineRule="auto"/>
            </w:pPr>
            <w:r>
              <w:rPr>
                <w:b w:val="0"/>
                <w:i w:val="0"/>
                <w:sz w:val="16"/>
              </w:rPr>
              <w:t>Two application VMs; hot standby database; health-checked load balancing; rolling deployment</w:t>
            </w:r>
          </w:p>
        </w:tc>
      </w:tr>
      <w:tr>
        <w:trPr>
          <w:cantSplit/>
        </w:trPr>
        <w:tc>
          <w:tcPr>
            <w:tcW w:type="dxa" w:w="2041"/>
            <w:vAlign w:val="top"/>
          </w:tcPr>
          <w:p>
            <w:pPr>
              <w:spacing w:after="20" w:line="252" w:lineRule="auto"/>
            </w:pPr>
            <w:r>
              <w:rPr>
                <w:b/>
                <w:i w:val="0"/>
                <w:sz w:val="16"/>
              </w:rPr>
              <w:t>Integrity (NFR-16)</w:t>
            </w:r>
          </w:p>
        </w:tc>
        <w:tc>
          <w:tcPr>
            <w:tcW w:type="dxa" w:w="2948"/>
            <w:vAlign w:val="top"/>
          </w:tcPr>
          <w:p>
            <w:pPr>
              <w:spacing w:after="20" w:line="252" w:lineRule="auto"/>
            </w:pPr>
            <w:r>
              <w:rPr>
                <w:b w:val="0"/>
                <w:i w:val="0"/>
                <w:sz w:val="16"/>
              </w:rPr>
              <w:t>No partial updates</w:t>
            </w:r>
          </w:p>
        </w:tc>
        <w:tc>
          <w:tcPr>
            <w:tcW w:type="dxa" w:w="4649"/>
            <w:vAlign w:val="top"/>
          </w:tcPr>
          <w:p>
            <w:pPr>
              <w:spacing w:after="20" w:line="252" w:lineRule="auto"/>
            </w:pPr>
            <w:r>
              <w:rPr>
                <w:b w:val="0"/>
                <w:i w:val="0"/>
                <w:sz w:val="16"/>
              </w:rPr>
              <w:t>Single-transaction business operations; outbox; optimistic locking</w:t>
            </w:r>
          </w:p>
        </w:tc>
      </w:tr>
      <w:tr>
        <w:trPr>
          <w:cantSplit/>
        </w:trPr>
        <w:tc>
          <w:tcPr>
            <w:tcW w:type="dxa" w:w="2041"/>
            <w:vAlign w:val="top"/>
            <w:shd w:val="clear" w:color="auto" w:fill="FDF0F7"/>
          </w:tcPr>
          <w:p>
            <w:pPr>
              <w:spacing w:after="20" w:line="252" w:lineRule="auto"/>
            </w:pPr>
            <w:r>
              <w:rPr>
                <w:b/>
                <w:i w:val="0"/>
                <w:sz w:val="16"/>
              </w:rPr>
              <w:t>Recoverability (NFR-17 to 19)</w:t>
            </w:r>
          </w:p>
        </w:tc>
        <w:tc>
          <w:tcPr>
            <w:tcW w:type="dxa" w:w="2948"/>
            <w:vAlign w:val="top"/>
            <w:shd w:val="clear" w:color="auto" w:fill="FDF0F7"/>
          </w:tcPr>
          <w:p>
            <w:pPr>
              <w:spacing w:after="20" w:line="252" w:lineRule="auto"/>
            </w:pPr>
            <w:r>
              <w:rPr>
                <w:b w:val="0"/>
                <w:i w:val="0"/>
                <w:sz w:val="16"/>
              </w:rPr>
              <w:t>RPO 15 minutes; RTO 4 hours</w:t>
            </w:r>
          </w:p>
        </w:tc>
        <w:tc>
          <w:tcPr>
            <w:tcW w:type="dxa" w:w="4649"/>
            <w:vAlign w:val="top"/>
            <w:shd w:val="clear" w:color="auto" w:fill="FDF0F7"/>
          </w:tcPr>
          <w:p>
            <w:pPr>
              <w:spacing w:after="20" w:line="252" w:lineRule="auto"/>
            </w:pPr>
            <w:r>
              <w:rPr>
                <w:b w:val="0"/>
                <w:i w:val="0"/>
                <w:sz w:val="16"/>
              </w:rPr>
              <w:t>Streaming replication, WAL archiving, daily backups, DR site, tested restores</w:t>
            </w:r>
          </w:p>
        </w:tc>
      </w:tr>
      <w:tr>
        <w:trPr>
          <w:cantSplit/>
        </w:trPr>
        <w:tc>
          <w:tcPr>
            <w:tcW w:type="dxa" w:w="2041"/>
            <w:vAlign w:val="top"/>
          </w:tcPr>
          <w:p>
            <w:pPr>
              <w:spacing w:after="20" w:line="252" w:lineRule="auto"/>
            </w:pPr>
            <w:r>
              <w:rPr>
                <w:b/>
                <w:i w:val="0"/>
                <w:sz w:val="16"/>
              </w:rPr>
              <w:t>Usability and accessibility (NFR-22 to 24)</w:t>
            </w:r>
          </w:p>
        </w:tc>
        <w:tc>
          <w:tcPr>
            <w:tcW w:type="dxa" w:w="2948"/>
            <w:vAlign w:val="top"/>
          </w:tcPr>
          <w:p>
            <w:pPr>
              <w:spacing w:after="20" w:line="252" w:lineRule="auto"/>
            </w:pPr>
            <w:r>
              <w:rPr>
                <w:b w:val="0"/>
                <w:i w:val="0"/>
                <w:sz w:val="16"/>
              </w:rPr>
              <w:t>WCAG 2.1 AA; current Chrome, Edge, Firefox, Safari</w:t>
            </w:r>
          </w:p>
        </w:tc>
        <w:tc>
          <w:tcPr>
            <w:tcW w:type="dxa" w:w="4649"/>
            <w:vAlign w:val="top"/>
          </w:tcPr>
          <w:p>
            <w:pPr>
              <w:spacing w:after="20" w:line="252" w:lineRule="auto"/>
            </w:pPr>
            <w:r>
              <w:rPr>
                <w:b w:val="0"/>
                <w:i w:val="0"/>
                <w:sz w:val="16"/>
              </w:rPr>
              <w:t>Ant Design accessible components, keyboard navigation, consistent layouts in both applications</w:t>
            </w:r>
          </w:p>
        </w:tc>
      </w:tr>
      <w:tr>
        <w:trPr>
          <w:cantSplit/>
        </w:trPr>
        <w:tc>
          <w:tcPr>
            <w:tcW w:type="dxa" w:w="2041"/>
            <w:vAlign w:val="top"/>
            <w:shd w:val="clear" w:color="auto" w:fill="FDF0F7"/>
          </w:tcPr>
          <w:p>
            <w:pPr>
              <w:spacing w:after="20" w:line="252" w:lineRule="auto"/>
            </w:pPr>
            <w:r>
              <w:rPr>
                <w:b/>
                <w:i w:val="0"/>
                <w:sz w:val="16"/>
              </w:rPr>
              <w:t>API standards (NFR-25)</w:t>
            </w:r>
          </w:p>
        </w:tc>
        <w:tc>
          <w:tcPr>
            <w:tcW w:type="dxa" w:w="2948"/>
            <w:vAlign w:val="top"/>
            <w:shd w:val="clear" w:color="auto" w:fill="FDF0F7"/>
          </w:tcPr>
          <w:p>
            <w:pPr>
              <w:spacing w:after="20" w:line="252" w:lineRule="auto"/>
            </w:pPr>
            <w:r>
              <w:rPr>
                <w:b w:val="0"/>
                <w:i w:val="0"/>
                <w:sz w:val="16"/>
              </w:rPr>
              <w:t>REST, JSON, OpenAPI 3</w:t>
            </w:r>
          </w:p>
        </w:tc>
        <w:tc>
          <w:tcPr>
            <w:tcW w:type="dxa" w:w="4649"/>
            <w:vAlign w:val="top"/>
            <w:shd w:val="clear" w:color="auto" w:fill="FDF0F7"/>
          </w:tcPr>
          <w:p>
            <w:pPr>
              <w:spacing w:after="20" w:line="252" w:lineRule="auto"/>
            </w:pPr>
            <w:r>
              <w:rPr>
                <w:b w:val="0"/>
                <w:i w:val="0"/>
                <w:sz w:val="16"/>
              </w:rPr>
              <w:t>/api/v1 versioning; ISO 8601 dates; documented error body; OpenAPI description in docs/api</w:t>
            </w:r>
          </w:p>
        </w:tc>
      </w:tr>
      <w:tr>
        <w:trPr>
          <w:cantSplit/>
        </w:trPr>
        <w:tc>
          <w:tcPr>
            <w:tcW w:type="dxa" w:w="2041"/>
            <w:vAlign w:val="top"/>
          </w:tcPr>
          <w:p>
            <w:pPr>
              <w:spacing w:after="20" w:line="252" w:lineRule="auto"/>
            </w:pPr>
            <w:r>
              <w:rPr>
                <w:b/>
                <w:i w:val="0"/>
                <w:sz w:val="16"/>
              </w:rPr>
              <w:t>Maintainability (NFR-20, 21)</w:t>
            </w:r>
          </w:p>
        </w:tc>
        <w:tc>
          <w:tcPr>
            <w:tcW w:type="dxa" w:w="2948"/>
            <w:vAlign w:val="top"/>
          </w:tcPr>
          <w:p>
            <w:pPr>
              <w:spacing w:after="20" w:line="252" w:lineRule="auto"/>
            </w:pPr>
            <w:r>
              <w:rPr>
                <w:b w:val="0"/>
                <w:i w:val="0"/>
                <w:sz w:val="16"/>
              </w:rPr>
              <w:t>Modular, documented, tested</w:t>
            </w:r>
          </w:p>
        </w:tc>
        <w:tc>
          <w:tcPr>
            <w:tcW w:type="dxa" w:w="4649"/>
            <w:vAlign w:val="top"/>
          </w:tcPr>
          <w:p>
            <w:pPr>
              <w:spacing w:after="20" w:line="252" w:lineRule="auto"/>
            </w:pPr>
            <w:r>
              <w:rPr>
                <w:b w:val="0"/>
                <w:i w:val="0"/>
                <w:sz w:val="16"/>
              </w:rPr>
              <w:t>11 unit test files (54 cases) and 4 end-to-end suites (29 cases) run in CI; lint, format and type checks</w:t>
            </w:r>
          </w:p>
        </w:tc>
      </w:tr>
    </w:tbl>
    <w:p>
      <w:pPr>
        <w:pStyle w:val="Caption"/>
        <w:jc w:val="center"/>
      </w:pPr>
      <w:r>
        <w:rPr>
          <w:b w:val="0"/>
          <w:i w:val="0"/>
        </w:rPr>
        <w:t>Table 35: Non-functional targets and design</w:t>
      </w:r>
    </w:p>
    <w:p>
      <w:pPr>
        <w:pStyle w:val="Heading2"/>
      </w:pPr>
      <w:r>
        <w:t>11.1 Monitoring and health</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4309"/>
        <w:gridCol w:w="3175"/>
      </w:tblGrid>
      <w:tr>
        <w:trPr>
          <w:cantSplit/>
          <w:tblHeader/>
        </w:trPr>
        <w:tc>
          <w:tcPr>
            <w:tcW w:type="dxa" w:w="2154"/>
            <w:shd w:val="clear" w:color="auto" w:fill="E1058C"/>
            <w:vAlign w:val="center"/>
          </w:tcPr>
          <w:p>
            <w:pPr>
              <w:spacing w:after="0"/>
            </w:pPr>
            <w:r>
              <w:rPr>
                <w:b/>
                <w:i w:val="0"/>
                <w:color w:val="FFFFFF"/>
                <w:sz w:val="16"/>
              </w:rPr>
              <w:t>Endpoint or signal</w:t>
            </w:r>
          </w:p>
        </w:tc>
        <w:tc>
          <w:tcPr>
            <w:tcW w:type="dxa" w:w="4309"/>
            <w:shd w:val="clear" w:color="auto" w:fill="E1058C"/>
            <w:vAlign w:val="center"/>
          </w:tcPr>
          <w:p>
            <w:pPr>
              <w:spacing w:after="0"/>
            </w:pPr>
            <w:r>
              <w:rPr>
                <w:b/>
                <w:i w:val="0"/>
                <w:color w:val="FFFFFF"/>
                <w:sz w:val="16"/>
              </w:rPr>
              <w:t>Content</w:t>
            </w:r>
          </w:p>
        </w:tc>
        <w:tc>
          <w:tcPr>
            <w:tcW w:type="dxa" w:w="3175"/>
            <w:shd w:val="clear" w:color="auto" w:fill="E1058C"/>
            <w:vAlign w:val="center"/>
          </w:tcPr>
          <w:p>
            <w:pPr>
              <w:spacing w:after="0"/>
            </w:pPr>
            <w:r>
              <w:rPr>
                <w:b/>
                <w:i w:val="0"/>
                <w:color w:val="FFFFFF"/>
                <w:sz w:val="16"/>
              </w:rPr>
              <w:t>Use</w:t>
            </w:r>
          </w:p>
        </w:tc>
      </w:tr>
      <w:tr>
        <w:trPr>
          <w:cantSplit/>
        </w:trPr>
        <w:tc>
          <w:tcPr>
            <w:tcW w:type="dxa" w:w="2154"/>
            <w:vAlign w:val="top"/>
          </w:tcPr>
          <w:p>
            <w:pPr>
              <w:spacing w:after="20" w:line="252" w:lineRule="auto"/>
            </w:pPr>
            <w:r>
              <w:rPr>
                <w:b w:val="0"/>
                <w:i w:val="0"/>
                <w:sz w:val="16"/>
              </w:rPr>
              <w:t>GET /health/live</w:t>
            </w:r>
          </w:p>
        </w:tc>
        <w:tc>
          <w:tcPr>
            <w:tcW w:type="dxa" w:w="4309"/>
            <w:vAlign w:val="top"/>
          </w:tcPr>
          <w:p>
            <w:pPr>
              <w:spacing w:after="20" w:line="252" w:lineRule="auto"/>
            </w:pPr>
            <w:r>
              <w:rPr>
                <w:b w:val="0"/>
                <w:i w:val="0"/>
                <w:sz w:val="16"/>
              </w:rPr>
              <w:t>{status: ok} while the process runs</w:t>
            </w:r>
          </w:p>
        </w:tc>
        <w:tc>
          <w:tcPr>
            <w:tcW w:type="dxa" w:w="3175"/>
            <w:vAlign w:val="top"/>
          </w:tcPr>
          <w:p>
            <w:pPr>
              <w:spacing w:after="20" w:line="252" w:lineRule="auto"/>
            </w:pPr>
            <w:r>
              <w:rPr>
                <w:b w:val="0"/>
                <w:i w:val="0"/>
                <w:sz w:val="16"/>
              </w:rPr>
              <w:t>Container and load-balancer liveness</w:t>
            </w:r>
          </w:p>
        </w:tc>
      </w:tr>
      <w:tr>
        <w:trPr>
          <w:cantSplit/>
        </w:trPr>
        <w:tc>
          <w:tcPr>
            <w:tcW w:type="dxa" w:w="2154"/>
            <w:vAlign w:val="top"/>
            <w:shd w:val="clear" w:color="auto" w:fill="FDF0F7"/>
          </w:tcPr>
          <w:p>
            <w:pPr>
              <w:spacing w:after="20" w:line="252" w:lineRule="auto"/>
            </w:pPr>
            <w:r>
              <w:rPr>
                <w:b w:val="0"/>
                <w:i w:val="0"/>
                <w:sz w:val="16"/>
              </w:rPr>
              <w:t>GET /health/ready</w:t>
            </w:r>
          </w:p>
        </w:tc>
        <w:tc>
          <w:tcPr>
            <w:tcW w:type="dxa" w:w="4309"/>
            <w:vAlign w:val="top"/>
            <w:shd w:val="clear" w:color="auto" w:fill="FDF0F7"/>
          </w:tcPr>
          <w:p>
            <w:pPr>
              <w:spacing w:after="20" w:line="252" w:lineRule="auto"/>
            </w:pPr>
            <w:r>
              <w:rPr>
                <w:b w:val="0"/>
                <w:i w:val="0"/>
                <w:sz w:val="16"/>
              </w:rPr>
              <w:t>Runs SELECT 1; 503 NOT_READY if the database is unavailable</w:t>
            </w:r>
          </w:p>
        </w:tc>
        <w:tc>
          <w:tcPr>
            <w:tcW w:type="dxa" w:w="3175"/>
            <w:vAlign w:val="top"/>
            <w:shd w:val="clear" w:color="auto" w:fill="FDF0F7"/>
          </w:tcPr>
          <w:p>
            <w:pPr>
              <w:spacing w:after="20" w:line="252" w:lineRule="auto"/>
            </w:pPr>
            <w:r>
              <w:rPr>
                <w:b w:val="0"/>
                <w:i w:val="0"/>
                <w:sz w:val="16"/>
              </w:rPr>
              <w:t>Load-balancer readiness; Docker HEALTHCHECK</w:t>
            </w:r>
          </w:p>
        </w:tc>
      </w:tr>
      <w:tr>
        <w:trPr>
          <w:cantSplit/>
        </w:trPr>
        <w:tc>
          <w:tcPr>
            <w:tcW w:type="dxa" w:w="2154"/>
            <w:vAlign w:val="top"/>
          </w:tcPr>
          <w:p>
            <w:pPr>
              <w:spacing w:after="20" w:line="252" w:lineRule="auto"/>
            </w:pPr>
            <w:r>
              <w:rPr>
                <w:b w:val="0"/>
                <w:i w:val="0"/>
                <w:sz w:val="16"/>
              </w:rPr>
              <w:t>GET /metrics</w:t>
            </w:r>
          </w:p>
        </w:tc>
        <w:tc>
          <w:tcPr>
            <w:tcW w:type="dxa" w:w="4309"/>
            <w:vAlign w:val="top"/>
          </w:tcPr>
          <w:p>
            <w:pPr>
              <w:spacing w:after="20" w:line="252" w:lineRule="auto"/>
            </w:pPr>
            <w:r>
              <w:rPr>
                <w:b w:val="0"/>
                <w:i w:val="0"/>
                <w:sz w:val="16"/>
              </w:rPr>
              <w:t>Prometheus default process metrics prefixed iift_api_ (CPU, memory, heap, event-loop lag, GC); bearer METRICS_TOKEN</w:t>
            </w:r>
          </w:p>
        </w:tc>
        <w:tc>
          <w:tcPr>
            <w:tcW w:type="dxa" w:w="3175"/>
            <w:vAlign w:val="top"/>
          </w:tcPr>
          <w:p>
            <w:pPr>
              <w:spacing w:after="20" w:line="252" w:lineRule="auto"/>
            </w:pPr>
            <w:r>
              <w:rPr>
                <w:b w:val="0"/>
                <w:i w:val="0"/>
                <w:sz w:val="16"/>
              </w:rPr>
              <w:t>Prometheus scrape every 30 s</w:t>
            </w:r>
          </w:p>
        </w:tc>
      </w:tr>
      <w:tr>
        <w:trPr>
          <w:cantSplit/>
        </w:trPr>
        <w:tc>
          <w:tcPr>
            <w:tcW w:type="dxa" w:w="2154"/>
            <w:vAlign w:val="top"/>
            <w:shd w:val="clear" w:color="auto" w:fill="FDF0F7"/>
          </w:tcPr>
          <w:p>
            <w:pPr>
              <w:spacing w:after="20" w:line="252" w:lineRule="auto"/>
            </w:pPr>
            <w:r>
              <w:rPr>
                <w:b w:val="0"/>
                <w:i w:val="0"/>
                <w:sz w:val="16"/>
              </w:rPr>
              <w:t>Integration monitor</w:t>
            </w:r>
          </w:p>
        </w:tc>
        <w:tc>
          <w:tcPr>
            <w:tcW w:type="dxa" w:w="4309"/>
            <w:vAlign w:val="top"/>
            <w:shd w:val="clear" w:color="auto" w:fill="FDF0F7"/>
          </w:tcPr>
          <w:p>
            <w:pPr>
              <w:spacing w:after="20" w:line="252" w:lineRule="auto"/>
            </w:pPr>
            <w:r>
              <w:rPr>
                <w:b w:val="0"/>
                <w:i w:val="0"/>
                <w:sz w:val="16"/>
              </w:rPr>
              <w:t>Per-system success rate, average time, pending, retrying and dead-letter counts for 24 hours</w:t>
            </w:r>
          </w:p>
        </w:tc>
        <w:tc>
          <w:tcPr>
            <w:tcW w:type="dxa" w:w="3175"/>
            <w:vAlign w:val="top"/>
            <w:shd w:val="clear" w:color="auto" w:fill="FDF0F7"/>
          </w:tcPr>
          <w:p>
            <w:pPr>
              <w:spacing w:after="20" w:line="252" w:lineRule="auto"/>
            </w:pPr>
            <w:r>
              <w:rPr>
                <w:b w:val="0"/>
                <w:i w:val="0"/>
                <w:sz w:val="16"/>
              </w:rPr>
              <w:t>Back-office screen and API for support</w:t>
            </w:r>
          </w:p>
        </w:tc>
      </w:tr>
      <w:tr>
        <w:trPr>
          <w:cantSplit/>
        </w:trPr>
        <w:tc>
          <w:tcPr>
            <w:tcW w:type="dxa" w:w="2154"/>
            <w:vAlign w:val="top"/>
          </w:tcPr>
          <w:p>
            <w:pPr>
              <w:spacing w:after="20" w:line="252" w:lineRule="auto"/>
            </w:pPr>
            <w:r>
              <w:rPr>
                <w:b w:val="0"/>
                <w:i w:val="0"/>
                <w:sz w:val="16"/>
              </w:rPr>
              <w:t>EOD history</w:t>
            </w:r>
          </w:p>
        </w:tc>
        <w:tc>
          <w:tcPr>
            <w:tcW w:type="dxa" w:w="4309"/>
            <w:vAlign w:val="top"/>
          </w:tcPr>
          <w:p>
            <w:pPr>
              <w:spacing w:after="20" w:line="252" w:lineRule="auto"/>
            </w:pPr>
            <w:r>
              <w:rPr>
                <w:b w:val="0"/>
                <w:i w:val="0"/>
                <w:sz w:val="16"/>
              </w:rPr>
              <w:t>Status, totals and files per business date</w:t>
            </w:r>
          </w:p>
        </w:tc>
        <w:tc>
          <w:tcPr>
            <w:tcW w:type="dxa" w:w="3175"/>
            <w:vAlign w:val="top"/>
          </w:tcPr>
          <w:p>
            <w:pPr>
              <w:spacing w:after="20" w:line="252" w:lineRule="auto"/>
            </w:pPr>
            <w:r>
              <w:rPr>
                <w:b w:val="0"/>
                <w:i w:val="0"/>
                <w:sz w:val="16"/>
              </w:rPr>
              <w:t>Finance and support</w:t>
            </w:r>
          </w:p>
        </w:tc>
      </w:tr>
      <w:tr>
        <w:trPr>
          <w:cantSplit/>
        </w:trPr>
        <w:tc>
          <w:tcPr>
            <w:tcW w:type="dxa" w:w="2154"/>
            <w:vAlign w:val="top"/>
            <w:shd w:val="clear" w:color="auto" w:fill="FDF0F7"/>
          </w:tcPr>
          <w:p>
            <w:pPr>
              <w:spacing w:after="20" w:line="252" w:lineRule="auto"/>
            </w:pPr>
            <w:r>
              <w:rPr>
                <w:b w:val="0"/>
                <w:i w:val="0"/>
                <w:sz w:val="16"/>
              </w:rPr>
              <w:t>Application e-mails</w:t>
            </w:r>
          </w:p>
        </w:tc>
        <w:tc>
          <w:tcPr>
            <w:tcW w:type="dxa" w:w="4309"/>
            <w:vAlign w:val="top"/>
            <w:shd w:val="clear" w:color="auto" w:fill="FDF0F7"/>
          </w:tcPr>
          <w:p>
            <w:pPr>
              <w:spacing w:after="20" w:line="252" w:lineRule="auto"/>
            </w:pPr>
            <w:r>
              <w:rPr>
                <w:b w:val="0"/>
                <w:i w:val="0"/>
                <w:sz w:val="16"/>
              </w:rPr>
              <w:t>Dead-letter alerts, AML review, SLA breaches, agency blocks</w:t>
            </w:r>
          </w:p>
        </w:tc>
        <w:tc>
          <w:tcPr>
            <w:tcW w:type="dxa" w:w="3175"/>
            <w:vAlign w:val="top"/>
            <w:shd w:val="clear" w:color="auto" w:fill="FDF0F7"/>
          </w:tcPr>
          <w:p>
            <w:pPr>
              <w:spacing w:after="20" w:line="252" w:lineRule="auto"/>
            </w:pPr>
            <w:r>
              <w:rPr>
                <w:b w:val="0"/>
                <w:i w:val="0"/>
                <w:sz w:val="16"/>
              </w:rPr>
              <w:t>Business and support teams</w:t>
            </w:r>
          </w:p>
        </w:tc>
      </w:tr>
    </w:tbl>
    <w:p>
      <w:pPr>
        <w:pStyle w:val="Caption"/>
        <w:jc w:val="center"/>
      </w:pPr>
      <w:r>
        <w:rPr>
          <w:b w:val="0"/>
          <w:i w:val="0"/>
        </w:rPr>
        <w:t>Table 36: Health and monitoring signals</w:t>
      </w:r>
    </w:p>
    <w:p>
      <w:pPr>
        <w:keepNext w:val="0"/>
      </w:pPr>
      <w:r>
        <w:rPr>
          <w:b w:val="0"/>
          <w:i w:val="0"/>
        </w:rPr>
        <w:t>Prometheus alert rules (delivered during implementation) cover: readiness failing for 2 minutes; HTTP 5xx rate above 2% for 5 minutes (from nginx logs); p95 latency above 2 s; event-loop lag above 500 ms; memory above 85%; disk above 80%; replication lag above 5 minutes; last successful backup older than 26 hours; an eod_run in FAILED status or no completed run by 01:00; any outbox message in DEAD; certificate expiry within 30 days. HTTP request histograms and business gauges (outbox backlog, open SLA breaches) are added to /metrics during implementation.</w:t>
      </w:r>
    </w:p>
    <w:p>
      <w:pPr>
        <w:pStyle w:val="Heading2"/>
      </w:pPr>
      <w:r>
        <w:t>11.2 Logging</w:t>
      </w:r>
    </w:p>
    <w:p>
      <w:pPr>
        <w:keepNext w:val="0"/>
      </w:pPr>
      <w:r>
        <w:rPr>
          <w:b w:val="0"/>
          <w:i w:val="0"/>
        </w:rPr>
        <w:t>The API writes one JSON line per event to standard output with pino: level, time, message and, for HTTP requests, the request id, method, URL, status and response time. The request id is the correlation id from X-Request-Id (set by nginx) or a new UUID, and is returned in the response header and in every error body, so a user's reference leads straight to the log lines. Cookies, authorization, CSRF and set-cookie headers are redacted; health probes are not logged. Container logs are collected by the platform's log shipper (Fluent Bit to the IITH log platform, or CloudWatch) and kept 90 days online. The audit trail is separate from logs and is held in the database under the retention rules.</w:t>
      </w:r>
    </w:p>
    <w:p>
      <w:pPr>
        <w:pStyle w:val="Heading1"/>
        <w:pageBreakBefore/>
        <w:pBdr>
          <w:bottom w:val="single" w:sz="12" w:space="4" w:color="F58220"/>
        </w:pBdr>
      </w:pPr>
      <w:r>
        <w:t>12. Technology Stack and Versions</w:t>
      </w:r>
    </w:p>
    <w:p>
      <w:pPr>
        <w:keepNext w:val="0"/>
      </w:pPr>
      <w:r>
        <w:rPr>
          <w:b w:val="0"/>
          <w:i w:val="0"/>
        </w:rPr>
        <w:t>Versions are the minimums declared in the package manifests at the time of writing; the lockfile pins exact versions. All components are open source under permissive licences; there are no runtime licence fees.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3288"/>
        <w:gridCol w:w="3175"/>
      </w:tblGrid>
      <w:tr>
        <w:trPr>
          <w:cantSplit/>
          <w:tblHeader/>
        </w:trPr>
        <w:tc>
          <w:tcPr>
            <w:tcW w:type="dxa" w:w="3175"/>
            <w:shd w:val="clear" w:color="auto" w:fill="E1058C"/>
            <w:vAlign w:val="center"/>
          </w:tcPr>
          <w:p>
            <w:pPr>
              <w:spacing w:after="0"/>
            </w:pPr>
            <w:r>
              <w:rPr>
                <w:b/>
                <w:i w:val="0"/>
                <w:color w:val="FFFFFF"/>
                <w:sz w:val="16"/>
              </w:rPr>
              <w:t>Component</w:t>
            </w:r>
          </w:p>
        </w:tc>
        <w:tc>
          <w:tcPr>
            <w:tcW w:type="dxa" w:w="3288"/>
            <w:shd w:val="clear" w:color="auto" w:fill="E1058C"/>
            <w:vAlign w:val="center"/>
          </w:tcPr>
          <w:p>
            <w:pPr>
              <w:spacing w:after="0"/>
            </w:pPr>
            <w:r>
              <w:rPr>
                <w:b/>
                <w:i w:val="0"/>
                <w:color w:val="FFFFFF"/>
                <w:sz w:val="16"/>
              </w:rPr>
              <w:t>Version</w:t>
            </w:r>
          </w:p>
        </w:tc>
        <w:tc>
          <w:tcPr>
            <w:tcW w:type="dxa" w:w="3175"/>
            <w:shd w:val="clear" w:color="auto" w:fill="E1058C"/>
            <w:vAlign w:val="center"/>
          </w:tcPr>
          <w:p>
            <w:pPr>
              <w:spacing w:after="0"/>
            </w:pPr>
            <w:r>
              <w:rPr>
                <w:b/>
                <w:i w:val="0"/>
                <w:color w:val="FFFFFF"/>
                <w:sz w:val="16"/>
              </w:rPr>
              <w:t>Purpose</w:t>
            </w:r>
          </w:p>
        </w:tc>
      </w:tr>
      <w:tr>
        <w:trPr>
          <w:cantSplit/>
        </w:trPr>
        <w:tc>
          <w:tcPr>
            <w:tcW w:type="dxa" w:w="3175"/>
            <w:gridSpan w:val="3"/>
            <w:shd w:val="clear" w:color="auto" w:fill="FEEBDD"/>
          </w:tcPr>
          <w:p>
            <w:pPr>
              <w:keepNext/>
              <w:spacing w:after="0"/>
            </w:pPr>
            <w:r>
              <w:rPr>
                <w:b/>
                <w:i w:val="0"/>
                <w:color w:val="333333"/>
                <w:sz w:val="16"/>
              </w:rPr>
              <w:t>Runtime</w:t>
            </w:r>
          </w:p>
        </w:tc>
      </w:tr>
      <w:tr>
        <w:trPr>
          <w:cantSplit/>
        </w:trPr>
        <w:tc>
          <w:tcPr>
            <w:tcW w:type="dxa" w:w="3175"/>
            <w:vAlign w:val="top"/>
          </w:tcPr>
          <w:p>
            <w:pPr>
              <w:spacing w:after="20" w:line="252" w:lineRule="auto"/>
            </w:pPr>
            <w:r>
              <w:rPr>
                <w:b w:val="0"/>
                <w:i w:val="0"/>
                <w:sz w:val="16"/>
              </w:rPr>
              <w:t>Node.js</w:t>
            </w:r>
          </w:p>
        </w:tc>
        <w:tc>
          <w:tcPr>
            <w:tcW w:type="dxa" w:w="3288"/>
            <w:vAlign w:val="top"/>
          </w:tcPr>
          <w:p>
            <w:pPr>
              <w:spacing w:after="20" w:line="252" w:lineRule="auto"/>
            </w:pPr>
            <w:r>
              <w:rPr>
                <w:b w:val="0"/>
                <w:i w:val="0"/>
                <w:sz w:val="16"/>
              </w:rPr>
              <w:t>22 LTS (.nvmrc 22, engines &gt;=22.12)</w:t>
            </w:r>
          </w:p>
        </w:tc>
        <w:tc>
          <w:tcPr>
            <w:tcW w:type="dxa" w:w="3175"/>
            <w:vAlign w:val="top"/>
          </w:tcPr>
          <w:p>
            <w:pPr>
              <w:spacing w:after="20" w:line="252" w:lineRule="auto"/>
            </w:pPr>
            <w:r>
              <w:rPr>
                <w:b w:val="0"/>
                <w:i w:val="0"/>
                <w:sz w:val="16"/>
              </w:rPr>
              <w:t>API runtime</w:t>
            </w:r>
          </w:p>
        </w:tc>
      </w:tr>
      <w:tr>
        <w:trPr>
          <w:cantSplit/>
        </w:trPr>
        <w:tc>
          <w:tcPr>
            <w:tcW w:type="dxa" w:w="3175"/>
            <w:vAlign w:val="top"/>
            <w:shd w:val="clear" w:color="auto" w:fill="FDF0F7"/>
          </w:tcPr>
          <w:p>
            <w:pPr>
              <w:spacing w:after="20" w:line="252" w:lineRule="auto"/>
            </w:pPr>
            <w:r>
              <w:rPr>
                <w:b w:val="0"/>
                <w:i w:val="0"/>
                <w:sz w:val="16"/>
              </w:rPr>
              <w:t>npm</w:t>
            </w:r>
          </w:p>
        </w:tc>
        <w:tc>
          <w:tcPr>
            <w:tcW w:type="dxa" w:w="3288"/>
            <w:vAlign w:val="top"/>
            <w:shd w:val="clear" w:color="auto" w:fill="FDF0F7"/>
          </w:tcPr>
          <w:p>
            <w:pPr>
              <w:spacing w:after="20" w:line="252" w:lineRule="auto"/>
            </w:pPr>
            <w:r>
              <w:rPr>
                <w:b w:val="0"/>
                <w:i w:val="0"/>
                <w:sz w:val="16"/>
              </w:rPr>
              <w:t>11.21.0</w:t>
            </w:r>
          </w:p>
        </w:tc>
        <w:tc>
          <w:tcPr>
            <w:tcW w:type="dxa" w:w="3175"/>
            <w:vAlign w:val="top"/>
            <w:shd w:val="clear" w:color="auto" w:fill="FDF0F7"/>
          </w:tcPr>
          <w:p>
            <w:pPr>
              <w:spacing w:after="20" w:line="252" w:lineRule="auto"/>
            </w:pPr>
            <w:r>
              <w:rPr>
                <w:b w:val="0"/>
                <w:i w:val="0"/>
                <w:sz w:val="16"/>
              </w:rPr>
              <w:t>workspaces</w:t>
            </w:r>
          </w:p>
        </w:tc>
      </w:tr>
      <w:tr>
        <w:trPr>
          <w:cantSplit/>
        </w:trPr>
        <w:tc>
          <w:tcPr>
            <w:tcW w:type="dxa" w:w="3175"/>
            <w:gridSpan w:val="3"/>
            <w:shd w:val="clear" w:color="auto" w:fill="FEEBDD"/>
          </w:tcPr>
          <w:p>
            <w:pPr>
              <w:keepNext/>
              <w:spacing w:after="0"/>
            </w:pPr>
            <w:r>
              <w:rPr>
                <w:b/>
                <w:i w:val="0"/>
                <w:color w:val="333333"/>
                <w:sz w:val="16"/>
              </w:rPr>
              <w:t>API</w:t>
            </w:r>
          </w:p>
        </w:tc>
      </w:tr>
      <w:tr>
        <w:trPr>
          <w:cantSplit/>
        </w:trPr>
        <w:tc>
          <w:tcPr>
            <w:tcW w:type="dxa" w:w="3175"/>
            <w:vAlign w:val="top"/>
          </w:tcPr>
          <w:p>
            <w:pPr>
              <w:spacing w:after="20" w:line="252" w:lineRule="auto"/>
            </w:pPr>
            <w:r>
              <w:rPr>
                <w:b w:val="0"/>
                <w:i w:val="0"/>
                <w:sz w:val="16"/>
              </w:rPr>
              <w:t>@nestjs/core</w:t>
            </w:r>
          </w:p>
        </w:tc>
        <w:tc>
          <w:tcPr>
            <w:tcW w:type="dxa" w:w="3288"/>
            <w:vAlign w:val="top"/>
          </w:tcPr>
          <w:p>
            <w:pPr>
              <w:spacing w:after="20" w:line="252" w:lineRule="auto"/>
            </w:pPr>
            <w:r>
              <w:rPr>
                <w:b w:val="0"/>
                <w:i w:val="0"/>
                <w:sz w:val="16"/>
              </w:rPr>
              <w:t>12.1.2</w:t>
            </w:r>
          </w:p>
        </w:tc>
        <w:tc>
          <w:tcPr>
            <w:tcW w:type="dxa" w:w="3175"/>
            <w:vAlign w:val="top"/>
          </w:tcPr>
          <w:p>
            <w:pPr>
              <w:spacing w:after="20" w:line="252" w:lineRule="auto"/>
            </w:pPr>
            <w:r>
              <w:rPr>
                <w:b w:val="0"/>
                <w:i w:val="0"/>
                <w:sz w:val="16"/>
              </w:rPr>
              <w:t>Application framework</w:t>
            </w:r>
          </w:p>
        </w:tc>
      </w:tr>
      <w:tr>
        <w:trPr>
          <w:cantSplit/>
        </w:trPr>
        <w:tc>
          <w:tcPr>
            <w:tcW w:type="dxa" w:w="3175"/>
            <w:vAlign w:val="top"/>
            <w:shd w:val="clear" w:color="auto" w:fill="FDF0F7"/>
          </w:tcPr>
          <w:p>
            <w:pPr>
              <w:spacing w:after="20" w:line="252" w:lineRule="auto"/>
            </w:pPr>
            <w:r>
              <w:rPr>
                <w:b w:val="0"/>
                <w:i w:val="0"/>
                <w:sz w:val="16"/>
              </w:rPr>
              <w:t>@nestjs/schedule</w:t>
            </w:r>
          </w:p>
        </w:tc>
        <w:tc>
          <w:tcPr>
            <w:tcW w:type="dxa" w:w="3288"/>
            <w:vAlign w:val="top"/>
            <w:shd w:val="clear" w:color="auto" w:fill="FDF0F7"/>
          </w:tcPr>
          <w:p>
            <w:pPr>
              <w:spacing w:after="20" w:line="252" w:lineRule="auto"/>
            </w:pPr>
            <w:r>
              <w:rPr>
                <w:b w:val="0"/>
                <w:i w:val="0"/>
                <w:sz w:val="16"/>
              </w:rPr>
              <w:t>12.0.2</w:t>
            </w:r>
          </w:p>
        </w:tc>
        <w:tc>
          <w:tcPr>
            <w:tcW w:type="dxa" w:w="3175"/>
            <w:vAlign w:val="top"/>
            <w:shd w:val="clear" w:color="auto" w:fill="FDF0F7"/>
          </w:tcPr>
          <w:p>
            <w:pPr>
              <w:spacing w:after="20" w:line="252" w:lineRule="auto"/>
            </w:pPr>
            <w:r>
              <w:rPr>
                <w:b w:val="0"/>
                <w:i w:val="0"/>
                <w:sz w:val="16"/>
              </w:rPr>
              <w:t>Scheduled jobs</w:t>
            </w:r>
          </w:p>
        </w:tc>
      </w:tr>
      <w:tr>
        <w:trPr>
          <w:cantSplit/>
        </w:trPr>
        <w:tc>
          <w:tcPr>
            <w:tcW w:type="dxa" w:w="3175"/>
            <w:vAlign w:val="top"/>
          </w:tcPr>
          <w:p>
            <w:pPr>
              <w:spacing w:after="20" w:line="252" w:lineRule="auto"/>
            </w:pPr>
            <w:r>
              <w:rPr>
                <w:b w:val="0"/>
                <w:i w:val="0"/>
                <w:sz w:val="16"/>
              </w:rPr>
              <w:t>@nestjs/throttler</w:t>
            </w:r>
          </w:p>
        </w:tc>
        <w:tc>
          <w:tcPr>
            <w:tcW w:type="dxa" w:w="3288"/>
            <w:vAlign w:val="top"/>
          </w:tcPr>
          <w:p>
            <w:pPr>
              <w:spacing w:after="20" w:line="252" w:lineRule="auto"/>
            </w:pPr>
            <w:r>
              <w:rPr>
                <w:b w:val="0"/>
                <w:i w:val="0"/>
                <w:sz w:val="16"/>
              </w:rPr>
              <w:t>6.7.1</w:t>
            </w:r>
          </w:p>
        </w:tc>
        <w:tc>
          <w:tcPr>
            <w:tcW w:type="dxa" w:w="3175"/>
            <w:vAlign w:val="top"/>
          </w:tcPr>
          <w:p>
            <w:pPr>
              <w:spacing w:after="20" w:line="252" w:lineRule="auto"/>
            </w:pPr>
            <w:r>
              <w:rPr>
                <w:b w:val="0"/>
                <w:i w:val="0"/>
                <w:sz w:val="16"/>
              </w:rPr>
              <w:t>Rate limiting</w:t>
            </w:r>
          </w:p>
        </w:tc>
      </w:tr>
      <w:tr>
        <w:trPr>
          <w:cantSplit/>
        </w:trPr>
        <w:tc>
          <w:tcPr>
            <w:tcW w:type="dxa" w:w="3175"/>
            <w:vAlign w:val="top"/>
            <w:shd w:val="clear" w:color="auto" w:fill="FDF0F7"/>
          </w:tcPr>
          <w:p>
            <w:pPr>
              <w:spacing w:after="20" w:line="252" w:lineRule="auto"/>
            </w:pPr>
            <w:r>
              <w:rPr>
                <w:b w:val="0"/>
                <w:i w:val="0"/>
                <w:sz w:val="16"/>
              </w:rPr>
              <w:t>@nestjs/swagger</w:t>
            </w:r>
          </w:p>
        </w:tc>
        <w:tc>
          <w:tcPr>
            <w:tcW w:type="dxa" w:w="3288"/>
            <w:vAlign w:val="top"/>
            <w:shd w:val="clear" w:color="auto" w:fill="FDF0F7"/>
          </w:tcPr>
          <w:p>
            <w:pPr>
              <w:spacing w:after="20" w:line="252" w:lineRule="auto"/>
            </w:pPr>
            <w:r>
              <w:rPr>
                <w:b w:val="0"/>
                <w:i w:val="0"/>
                <w:sz w:val="16"/>
              </w:rPr>
              <w:t>12.0.2</w:t>
            </w:r>
          </w:p>
        </w:tc>
        <w:tc>
          <w:tcPr>
            <w:tcW w:type="dxa" w:w="3175"/>
            <w:vAlign w:val="top"/>
            <w:shd w:val="clear" w:color="auto" w:fill="FDF0F7"/>
          </w:tcPr>
          <w:p>
            <w:pPr>
              <w:spacing w:after="20" w:line="252" w:lineRule="auto"/>
            </w:pPr>
            <w:r>
              <w:rPr>
                <w:b w:val="0"/>
                <w:i w:val="0"/>
                <w:sz w:val="16"/>
              </w:rPr>
              <w:t>OpenAPI</w:t>
            </w:r>
          </w:p>
        </w:tc>
      </w:tr>
      <w:tr>
        <w:trPr>
          <w:cantSplit/>
        </w:trPr>
        <w:tc>
          <w:tcPr>
            <w:tcW w:type="dxa" w:w="3175"/>
            <w:vAlign w:val="top"/>
          </w:tcPr>
          <w:p>
            <w:pPr>
              <w:spacing w:after="20" w:line="252" w:lineRule="auto"/>
            </w:pPr>
            <w:r>
              <w:rPr>
                <w:b w:val="0"/>
                <w:i w:val="0"/>
                <w:sz w:val="16"/>
              </w:rPr>
              <w:t>class-validator</w:t>
            </w:r>
          </w:p>
        </w:tc>
        <w:tc>
          <w:tcPr>
            <w:tcW w:type="dxa" w:w="3288"/>
            <w:vAlign w:val="top"/>
          </w:tcPr>
          <w:p>
            <w:pPr>
              <w:spacing w:after="20" w:line="252" w:lineRule="auto"/>
            </w:pPr>
            <w:r>
              <w:rPr>
                <w:b w:val="0"/>
                <w:i w:val="0"/>
                <w:sz w:val="16"/>
              </w:rPr>
              <w:t>0.15.1</w:t>
            </w:r>
          </w:p>
        </w:tc>
        <w:tc>
          <w:tcPr>
            <w:tcW w:type="dxa" w:w="3175"/>
            <w:vAlign w:val="top"/>
          </w:tcPr>
          <w:p>
            <w:pPr>
              <w:spacing w:after="20" w:line="252" w:lineRule="auto"/>
            </w:pPr>
            <w:r>
              <w:rPr>
                <w:b w:val="0"/>
                <w:i w:val="0"/>
                <w:sz w:val="16"/>
              </w:rPr>
              <w:t>DTO validation</w:t>
            </w:r>
          </w:p>
        </w:tc>
      </w:tr>
      <w:tr>
        <w:trPr>
          <w:cantSplit/>
        </w:trPr>
        <w:tc>
          <w:tcPr>
            <w:tcW w:type="dxa" w:w="3175"/>
            <w:vAlign w:val="top"/>
            <w:shd w:val="clear" w:color="auto" w:fill="FDF0F7"/>
          </w:tcPr>
          <w:p>
            <w:pPr>
              <w:spacing w:after="20" w:line="252" w:lineRule="auto"/>
            </w:pPr>
            <w:r>
              <w:rPr>
                <w:b w:val="0"/>
                <w:i w:val="0"/>
                <w:sz w:val="16"/>
              </w:rPr>
              <w:t>typescript</w:t>
            </w:r>
          </w:p>
        </w:tc>
        <w:tc>
          <w:tcPr>
            <w:tcW w:type="dxa" w:w="3288"/>
            <w:vAlign w:val="top"/>
            <w:shd w:val="clear" w:color="auto" w:fill="FDF0F7"/>
          </w:tcPr>
          <w:p>
            <w:pPr>
              <w:spacing w:after="20" w:line="252" w:lineRule="auto"/>
            </w:pPr>
            <w:r>
              <w:rPr>
                <w:b w:val="0"/>
                <w:i w:val="0"/>
                <w:sz w:val="16"/>
              </w:rPr>
              <w:t>6.0.3</w:t>
            </w:r>
          </w:p>
        </w:tc>
        <w:tc>
          <w:tcPr>
            <w:tcW w:type="dxa" w:w="3175"/>
            <w:vAlign w:val="top"/>
            <w:shd w:val="clear" w:color="auto" w:fill="FDF0F7"/>
          </w:tcPr>
          <w:p>
            <w:pPr>
              <w:spacing w:after="20" w:line="252" w:lineRule="auto"/>
            </w:pPr>
            <w:r>
              <w:rPr>
                <w:b w:val="0"/>
                <w:i w:val="0"/>
                <w:sz w:val="16"/>
              </w:rPr>
              <w:t>Language</w:t>
            </w:r>
          </w:p>
        </w:tc>
      </w:tr>
      <w:tr>
        <w:trPr>
          <w:cantSplit/>
        </w:trPr>
        <w:tc>
          <w:tcPr>
            <w:tcW w:type="dxa" w:w="3175"/>
            <w:gridSpan w:val="3"/>
            <w:shd w:val="clear" w:color="auto" w:fill="FEEBDD"/>
          </w:tcPr>
          <w:p>
            <w:pPr>
              <w:keepNext/>
              <w:spacing w:after="0"/>
            </w:pPr>
            <w:r>
              <w:rPr>
                <w:b/>
                <w:i w:val="0"/>
                <w:color w:val="333333"/>
                <w:sz w:val="16"/>
              </w:rPr>
              <w:t>Data</w:t>
            </w:r>
          </w:p>
        </w:tc>
      </w:tr>
      <w:tr>
        <w:trPr>
          <w:cantSplit/>
        </w:trPr>
        <w:tc>
          <w:tcPr>
            <w:tcW w:type="dxa" w:w="3175"/>
            <w:vAlign w:val="top"/>
          </w:tcPr>
          <w:p>
            <w:pPr>
              <w:spacing w:after="20" w:line="252" w:lineRule="auto"/>
            </w:pPr>
            <w:r>
              <w:rPr>
                <w:b w:val="0"/>
                <w:i w:val="0"/>
                <w:sz w:val="16"/>
              </w:rPr>
              <w:t>PostgreSQL</w:t>
            </w:r>
          </w:p>
        </w:tc>
        <w:tc>
          <w:tcPr>
            <w:tcW w:type="dxa" w:w="3288"/>
            <w:vAlign w:val="top"/>
          </w:tcPr>
          <w:p>
            <w:pPr>
              <w:spacing w:after="20" w:line="252" w:lineRule="auto"/>
            </w:pPr>
            <w:r>
              <w:rPr>
                <w:b w:val="0"/>
                <w:i w:val="0"/>
                <w:sz w:val="16"/>
              </w:rPr>
              <w:t>16</w:t>
            </w:r>
          </w:p>
        </w:tc>
        <w:tc>
          <w:tcPr>
            <w:tcW w:type="dxa" w:w="3175"/>
            <w:vAlign w:val="top"/>
          </w:tcPr>
          <w:p>
            <w:pPr>
              <w:spacing w:after="20" w:line="252" w:lineRule="auto"/>
            </w:pPr>
            <w:r>
              <w:rPr>
                <w:b w:val="0"/>
                <w:i w:val="0"/>
                <w:sz w:val="16"/>
              </w:rPr>
              <w:t>Database</w:t>
            </w:r>
          </w:p>
        </w:tc>
      </w:tr>
      <w:tr>
        <w:trPr>
          <w:cantSplit/>
        </w:trPr>
        <w:tc>
          <w:tcPr>
            <w:tcW w:type="dxa" w:w="3175"/>
            <w:vAlign w:val="top"/>
            <w:shd w:val="clear" w:color="auto" w:fill="FDF0F7"/>
          </w:tcPr>
          <w:p>
            <w:pPr>
              <w:spacing w:after="20" w:line="252" w:lineRule="auto"/>
            </w:pPr>
            <w:r>
              <w:rPr>
                <w:b w:val="0"/>
                <w:i w:val="0"/>
                <w:sz w:val="16"/>
              </w:rPr>
              <w:t>prisma / @prisma/client</w:t>
            </w:r>
          </w:p>
        </w:tc>
        <w:tc>
          <w:tcPr>
            <w:tcW w:type="dxa" w:w="3288"/>
            <w:vAlign w:val="top"/>
            <w:shd w:val="clear" w:color="auto" w:fill="FDF0F7"/>
          </w:tcPr>
          <w:p>
            <w:pPr>
              <w:spacing w:after="20" w:line="252" w:lineRule="auto"/>
            </w:pPr>
            <w:r>
              <w:rPr>
                <w:b w:val="0"/>
                <w:i w:val="0"/>
                <w:sz w:val="16"/>
              </w:rPr>
              <w:t>7.10.0</w:t>
            </w:r>
          </w:p>
        </w:tc>
        <w:tc>
          <w:tcPr>
            <w:tcW w:type="dxa" w:w="3175"/>
            <w:vAlign w:val="top"/>
            <w:shd w:val="clear" w:color="auto" w:fill="FDF0F7"/>
          </w:tcPr>
          <w:p>
            <w:pPr>
              <w:spacing w:after="20" w:line="252" w:lineRule="auto"/>
            </w:pPr>
            <w:r>
              <w:rPr>
                <w:b w:val="0"/>
                <w:i w:val="0"/>
                <w:sz w:val="16"/>
              </w:rPr>
              <w:t>ORM and migrations</w:t>
            </w:r>
          </w:p>
        </w:tc>
      </w:tr>
      <w:tr>
        <w:trPr>
          <w:cantSplit/>
        </w:trPr>
        <w:tc>
          <w:tcPr>
            <w:tcW w:type="dxa" w:w="3175"/>
            <w:vAlign w:val="top"/>
          </w:tcPr>
          <w:p>
            <w:pPr>
              <w:spacing w:after="20" w:line="252" w:lineRule="auto"/>
            </w:pPr>
            <w:r>
              <w:rPr>
                <w:b w:val="0"/>
                <w:i w:val="0"/>
                <w:sz w:val="16"/>
              </w:rPr>
              <w:t>@prisma/adapter-pg, pg</w:t>
            </w:r>
          </w:p>
        </w:tc>
        <w:tc>
          <w:tcPr>
            <w:tcW w:type="dxa" w:w="3288"/>
            <w:vAlign w:val="top"/>
          </w:tcPr>
          <w:p>
            <w:pPr>
              <w:spacing w:after="20" w:line="252" w:lineRule="auto"/>
            </w:pPr>
            <w:r>
              <w:rPr>
                <w:b w:val="0"/>
                <w:i w:val="0"/>
                <w:sz w:val="16"/>
              </w:rPr>
              <w:t>8.23.1</w:t>
            </w:r>
          </w:p>
        </w:tc>
        <w:tc>
          <w:tcPr>
            <w:tcW w:type="dxa" w:w="3175"/>
            <w:vAlign w:val="top"/>
          </w:tcPr>
          <w:p>
            <w:pPr>
              <w:spacing w:after="20" w:line="252" w:lineRule="auto"/>
            </w:pPr>
            <w:r>
              <w:rPr>
                <w:b w:val="0"/>
                <w:i w:val="0"/>
                <w:sz w:val="16"/>
              </w:rPr>
              <w:t>Driver</w:t>
            </w:r>
          </w:p>
        </w:tc>
      </w:tr>
      <w:tr>
        <w:trPr>
          <w:cantSplit/>
        </w:trPr>
        <w:tc>
          <w:tcPr>
            <w:tcW w:type="dxa" w:w="3175"/>
            <w:gridSpan w:val="3"/>
            <w:shd w:val="clear" w:color="auto" w:fill="FEEBDD"/>
          </w:tcPr>
          <w:p>
            <w:pPr>
              <w:keepNext/>
              <w:spacing w:after="0"/>
            </w:pPr>
            <w:r>
              <w:rPr>
                <w:b/>
                <w:i w:val="0"/>
                <w:color w:val="333333"/>
                <w:sz w:val="16"/>
              </w:rPr>
              <w:t>Security</w:t>
            </w:r>
          </w:p>
        </w:tc>
      </w:tr>
      <w:tr>
        <w:trPr>
          <w:cantSplit/>
        </w:trPr>
        <w:tc>
          <w:tcPr>
            <w:tcW w:type="dxa" w:w="3175"/>
            <w:vAlign w:val="top"/>
          </w:tcPr>
          <w:p>
            <w:pPr>
              <w:spacing w:after="20" w:line="252" w:lineRule="auto"/>
            </w:pPr>
            <w:r>
              <w:rPr>
                <w:b w:val="0"/>
                <w:i w:val="0"/>
                <w:sz w:val="16"/>
              </w:rPr>
              <w:t>express-session</w:t>
            </w:r>
          </w:p>
        </w:tc>
        <w:tc>
          <w:tcPr>
            <w:tcW w:type="dxa" w:w="3288"/>
            <w:vAlign w:val="top"/>
          </w:tcPr>
          <w:p>
            <w:pPr>
              <w:spacing w:after="20" w:line="252" w:lineRule="auto"/>
            </w:pPr>
            <w:r>
              <w:rPr>
                <w:b w:val="0"/>
                <w:i w:val="0"/>
                <w:sz w:val="16"/>
              </w:rPr>
              <w:t>1.19.0</w:t>
            </w:r>
          </w:p>
        </w:tc>
        <w:tc>
          <w:tcPr>
            <w:tcW w:type="dxa" w:w="3175"/>
            <w:vAlign w:val="top"/>
          </w:tcPr>
          <w:p>
            <w:pPr>
              <w:spacing w:after="20" w:line="252" w:lineRule="auto"/>
            </w:pPr>
            <w:r>
              <w:rPr>
                <w:b w:val="0"/>
                <w:i w:val="0"/>
                <w:sz w:val="16"/>
              </w:rPr>
              <w:t>Sessions</w:t>
            </w:r>
          </w:p>
        </w:tc>
      </w:tr>
      <w:tr>
        <w:trPr>
          <w:cantSplit/>
        </w:trPr>
        <w:tc>
          <w:tcPr>
            <w:tcW w:type="dxa" w:w="3175"/>
            <w:vAlign w:val="top"/>
            <w:shd w:val="clear" w:color="auto" w:fill="FDF0F7"/>
          </w:tcPr>
          <w:p>
            <w:pPr>
              <w:spacing w:after="20" w:line="252" w:lineRule="auto"/>
            </w:pPr>
            <w:r>
              <w:rPr>
                <w:b w:val="0"/>
                <w:i w:val="0"/>
                <w:sz w:val="16"/>
              </w:rPr>
              <w:t>connect-pg-simple</w:t>
            </w:r>
          </w:p>
        </w:tc>
        <w:tc>
          <w:tcPr>
            <w:tcW w:type="dxa" w:w="3288"/>
            <w:vAlign w:val="top"/>
            <w:shd w:val="clear" w:color="auto" w:fill="FDF0F7"/>
          </w:tcPr>
          <w:p>
            <w:pPr>
              <w:spacing w:after="20" w:line="252" w:lineRule="auto"/>
            </w:pPr>
            <w:r>
              <w:rPr>
                <w:b w:val="0"/>
                <w:i w:val="0"/>
                <w:sz w:val="16"/>
              </w:rPr>
              <w:t>10.0.0</w:t>
            </w:r>
          </w:p>
        </w:tc>
        <w:tc>
          <w:tcPr>
            <w:tcW w:type="dxa" w:w="3175"/>
            <w:vAlign w:val="top"/>
            <w:shd w:val="clear" w:color="auto" w:fill="FDF0F7"/>
          </w:tcPr>
          <w:p>
            <w:pPr>
              <w:spacing w:after="20" w:line="252" w:lineRule="auto"/>
            </w:pPr>
            <w:r>
              <w:rPr>
                <w:b w:val="0"/>
                <w:i w:val="0"/>
                <w:sz w:val="16"/>
              </w:rPr>
              <w:t>Session store</w:t>
            </w:r>
          </w:p>
        </w:tc>
      </w:tr>
      <w:tr>
        <w:trPr>
          <w:cantSplit/>
        </w:trPr>
        <w:tc>
          <w:tcPr>
            <w:tcW w:type="dxa" w:w="3175"/>
            <w:vAlign w:val="top"/>
          </w:tcPr>
          <w:p>
            <w:pPr>
              <w:spacing w:after="20" w:line="252" w:lineRule="auto"/>
            </w:pPr>
            <w:r>
              <w:rPr>
                <w:b w:val="0"/>
                <w:i w:val="0"/>
                <w:sz w:val="16"/>
              </w:rPr>
              <w:t>@node-rs/argon2</w:t>
            </w:r>
          </w:p>
        </w:tc>
        <w:tc>
          <w:tcPr>
            <w:tcW w:type="dxa" w:w="3288"/>
            <w:vAlign w:val="top"/>
          </w:tcPr>
          <w:p>
            <w:pPr>
              <w:spacing w:after="20" w:line="252" w:lineRule="auto"/>
            </w:pPr>
            <w:r>
              <w:rPr>
                <w:b w:val="0"/>
                <w:i w:val="0"/>
                <w:sz w:val="16"/>
              </w:rPr>
              <w:t>2.2.1</w:t>
            </w:r>
          </w:p>
        </w:tc>
        <w:tc>
          <w:tcPr>
            <w:tcW w:type="dxa" w:w="3175"/>
            <w:vAlign w:val="top"/>
          </w:tcPr>
          <w:p>
            <w:pPr>
              <w:spacing w:after="20" w:line="252" w:lineRule="auto"/>
            </w:pPr>
            <w:r>
              <w:rPr>
                <w:b w:val="0"/>
                <w:i w:val="0"/>
                <w:sz w:val="16"/>
              </w:rPr>
              <w:t>Password hashing</w:t>
            </w:r>
          </w:p>
        </w:tc>
      </w:tr>
      <w:tr>
        <w:trPr>
          <w:cantSplit/>
        </w:trPr>
        <w:tc>
          <w:tcPr>
            <w:tcW w:type="dxa" w:w="3175"/>
            <w:vAlign w:val="top"/>
            <w:shd w:val="clear" w:color="auto" w:fill="FDF0F7"/>
          </w:tcPr>
          <w:p>
            <w:pPr>
              <w:spacing w:after="20" w:line="252" w:lineRule="auto"/>
            </w:pPr>
            <w:r>
              <w:rPr>
                <w:b w:val="0"/>
                <w:i w:val="0"/>
                <w:sz w:val="16"/>
              </w:rPr>
              <w:t>helmet</w:t>
            </w:r>
          </w:p>
        </w:tc>
        <w:tc>
          <w:tcPr>
            <w:tcW w:type="dxa" w:w="3288"/>
            <w:vAlign w:val="top"/>
            <w:shd w:val="clear" w:color="auto" w:fill="FDF0F7"/>
          </w:tcPr>
          <w:p>
            <w:pPr>
              <w:spacing w:after="20" w:line="252" w:lineRule="auto"/>
            </w:pPr>
            <w:r>
              <w:rPr>
                <w:b w:val="0"/>
                <w:i w:val="0"/>
                <w:sz w:val="16"/>
              </w:rPr>
              <w:t>8.3.0</w:t>
            </w:r>
          </w:p>
        </w:tc>
        <w:tc>
          <w:tcPr>
            <w:tcW w:type="dxa" w:w="3175"/>
            <w:vAlign w:val="top"/>
            <w:shd w:val="clear" w:color="auto" w:fill="FDF0F7"/>
          </w:tcPr>
          <w:p>
            <w:pPr>
              <w:spacing w:after="20" w:line="252" w:lineRule="auto"/>
            </w:pPr>
            <w:r>
              <w:rPr>
                <w:b w:val="0"/>
                <w:i w:val="0"/>
                <w:sz w:val="16"/>
              </w:rPr>
              <w:t>Security headers</w:t>
            </w:r>
          </w:p>
        </w:tc>
      </w:tr>
      <w:tr>
        <w:trPr>
          <w:cantSplit/>
        </w:trPr>
        <w:tc>
          <w:tcPr>
            <w:tcW w:type="dxa" w:w="3175"/>
            <w:vAlign w:val="top"/>
          </w:tcPr>
          <w:p>
            <w:pPr>
              <w:spacing w:after="20" w:line="252" w:lineRule="auto"/>
            </w:pPr>
            <w:r>
              <w:rPr>
                <w:b w:val="0"/>
                <w:i w:val="0"/>
                <w:sz w:val="16"/>
              </w:rPr>
              <w:t>ldapts</w:t>
            </w:r>
          </w:p>
        </w:tc>
        <w:tc>
          <w:tcPr>
            <w:tcW w:type="dxa" w:w="3288"/>
            <w:vAlign w:val="top"/>
          </w:tcPr>
          <w:p>
            <w:pPr>
              <w:spacing w:after="20" w:line="252" w:lineRule="auto"/>
            </w:pPr>
            <w:r>
              <w:rPr>
                <w:b w:val="0"/>
                <w:i w:val="0"/>
                <w:sz w:val="16"/>
              </w:rPr>
              <w:t>9.2.0</w:t>
            </w:r>
          </w:p>
        </w:tc>
        <w:tc>
          <w:tcPr>
            <w:tcW w:type="dxa" w:w="3175"/>
            <w:vAlign w:val="top"/>
          </w:tcPr>
          <w:p>
            <w:pPr>
              <w:spacing w:after="20" w:line="252" w:lineRule="auto"/>
            </w:pPr>
            <w:r>
              <w:rPr>
                <w:b w:val="0"/>
                <w:i w:val="0"/>
                <w:sz w:val="16"/>
              </w:rPr>
              <w:t>Directory sign-in</w:t>
            </w:r>
          </w:p>
        </w:tc>
      </w:tr>
      <w:tr>
        <w:trPr>
          <w:cantSplit/>
        </w:trPr>
        <w:tc>
          <w:tcPr>
            <w:tcW w:type="dxa" w:w="3175"/>
            <w:gridSpan w:val="3"/>
            <w:shd w:val="clear" w:color="auto" w:fill="FEEBDD"/>
          </w:tcPr>
          <w:p>
            <w:pPr>
              <w:keepNext/>
              <w:spacing w:after="0"/>
            </w:pPr>
            <w:r>
              <w:rPr>
                <w:b/>
                <w:i w:val="0"/>
                <w:color w:val="333333"/>
                <w:sz w:val="16"/>
              </w:rPr>
              <w:t>Output and messaging</w:t>
            </w:r>
          </w:p>
        </w:tc>
      </w:tr>
      <w:tr>
        <w:trPr>
          <w:cantSplit/>
        </w:trPr>
        <w:tc>
          <w:tcPr>
            <w:tcW w:type="dxa" w:w="3175"/>
            <w:vAlign w:val="top"/>
          </w:tcPr>
          <w:p>
            <w:pPr>
              <w:spacing w:after="20" w:line="252" w:lineRule="auto"/>
            </w:pPr>
            <w:r>
              <w:rPr>
                <w:b w:val="0"/>
                <w:i w:val="0"/>
                <w:sz w:val="16"/>
              </w:rPr>
              <w:t>pdfkit</w:t>
            </w:r>
          </w:p>
        </w:tc>
        <w:tc>
          <w:tcPr>
            <w:tcW w:type="dxa" w:w="3288"/>
            <w:vAlign w:val="top"/>
          </w:tcPr>
          <w:p>
            <w:pPr>
              <w:spacing w:after="20" w:line="252" w:lineRule="auto"/>
            </w:pPr>
            <w:r>
              <w:rPr>
                <w:b w:val="0"/>
                <w:i w:val="0"/>
                <w:sz w:val="16"/>
              </w:rPr>
              <w:t>0.20.2</w:t>
            </w:r>
          </w:p>
        </w:tc>
        <w:tc>
          <w:tcPr>
            <w:tcW w:type="dxa" w:w="3175"/>
            <w:vAlign w:val="top"/>
          </w:tcPr>
          <w:p>
            <w:pPr>
              <w:spacing w:after="20" w:line="252" w:lineRule="auto"/>
            </w:pPr>
            <w:r>
              <w:rPr>
                <w:b w:val="0"/>
                <w:i w:val="0"/>
                <w:sz w:val="16"/>
              </w:rPr>
              <w:t>PDF documents</w:t>
            </w:r>
          </w:p>
        </w:tc>
      </w:tr>
      <w:tr>
        <w:trPr>
          <w:cantSplit/>
        </w:trPr>
        <w:tc>
          <w:tcPr>
            <w:tcW w:type="dxa" w:w="3175"/>
            <w:vAlign w:val="top"/>
            <w:shd w:val="clear" w:color="auto" w:fill="FDF0F7"/>
          </w:tcPr>
          <w:p>
            <w:pPr>
              <w:spacing w:after="20" w:line="252" w:lineRule="auto"/>
            </w:pPr>
            <w:r>
              <w:rPr>
                <w:b w:val="0"/>
                <w:i w:val="0"/>
                <w:sz w:val="16"/>
              </w:rPr>
              <w:t>exceljs</w:t>
            </w:r>
          </w:p>
        </w:tc>
        <w:tc>
          <w:tcPr>
            <w:tcW w:type="dxa" w:w="3288"/>
            <w:vAlign w:val="top"/>
            <w:shd w:val="clear" w:color="auto" w:fill="FDF0F7"/>
          </w:tcPr>
          <w:p>
            <w:pPr>
              <w:spacing w:after="20" w:line="252" w:lineRule="auto"/>
            </w:pPr>
            <w:r>
              <w:rPr>
                <w:b w:val="0"/>
                <w:i w:val="0"/>
                <w:sz w:val="16"/>
              </w:rPr>
              <w:t>4.4.0</w:t>
            </w:r>
          </w:p>
        </w:tc>
        <w:tc>
          <w:tcPr>
            <w:tcW w:type="dxa" w:w="3175"/>
            <w:vAlign w:val="top"/>
            <w:shd w:val="clear" w:color="auto" w:fill="FDF0F7"/>
          </w:tcPr>
          <w:p>
            <w:pPr>
              <w:spacing w:after="20" w:line="252" w:lineRule="auto"/>
            </w:pPr>
            <w:r>
              <w:rPr>
                <w:b w:val="0"/>
                <w:i w:val="0"/>
                <w:sz w:val="16"/>
              </w:rPr>
              <w:t>Excel exports</w:t>
            </w:r>
          </w:p>
        </w:tc>
      </w:tr>
      <w:tr>
        <w:trPr>
          <w:cantSplit/>
        </w:trPr>
        <w:tc>
          <w:tcPr>
            <w:tcW w:type="dxa" w:w="3175"/>
            <w:vAlign w:val="top"/>
          </w:tcPr>
          <w:p>
            <w:pPr>
              <w:spacing w:after="20" w:line="252" w:lineRule="auto"/>
            </w:pPr>
            <w:r>
              <w:rPr>
                <w:b w:val="0"/>
                <w:i w:val="0"/>
                <w:sz w:val="16"/>
              </w:rPr>
              <w:t>nodemailer</w:t>
            </w:r>
          </w:p>
        </w:tc>
        <w:tc>
          <w:tcPr>
            <w:tcW w:type="dxa" w:w="3288"/>
            <w:vAlign w:val="top"/>
          </w:tcPr>
          <w:p>
            <w:pPr>
              <w:spacing w:after="20" w:line="252" w:lineRule="auto"/>
            </w:pPr>
            <w:r>
              <w:rPr>
                <w:b w:val="0"/>
                <w:i w:val="0"/>
                <w:sz w:val="16"/>
              </w:rPr>
              <w:t>10.0.13</w:t>
            </w:r>
          </w:p>
        </w:tc>
        <w:tc>
          <w:tcPr>
            <w:tcW w:type="dxa" w:w="3175"/>
            <w:vAlign w:val="top"/>
          </w:tcPr>
          <w:p>
            <w:pPr>
              <w:spacing w:after="20" w:line="252" w:lineRule="auto"/>
            </w:pPr>
            <w:r>
              <w:rPr>
                <w:b w:val="0"/>
                <w:i w:val="0"/>
                <w:sz w:val="16"/>
              </w:rPr>
              <w:t>E-mail</w:t>
            </w:r>
          </w:p>
        </w:tc>
      </w:tr>
      <w:tr>
        <w:trPr>
          <w:cantSplit/>
        </w:trPr>
        <w:tc>
          <w:tcPr>
            <w:tcW w:type="dxa" w:w="3175"/>
            <w:gridSpan w:val="3"/>
            <w:shd w:val="clear" w:color="auto" w:fill="FEEBDD"/>
          </w:tcPr>
          <w:p>
            <w:pPr>
              <w:keepNext/>
              <w:spacing w:after="0"/>
            </w:pPr>
            <w:r>
              <w:rPr>
                <w:b/>
                <w:i w:val="0"/>
                <w:color w:val="333333"/>
                <w:sz w:val="16"/>
              </w:rPr>
              <w:t>Observability</w:t>
            </w:r>
          </w:p>
        </w:tc>
      </w:tr>
      <w:tr>
        <w:trPr>
          <w:cantSplit/>
        </w:trPr>
        <w:tc>
          <w:tcPr>
            <w:tcW w:type="dxa" w:w="3175"/>
            <w:vAlign w:val="top"/>
          </w:tcPr>
          <w:p>
            <w:pPr>
              <w:spacing w:after="20" w:line="252" w:lineRule="auto"/>
            </w:pPr>
            <w:r>
              <w:rPr>
                <w:b w:val="0"/>
                <w:i w:val="0"/>
                <w:sz w:val="16"/>
              </w:rPr>
              <w:t>nestjs-pino / pino</w:t>
            </w:r>
          </w:p>
        </w:tc>
        <w:tc>
          <w:tcPr>
            <w:tcW w:type="dxa" w:w="3288"/>
            <w:vAlign w:val="top"/>
          </w:tcPr>
          <w:p>
            <w:pPr>
              <w:spacing w:after="20" w:line="252" w:lineRule="auto"/>
            </w:pPr>
            <w:r>
              <w:rPr>
                <w:b w:val="0"/>
                <w:i w:val="0"/>
                <w:sz w:val="16"/>
              </w:rPr>
              <w:t>10.3.1</w:t>
            </w:r>
          </w:p>
        </w:tc>
        <w:tc>
          <w:tcPr>
            <w:tcW w:type="dxa" w:w="3175"/>
            <w:vAlign w:val="top"/>
          </w:tcPr>
          <w:p>
            <w:pPr>
              <w:spacing w:after="20" w:line="252" w:lineRule="auto"/>
            </w:pPr>
            <w:r>
              <w:rPr>
                <w:b w:val="0"/>
                <w:i w:val="0"/>
                <w:sz w:val="16"/>
              </w:rPr>
              <w:t>JSON logging</w:t>
            </w:r>
          </w:p>
        </w:tc>
      </w:tr>
      <w:tr>
        <w:trPr>
          <w:cantSplit/>
        </w:trPr>
        <w:tc>
          <w:tcPr>
            <w:tcW w:type="dxa" w:w="3175"/>
            <w:vAlign w:val="top"/>
            <w:shd w:val="clear" w:color="auto" w:fill="FDF0F7"/>
          </w:tcPr>
          <w:p>
            <w:pPr>
              <w:spacing w:after="20" w:line="252" w:lineRule="auto"/>
            </w:pPr>
            <w:r>
              <w:rPr>
                <w:b w:val="0"/>
                <w:i w:val="0"/>
                <w:sz w:val="16"/>
              </w:rPr>
              <w:t>prom-client</w:t>
            </w:r>
          </w:p>
        </w:tc>
        <w:tc>
          <w:tcPr>
            <w:tcW w:type="dxa" w:w="3288"/>
            <w:vAlign w:val="top"/>
            <w:shd w:val="clear" w:color="auto" w:fill="FDF0F7"/>
          </w:tcPr>
          <w:p>
            <w:pPr>
              <w:spacing w:after="20" w:line="252" w:lineRule="auto"/>
            </w:pPr>
            <w:r>
              <w:rPr>
                <w:b w:val="0"/>
                <w:i w:val="0"/>
                <w:sz w:val="16"/>
              </w:rPr>
              <w:t>15.1.3</w:t>
            </w:r>
          </w:p>
        </w:tc>
        <w:tc>
          <w:tcPr>
            <w:tcW w:type="dxa" w:w="3175"/>
            <w:vAlign w:val="top"/>
            <w:shd w:val="clear" w:color="auto" w:fill="FDF0F7"/>
          </w:tcPr>
          <w:p>
            <w:pPr>
              <w:spacing w:after="20" w:line="252" w:lineRule="auto"/>
            </w:pPr>
            <w:r>
              <w:rPr>
                <w:b w:val="0"/>
                <w:i w:val="0"/>
                <w:sz w:val="16"/>
              </w:rPr>
              <w:t>Metrics</w:t>
            </w:r>
          </w:p>
        </w:tc>
      </w:tr>
      <w:tr>
        <w:trPr>
          <w:cantSplit/>
        </w:trPr>
        <w:tc>
          <w:tcPr>
            <w:tcW w:type="dxa" w:w="3175"/>
            <w:gridSpan w:val="3"/>
            <w:shd w:val="clear" w:color="auto" w:fill="FEEBDD"/>
          </w:tcPr>
          <w:p>
            <w:pPr>
              <w:keepNext/>
              <w:spacing w:after="0"/>
            </w:pPr>
            <w:r>
              <w:rPr>
                <w:b/>
                <w:i w:val="0"/>
                <w:color w:val="333333"/>
                <w:sz w:val="16"/>
              </w:rPr>
              <w:t>Front end</w:t>
            </w:r>
          </w:p>
        </w:tc>
      </w:tr>
      <w:tr>
        <w:trPr>
          <w:cantSplit/>
        </w:trPr>
        <w:tc>
          <w:tcPr>
            <w:tcW w:type="dxa" w:w="3175"/>
            <w:vAlign w:val="top"/>
          </w:tcPr>
          <w:p>
            <w:pPr>
              <w:spacing w:after="20" w:line="252" w:lineRule="auto"/>
            </w:pPr>
            <w:r>
              <w:rPr>
                <w:b w:val="0"/>
                <w:i w:val="0"/>
                <w:sz w:val="16"/>
              </w:rPr>
              <w:t>react</w:t>
            </w:r>
          </w:p>
        </w:tc>
        <w:tc>
          <w:tcPr>
            <w:tcW w:type="dxa" w:w="3288"/>
            <w:vAlign w:val="top"/>
          </w:tcPr>
          <w:p>
            <w:pPr>
              <w:spacing w:after="20" w:line="252" w:lineRule="auto"/>
            </w:pPr>
            <w:r>
              <w:rPr>
                <w:b w:val="0"/>
                <w:i w:val="0"/>
                <w:sz w:val="16"/>
              </w:rPr>
              <w:t>19.3.0</w:t>
            </w:r>
          </w:p>
        </w:tc>
        <w:tc>
          <w:tcPr>
            <w:tcW w:type="dxa" w:w="3175"/>
            <w:vAlign w:val="top"/>
          </w:tcPr>
          <w:p>
            <w:pPr>
              <w:spacing w:after="20" w:line="252" w:lineRule="auto"/>
            </w:pPr>
            <w:r>
              <w:rPr>
                <w:b w:val="0"/>
                <w:i w:val="0"/>
                <w:sz w:val="16"/>
              </w:rPr>
              <w:t>UI library</w:t>
            </w:r>
          </w:p>
        </w:tc>
      </w:tr>
      <w:tr>
        <w:trPr>
          <w:cantSplit/>
        </w:trPr>
        <w:tc>
          <w:tcPr>
            <w:tcW w:type="dxa" w:w="3175"/>
            <w:vAlign w:val="top"/>
            <w:shd w:val="clear" w:color="auto" w:fill="FDF0F7"/>
          </w:tcPr>
          <w:p>
            <w:pPr>
              <w:spacing w:after="20" w:line="252" w:lineRule="auto"/>
            </w:pPr>
            <w:r>
              <w:rPr>
                <w:b w:val="0"/>
                <w:i w:val="0"/>
                <w:sz w:val="16"/>
              </w:rPr>
              <w:t>antd</w:t>
            </w:r>
          </w:p>
        </w:tc>
        <w:tc>
          <w:tcPr>
            <w:tcW w:type="dxa" w:w="3288"/>
            <w:vAlign w:val="top"/>
            <w:shd w:val="clear" w:color="auto" w:fill="FDF0F7"/>
          </w:tcPr>
          <w:p>
            <w:pPr>
              <w:spacing w:after="20" w:line="252" w:lineRule="auto"/>
            </w:pPr>
            <w:r>
              <w:rPr>
                <w:b w:val="0"/>
                <w:i w:val="0"/>
                <w:sz w:val="16"/>
              </w:rPr>
              <w:t>6.6.5</w:t>
            </w:r>
          </w:p>
        </w:tc>
        <w:tc>
          <w:tcPr>
            <w:tcW w:type="dxa" w:w="3175"/>
            <w:vAlign w:val="top"/>
            <w:shd w:val="clear" w:color="auto" w:fill="FDF0F7"/>
          </w:tcPr>
          <w:p>
            <w:pPr>
              <w:spacing w:after="20" w:line="252" w:lineRule="auto"/>
            </w:pPr>
            <w:r>
              <w:rPr>
                <w:b w:val="0"/>
                <w:i w:val="0"/>
                <w:sz w:val="16"/>
              </w:rPr>
              <w:t>Components</w:t>
            </w:r>
          </w:p>
        </w:tc>
      </w:tr>
      <w:tr>
        <w:trPr>
          <w:cantSplit/>
        </w:trPr>
        <w:tc>
          <w:tcPr>
            <w:tcW w:type="dxa" w:w="3175"/>
            <w:vAlign w:val="top"/>
          </w:tcPr>
          <w:p>
            <w:pPr>
              <w:spacing w:after="20" w:line="252" w:lineRule="auto"/>
            </w:pPr>
            <w:r>
              <w:rPr>
                <w:b w:val="0"/>
                <w:i w:val="0"/>
                <w:sz w:val="16"/>
              </w:rPr>
              <w:t>@tanstack/react-query</w:t>
            </w:r>
          </w:p>
        </w:tc>
        <w:tc>
          <w:tcPr>
            <w:tcW w:type="dxa" w:w="3288"/>
            <w:vAlign w:val="top"/>
          </w:tcPr>
          <w:p>
            <w:pPr>
              <w:spacing w:after="20" w:line="252" w:lineRule="auto"/>
            </w:pPr>
            <w:r>
              <w:rPr>
                <w:b w:val="0"/>
                <w:i w:val="0"/>
                <w:sz w:val="16"/>
              </w:rPr>
              <w:t>5.104.1</w:t>
            </w:r>
          </w:p>
        </w:tc>
        <w:tc>
          <w:tcPr>
            <w:tcW w:type="dxa" w:w="3175"/>
            <w:vAlign w:val="top"/>
          </w:tcPr>
          <w:p>
            <w:pPr>
              <w:spacing w:after="20" w:line="252" w:lineRule="auto"/>
            </w:pPr>
            <w:r>
              <w:rPr>
                <w:b w:val="0"/>
                <w:i w:val="0"/>
                <w:sz w:val="16"/>
              </w:rPr>
              <w:t>Server state</w:t>
            </w:r>
          </w:p>
        </w:tc>
      </w:tr>
      <w:tr>
        <w:trPr>
          <w:cantSplit/>
        </w:trPr>
        <w:tc>
          <w:tcPr>
            <w:tcW w:type="dxa" w:w="3175"/>
            <w:vAlign w:val="top"/>
            <w:shd w:val="clear" w:color="auto" w:fill="FDF0F7"/>
          </w:tcPr>
          <w:p>
            <w:pPr>
              <w:spacing w:after="20" w:line="252" w:lineRule="auto"/>
            </w:pPr>
            <w:r>
              <w:rPr>
                <w:b w:val="0"/>
                <w:i w:val="0"/>
                <w:sz w:val="16"/>
              </w:rPr>
              <w:t>react-router</w:t>
            </w:r>
          </w:p>
        </w:tc>
        <w:tc>
          <w:tcPr>
            <w:tcW w:type="dxa" w:w="3288"/>
            <w:vAlign w:val="top"/>
            <w:shd w:val="clear" w:color="auto" w:fill="FDF0F7"/>
          </w:tcPr>
          <w:p>
            <w:pPr>
              <w:spacing w:after="20" w:line="252" w:lineRule="auto"/>
            </w:pPr>
            <w:r>
              <w:rPr>
                <w:b w:val="0"/>
                <w:i w:val="0"/>
                <w:sz w:val="16"/>
              </w:rPr>
              <w:t>7.18.4</w:t>
            </w:r>
          </w:p>
        </w:tc>
        <w:tc>
          <w:tcPr>
            <w:tcW w:type="dxa" w:w="3175"/>
            <w:vAlign w:val="top"/>
            <w:shd w:val="clear" w:color="auto" w:fill="FDF0F7"/>
          </w:tcPr>
          <w:p>
            <w:pPr>
              <w:spacing w:after="20" w:line="252" w:lineRule="auto"/>
            </w:pPr>
            <w:r>
              <w:rPr>
                <w:b w:val="0"/>
                <w:i w:val="0"/>
                <w:sz w:val="16"/>
              </w:rPr>
              <w:t>Routing</w:t>
            </w:r>
          </w:p>
        </w:tc>
      </w:tr>
      <w:tr>
        <w:trPr>
          <w:cantSplit/>
        </w:trPr>
        <w:tc>
          <w:tcPr>
            <w:tcW w:type="dxa" w:w="3175"/>
            <w:vAlign w:val="top"/>
          </w:tcPr>
          <w:p>
            <w:pPr>
              <w:spacing w:after="20" w:line="252" w:lineRule="auto"/>
            </w:pPr>
            <w:r>
              <w:rPr>
                <w:b w:val="0"/>
                <w:i w:val="0"/>
                <w:sz w:val="16"/>
              </w:rPr>
              <w:t>recharts</w:t>
            </w:r>
          </w:p>
        </w:tc>
        <w:tc>
          <w:tcPr>
            <w:tcW w:type="dxa" w:w="3288"/>
            <w:vAlign w:val="top"/>
          </w:tcPr>
          <w:p>
            <w:pPr>
              <w:spacing w:after="20" w:line="252" w:lineRule="auto"/>
            </w:pPr>
            <w:r>
              <w:rPr>
                <w:b w:val="0"/>
                <w:i w:val="0"/>
                <w:sz w:val="16"/>
              </w:rPr>
              <w:t>3.10.1</w:t>
            </w:r>
          </w:p>
        </w:tc>
        <w:tc>
          <w:tcPr>
            <w:tcW w:type="dxa" w:w="3175"/>
            <w:vAlign w:val="top"/>
          </w:tcPr>
          <w:p>
            <w:pPr>
              <w:spacing w:after="20" w:line="252" w:lineRule="auto"/>
            </w:pPr>
            <w:r>
              <w:rPr>
                <w:b w:val="0"/>
                <w:i w:val="0"/>
                <w:sz w:val="16"/>
              </w:rPr>
              <w:t>Charts</w:t>
            </w:r>
          </w:p>
        </w:tc>
      </w:tr>
      <w:tr>
        <w:trPr>
          <w:cantSplit/>
        </w:trPr>
        <w:tc>
          <w:tcPr>
            <w:tcW w:type="dxa" w:w="3175"/>
            <w:vAlign w:val="top"/>
            <w:shd w:val="clear" w:color="auto" w:fill="FDF0F7"/>
          </w:tcPr>
          <w:p>
            <w:pPr>
              <w:spacing w:after="20" w:line="252" w:lineRule="auto"/>
            </w:pPr>
            <w:r>
              <w:rPr>
                <w:b w:val="0"/>
                <w:i w:val="0"/>
                <w:sz w:val="16"/>
              </w:rPr>
              <w:t>vite</w:t>
            </w:r>
          </w:p>
        </w:tc>
        <w:tc>
          <w:tcPr>
            <w:tcW w:type="dxa" w:w="3288"/>
            <w:vAlign w:val="top"/>
            <w:shd w:val="clear" w:color="auto" w:fill="FDF0F7"/>
          </w:tcPr>
          <w:p>
            <w:pPr>
              <w:spacing w:after="20" w:line="252" w:lineRule="auto"/>
            </w:pPr>
            <w:r>
              <w:rPr>
                <w:b w:val="0"/>
                <w:i w:val="0"/>
                <w:sz w:val="16"/>
              </w:rPr>
              <w:t>7.3.6</w:t>
            </w:r>
          </w:p>
        </w:tc>
        <w:tc>
          <w:tcPr>
            <w:tcW w:type="dxa" w:w="3175"/>
            <w:vAlign w:val="top"/>
            <w:shd w:val="clear" w:color="auto" w:fill="FDF0F7"/>
          </w:tcPr>
          <w:p>
            <w:pPr>
              <w:spacing w:after="20" w:line="252" w:lineRule="auto"/>
            </w:pPr>
            <w:r>
              <w:rPr>
                <w:b w:val="0"/>
                <w:i w:val="0"/>
                <w:sz w:val="16"/>
              </w:rPr>
              <w:t>Build tool</w:t>
            </w:r>
          </w:p>
        </w:tc>
      </w:tr>
      <w:tr>
        <w:trPr>
          <w:cantSplit/>
        </w:trPr>
        <w:tc>
          <w:tcPr>
            <w:tcW w:type="dxa" w:w="3175"/>
            <w:gridSpan w:val="3"/>
            <w:shd w:val="clear" w:color="auto" w:fill="FEEBDD"/>
          </w:tcPr>
          <w:p>
            <w:pPr>
              <w:keepNext/>
              <w:spacing w:after="0"/>
            </w:pPr>
            <w:r>
              <w:rPr>
                <w:b/>
                <w:i w:val="0"/>
                <w:color w:val="333333"/>
                <w:sz w:val="16"/>
              </w:rPr>
              <w:t>Quality</w:t>
            </w:r>
          </w:p>
        </w:tc>
      </w:tr>
      <w:tr>
        <w:trPr>
          <w:cantSplit/>
        </w:trPr>
        <w:tc>
          <w:tcPr>
            <w:tcW w:type="dxa" w:w="3175"/>
            <w:vAlign w:val="top"/>
          </w:tcPr>
          <w:p>
            <w:pPr>
              <w:spacing w:after="20" w:line="252" w:lineRule="auto"/>
            </w:pPr>
            <w:r>
              <w:rPr>
                <w:b w:val="0"/>
                <w:i w:val="0"/>
                <w:sz w:val="16"/>
              </w:rPr>
              <w:t>vitest</w:t>
            </w:r>
          </w:p>
        </w:tc>
        <w:tc>
          <w:tcPr>
            <w:tcW w:type="dxa" w:w="3288"/>
            <w:vAlign w:val="top"/>
          </w:tcPr>
          <w:p>
            <w:pPr>
              <w:spacing w:after="20" w:line="252" w:lineRule="auto"/>
            </w:pPr>
            <w:r>
              <w:rPr>
                <w:b w:val="0"/>
                <w:i w:val="0"/>
                <w:sz w:val="16"/>
              </w:rPr>
              <w:t>4.1.11</w:t>
            </w:r>
          </w:p>
        </w:tc>
        <w:tc>
          <w:tcPr>
            <w:tcW w:type="dxa" w:w="3175"/>
            <w:vAlign w:val="top"/>
          </w:tcPr>
          <w:p>
            <w:pPr>
              <w:spacing w:after="20" w:line="252" w:lineRule="auto"/>
            </w:pPr>
            <w:r>
              <w:rPr>
                <w:b w:val="0"/>
                <w:i w:val="0"/>
                <w:sz w:val="16"/>
              </w:rPr>
              <w:t>Unit and API tests</w:t>
            </w:r>
          </w:p>
        </w:tc>
      </w:tr>
      <w:tr>
        <w:trPr>
          <w:cantSplit/>
        </w:trPr>
        <w:tc>
          <w:tcPr>
            <w:tcW w:type="dxa" w:w="3175"/>
            <w:vAlign w:val="top"/>
            <w:shd w:val="clear" w:color="auto" w:fill="FDF0F7"/>
          </w:tcPr>
          <w:p>
            <w:pPr>
              <w:spacing w:after="20" w:line="252" w:lineRule="auto"/>
            </w:pPr>
            <w:r>
              <w:rPr>
                <w:b w:val="0"/>
                <w:i w:val="0"/>
                <w:sz w:val="16"/>
              </w:rPr>
              <w:t>supertest</w:t>
            </w:r>
          </w:p>
        </w:tc>
        <w:tc>
          <w:tcPr>
            <w:tcW w:type="dxa" w:w="3288"/>
            <w:vAlign w:val="top"/>
            <w:shd w:val="clear" w:color="auto" w:fill="FDF0F7"/>
          </w:tcPr>
          <w:p>
            <w:pPr>
              <w:spacing w:after="20" w:line="252" w:lineRule="auto"/>
            </w:pPr>
            <w:r>
              <w:rPr>
                <w:b w:val="0"/>
                <w:i w:val="0"/>
                <w:sz w:val="16"/>
              </w:rPr>
              <w:t>7.3.0</w:t>
            </w:r>
          </w:p>
        </w:tc>
        <w:tc>
          <w:tcPr>
            <w:tcW w:type="dxa" w:w="3175"/>
            <w:vAlign w:val="top"/>
            <w:shd w:val="clear" w:color="auto" w:fill="FDF0F7"/>
          </w:tcPr>
          <w:p>
            <w:pPr>
              <w:spacing w:after="20" w:line="252" w:lineRule="auto"/>
            </w:pPr>
            <w:r>
              <w:rPr>
                <w:b w:val="0"/>
                <w:i w:val="0"/>
                <w:sz w:val="16"/>
              </w:rPr>
              <w:t>HTTP tests</w:t>
            </w:r>
          </w:p>
        </w:tc>
      </w:tr>
      <w:tr>
        <w:trPr>
          <w:cantSplit/>
        </w:trPr>
        <w:tc>
          <w:tcPr>
            <w:tcW w:type="dxa" w:w="3175"/>
            <w:vAlign w:val="top"/>
          </w:tcPr>
          <w:p>
            <w:pPr>
              <w:spacing w:after="20" w:line="252" w:lineRule="auto"/>
            </w:pPr>
            <w:r>
              <w:rPr>
                <w:b w:val="0"/>
                <w:i w:val="0"/>
                <w:sz w:val="16"/>
              </w:rPr>
              <w:t>oxlint</w:t>
            </w:r>
          </w:p>
        </w:tc>
        <w:tc>
          <w:tcPr>
            <w:tcW w:type="dxa" w:w="3288"/>
            <w:vAlign w:val="top"/>
          </w:tcPr>
          <w:p>
            <w:pPr>
              <w:spacing w:after="20" w:line="252" w:lineRule="auto"/>
            </w:pPr>
            <w:r>
              <w:rPr>
                <w:b w:val="0"/>
                <w:i w:val="0"/>
                <w:sz w:val="16"/>
              </w:rPr>
              <w:t>1.86.0</w:t>
            </w:r>
          </w:p>
        </w:tc>
        <w:tc>
          <w:tcPr>
            <w:tcW w:type="dxa" w:w="3175"/>
            <w:vAlign w:val="top"/>
          </w:tcPr>
          <w:p>
            <w:pPr>
              <w:spacing w:after="20" w:line="252" w:lineRule="auto"/>
            </w:pPr>
            <w:r>
              <w:rPr>
                <w:b w:val="0"/>
                <w:i w:val="0"/>
                <w:sz w:val="16"/>
              </w:rPr>
              <w:t>Linting</w:t>
            </w:r>
          </w:p>
        </w:tc>
      </w:tr>
      <w:tr>
        <w:trPr>
          <w:cantSplit/>
        </w:trPr>
        <w:tc>
          <w:tcPr>
            <w:tcW w:type="dxa" w:w="3175"/>
            <w:vAlign w:val="top"/>
            <w:shd w:val="clear" w:color="auto" w:fill="FDF0F7"/>
          </w:tcPr>
          <w:p>
            <w:pPr>
              <w:spacing w:after="20" w:line="252" w:lineRule="auto"/>
            </w:pPr>
            <w:r>
              <w:rPr>
                <w:b w:val="0"/>
                <w:i w:val="0"/>
                <w:sz w:val="16"/>
              </w:rPr>
              <w:t>prettier</w:t>
            </w:r>
          </w:p>
        </w:tc>
        <w:tc>
          <w:tcPr>
            <w:tcW w:type="dxa" w:w="3288"/>
            <w:vAlign w:val="top"/>
            <w:shd w:val="clear" w:color="auto" w:fill="FDF0F7"/>
          </w:tcPr>
          <w:p>
            <w:pPr>
              <w:spacing w:after="20" w:line="252" w:lineRule="auto"/>
            </w:pPr>
            <w:r>
              <w:rPr>
                <w:b w:val="0"/>
                <w:i w:val="0"/>
                <w:sz w:val="16"/>
              </w:rPr>
              <w:t>3.9.9</w:t>
            </w:r>
          </w:p>
        </w:tc>
        <w:tc>
          <w:tcPr>
            <w:tcW w:type="dxa" w:w="3175"/>
            <w:vAlign w:val="top"/>
            <w:shd w:val="clear" w:color="auto" w:fill="FDF0F7"/>
          </w:tcPr>
          <w:p>
            <w:pPr>
              <w:spacing w:after="20" w:line="252" w:lineRule="auto"/>
            </w:pPr>
            <w:r>
              <w:rPr>
                <w:b w:val="0"/>
                <w:i w:val="0"/>
                <w:sz w:val="16"/>
              </w:rPr>
              <w:t>Formatting</w:t>
            </w:r>
          </w:p>
        </w:tc>
      </w:tr>
      <w:tr>
        <w:trPr>
          <w:cantSplit/>
        </w:trPr>
        <w:tc>
          <w:tcPr>
            <w:tcW w:type="dxa" w:w="3175"/>
            <w:gridSpan w:val="3"/>
            <w:shd w:val="clear" w:color="auto" w:fill="FEEBDD"/>
          </w:tcPr>
          <w:p>
            <w:pPr>
              <w:keepNext/>
              <w:spacing w:after="0"/>
            </w:pPr>
            <w:r>
              <w:rPr>
                <w:b/>
                <w:i w:val="0"/>
                <w:color w:val="333333"/>
                <w:sz w:val="16"/>
              </w:rPr>
              <w:t>Delivery</w:t>
            </w:r>
          </w:p>
        </w:tc>
      </w:tr>
      <w:tr>
        <w:trPr>
          <w:cantSplit/>
        </w:trPr>
        <w:tc>
          <w:tcPr>
            <w:tcW w:type="dxa" w:w="3175"/>
            <w:vAlign w:val="top"/>
          </w:tcPr>
          <w:p>
            <w:pPr>
              <w:spacing w:after="20" w:line="252" w:lineRule="auto"/>
            </w:pPr>
            <w:r>
              <w:rPr>
                <w:b w:val="0"/>
                <w:i w:val="0"/>
                <w:sz w:val="16"/>
              </w:rPr>
              <w:t>Docker images</w:t>
            </w:r>
          </w:p>
        </w:tc>
        <w:tc>
          <w:tcPr>
            <w:tcW w:type="dxa" w:w="3288"/>
            <w:vAlign w:val="top"/>
          </w:tcPr>
          <w:p>
            <w:pPr>
              <w:spacing w:after="20" w:line="252" w:lineRule="auto"/>
            </w:pPr>
            <w:r>
              <w:rPr>
                <w:b w:val="0"/>
                <w:i w:val="0"/>
                <w:sz w:val="16"/>
              </w:rPr>
              <w:t>node:22-bookworm-slim, nginx-unprivileged 1.29</w:t>
            </w:r>
          </w:p>
        </w:tc>
        <w:tc>
          <w:tcPr>
            <w:tcW w:type="dxa" w:w="3175"/>
            <w:vAlign w:val="top"/>
          </w:tcPr>
          <w:p>
            <w:pPr>
              <w:spacing w:after="20" w:line="252" w:lineRule="auto"/>
            </w:pPr>
            <w:r>
              <w:rPr>
                <w:b w:val="0"/>
                <w:i w:val="0"/>
                <w:sz w:val="16"/>
              </w:rPr>
              <w:t>Containers</w:t>
            </w:r>
          </w:p>
        </w:tc>
      </w:tr>
      <w:tr>
        <w:trPr>
          <w:cantSplit/>
        </w:trPr>
        <w:tc>
          <w:tcPr>
            <w:tcW w:type="dxa" w:w="3175"/>
            <w:vAlign w:val="top"/>
            <w:shd w:val="clear" w:color="auto" w:fill="FDF0F7"/>
          </w:tcPr>
          <w:p>
            <w:pPr>
              <w:spacing w:after="20" w:line="252" w:lineRule="auto"/>
            </w:pPr>
            <w:r>
              <w:rPr>
                <w:b w:val="0"/>
                <w:i w:val="0"/>
                <w:sz w:val="16"/>
              </w:rPr>
              <w:t>GitHub Actions / GitLab CI</w:t>
            </w:r>
          </w:p>
        </w:tc>
        <w:tc>
          <w:tcPr>
            <w:tcW w:type="dxa" w:w="3288"/>
            <w:vAlign w:val="top"/>
            <w:shd w:val="clear" w:color="auto" w:fill="FDF0F7"/>
          </w:tcPr>
          <w:p>
            <w:pPr>
              <w:spacing w:after="20" w:line="252" w:lineRule="auto"/>
            </w:pPr>
            <w:r>
              <w:rPr>
                <w:b w:val="0"/>
                <w:i w:val="0"/>
                <w:sz w:val="16"/>
              </w:rPr>
              <w:t>ci.yml</w:t>
            </w:r>
          </w:p>
        </w:tc>
        <w:tc>
          <w:tcPr>
            <w:tcW w:type="dxa" w:w="3175"/>
            <w:vAlign w:val="top"/>
            <w:shd w:val="clear" w:color="auto" w:fill="FDF0F7"/>
          </w:tcPr>
          <w:p>
            <w:pPr>
              <w:spacing w:after="20" w:line="252" w:lineRule="auto"/>
            </w:pPr>
            <w:r>
              <w:rPr>
                <w:b w:val="0"/>
                <w:i w:val="0"/>
                <w:sz w:val="16"/>
              </w:rPr>
              <w:t>Pipeline</w:t>
            </w:r>
          </w:p>
        </w:tc>
      </w:tr>
      <w:tr>
        <w:trPr>
          <w:cantSplit/>
        </w:trPr>
        <w:tc>
          <w:tcPr>
            <w:tcW w:type="dxa" w:w="3175"/>
            <w:vAlign w:val="top"/>
          </w:tcPr>
          <w:p>
            <w:pPr>
              <w:spacing w:after="20" w:line="252" w:lineRule="auto"/>
            </w:pPr>
            <w:r>
              <w:rPr>
                <w:b w:val="0"/>
                <w:i w:val="0"/>
                <w:sz w:val="16"/>
              </w:rPr>
              <w:t>Trivy</w:t>
            </w:r>
          </w:p>
        </w:tc>
        <w:tc>
          <w:tcPr>
            <w:tcW w:type="dxa" w:w="3288"/>
            <w:vAlign w:val="top"/>
          </w:tcPr>
          <w:p>
            <w:pPr>
              <w:spacing w:after="20" w:line="252" w:lineRule="auto"/>
            </w:pPr>
            <w:r>
              <w:rPr>
                <w:b w:val="0"/>
                <w:i w:val="0"/>
                <w:sz w:val="16"/>
              </w:rPr>
              <w:t>0.28 action</w:t>
            </w:r>
          </w:p>
        </w:tc>
        <w:tc>
          <w:tcPr>
            <w:tcW w:type="dxa" w:w="3175"/>
            <w:vAlign w:val="top"/>
          </w:tcPr>
          <w:p>
            <w:pPr>
              <w:spacing w:after="20" w:line="252" w:lineRule="auto"/>
            </w:pPr>
            <w:r>
              <w:rPr>
                <w:b w:val="0"/>
                <w:i w:val="0"/>
                <w:sz w:val="16"/>
              </w:rPr>
              <w:t>Image scan</w:t>
            </w:r>
          </w:p>
        </w:tc>
      </w:tr>
    </w:tbl>
    <w:p>
      <w:pPr>
        <w:pStyle w:val="Caption"/>
        <w:jc w:val="center"/>
      </w:pPr>
      <w:r>
        <w:rPr>
          <w:b w:val="0"/>
          <w:i w:val="0"/>
        </w:rPr>
        <w:t>Table 37: Technology stack</w:t>
      </w:r>
    </w:p>
    <w:p>
      <w:pPr>
        <w:pStyle w:val="Heading1"/>
        <w:pageBreakBefore/>
        <w:pBdr>
          <w:bottom w:val="single" w:sz="12" w:space="4" w:color="F58220"/>
        </w:pBdr>
      </w:pPr>
      <w:r>
        <w:t>13. Architecture Decisions</w:t>
      </w:r>
    </w:p>
    <w:p>
      <w:pPr>
        <w:keepNext w:val="0"/>
      </w:pPr>
      <w:r>
        <w:rPr>
          <w:b w:val="0"/>
          <w:i w:val="0"/>
        </w:rPr>
        <w:t>Each decision is recorded with the options considered and the reason for the choice. Changes to these decisions follow the change process and are added here.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737"/>
        <w:gridCol w:w="2041"/>
        <w:gridCol w:w="2494"/>
        <w:gridCol w:w="4365"/>
      </w:tblGrid>
      <w:tr>
        <w:trPr>
          <w:cantSplit/>
          <w:tblHeader/>
        </w:trPr>
        <w:tc>
          <w:tcPr>
            <w:tcW w:type="dxa" w:w="737"/>
            <w:shd w:val="clear" w:color="auto" w:fill="E1058C"/>
            <w:vAlign w:val="center"/>
          </w:tcPr>
          <w:p>
            <w:pPr>
              <w:spacing w:after="0"/>
            </w:pPr>
            <w:r>
              <w:rPr>
                <w:b/>
                <w:i w:val="0"/>
                <w:color w:val="FFFFFF"/>
                <w:sz w:val="16"/>
              </w:rPr>
              <w:t>Id</w:t>
            </w:r>
          </w:p>
        </w:tc>
        <w:tc>
          <w:tcPr>
            <w:tcW w:type="dxa" w:w="2041"/>
            <w:shd w:val="clear" w:color="auto" w:fill="E1058C"/>
            <w:vAlign w:val="center"/>
          </w:tcPr>
          <w:p>
            <w:pPr>
              <w:spacing w:after="0"/>
            </w:pPr>
            <w:r>
              <w:rPr>
                <w:b/>
                <w:i w:val="0"/>
                <w:color w:val="FFFFFF"/>
                <w:sz w:val="16"/>
              </w:rPr>
              <w:t>Decision</w:t>
            </w:r>
          </w:p>
        </w:tc>
        <w:tc>
          <w:tcPr>
            <w:tcW w:type="dxa" w:w="2494"/>
            <w:shd w:val="clear" w:color="auto" w:fill="E1058C"/>
            <w:vAlign w:val="center"/>
          </w:tcPr>
          <w:p>
            <w:pPr>
              <w:spacing w:after="0"/>
            </w:pPr>
            <w:r>
              <w:rPr>
                <w:b/>
                <w:i w:val="0"/>
                <w:color w:val="FFFFFF"/>
                <w:sz w:val="16"/>
              </w:rPr>
              <w:t>Options considered</w:t>
            </w:r>
          </w:p>
        </w:tc>
        <w:tc>
          <w:tcPr>
            <w:tcW w:type="dxa" w:w="4365"/>
            <w:shd w:val="clear" w:color="auto" w:fill="E1058C"/>
            <w:vAlign w:val="center"/>
          </w:tcPr>
          <w:p>
            <w:pPr>
              <w:spacing w:after="0"/>
            </w:pPr>
            <w:r>
              <w:rPr>
                <w:b/>
                <w:i w:val="0"/>
                <w:color w:val="FFFFFF"/>
                <w:sz w:val="16"/>
              </w:rPr>
              <w:t>Rationale</w:t>
            </w:r>
          </w:p>
        </w:tc>
      </w:tr>
      <w:tr>
        <w:trPr>
          <w:cantSplit/>
        </w:trPr>
        <w:tc>
          <w:tcPr>
            <w:tcW w:type="dxa" w:w="737"/>
            <w:vAlign w:val="top"/>
          </w:tcPr>
          <w:p>
            <w:pPr>
              <w:spacing w:after="20" w:line="252" w:lineRule="auto"/>
            </w:pPr>
            <w:r>
              <w:rPr>
                <w:b w:val="0"/>
                <w:i w:val="0"/>
                <w:sz w:val="16"/>
              </w:rPr>
              <w:t>AD-01</w:t>
            </w:r>
          </w:p>
        </w:tc>
        <w:tc>
          <w:tcPr>
            <w:tcW w:type="dxa" w:w="2041"/>
            <w:vAlign w:val="top"/>
          </w:tcPr>
          <w:p>
            <w:pPr>
              <w:spacing w:after="20" w:line="252" w:lineRule="auto"/>
            </w:pPr>
            <w:r>
              <w:rPr>
                <w:b w:val="0"/>
                <w:i w:val="0"/>
                <w:sz w:val="16"/>
              </w:rPr>
              <w:t>Modular monolith</w:t>
            </w:r>
          </w:p>
        </w:tc>
        <w:tc>
          <w:tcPr>
            <w:tcW w:type="dxa" w:w="2494"/>
            <w:vAlign w:val="top"/>
          </w:tcPr>
          <w:p>
            <w:pPr>
              <w:spacing w:after="20" w:line="252" w:lineRule="auto"/>
            </w:pPr>
            <w:r>
              <w:rPr>
                <w:b w:val="0"/>
                <w:i w:val="0"/>
                <w:sz w:val="16"/>
              </w:rPr>
              <w:t>Microservices; modular monolith</w:t>
            </w:r>
          </w:p>
        </w:tc>
        <w:tc>
          <w:tcPr>
            <w:tcW w:type="dxa" w:w="4365"/>
            <w:vAlign w:val="top"/>
          </w:tcPr>
          <w:p>
            <w:pPr>
              <w:spacing w:after="20" w:line="252" w:lineRule="auto"/>
            </w:pPr>
            <w:r>
              <w:rPr>
                <w:b w:val="0"/>
                <w:i w:val="0"/>
                <w:sz w:val="16"/>
              </w:rPr>
              <w:t>Small user base and volume; one deployment and one database transaction per operation; module boundaries keep a later split possible.</w:t>
            </w:r>
          </w:p>
        </w:tc>
      </w:tr>
      <w:tr>
        <w:trPr>
          <w:cantSplit/>
        </w:trPr>
        <w:tc>
          <w:tcPr>
            <w:tcW w:type="dxa" w:w="737"/>
            <w:vAlign w:val="top"/>
            <w:shd w:val="clear" w:color="auto" w:fill="FDF0F7"/>
          </w:tcPr>
          <w:p>
            <w:pPr>
              <w:spacing w:after="20" w:line="252" w:lineRule="auto"/>
            </w:pPr>
            <w:r>
              <w:rPr>
                <w:b w:val="0"/>
                <w:i w:val="0"/>
                <w:sz w:val="16"/>
              </w:rPr>
              <w:t>AD-02</w:t>
            </w:r>
          </w:p>
        </w:tc>
        <w:tc>
          <w:tcPr>
            <w:tcW w:type="dxa" w:w="2041"/>
            <w:vAlign w:val="top"/>
            <w:shd w:val="clear" w:color="auto" w:fill="FDF0F7"/>
          </w:tcPr>
          <w:p>
            <w:pPr>
              <w:spacing w:after="20" w:line="252" w:lineRule="auto"/>
            </w:pPr>
            <w:r>
              <w:rPr>
                <w:b w:val="0"/>
                <w:i w:val="0"/>
                <w:sz w:val="16"/>
              </w:rPr>
              <w:t>PostgreSQL 16</w:t>
            </w:r>
          </w:p>
        </w:tc>
        <w:tc>
          <w:tcPr>
            <w:tcW w:type="dxa" w:w="2494"/>
            <w:vAlign w:val="top"/>
            <w:shd w:val="clear" w:color="auto" w:fill="FDF0F7"/>
          </w:tcPr>
          <w:p>
            <w:pPr>
              <w:spacing w:after="20" w:line="252" w:lineRule="auto"/>
            </w:pPr>
            <w:r>
              <w:rPr>
                <w:b w:val="0"/>
                <w:i w:val="0"/>
                <w:sz w:val="16"/>
              </w:rPr>
              <w:t>PostgreSQL; MongoDB; SQL Server</w:t>
            </w:r>
          </w:p>
        </w:tc>
        <w:tc>
          <w:tcPr>
            <w:tcW w:type="dxa" w:w="4365"/>
            <w:vAlign w:val="top"/>
            <w:shd w:val="clear" w:color="auto" w:fill="FDF0F7"/>
          </w:tcPr>
          <w:p>
            <w:pPr>
              <w:spacing w:after="20" w:line="252" w:lineRule="auto"/>
            </w:pPr>
            <w:r>
              <w:rPr>
                <w:b w:val="0"/>
                <w:i w:val="0"/>
                <w:sz w:val="16"/>
              </w:rPr>
              <w:t>Relational, financial data with ACID across tables; no licence fee; mature replication and PITR; JSONB where flexibility is needed (section 6.2).</w:t>
            </w:r>
          </w:p>
        </w:tc>
      </w:tr>
      <w:tr>
        <w:trPr>
          <w:cantSplit/>
        </w:trPr>
        <w:tc>
          <w:tcPr>
            <w:tcW w:type="dxa" w:w="737"/>
            <w:vAlign w:val="top"/>
          </w:tcPr>
          <w:p>
            <w:pPr>
              <w:spacing w:after="20" w:line="252" w:lineRule="auto"/>
            </w:pPr>
            <w:r>
              <w:rPr>
                <w:b w:val="0"/>
                <w:i w:val="0"/>
                <w:sz w:val="16"/>
              </w:rPr>
              <w:t>AD-03</w:t>
            </w:r>
          </w:p>
        </w:tc>
        <w:tc>
          <w:tcPr>
            <w:tcW w:type="dxa" w:w="2041"/>
            <w:vAlign w:val="top"/>
          </w:tcPr>
          <w:p>
            <w:pPr>
              <w:spacing w:after="20" w:line="252" w:lineRule="auto"/>
            </w:pPr>
            <w:r>
              <w:rPr>
                <w:b w:val="0"/>
                <w:i w:val="0"/>
                <w:sz w:val="16"/>
              </w:rPr>
              <w:t>Prisma 7 with the pg driver adapter</w:t>
            </w:r>
          </w:p>
        </w:tc>
        <w:tc>
          <w:tcPr>
            <w:tcW w:type="dxa" w:w="2494"/>
            <w:vAlign w:val="top"/>
          </w:tcPr>
          <w:p>
            <w:pPr>
              <w:spacing w:after="20" w:line="252" w:lineRule="auto"/>
            </w:pPr>
            <w:r>
              <w:rPr>
                <w:b w:val="0"/>
                <w:i w:val="0"/>
                <w:sz w:val="16"/>
              </w:rPr>
              <w:t>Prisma; TypeORM; Knex; hand-written SQL</w:t>
            </w:r>
          </w:p>
        </w:tc>
        <w:tc>
          <w:tcPr>
            <w:tcW w:type="dxa" w:w="4365"/>
            <w:vAlign w:val="top"/>
          </w:tcPr>
          <w:p>
            <w:pPr>
              <w:spacing w:after="20" w:line="252" w:lineRule="auto"/>
            </w:pPr>
            <w:r>
              <w:rPr>
                <w:b w:val="0"/>
                <w:i w:val="0"/>
                <w:sz w:val="16"/>
              </w:rPr>
              <w:t>Typed queries generated from one schema; parameterised by construction; versioned SQL migrations reviewed in code review.</w:t>
            </w:r>
          </w:p>
        </w:tc>
      </w:tr>
      <w:tr>
        <w:trPr>
          <w:cantSplit/>
        </w:trPr>
        <w:tc>
          <w:tcPr>
            <w:tcW w:type="dxa" w:w="737"/>
            <w:vAlign w:val="top"/>
            <w:shd w:val="clear" w:color="auto" w:fill="FDF0F7"/>
          </w:tcPr>
          <w:p>
            <w:pPr>
              <w:spacing w:after="20" w:line="252" w:lineRule="auto"/>
            </w:pPr>
            <w:r>
              <w:rPr>
                <w:b w:val="0"/>
                <w:i w:val="0"/>
                <w:sz w:val="16"/>
              </w:rPr>
              <w:t>AD-04</w:t>
            </w:r>
          </w:p>
        </w:tc>
        <w:tc>
          <w:tcPr>
            <w:tcW w:type="dxa" w:w="2041"/>
            <w:vAlign w:val="top"/>
            <w:shd w:val="clear" w:color="auto" w:fill="FDF0F7"/>
          </w:tcPr>
          <w:p>
            <w:pPr>
              <w:spacing w:after="20" w:line="252" w:lineRule="auto"/>
            </w:pPr>
            <w:r>
              <w:rPr>
                <w:b w:val="0"/>
                <w:i w:val="0"/>
                <w:sz w:val="16"/>
              </w:rPr>
              <w:t>Server-side sessions</w:t>
            </w:r>
          </w:p>
        </w:tc>
        <w:tc>
          <w:tcPr>
            <w:tcW w:type="dxa" w:w="2494"/>
            <w:vAlign w:val="top"/>
            <w:shd w:val="clear" w:color="auto" w:fill="FDF0F7"/>
          </w:tcPr>
          <w:p>
            <w:pPr>
              <w:spacing w:after="20" w:line="252" w:lineRule="auto"/>
            </w:pPr>
            <w:r>
              <w:rPr>
                <w:b w:val="0"/>
                <w:i w:val="0"/>
                <w:sz w:val="16"/>
              </w:rPr>
              <w:t>Sessions in PostgreSQL; JWT in browser storage</w:t>
            </w:r>
          </w:p>
        </w:tc>
        <w:tc>
          <w:tcPr>
            <w:tcW w:type="dxa" w:w="4365"/>
            <w:vAlign w:val="top"/>
            <w:shd w:val="clear" w:color="auto" w:fill="FDF0F7"/>
          </w:tcPr>
          <w:p>
            <w:pPr>
              <w:spacing w:after="20" w:line="252" w:lineRule="auto"/>
            </w:pPr>
            <w:r>
              <w:rPr>
                <w:b w:val="0"/>
                <w:i w:val="0"/>
                <w:sz w:val="16"/>
              </w:rPr>
              <w:t>Revocable at once (sign-out, lockout, deactivation, password change); no tokens readable by scripts; no extra session store.</w:t>
            </w:r>
          </w:p>
        </w:tc>
      </w:tr>
      <w:tr>
        <w:trPr>
          <w:cantSplit/>
        </w:trPr>
        <w:tc>
          <w:tcPr>
            <w:tcW w:type="dxa" w:w="737"/>
            <w:vAlign w:val="top"/>
          </w:tcPr>
          <w:p>
            <w:pPr>
              <w:spacing w:after="20" w:line="252" w:lineRule="auto"/>
            </w:pPr>
            <w:r>
              <w:rPr>
                <w:b w:val="0"/>
                <w:i w:val="0"/>
                <w:sz w:val="16"/>
              </w:rPr>
              <w:t>AD-05</w:t>
            </w:r>
          </w:p>
        </w:tc>
        <w:tc>
          <w:tcPr>
            <w:tcW w:type="dxa" w:w="2041"/>
            <w:vAlign w:val="top"/>
          </w:tcPr>
          <w:p>
            <w:pPr>
              <w:spacing w:after="20" w:line="252" w:lineRule="auto"/>
            </w:pPr>
            <w:r>
              <w:rPr>
                <w:b w:val="0"/>
                <w:i w:val="0"/>
                <w:sz w:val="16"/>
              </w:rPr>
              <w:t>Synchroniser CSRF token with SameSite=Strict</w:t>
            </w:r>
          </w:p>
        </w:tc>
        <w:tc>
          <w:tcPr>
            <w:tcW w:type="dxa" w:w="2494"/>
            <w:vAlign w:val="top"/>
          </w:tcPr>
          <w:p>
            <w:pPr>
              <w:spacing w:after="20" w:line="252" w:lineRule="auto"/>
            </w:pPr>
            <w:r>
              <w:rPr>
                <w:b w:val="0"/>
                <w:i w:val="0"/>
                <w:sz w:val="16"/>
              </w:rPr>
              <w:t>Synchroniser token; double-submit cookie; SameSite only</w:t>
            </w:r>
          </w:p>
        </w:tc>
        <w:tc>
          <w:tcPr>
            <w:tcW w:type="dxa" w:w="4365"/>
            <w:vAlign w:val="top"/>
          </w:tcPr>
          <w:p>
            <w:pPr>
              <w:spacing w:after="20" w:line="252" w:lineRule="auto"/>
            </w:pPr>
            <w:r>
              <w:rPr>
                <w:b w:val="0"/>
                <w:i w:val="0"/>
                <w:sz w:val="16"/>
              </w:rPr>
              <w:t>Token bound to the server session and checked in constant time; SameSite gives a second layer.</w:t>
            </w:r>
          </w:p>
        </w:tc>
      </w:tr>
      <w:tr>
        <w:trPr>
          <w:cantSplit/>
        </w:trPr>
        <w:tc>
          <w:tcPr>
            <w:tcW w:type="dxa" w:w="737"/>
            <w:vAlign w:val="top"/>
            <w:shd w:val="clear" w:color="auto" w:fill="FDF0F7"/>
          </w:tcPr>
          <w:p>
            <w:pPr>
              <w:spacing w:after="20" w:line="252" w:lineRule="auto"/>
            </w:pPr>
            <w:r>
              <w:rPr>
                <w:b w:val="0"/>
                <w:i w:val="0"/>
                <w:sz w:val="16"/>
              </w:rPr>
              <w:t>AD-06</w:t>
            </w:r>
          </w:p>
        </w:tc>
        <w:tc>
          <w:tcPr>
            <w:tcW w:type="dxa" w:w="2041"/>
            <w:vAlign w:val="top"/>
            <w:shd w:val="clear" w:color="auto" w:fill="FDF0F7"/>
          </w:tcPr>
          <w:p>
            <w:pPr>
              <w:spacing w:after="20" w:line="252" w:lineRule="auto"/>
            </w:pPr>
            <w:r>
              <w:rPr>
                <w:b w:val="0"/>
                <w:i w:val="0"/>
                <w:sz w:val="16"/>
              </w:rPr>
              <w:t>Argon2id</w:t>
            </w:r>
          </w:p>
        </w:tc>
        <w:tc>
          <w:tcPr>
            <w:tcW w:type="dxa" w:w="2494"/>
            <w:vAlign w:val="top"/>
            <w:shd w:val="clear" w:color="auto" w:fill="FDF0F7"/>
          </w:tcPr>
          <w:p>
            <w:pPr>
              <w:spacing w:after="20" w:line="252" w:lineRule="auto"/>
            </w:pPr>
            <w:r>
              <w:rPr>
                <w:b w:val="0"/>
                <w:i w:val="0"/>
                <w:sz w:val="16"/>
              </w:rPr>
              <w:t>Argon2id; bcrypt; PBKDF2</w:t>
            </w:r>
          </w:p>
        </w:tc>
        <w:tc>
          <w:tcPr>
            <w:tcW w:type="dxa" w:w="4365"/>
            <w:vAlign w:val="top"/>
            <w:shd w:val="clear" w:color="auto" w:fill="FDF0F7"/>
          </w:tcPr>
          <w:p>
            <w:pPr>
              <w:spacing w:after="20" w:line="252" w:lineRule="auto"/>
            </w:pPr>
            <w:r>
              <w:rPr>
                <w:b w:val="0"/>
                <w:i w:val="0"/>
                <w:sz w:val="16"/>
              </w:rPr>
              <w:t>Current OWASP recommendation; memory-hard; native implementation without build tools.</w:t>
            </w:r>
          </w:p>
        </w:tc>
      </w:tr>
      <w:tr>
        <w:trPr>
          <w:cantSplit/>
        </w:trPr>
        <w:tc>
          <w:tcPr>
            <w:tcW w:type="dxa" w:w="737"/>
            <w:vAlign w:val="top"/>
          </w:tcPr>
          <w:p>
            <w:pPr>
              <w:spacing w:after="20" w:line="252" w:lineRule="auto"/>
            </w:pPr>
            <w:r>
              <w:rPr>
                <w:b w:val="0"/>
                <w:i w:val="0"/>
                <w:sz w:val="16"/>
              </w:rPr>
              <w:t>AD-07</w:t>
            </w:r>
          </w:p>
        </w:tc>
        <w:tc>
          <w:tcPr>
            <w:tcW w:type="dxa" w:w="2041"/>
            <w:vAlign w:val="top"/>
          </w:tcPr>
          <w:p>
            <w:pPr>
              <w:spacing w:after="20" w:line="252" w:lineRule="auto"/>
            </w:pPr>
            <w:r>
              <w:rPr>
                <w:b w:val="0"/>
                <w:i w:val="0"/>
                <w:sz w:val="16"/>
              </w:rPr>
              <w:t>Application-level field encryption with blind index</w:t>
            </w:r>
          </w:p>
        </w:tc>
        <w:tc>
          <w:tcPr>
            <w:tcW w:type="dxa" w:w="2494"/>
            <w:vAlign w:val="top"/>
          </w:tcPr>
          <w:p>
            <w:pPr>
              <w:spacing w:after="20" w:line="252" w:lineRule="auto"/>
            </w:pPr>
            <w:r>
              <w:rPr>
                <w:b w:val="0"/>
                <w:i w:val="0"/>
                <w:sz w:val="16"/>
              </w:rPr>
              <w:t>Disk encryption only; pgcrypto; application encryption</w:t>
            </w:r>
          </w:p>
        </w:tc>
        <w:tc>
          <w:tcPr>
            <w:tcW w:type="dxa" w:w="4365"/>
            <w:vAlign w:val="top"/>
          </w:tcPr>
          <w:p>
            <w:pPr>
              <w:spacing w:after="20" w:line="252" w:lineRule="auto"/>
            </w:pPr>
            <w:r>
              <w:rPr>
                <w:b w:val="0"/>
                <w:i w:val="0"/>
                <w:sz w:val="16"/>
              </w:rPr>
              <w:t>Keys never reach the database server; database administrators and backups see ciphertext; exact search and uniqueness still work.</w:t>
            </w:r>
          </w:p>
        </w:tc>
      </w:tr>
      <w:tr>
        <w:trPr>
          <w:cantSplit/>
        </w:trPr>
        <w:tc>
          <w:tcPr>
            <w:tcW w:type="dxa" w:w="737"/>
            <w:vAlign w:val="top"/>
            <w:shd w:val="clear" w:color="auto" w:fill="FDF0F7"/>
          </w:tcPr>
          <w:p>
            <w:pPr>
              <w:spacing w:after="20" w:line="252" w:lineRule="auto"/>
            </w:pPr>
            <w:r>
              <w:rPr>
                <w:b w:val="0"/>
                <w:i w:val="0"/>
                <w:sz w:val="16"/>
              </w:rPr>
              <w:t>AD-08</w:t>
            </w:r>
          </w:p>
        </w:tc>
        <w:tc>
          <w:tcPr>
            <w:tcW w:type="dxa" w:w="2041"/>
            <w:vAlign w:val="top"/>
            <w:shd w:val="clear" w:color="auto" w:fill="FDF0F7"/>
          </w:tcPr>
          <w:p>
            <w:pPr>
              <w:spacing w:after="20" w:line="252" w:lineRule="auto"/>
            </w:pPr>
            <w:r>
              <w:rPr>
                <w:b w:val="0"/>
                <w:i w:val="0"/>
                <w:sz w:val="16"/>
              </w:rPr>
              <w:t>Transactional outbox</w:t>
            </w:r>
          </w:p>
        </w:tc>
        <w:tc>
          <w:tcPr>
            <w:tcW w:type="dxa" w:w="2494"/>
            <w:vAlign w:val="top"/>
            <w:shd w:val="clear" w:color="auto" w:fill="FDF0F7"/>
          </w:tcPr>
          <w:p>
            <w:pPr>
              <w:spacing w:after="20" w:line="252" w:lineRule="auto"/>
            </w:pPr>
            <w:r>
              <w:rPr>
                <w:b w:val="0"/>
                <w:i w:val="0"/>
                <w:sz w:val="16"/>
              </w:rPr>
              <w:t>Synchronous calls; message broker; outbox table</w:t>
            </w:r>
          </w:p>
        </w:tc>
        <w:tc>
          <w:tcPr>
            <w:tcW w:type="dxa" w:w="4365"/>
            <w:vAlign w:val="top"/>
            <w:shd w:val="clear" w:color="auto" w:fill="FDF0F7"/>
          </w:tcPr>
          <w:p>
            <w:pPr>
              <w:spacing w:after="20" w:line="252" w:lineRule="auto"/>
            </w:pPr>
            <w:r>
              <w:rPr>
                <w:b w:val="0"/>
                <w:i w:val="0"/>
                <w:sz w:val="16"/>
              </w:rPr>
              <w:t>A message exists exactly when the business change commits; retries survive restarts; no broker to run for this volume.</w:t>
            </w:r>
          </w:p>
        </w:tc>
      </w:tr>
      <w:tr>
        <w:trPr>
          <w:cantSplit/>
        </w:trPr>
        <w:tc>
          <w:tcPr>
            <w:tcW w:type="dxa" w:w="737"/>
            <w:vAlign w:val="top"/>
          </w:tcPr>
          <w:p>
            <w:pPr>
              <w:spacing w:after="20" w:line="252" w:lineRule="auto"/>
            </w:pPr>
            <w:r>
              <w:rPr>
                <w:b w:val="0"/>
                <w:i w:val="0"/>
                <w:sz w:val="16"/>
              </w:rPr>
              <w:t>AD-09</w:t>
            </w:r>
          </w:p>
        </w:tc>
        <w:tc>
          <w:tcPr>
            <w:tcW w:type="dxa" w:w="2041"/>
            <w:vAlign w:val="top"/>
          </w:tcPr>
          <w:p>
            <w:pPr>
              <w:spacing w:after="20" w:line="252" w:lineRule="auto"/>
            </w:pPr>
            <w:r>
              <w:rPr>
                <w:b w:val="0"/>
                <w:i w:val="0"/>
                <w:sz w:val="16"/>
              </w:rPr>
              <w:t>In-process jobs with advisory locks</w:t>
            </w:r>
          </w:p>
        </w:tc>
        <w:tc>
          <w:tcPr>
            <w:tcW w:type="dxa" w:w="2494"/>
            <w:vAlign w:val="top"/>
          </w:tcPr>
          <w:p>
            <w:pPr>
              <w:spacing w:after="20" w:line="252" w:lineRule="auto"/>
            </w:pPr>
            <w:r>
              <w:rPr>
                <w:b w:val="0"/>
                <w:i w:val="0"/>
                <w:sz w:val="16"/>
              </w:rPr>
              <w:t>Separate scheduler; Redis queue; in-process with locks</w:t>
            </w:r>
          </w:p>
        </w:tc>
        <w:tc>
          <w:tcPr>
            <w:tcW w:type="dxa" w:w="4365"/>
            <w:vAlign w:val="top"/>
          </w:tcPr>
          <w:p>
            <w:pPr>
              <w:spacing w:after="20" w:line="252" w:lineRule="auto"/>
            </w:pPr>
            <w:r>
              <w:rPr>
                <w:b w:val="0"/>
                <w:i w:val="0"/>
                <w:sz w:val="16"/>
              </w:rPr>
              <w:t>No extra component; one runner across replicas; lock released if a process dies.</w:t>
            </w:r>
          </w:p>
        </w:tc>
      </w:tr>
      <w:tr>
        <w:trPr>
          <w:cantSplit/>
        </w:trPr>
        <w:tc>
          <w:tcPr>
            <w:tcW w:type="dxa" w:w="737"/>
            <w:vAlign w:val="top"/>
            <w:shd w:val="clear" w:color="auto" w:fill="FDF0F7"/>
          </w:tcPr>
          <w:p>
            <w:pPr>
              <w:spacing w:after="20" w:line="252" w:lineRule="auto"/>
            </w:pPr>
            <w:r>
              <w:rPr>
                <w:b w:val="0"/>
                <w:i w:val="0"/>
                <w:sz w:val="16"/>
              </w:rPr>
              <w:t>AD-10</w:t>
            </w:r>
          </w:p>
        </w:tc>
        <w:tc>
          <w:tcPr>
            <w:tcW w:type="dxa" w:w="2041"/>
            <w:vAlign w:val="top"/>
            <w:shd w:val="clear" w:color="auto" w:fill="FDF0F7"/>
          </w:tcPr>
          <w:p>
            <w:pPr>
              <w:spacing w:after="20" w:line="252" w:lineRule="auto"/>
            </w:pPr>
            <w:r>
              <w:rPr>
                <w:b w:val="0"/>
                <w:i w:val="0"/>
                <w:sz w:val="16"/>
              </w:rPr>
              <w:t>Encrypted files on a mounted volume</w:t>
            </w:r>
          </w:p>
        </w:tc>
        <w:tc>
          <w:tcPr>
            <w:tcW w:type="dxa" w:w="2494"/>
            <w:vAlign w:val="top"/>
            <w:shd w:val="clear" w:color="auto" w:fill="FDF0F7"/>
          </w:tcPr>
          <w:p>
            <w:pPr>
              <w:spacing w:after="20" w:line="252" w:lineRule="auto"/>
            </w:pPr>
            <w:r>
              <w:rPr>
                <w:b w:val="0"/>
                <w:i w:val="0"/>
                <w:sz w:val="16"/>
              </w:rPr>
              <w:t>Database BLOBs; object storage; encrypted volume</w:t>
            </w:r>
          </w:p>
        </w:tc>
        <w:tc>
          <w:tcPr>
            <w:tcW w:type="dxa" w:w="4365"/>
            <w:vAlign w:val="top"/>
            <w:shd w:val="clear" w:color="auto" w:fill="FDF0F7"/>
          </w:tcPr>
          <w:p>
            <w:pPr>
              <w:spacing w:after="20" w:line="252" w:lineRule="auto"/>
            </w:pPr>
            <w:r>
              <w:rPr>
                <w:b w:val="0"/>
                <w:i w:val="0"/>
                <w:sz w:val="16"/>
              </w:rPr>
              <w:t>Keeps the database small; works on NFS on-premise and EFS or Azure Files in the cloud; S3 adapter possible later.</w:t>
            </w:r>
          </w:p>
        </w:tc>
      </w:tr>
      <w:tr>
        <w:trPr>
          <w:cantSplit/>
        </w:trPr>
        <w:tc>
          <w:tcPr>
            <w:tcW w:type="dxa" w:w="737"/>
            <w:vAlign w:val="top"/>
          </w:tcPr>
          <w:p>
            <w:pPr>
              <w:spacing w:after="20" w:line="252" w:lineRule="auto"/>
            </w:pPr>
            <w:r>
              <w:rPr>
                <w:b w:val="0"/>
                <w:i w:val="0"/>
                <w:sz w:val="16"/>
              </w:rPr>
              <w:t>AD-11</w:t>
            </w:r>
          </w:p>
        </w:tc>
        <w:tc>
          <w:tcPr>
            <w:tcW w:type="dxa" w:w="2041"/>
            <w:vAlign w:val="top"/>
          </w:tcPr>
          <w:p>
            <w:pPr>
              <w:spacing w:after="20" w:line="252" w:lineRule="auto"/>
            </w:pPr>
            <w:r>
              <w:rPr>
                <w:b w:val="0"/>
                <w:i w:val="0"/>
                <w:sz w:val="16"/>
              </w:rPr>
              <w:t>React SPA with Ant Design</w:t>
            </w:r>
          </w:p>
        </w:tc>
        <w:tc>
          <w:tcPr>
            <w:tcW w:type="dxa" w:w="2494"/>
            <w:vAlign w:val="top"/>
          </w:tcPr>
          <w:p>
            <w:pPr>
              <w:spacing w:after="20" w:line="252" w:lineRule="auto"/>
            </w:pPr>
            <w:r>
              <w:rPr>
                <w:b w:val="0"/>
                <w:i w:val="0"/>
                <w:sz w:val="16"/>
              </w:rPr>
              <w:t>React SPA; server-rendered pages; Angular</w:t>
            </w:r>
          </w:p>
        </w:tc>
        <w:tc>
          <w:tcPr>
            <w:tcW w:type="dxa" w:w="4365"/>
            <w:vAlign w:val="top"/>
          </w:tcPr>
          <w:p>
            <w:pPr>
              <w:spacing w:after="20" w:line="252" w:lineRule="auto"/>
            </w:pPr>
            <w:r>
              <w:rPr>
                <w:b w:val="0"/>
                <w:i w:val="0"/>
                <w:sz w:val="16"/>
              </w:rPr>
              <w:t>Large talent pool; accessible component library; one code base for portal and back-office.</w:t>
            </w:r>
          </w:p>
        </w:tc>
      </w:tr>
      <w:tr>
        <w:trPr>
          <w:cantSplit/>
        </w:trPr>
        <w:tc>
          <w:tcPr>
            <w:tcW w:type="dxa" w:w="737"/>
            <w:vAlign w:val="top"/>
            <w:shd w:val="clear" w:color="auto" w:fill="FDF0F7"/>
          </w:tcPr>
          <w:p>
            <w:pPr>
              <w:spacing w:after="20" w:line="252" w:lineRule="auto"/>
            </w:pPr>
            <w:r>
              <w:rPr>
                <w:b w:val="0"/>
                <w:i w:val="0"/>
                <w:sz w:val="16"/>
              </w:rPr>
              <w:t>AD-12</w:t>
            </w:r>
          </w:p>
        </w:tc>
        <w:tc>
          <w:tcPr>
            <w:tcW w:type="dxa" w:w="2041"/>
            <w:vAlign w:val="top"/>
            <w:shd w:val="clear" w:color="auto" w:fill="FDF0F7"/>
          </w:tcPr>
          <w:p>
            <w:pPr>
              <w:spacing w:after="20" w:line="252" w:lineRule="auto"/>
            </w:pPr>
            <w:r>
              <w:rPr>
                <w:b w:val="0"/>
                <w:i w:val="0"/>
                <w:sz w:val="16"/>
              </w:rPr>
              <w:t>Business parameters in the database</w:t>
            </w:r>
          </w:p>
        </w:tc>
        <w:tc>
          <w:tcPr>
            <w:tcW w:type="dxa" w:w="2494"/>
            <w:vAlign w:val="top"/>
            <w:shd w:val="clear" w:color="auto" w:fill="FDF0F7"/>
          </w:tcPr>
          <w:p>
            <w:pPr>
              <w:spacing w:after="20" w:line="252" w:lineRule="auto"/>
            </w:pPr>
            <w:r>
              <w:rPr>
                <w:b w:val="0"/>
                <w:i w:val="0"/>
                <w:sz w:val="16"/>
              </w:rPr>
              <w:t>Environment variables; database parameters</w:t>
            </w:r>
          </w:p>
        </w:tc>
        <w:tc>
          <w:tcPr>
            <w:tcW w:type="dxa" w:w="4365"/>
            <w:vAlign w:val="top"/>
            <w:shd w:val="clear" w:color="auto" w:fill="FDF0F7"/>
          </w:tcPr>
          <w:p>
            <w:pPr>
              <w:spacing w:after="20" w:line="252" w:lineRule="auto"/>
            </w:pPr>
            <w:r>
              <w:rPr>
                <w:b w:val="0"/>
                <w:i w:val="0"/>
                <w:sz w:val="16"/>
              </w:rPr>
              <w:t>Operations staff change policy values without a release, within ranges, with audit.</w:t>
            </w:r>
          </w:p>
        </w:tc>
      </w:tr>
      <w:tr>
        <w:trPr>
          <w:cantSplit/>
        </w:trPr>
        <w:tc>
          <w:tcPr>
            <w:tcW w:type="dxa" w:w="737"/>
            <w:vAlign w:val="top"/>
          </w:tcPr>
          <w:p>
            <w:pPr>
              <w:spacing w:after="20" w:line="252" w:lineRule="auto"/>
            </w:pPr>
            <w:r>
              <w:rPr>
                <w:b w:val="0"/>
                <w:i w:val="0"/>
                <w:sz w:val="16"/>
              </w:rPr>
              <w:t>AD-13</w:t>
            </w:r>
          </w:p>
        </w:tc>
        <w:tc>
          <w:tcPr>
            <w:tcW w:type="dxa" w:w="2041"/>
            <w:vAlign w:val="top"/>
          </w:tcPr>
          <w:p>
            <w:pPr>
              <w:spacing w:after="20" w:line="252" w:lineRule="auto"/>
            </w:pPr>
            <w:r>
              <w:rPr>
                <w:b w:val="0"/>
                <w:i w:val="0"/>
                <w:sz w:val="16"/>
              </w:rPr>
              <w:t>Generic workflow engine with handlers</w:t>
            </w:r>
          </w:p>
        </w:tc>
        <w:tc>
          <w:tcPr>
            <w:tcW w:type="dxa" w:w="2494"/>
            <w:vAlign w:val="top"/>
          </w:tcPr>
          <w:p>
            <w:pPr>
              <w:spacing w:after="20" w:line="252" w:lineRule="auto"/>
            </w:pPr>
            <w:r>
              <w:rPr>
                <w:b w:val="0"/>
                <w:i w:val="0"/>
                <w:sz w:val="16"/>
              </w:rPr>
              <w:t>Per-feature approval code; BPMN engine; generic engine</w:t>
            </w:r>
          </w:p>
        </w:tc>
        <w:tc>
          <w:tcPr>
            <w:tcW w:type="dxa" w:w="4365"/>
            <w:vAlign w:val="top"/>
          </w:tcPr>
          <w:p>
            <w:pPr>
              <w:spacing w:after="20" w:line="252" w:lineRule="auto"/>
            </w:pPr>
            <w:r>
              <w:rPr>
                <w:b w:val="0"/>
                <w:i w:val="0"/>
                <w:sz w:val="16"/>
              </w:rPr>
              <w:t>Eight approval types share one inbox, rule set and history; a BPMN engine would add a product to operate.</w:t>
            </w:r>
          </w:p>
        </w:tc>
      </w:tr>
      <w:tr>
        <w:trPr>
          <w:cantSplit/>
        </w:trPr>
        <w:tc>
          <w:tcPr>
            <w:tcW w:type="dxa" w:w="737"/>
            <w:vAlign w:val="top"/>
            <w:shd w:val="clear" w:color="auto" w:fill="FDF0F7"/>
          </w:tcPr>
          <w:p>
            <w:pPr>
              <w:spacing w:after="20" w:line="252" w:lineRule="auto"/>
            </w:pPr>
            <w:r>
              <w:rPr>
                <w:b w:val="0"/>
                <w:i w:val="0"/>
                <w:sz w:val="16"/>
              </w:rPr>
              <w:t>AD-14</w:t>
            </w:r>
          </w:p>
        </w:tc>
        <w:tc>
          <w:tcPr>
            <w:tcW w:type="dxa" w:w="2041"/>
            <w:vAlign w:val="top"/>
            <w:shd w:val="clear" w:color="auto" w:fill="FDF0F7"/>
          </w:tcPr>
          <w:p>
            <w:pPr>
              <w:spacing w:after="20" w:line="252" w:lineRule="auto"/>
            </w:pPr>
            <w:r>
              <w:rPr>
                <w:b w:val="0"/>
                <w:i w:val="0"/>
                <w:sz w:val="16"/>
              </w:rPr>
              <w:t>Watch-list screening built in, external provider optional</w:t>
            </w:r>
          </w:p>
        </w:tc>
        <w:tc>
          <w:tcPr>
            <w:tcW w:type="dxa" w:w="2494"/>
            <w:vAlign w:val="top"/>
            <w:shd w:val="clear" w:color="auto" w:fill="FDF0F7"/>
          </w:tcPr>
          <w:p>
            <w:pPr>
              <w:spacing w:after="20" w:line="252" w:lineRule="auto"/>
            </w:pPr>
            <w:r>
              <w:rPr>
                <w:b w:val="0"/>
                <w:i w:val="0"/>
                <w:sz w:val="16"/>
              </w:rPr>
              <w:t>External only; built in only; both</w:t>
            </w:r>
          </w:p>
        </w:tc>
        <w:tc>
          <w:tcPr>
            <w:tcW w:type="dxa" w:w="4365"/>
            <w:vAlign w:val="top"/>
            <w:shd w:val="clear" w:color="auto" w:fill="FDF0F7"/>
          </w:tcPr>
          <w:p>
            <w:pPr>
              <w:spacing w:after="20" w:line="252" w:lineRule="auto"/>
            </w:pPr>
            <w:r>
              <w:rPr>
                <w:b w:val="0"/>
                <w:i w:val="0"/>
                <w:sz w:val="16"/>
              </w:rPr>
              <w:t>Compliance can screen from day one with UN and local lists; a commercial provider can be added by configuration; an unavailable provider forces manual review.</w:t>
            </w:r>
          </w:p>
        </w:tc>
      </w:tr>
      <w:tr>
        <w:trPr>
          <w:cantSplit/>
        </w:trPr>
        <w:tc>
          <w:tcPr>
            <w:tcW w:type="dxa" w:w="737"/>
            <w:vAlign w:val="top"/>
          </w:tcPr>
          <w:p>
            <w:pPr>
              <w:spacing w:after="20" w:line="252" w:lineRule="auto"/>
            </w:pPr>
            <w:r>
              <w:rPr>
                <w:b w:val="0"/>
                <w:i w:val="0"/>
                <w:sz w:val="16"/>
              </w:rPr>
              <w:t>AD-15</w:t>
            </w:r>
          </w:p>
        </w:tc>
        <w:tc>
          <w:tcPr>
            <w:tcW w:type="dxa" w:w="2041"/>
            <w:vAlign w:val="top"/>
          </w:tcPr>
          <w:p>
            <w:pPr>
              <w:spacing w:after="20" w:line="252" w:lineRule="auto"/>
            </w:pPr>
            <w:r>
              <w:rPr>
                <w:b w:val="0"/>
                <w:i w:val="0"/>
                <w:sz w:val="16"/>
              </w:rPr>
              <w:t>PostgreSQL sequences for reference numbers</w:t>
            </w:r>
          </w:p>
        </w:tc>
        <w:tc>
          <w:tcPr>
            <w:tcW w:type="dxa" w:w="2494"/>
            <w:vAlign w:val="top"/>
          </w:tcPr>
          <w:p>
            <w:pPr>
              <w:spacing w:after="20" w:line="252" w:lineRule="auto"/>
            </w:pPr>
            <w:r>
              <w:rPr>
                <w:b w:val="0"/>
                <w:i w:val="0"/>
                <w:sz w:val="16"/>
              </w:rPr>
              <w:t>Sequences; counter table with row locks</w:t>
            </w:r>
          </w:p>
        </w:tc>
        <w:tc>
          <w:tcPr>
            <w:tcW w:type="dxa" w:w="4365"/>
            <w:vAlign w:val="top"/>
          </w:tcPr>
          <w:p>
            <w:pPr>
              <w:spacing w:after="20" w:line="252" w:lineRule="auto"/>
            </w:pPr>
            <w:r>
              <w:rPr>
                <w:b w:val="0"/>
                <w:i w:val="0"/>
                <w:sz w:val="16"/>
              </w:rPr>
              <w:t>No lock contention across replicas; gaps are acceptable for these references.</w:t>
            </w:r>
          </w:p>
        </w:tc>
      </w:tr>
      <w:tr>
        <w:trPr>
          <w:cantSplit/>
        </w:trPr>
        <w:tc>
          <w:tcPr>
            <w:tcW w:type="dxa" w:w="737"/>
            <w:vAlign w:val="top"/>
            <w:shd w:val="clear" w:color="auto" w:fill="FDF0F7"/>
          </w:tcPr>
          <w:p>
            <w:pPr>
              <w:spacing w:after="20" w:line="252" w:lineRule="auto"/>
            </w:pPr>
            <w:r>
              <w:rPr>
                <w:b w:val="0"/>
                <w:i w:val="0"/>
                <w:sz w:val="16"/>
              </w:rPr>
              <w:t>AD-16</w:t>
            </w:r>
          </w:p>
        </w:tc>
        <w:tc>
          <w:tcPr>
            <w:tcW w:type="dxa" w:w="2041"/>
            <w:vAlign w:val="top"/>
            <w:shd w:val="clear" w:color="auto" w:fill="FDF0F7"/>
          </w:tcPr>
          <w:p>
            <w:pPr>
              <w:spacing w:after="20" w:line="252" w:lineRule="auto"/>
            </w:pPr>
            <w:r>
              <w:rPr>
                <w:b w:val="0"/>
                <w:i w:val="0"/>
                <w:sz w:val="16"/>
              </w:rPr>
              <w:t>Optimistic locking</w:t>
            </w:r>
          </w:p>
        </w:tc>
        <w:tc>
          <w:tcPr>
            <w:tcW w:type="dxa" w:w="2494"/>
            <w:vAlign w:val="top"/>
            <w:shd w:val="clear" w:color="auto" w:fill="FDF0F7"/>
          </w:tcPr>
          <w:p>
            <w:pPr>
              <w:spacing w:after="20" w:line="252" w:lineRule="auto"/>
            </w:pPr>
            <w:r>
              <w:rPr>
                <w:b w:val="0"/>
                <w:i w:val="0"/>
                <w:sz w:val="16"/>
              </w:rPr>
              <w:t>Pessimistic locks; version column</w:t>
            </w:r>
          </w:p>
        </w:tc>
        <w:tc>
          <w:tcPr>
            <w:tcW w:type="dxa" w:w="4365"/>
            <w:vAlign w:val="top"/>
            <w:shd w:val="clear" w:color="auto" w:fill="FDF0F7"/>
          </w:tcPr>
          <w:p>
            <w:pPr>
              <w:spacing w:after="20" w:line="252" w:lineRule="auto"/>
            </w:pPr>
            <w:r>
              <w:rPr>
                <w:b w:val="0"/>
                <w:i w:val="0"/>
                <w:sz w:val="16"/>
              </w:rPr>
              <w:t>Short web transactions; clear STALE_RECORD message instead of blocking users.</w:t>
            </w:r>
          </w:p>
        </w:tc>
      </w:tr>
      <w:tr>
        <w:trPr>
          <w:cantSplit/>
        </w:trPr>
        <w:tc>
          <w:tcPr>
            <w:tcW w:type="dxa" w:w="737"/>
            <w:vAlign w:val="top"/>
          </w:tcPr>
          <w:p>
            <w:pPr>
              <w:spacing w:after="20" w:line="252" w:lineRule="auto"/>
            </w:pPr>
            <w:r>
              <w:rPr>
                <w:b w:val="0"/>
                <w:i w:val="0"/>
                <w:sz w:val="16"/>
              </w:rPr>
              <w:t>AD-17</w:t>
            </w:r>
          </w:p>
        </w:tc>
        <w:tc>
          <w:tcPr>
            <w:tcW w:type="dxa" w:w="2041"/>
            <w:vAlign w:val="top"/>
          </w:tcPr>
          <w:p>
            <w:pPr>
              <w:spacing w:after="20" w:line="252" w:lineRule="auto"/>
            </w:pPr>
            <w:r>
              <w:rPr>
                <w:b w:val="0"/>
                <w:i w:val="0"/>
                <w:sz w:val="16"/>
              </w:rPr>
              <w:t>Simulated and live integration modes</w:t>
            </w:r>
          </w:p>
        </w:tc>
        <w:tc>
          <w:tcPr>
            <w:tcW w:type="dxa" w:w="2494"/>
            <w:vAlign w:val="top"/>
          </w:tcPr>
          <w:p>
            <w:pPr>
              <w:spacing w:after="20" w:line="252" w:lineRule="auto"/>
            </w:pPr>
            <w:r>
              <w:rPr>
                <w:b w:val="0"/>
                <w:i w:val="0"/>
                <w:sz w:val="16"/>
              </w:rPr>
              <w:t>Live only; switchable mode</w:t>
            </w:r>
          </w:p>
        </w:tc>
        <w:tc>
          <w:tcPr>
            <w:tcW w:type="dxa" w:w="4365"/>
            <w:vAlign w:val="top"/>
          </w:tcPr>
          <w:p>
            <w:pPr>
              <w:spacing w:after="20" w:line="252" w:lineRule="auto"/>
            </w:pPr>
            <w:r>
              <w:rPr>
                <w:b w:val="0"/>
                <w:i w:val="0"/>
                <w:sz w:val="16"/>
              </w:rPr>
              <w:t>Build and test end to end before IITH endpoints exist; production start-up checks the live settings.</w:t>
            </w:r>
          </w:p>
        </w:tc>
      </w:tr>
      <w:tr>
        <w:trPr>
          <w:cantSplit/>
        </w:trPr>
        <w:tc>
          <w:tcPr>
            <w:tcW w:type="dxa" w:w="737"/>
            <w:vAlign w:val="top"/>
            <w:shd w:val="clear" w:color="auto" w:fill="FDF0F7"/>
          </w:tcPr>
          <w:p>
            <w:pPr>
              <w:spacing w:after="20" w:line="252" w:lineRule="auto"/>
            </w:pPr>
            <w:r>
              <w:rPr>
                <w:b w:val="0"/>
                <w:i w:val="0"/>
                <w:sz w:val="16"/>
              </w:rPr>
              <w:t>AD-18</w:t>
            </w:r>
          </w:p>
        </w:tc>
        <w:tc>
          <w:tcPr>
            <w:tcW w:type="dxa" w:w="2041"/>
            <w:vAlign w:val="top"/>
            <w:shd w:val="clear" w:color="auto" w:fill="FDF0F7"/>
          </w:tcPr>
          <w:p>
            <w:pPr>
              <w:spacing w:after="20" w:line="252" w:lineRule="auto"/>
            </w:pPr>
            <w:r>
              <w:rPr>
                <w:b w:val="0"/>
                <w:i w:val="0"/>
                <w:sz w:val="16"/>
              </w:rPr>
              <w:t>Manual database promotion on PROD</w:t>
            </w:r>
          </w:p>
        </w:tc>
        <w:tc>
          <w:tcPr>
            <w:tcW w:type="dxa" w:w="2494"/>
            <w:vAlign w:val="top"/>
            <w:shd w:val="clear" w:color="auto" w:fill="FDF0F7"/>
          </w:tcPr>
          <w:p>
            <w:pPr>
              <w:spacing w:after="20" w:line="252" w:lineRule="auto"/>
            </w:pPr>
            <w:r>
              <w:rPr>
                <w:b w:val="0"/>
                <w:i w:val="0"/>
                <w:sz w:val="16"/>
              </w:rPr>
              <w:t>Automatic failover; manual promotion</w:t>
            </w:r>
          </w:p>
        </w:tc>
        <w:tc>
          <w:tcPr>
            <w:tcW w:type="dxa" w:w="4365"/>
            <w:vAlign w:val="top"/>
            <w:shd w:val="clear" w:color="auto" w:fill="FDF0F7"/>
          </w:tcPr>
          <w:p>
            <w:pPr>
              <w:spacing w:after="20" w:line="252" w:lineRule="auto"/>
            </w:pPr>
            <w:r>
              <w:rPr>
                <w:b w:val="0"/>
                <w:i w:val="0"/>
                <w:sz w:val="16"/>
              </w:rPr>
              <w:t>Two database nodes cannot form a safe quorum; a runbook promotion within the 4-hour RTO avoids split-brain.</w:t>
            </w:r>
          </w:p>
        </w:tc>
      </w:tr>
      <w:tr>
        <w:trPr>
          <w:cantSplit/>
        </w:trPr>
        <w:tc>
          <w:tcPr>
            <w:tcW w:type="dxa" w:w="737"/>
            <w:vAlign w:val="top"/>
          </w:tcPr>
          <w:p>
            <w:pPr>
              <w:spacing w:after="20" w:line="252" w:lineRule="auto"/>
            </w:pPr>
            <w:r>
              <w:rPr>
                <w:b w:val="0"/>
                <w:i w:val="0"/>
                <w:sz w:val="16"/>
              </w:rPr>
              <w:t>AD-19</w:t>
            </w:r>
          </w:p>
        </w:tc>
        <w:tc>
          <w:tcPr>
            <w:tcW w:type="dxa" w:w="2041"/>
            <w:vAlign w:val="top"/>
          </w:tcPr>
          <w:p>
            <w:pPr>
              <w:spacing w:after="20" w:line="252" w:lineRule="auto"/>
            </w:pPr>
            <w:r>
              <w:rPr>
                <w:b w:val="0"/>
                <w:i w:val="0"/>
                <w:sz w:val="16"/>
              </w:rPr>
              <w:t>JSON logs and Prometheus metrics</w:t>
            </w:r>
          </w:p>
        </w:tc>
        <w:tc>
          <w:tcPr>
            <w:tcW w:type="dxa" w:w="2494"/>
            <w:vAlign w:val="top"/>
          </w:tcPr>
          <w:p>
            <w:pPr>
              <w:spacing w:after="20" w:line="252" w:lineRule="auto"/>
            </w:pPr>
            <w:r>
              <w:rPr>
                <w:b w:val="0"/>
                <w:i w:val="0"/>
                <w:sz w:val="16"/>
              </w:rPr>
              <w:t>Vendor APM agent; open formats</w:t>
            </w:r>
          </w:p>
        </w:tc>
        <w:tc>
          <w:tcPr>
            <w:tcW w:type="dxa" w:w="4365"/>
            <w:vAlign w:val="top"/>
          </w:tcPr>
          <w:p>
            <w:pPr>
              <w:spacing w:after="20" w:line="252" w:lineRule="auto"/>
            </w:pPr>
            <w:r>
              <w:rPr>
                <w:b w:val="0"/>
                <w:i w:val="0"/>
                <w:sz w:val="16"/>
              </w:rPr>
              <w:t>Works with IITH's existing log and monitoring tools; no agent licence.</w:t>
            </w:r>
          </w:p>
        </w:tc>
      </w:tr>
    </w:tbl>
    <w:p>
      <w:pPr>
        <w:pStyle w:val="Caption"/>
        <w:jc w:val="center"/>
      </w:pPr>
      <w:r>
        <w:rPr>
          <w:b w:val="0"/>
          <w:i w:val="0"/>
        </w:rPr>
        <w:t>Table 38: Architecture decision log</w:t>
      </w:r>
    </w:p>
    <w:p>
      <w:pPr>
        <w:pStyle w:val="Heading1"/>
        <w:pageBreakBefore/>
        <w:pBdr>
          <w:bottom w:val="single" w:sz="12" w:space="4" w:color="F58220"/>
        </w:pBdr>
      </w:pPr>
      <w:r>
        <w:t>Appendix A: API Operations</w:t>
      </w:r>
    </w:p>
    <w:p>
      <w:pPr>
        <w:keepNext w:val="0"/>
      </w:pPr>
      <w:r>
        <w:rPr>
          <w:b w:val="0"/>
          <w:i w:val="0"/>
        </w:rPr>
        <w:t>All 149 operations on 128 paths in docs/api/openapi.json, grouped by tag. Request and response schemas are in the OpenAPI 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1134"/>
        <w:gridCol w:w="8505"/>
      </w:tblGrid>
      <w:tr>
        <w:trPr>
          <w:cantSplit/>
          <w:tblHeader/>
        </w:trPr>
        <w:tc>
          <w:tcPr>
            <w:tcW w:type="dxa" w:w="1134"/>
            <w:shd w:val="clear" w:color="auto" w:fill="E1058C"/>
            <w:vAlign w:val="center"/>
          </w:tcPr>
          <w:p>
            <w:pPr>
              <w:spacing w:after="0"/>
            </w:pPr>
            <w:r>
              <w:rPr>
                <w:b/>
                <w:i w:val="0"/>
                <w:color w:val="FFFFFF"/>
                <w:sz w:val="15"/>
              </w:rPr>
              <w:t>Method</w:t>
            </w:r>
          </w:p>
        </w:tc>
        <w:tc>
          <w:tcPr>
            <w:tcW w:type="dxa" w:w="8504"/>
            <w:shd w:val="clear" w:color="auto" w:fill="E1058C"/>
            <w:vAlign w:val="center"/>
          </w:tcPr>
          <w:p>
            <w:pPr>
              <w:spacing w:after="0"/>
            </w:pPr>
            <w:r>
              <w:rPr>
                <w:b/>
                <w:i w:val="0"/>
                <w:color w:val="FFFFFF"/>
                <w:sz w:val="15"/>
              </w:rPr>
              <w:t>Path</w:t>
            </w:r>
          </w:p>
        </w:tc>
      </w:tr>
      <w:tr>
        <w:trPr>
          <w:cantSplit/>
        </w:trPr>
        <w:tc>
          <w:tcPr>
            <w:tcW w:type="dxa" w:w="8504"/>
            <w:gridSpan w:val="2"/>
            <w:shd w:val="clear" w:color="auto" w:fill="FEEBDD"/>
          </w:tcPr>
          <w:p>
            <w:pPr>
              <w:keepNext/>
              <w:spacing w:after="0"/>
            </w:pPr>
            <w:r>
              <w:rPr>
                <w:b/>
                <w:i w:val="0"/>
                <w:color w:val="333333"/>
                <w:sz w:val="15"/>
              </w:rPr>
              <w:t>Authentication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/api/v1/auth/login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/api/v1/auth/logout</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/api/v1/auth/me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/api/v1/auth/change-password</w:t>
            </w:r>
          </w:p>
        </w:tc>
      </w:tr>
      <w:tr>
        <w:trPr>
          <w:cantSplit/>
        </w:trPr>
        <w:tc>
          <w:tcPr>
            <w:tcW w:type="dxa" w:w="8504"/>
            <w:gridSpan w:val="2"/>
            <w:shd w:val="clear" w:color="auto" w:fill="FEEBDD"/>
          </w:tcPr>
          <w:p>
            <w:pPr>
              <w:keepNext/>
              <w:spacing w:after="0"/>
            </w:pPr>
            <w:r>
              <w:rPr>
                <w:b/>
                <w:i w:val="0"/>
                <w:color w:val="333333"/>
                <w:sz w:val="15"/>
              </w:rPr>
              <w:t>Back-office: AML/KYC</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/api/v1/backoffice/aml/cases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/api/v1/backoffice/aml/cases/{id}/review</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/api/v1/backoffice/aml/watchlist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/api/v1/backoffice/aml/watchlist</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/api/v1/backoffice/aml/watchlist/{id}/active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/api/v1/backoffice/aml/watchlist/import</w:t>
            </w:r>
          </w:p>
        </w:tc>
      </w:tr>
      <w:tr>
        <w:trPr>
          <w:cantSplit/>
        </w:trPr>
        <w:tc>
          <w:tcPr>
            <w:tcW w:type="dxa" w:w="8504"/>
            <w:gridSpan w:val="2"/>
            <w:shd w:val="clear" w:color="auto" w:fill="FEEBDD"/>
          </w:tcPr>
          <w:p>
            <w:pPr>
              <w:keepNext/>
              <w:spacing w:after="0"/>
            </w:pPr>
            <w:r>
              <w:rPr>
                <w:b/>
                <w:i w:val="0"/>
                <w:color w:val="333333"/>
                <w:sz w:val="15"/>
              </w:rPr>
              <w:t>Back-office: Agencies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/api/v1/backoffice/agencies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/api/v1/backoffice/agencies/options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/api/v1/backoffice/agencies/{id}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/api/v1/backoffice/agencies/{id}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/api/v1/backoffice/agencies/{id}/lift-block</w:t>
            </w:r>
          </w:p>
        </w:tc>
      </w:tr>
      <w:tr>
        <w:trPr>
          <w:cantSplit/>
        </w:trPr>
        <w:tc>
          <w:tcPr>
            <w:tcW w:type="dxa" w:w="8504"/>
            <w:gridSpan w:val="2"/>
            <w:shd w:val="clear" w:color="auto" w:fill="FEEBDD"/>
          </w:tcPr>
          <w:p>
            <w:pPr>
              <w:keepNext/>
              <w:spacing w:after="0"/>
            </w:pPr>
            <w:r>
              <w:rPr>
                <w:b/>
                <w:i w:val="0"/>
                <w:color w:val="333333"/>
                <w:sz w:val="15"/>
              </w:rPr>
              <w:t>Back-office: Agents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/api/v1/backoffice/agents/{id}/update-requests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/api/v1/backoffice/agents/{id}/status-requests</w:t>
            </w:r>
          </w:p>
        </w:tc>
      </w:tr>
      <w:tr>
        <w:trPr>
          <w:cantSplit/>
        </w:trPr>
        <w:tc>
          <w:tcPr>
            <w:tcW w:type="dxa" w:w="8504"/>
            <w:gridSpan w:val="2"/>
            <w:shd w:val="clear" w:color="auto" w:fill="FEEBDD"/>
          </w:tcPr>
          <w:p>
            <w:pPr>
              <w:keepNext/>
              <w:spacing w:after="0"/>
            </w:pPr>
            <w:r>
              <w:rPr>
                <w:b/>
                <w:i w:val="0"/>
                <w:color w:val="333333"/>
                <w:sz w:val="15"/>
              </w:rPr>
              <w:t>Back-office: Approvals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/api/v1/backoffice/approvals/inbox</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/api/v1/backoffice/approvals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/api/v1/backoffice/approvals/{id}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/api/v1/backoffice/approvals/{id}/approve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/api/v1/backoffice/approvals/{id}/reject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/api/v1/backoffice/approvals/{id}/withdraw</w:t>
            </w:r>
          </w:p>
        </w:tc>
      </w:tr>
      <w:tr>
        <w:trPr>
          <w:cantSplit/>
        </w:trPr>
        <w:tc>
          <w:tcPr>
            <w:tcW w:type="dxa" w:w="8504"/>
            <w:gridSpan w:val="2"/>
            <w:shd w:val="clear" w:color="auto" w:fill="FEEBDD"/>
          </w:tcPr>
          <w:p>
            <w:pPr>
              <w:keepNext/>
              <w:spacing w:after="0"/>
            </w:pPr>
            <w:r>
              <w:rPr>
                <w:b/>
                <w:i w:val="0"/>
                <w:color w:val="333333"/>
                <w:sz w:val="15"/>
              </w:rPr>
              <w:t>Back-office: Audit</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/api/v1/backoffice/audit</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/api/v1/backoffice/audit/facets</w:t>
            </w:r>
          </w:p>
        </w:tc>
      </w:tr>
      <w:tr>
        <w:trPr>
          <w:cantSplit/>
        </w:trPr>
        <w:tc>
          <w:tcPr>
            <w:tcW w:type="dxa" w:w="8504"/>
            <w:gridSpan w:val="2"/>
            <w:shd w:val="clear" w:color="auto" w:fill="FEEBDD"/>
          </w:tcPr>
          <w:p>
            <w:pPr>
              <w:keepNext/>
              <w:spacing w:after="0"/>
            </w:pPr>
            <w:r>
              <w:rPr>
                <w:b/>
                <w:i w:val="0"/>
                <w:color w:val="333333"/>
                <w:sz w:val="15"/>
              </w:rPr>
              <w:t>Back-office: Billing</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/api/v1/backoffice/billing/payments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/api/v1/backoffice/billing/payments/{id}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/api/v1/backoffice/billing/commissions</w:t>
            </w:r>
          </w:p>
        </w:tc>
      </w:tr>
      <w:tr>
        <w:trPr>
          <w:cantSplit/>
        </w:trPr>
        <w:tc>
          <w:tcPr>
            <w:tcW w:type="dxa" w:w="8504"/>
            <w:gridSpan w:val="2"/>
            <w:shd w:val="clear" w:color="auto" w:fill="FEEBDD"/>
          </w:tcPr>
          <w:p>
            <w:pPr>
              <w:keepNext/>
              <w:spacing w:after="0"/>
            </w:pPr>
            <w:r>
              <w:rPr>
                <w:b/>
                <w:i w:val="0"/>
                <w:color w:val="333333"/>
                <w:sz w:val="15"/>
              </w:rPr>
              <w:t>Back-office: 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/api/v1/backoffice/claims/{id}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/api/v1/backoffice/claims/{id}/status</w:t>
            </w:r>
          </w:p>
        </w:tc>
      </w:tr>
      <w:tr>
        <w:trPr>
          <w:cantSplit/>
        </w:trPr>
        <w:tc>
          <w:tcPr>
            <w:tcW w:type="dxa" w:w="8504"/>
            <w:gridSpan w:val="2"/>
            <w:shd w:val="clear" w:color="auto" w:fill="FEEBDD"/>
          </w:tcPr>
          <w:p>
            <w:pPr>
              <w:keepNext/>
              <w:spacing w:after="0"/>
            </w:pPr>
            <w:r>
              <w:rPr>
                <w:b/>
                <w:i w:val="0"/>
                <w:color w:val="333333"/>
                <w:sz w:val="15"/>
              </w:rPr>
              <w:t>Back-office: Configuration</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/api/v1/backoffice/config/parameters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/api/v1/backoffice/config/parameters/{key}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/api/v1/backoffice/config/codes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/api/v1/backoffice/config/codes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/api/v1/backoffice/config/code-categories</w:t>
            </w:r>
          </w:p>
        </w:tc>
      </w:tr>
      <w:tr>
        <w:trPr>
          <w:cantSplit/>
        </w:trPr>
        <w:tc>
          <w:tcPr>
            <w:tcW w:type="dxa" w:w="1134"/>
            <w:vAlign w:val="top"/>
          </w:tcPr>
          <w:p>
            <w:pPr>
              <w:spacing w:after="20" w:line="252" w:lineRule="auto"/>
            </w:pPr>
            <w:r>
              <w:rPr>
                <w:b w:val="0"/>
                <w:i w:val="0"/>
                <w:sz w:val="15"/>
              </w:rPr>
              <w:t>PATCH</w:t>
            </w:r>
          </w:p>
        </w:tc>
        <w:tc>
          <w:tcPr>
            <w:tcW w:type="dxa" w:w="8504"/>
            <w:vAlign w:val="top"/>
          </w:tcPr>
          <w:p>
            <w:pPr>
              <w:spacing w:after="20" w:line="252" w:lineRule="auto"/>
            </w:pPr>
            <w:r>
              <w:rPr>
                <w:b w:val="0"/>
                <w:i w:val="0"/>
                <w:sz w:val="15"/>
              </w:rPr>
              <w:t>/api/v1/backoffice/config/codes/{id}</w:t>
            </w:r>
          </w:p>
        </w:tc>
      </w:tr>
      <w:tr>
        <w:trPr>
          <w:cantSplit/>
        </w:trPr>
        <w:tc>
          <w:tcPr>
            <w:tcW w:type="dxa" w:w="8504"/>
            <w:gridSpan w:val="2"/>
            <w:shd w:val="clear" w:color="auto" w:fill="FEEBDD"/>
          </w:tcPr>
          <w:p>
            <w:pPr>
              <w:keepNext/>
              <w:spacing w:after="0"/>
            </w:pPr>
            <w:r>
              <w:rPr>
                <w:b/>
                <w:i w:val="0"/>
                <w:color w:val="333333"/>
                <w:sz w:val="15"/>
              </w:rPr>
              <w:t>Back-office: Dashboard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/api/v1/backoffice/dashboard</w:t>
            </w:r>
          </w:p>
        </w:tc>
      </w:tr>
      <w:tr>
        <w:trPr>
          <w:cantSplit/>
        </w:trPr>
        <w:tc>
          <w:tcPr>
            <w:tcW w:type="dxa" w:w="8504"/>
            <w:gridSpan w:val="2"/>
            <w:shd w:val="clear" w:color="auto" w:fill="FEEBDD"/>
          </w:tcPr>
          <w:p>
            <w:pPr>
              <w:keepNext/>
              <w:spacing w:after="0"/>
            </w:pPr>
            <w:r>
              <w:rPr>
                <w:b/>
                <w:i w:val="0"/>
                <w:color w:val="333333"/>
                <w:sz w:val="15"/>
              </w:rPr>
              <w:t>Back-office: Documents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/api/v1/backoffice/documents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/api/v1/backoffice/documents/{id}/review</w:t>
            </w:r>
          </w:p>
        </w:tc>
      </w:tr>
      <w:tr>
        <w:trPr>
          <w:cantSplit/>
        </w:trPr>
        <w:tc>
          <w:tcPr>
            <w:tcW w:type="dxa" w:w="8504"/>
            <w:gridSpan w:val="2"/>
            <w:shd w:val="clear" w:color="auto" w:fill="FEEBDD"/>
          </w:tcPr>
          <w:p>
            <w:pPr>
              <w:keepNext/>
              <w:spacing w:after="0"/>
            </w:pPr>
            <w:r>
              <w:rPr>
                <w:b/>
                <w:i w:val="0"/>
                <w:color w:val="333333"/>
                <w:sz w:val="15"/>
              </w:rPr>
              <w:t>Back-office: End of day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/api/v1/backoffice/eod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/api/v1/backoffice/eod</w:t>
            </w:r>
          </w:p>
        </w:tc>
      </w:tr>
      <w:tr>
        <w:trPr>
          <w:cantSplit/>
        </w:trPr>
        <w:tc>
          <w:tcPr>
            <w:tcW w:type="dxa" w:w="8504"/>
            <w:gridSpan w:val="2"/>
            <w:shd w:val="clear" w:color="auto" w:fill="FEEBDD"/>
          </w:tcPr>
          <w:p>
            <w:pPr>
              <w:keepNext/>
              <w:spacing w:after="0"/>
            </w:pPr>
            <w:r>
              <w:rPr>
                <w:b/>
                <w:i w:val="0"/>
                <w:color w:val="333333"/>
                <w:sz w:val="15"/>
              </w:rPr>
              <w:t>Back-office: Integration</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/api/v1/backoffice/integration/summary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/api/v1/backoffice/integration/outbox</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/api/v1/backoffice/integration/outbox/{id}/retry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/api/v1/backoffice/integration/logs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/api/v1/backoffice/integration/reconciliations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/api/v1/backoffice/integration/reconciliations</w:t>
            </w:r>
          </w:p>
        </w:tc>
      </w:tr>
      <w:tr>
        <w:trPr>
          <w:cantSplit/>
        </w:trPr>
        <w:tc>
          <w:tcPr>
            <w:tcW w:type="dxa" w:w="8504"/>
            <w:gridSpan w:val="2"/>
            <w:shd w:val="clear" w:color="auto" w:fill="FEEBDD"/>
          </w:tcPr>
          <w:p>
            <w:pPr>
              <w:keepNext/>
              <w:spacing w:after="0"/>
            </w:pPr>
            <w:r>
              <w:rPr>
                <w:b/>
                <w:i w:val="0"/>
                <w:color w:val="333333"/>
                <w:sz w:val="15"/>
              </w:rPr>
              <w:t>Back-office: Issues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/api/v1/backoffice/issues/assignees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/api/v1/backoffice/issues/{id}/assignment</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/api/v1/backoffice/issues/{id}/priority</w:t>
            </w:r>
          </w:p>
        </w:tc>
      </w:tr>
      <w:tr>
        <w:trPr>
          <w:cantSplit/>
        </w:trPr>
        <w:tc>
          <w:tcPr>
            <w:tcW w:type="dxa" w:w="8504"/>
            <w:gridSpan w:val="2"/>
            <w:shd w:val="clear" w:color="auto" w:fill="FEEBDD"/>
          </w:tcPr>
          <w:p>
            <w:pPr>
              <w:keepNext/>
              <w:spacing w:after="0"/>
            </w:pPr>
            <w:r>
              <w:rPr>
                <w:b/>
                <w:i w:val="0"/>
                <w:color w:val="333333"/>
                <w:sz w:val="15"/>
              </w:rPr>
              <w:t>Back-office: 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/api/v1/backoffice/participants/{id}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/api/v1/backoffice/participants/{id}/update-requests</w:t>
            </w:r>
          </w:p>
        </w:tc>
      </w:tr>
      <w:tr>
        <w:trPr>
          <w:cantSplit/>
        </w:trPr>
        <w:tc>
          <w:tcPr>
            <w:tcW w:type="dxa" w:w="8504"/>
            <w:gridSpan w:val="2"/>
            <w:shd w:val="clear" w:color="auto" w:fill="FEEBDD"/>
          </w:tcPr>
          <w:p>
            <w:pPr>
              <w:keepNext/>
              <w:spacing w:after="0"/>
            </w:pPr>
            <w:r>
              <w:rPr>
                <w:b/>
                <w:i w:val="0"/>
                <w:color w:val="333333"/>
                <w:sz w:val="15"/>
              </w:rPr>
              <w:t>Back-office: 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/api/v1/backoffice/policies/{id}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/api/v1/backoffice/policies/{id}/email-documents</w:t>
            </w:r>
          </w:p>
        </w:tc>
      </w:tr>
      <w:tr>
        <w:trPr>
          <w:cantSplit/>
        </w:trPr>
        <w:tc>
          <w:tcPr>
            <w:tcW w:type="dxa" w:w="8504"/>
            <w:gridSpan w:val="2"/>
            <w:shd w:val="clear" w:color="auto" w:fill="FEEBDD"/>
          </w:tcPr>
          <w:p>
            <w:pPr>
              <w:keepNext/>
              <w:spacing w:after="0"/>
            </w:pPr>
            <w:r>
              <w:rPr>
                <w:b/>
                <w:i w:val="0"/>
                <w:color w:val="333333"/>
                <w:sz w:val="15"/>
              </w:rPr>
              <w:t>Back-office: Products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/api/v1/backoffice/products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/api/v1/backoffice/products/{id}</w:t>
            </w:r>
          </w:p>
        </w:tc>
      </w:tr>
      <w:tr>
        <w:trPr>
          <w:cantSplit/>
        </w:trPr>
        <w:tc>
          <w:tcPr>
            <w:tcW w:type="dxa" w:w="8504"/>
            <w:gridSpan w:val="2"/>
            <w:shd w:val="clear" w:color="auto" w:fill="FEEBDD"/>
          </w:tcPr>
          <w:p>
            <w:pPr>
              <w:keepNext/>
              <w:spacing w:after="0"/>
            </w:pPr>
            <w:r>
              <w:rPr>
                <w:b/>
                <w:i w:val="0"/>
                <w:color w:val="333333"/>
                <w:sz w:val="15"/>
              </w:rPr>
              <w:t>Back-office: 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/api/v1/backoffice/reports/schedules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/api/v1/backoffice/reports/schedules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/api/v1/backoffice/reports/schedules/{id}/active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/api/v1/backoffice/reports/{code}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/api/v1/backoffice/reports/{code}/export</w:t>
            </w:r>
          </w:p>
        </w:tc>
      </w:tr>
      <w:tr>
        <w:trPr>
          <w:cantSplit/>
        </w:trPr>
        <w:tc>
          <w:tcPr>
            <w:tcW w:type="dxa" w:w="8504"/>
            <w:gridSpan w:val="2"/>
            <w:shd w:val="clear" w:color="auto" w:fill="FEEBDD"/>
          </w:tcPr>
          <w:p>
            <w:pPr>
              <w:keepNext/>
              <w:spacing w:after="0"/>
            </w:pPr>
            <w:r>
              <w:rPr>
                <w:b/>
                <w:i w:val="0"/>
                <w:color w:val="333333"/>
                <w:sz w:val="15"/>
              </w:rPr>
              <w:t>Back-office: Roles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/api/v1/backoffice/roles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/api/v1/backoffice/roles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/api/v1/backoffice/roles/permissions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/api/v1/backoffice/roles/{id}</w:t>
            </w:r>
          </w:p>
        </w:tc>
      </w:tr>
      <w:tr>
        <w:trPr>
          <w:cantSplit/>
        </w:trPr>
        <w:tc>
          <w:tcPr>
            <w:tcW w:type="dxa" w:w="1134"/>
            <w:vAlign w:val="top"/>
          </w:tcPr>
          <w:p>
            <w:pPr>
              <w:spacing w:after="20" w:line="252" w:lineRule="auto"/>
            </w:pPr>
            <w:r>
              <w:rPr>
                <w:b w:val="0"/>
                <w:i w:val="0"/>
                <w:sz w:val="15"/>
              </w:rPr>
              <w:t>DELETE</w:t>
            </w:r>
          </w:p>
        </w:tc>
        <w:tc>
          <w:tcPr>
            <w:tcW w:type="dxa" w:w="8504"/>
            <w:vAlign w:val="top"/>
          </w:tcPr>
          <w:p>
            <w:pPr>
              <w:spacing w:after="20" w:line="252" w:lineRule="auto"/>
            </w:pPr>
            <w:r>
              <w:rPr>
                <w:b w:val="0"/>
                <w:i w:val="0"/>
                <w:sz w:val="15"/>
              </w:rPr>
              <w:t>/api/v1/backoffice/roles/{id}</w:t>
            </w:r>
          </w:p>
        </w:tc>
      </w:tr>
      <w:tr>
        <w:trPr>
          <w:cantSplit/>
        </w:trPr>
        <w:tc>
          <w:tcPr>
            <w:tcW w:type="dxa" w:w="8504"/>
            <w:gridSpan w:val="2"/>
            <w:shd w:val="clear" w:color="auto" w:fill="FEEBDD"/>
          </w:tcPr>
          <w:p>
            <w:pPr>
              <w:keepNext/>
              <w:spacing w:after="0"/>
            </w:pPr>
            <w:r>
              <w:rPr>
                <w:b/>
                <w:i w:val="0"/>
                <w:color w:val="333333"/>
                <w:sz w:val="15"/>
              </w:rPr>
              <w:t>Back-office: Users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/api/v1/backoffice/users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/api/v1/backoffice/users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/api/v1/backoffice/users/{id}</w:t>
            </w:r>
          </w:p>
        </w:tc>
      </w:tr>
      <w:tr>
        <w:trPr>
          <w:cantSplit/>
        </w:trPr>
        <w:tc>
          <w:tcPr>
            <w:tcW w:type="dxa" w:w="1134"/>
            <w:vAlign w:val="top"/>
          </w:tcPr>
          <w:p>
            <w:pPr>
              <w:spacing w:after="20" w:line="252" w:lineRule="auto"/>
            </w:pPr>
            <w:r>
              <w:rPr>
                <w:b w:val="0"/>
                <w:i w:val="0"/>
                <w:sz w:val="15"/>
              </w:rPr>
              <w:t>PATCH</w:t>
            </w:r>
          </w:p>
        </w:tc>
        <w:tc>
          <w:tcPr>
            <w:tcW w:type="dxa" w:w="8504"/>
            <w:vAlign w:val="top"/>
          </w:tcPr>
          <w:p>
            <w:pPr>
              <w:spacing w:after="20" w:line="252" w:lineRule="auto"/>
            </w:pPr>
            <w:r>
              <w:rPr>
                <w:b w:val="0"/>
                <w:i w:val="0"/>
                <w:sz w:val="15"/>
              </w:rPr>
              <w:t>/api/v1/backoffice/users/{id}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/api/v1/backoffice/users/{id}/status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/api/v1/backoffice/users/{id}/unlock</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/api/v1/backoffice/users/{id}/reset-password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/api/v1/backoffice/role-options</w:t>
            </w:r>
          </w:p>
        </w:tc>
      </w:tr>
      <w:tr>
        <w:trPr>
          <w:cantSplit/>
        </w:trPr>
        <w:tc>
          <w:tcPr>
            <w:tcW w:type="dxa" w:w="8504"/>
            <w:gridSpan w:val="2"/>
            <w:shd w:val="clear" w:color="auto" w:fill="FEEBDD"/>
          </w:tcPr>
          <w:p>
            <w:pPr>
              <w:keepNext/>
              <w:spacing w:after="0"/>
            </w:pPr>
            <w:r>
              <w:rPr>
                <w:b/>
                <w:i w:val="0"/>
                <w:color w:val="333333"/>
                <w:sz w:val="15"/>
              </w:rPr>
              <w:t>Back-office: Workflow configuration</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/api/v1/backoffice/workflows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/api/v1/backoffice/workflows/{type}</w:t>
            </w:r>
          </w:p>
        </w:tc>
      </w:tr>
      <w:tr>
        <w:trPr>
          <w:cantSplit/>
        </w:trPr>
        <w:tc>
          <w:tcPr>
            <w:tcW w:type="dxa" w:w="8504"/>
            <w:gridSpan w:val="2"/>
            <w:shd w:val="clear" w:color="auto" w:fill="FEEBDD"/>
          </w:tcPr>
          <w:p>
            <w:pPr>
              <w:keepNext/>
              <w:spacing w:after="0"/>
            </w:pPr>
            <w:r>
              <w:rPr>
                <w:b/>
                <w:i w:val="0"/>
                <w:color w:val="333333"/>
                <w:sz w:val="15"/>
              </w:rPr>
              <w:t>Common: Documents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/api/v1/common/documents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/api/v1/common/documents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/api/v1/common/documents/{id}/content</w:t>
            </w:r>
          </w:p>
        </w:tc>
      </w:tr>
      <w:tr>
        <w:trPr>
          <w:cantSplit/>
        </w:trPr>
        <w:tc>
          <w:tcPr>
            <w:tcW w:type="dxa" w:w="8504"/>
            <w:gridSpan w:val="2"/>
            <w:shd w:val="clear" w:color="auto" w:fill="FEEBDD"/>
          </w:tcPr>
          <w:p>
            <w:pPr>
              <w:keepNext/>
              <w:spacing w:after="0"/>
            </w:pPr>
            <w:r>
              <w:rPr>
                <w:b/>
                <w:i w:val="0"/>
                <w:color w:val="333333"/>
                <w:sz w:val="15"/>
              </w:rPr>
              <w:t>Common: Issues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/api/v1/common/issues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/api/v1/common/issues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/api/v1/common/issues/{id}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/api/v1/common/issues/{id}/comments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/api/v1/common/issues/{id}/status</w:t>
            </w:r>
          </w:p>
        </w:tc>
      </w:tr>
      <w:tr>
        <w:trPr>
          <w:cantSplit/>
        </w:trPr>
        <w:tc>
          <w:tcPr>
            <w:tcW w:type="dxa" w:w="8504"/>
            <w:gridSpan w:val="2"/>
            <w:shd w:val="clear" w:color="auto" w:fill="FEEBDD"/>
          </w:tcPr>
          <w:p>
            <w:pPr>
              <w:keepNext/>
              <w:spacing w:after="0"/>
            </w:pPr>
            <w:r>
              <w:rPr>
                <w:b/>
                <w:i w:val="0"/>
                <w:color w:val="333333"/>
                <w:sz w:val="15"/>
              </w:rPr>
              <w:t>Common: Master data</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/api/v1/common/codes</w:t>
            </w:r>
          </w:p>
        </w:tc>
      </w:tr>
      <w:tr>
        <w:trPr>
          <w:cantSplit/>
        </w:trPr>
        <w:tc>
          <w:tcPr>
            <w:tcW w:type="dxa" w:w="8504"/>
            <w:gridSpan w:val="2"/>
            <w:shd w:val="clear" w:color="auto" w:fill="FEEBDD"/>
          </w:tcPr>
          <w:p>
            <w:pPr>
              <w:keepNext/>
              <w:spacing w:after="0"/>
            </w:pPr>
            <w:r>
              <w:rPr>
                <w:b/>
                <w:i w:val="0"/>
                <w:color w:val="333333"/>
                <w:sz w:val="15"/>
              </w:rPr>
              <w:t>Common: Notifications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/api/v1/common/notifications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/api/v1/common/notifications/unread-count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/api/v1/common/notifications/{id}/read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/api/v1/common/notifications/read-all</w:t>
            </w:r>
          </w:p>
        </w:tc>
      </w:tr>
      <w:tr>
        <w:trPr>
          <w:cantSplit/>
        </w:trPr>
        <w:tc>
          <w:tcPr>
            <w:tcW w:type="dxa" w:w="8504"/>
            <w:gridSpan w:val="2"/>
            <w:shd w:val="clear" w:color="auto" w:fill="FEEBDD"/>
          </w:tcPr>
          <w:p>
            <w:pPr>
              <w:keepNext/>
              <w:spacing w:after="0"/>
            </w:pPr>
            <w:r>
              <w:rPr>
                <w:b/>
                <w:i w:val="0"/>
                <w:color w:val="333333"/>
                <w:sz w:val="15"/>
              </w:rPr>
              <w:t>Common: Products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/api/v1/common/products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/api/v1/common/products/{id}</w:t>
            </w:r>
          </w:p>
        </w:tc>
      </w:tr>
      <w:tr>
        <w:trPr>
          <w:cantSplit/>
        </w:trPr>
        <w:tc>
          <w:tcPr>
            <w:tcW w:type="dxa" w:w="8504"/>
            <w:gridSpan w:val="2"/>
            <w:shd w:val="clear" w:color="auto" w:fill="FEEBDD"/>
          </w:tcPr>
          <w:p>
            <w:pPr>
              <w:keepNext/>
              <w:spacing w:after="0"/>
            </w:pPr>
            <w:r>
              <w:rPr>
                <w:b/>
                <w:i w:val="0"/>
                <w:color w:val="333333"/>
                <w:sz w:val="15"/>
              </w:rPr>
              <w:t>Integration (system-to-system)</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/api/v1/integration/agents/{agentCode}/status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/api/v1/integration/policies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/api/v1/integration/commissions/paid</w:t>
            </w:r>
          </w:p>
        </w:tc>
      </w:tr>
      <w:tr>
        <w:trPr>
          <w:cantSplit/>
        </w:trPr>
        <w:tc>
          <w:tcPr>
            <w:tcW w:type="dxa" w:w="8504"/>
            <w:gridSpan w:val="2"/>
            <w:shd w:val="clear" w:color="auto" w:fill="FEEBDD"/>
          </w:tcPr>
          <w:p>
            <w:pPr>
              <w:keepNext/>
              <w:spacing w:after="0"/>
            </w:pPr>
            <w:r>
              <w:rPr>
                <w:b/>
                <w:i w:val="0"/>
                <w:color w:val="333333"/>
                <w:sz w:val="15"/>
              </w:rPr>
              <w:t>Portal: Billing</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/api/v1/portal/billing/outstanding</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/api/v1/portal/billing/payments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/api/v1/portal/billing/payments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/api/v1/portal/billing/payments/{id}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/api/v1/portal/billing/commissions</w:t>
            </w:r>
          </w:p>
        </w:tc>
      </w:tr>
      <w:tr>
        <w:trPr>
          <w:cantSplit/>
        </w:trPr>
        <w:tc>
          <w:tcPr>
            <w:tcW w:type="dxa" w:w="8504"/>
            <w:gridSpan w:val="2"/>
            <w:shd w:val="clear" w:color="auto" w:fill="FEEBDD"/>
          </w:tcPr>
          <w:p>
            <w:pPr>
              <w:keepNext/>
              <w:spacing w:after="0"/>
            </w:pPr>
            <w:r>
              <w:rPr>
                <w:b/>
                <w:i w:val="0"/>
                <w:color w:val="333333"/>
                <w:sz w:val="15"/>
              </w:rPr>
              <w:t>Portal: 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/api/v1/portal/claims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/api/v1/portal/claims/validate-policy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/api/v1/portal/claims/{id}</w:t>
            </w:r>
          </w:p>
        </w:tc>
      </w:tr>
      <w:tr>
        <w:trPr>
          <w:cantSplit/>
        </w:trPr>
        <w:tc>
          <w:tcPr>
            <w:tcW w:type="dxa" w:w="8504"/>
            <w:gridSpan w:val="2"/>
            <w:shd w:val="clear" w:color="auto" w:fill="FEEBDD"/>
          </w:tcPr>
          <w:p>
            <w:pPr>
              <w:keepNext/>
              <w:spacing w:after="0"/>
            </w:pPr>
            <w:r>
              <w:rPr>
                <w:b/>
                <w:i w:val="0"/>
                <w:color w:val="333333"/>
                <w:sz w:val="15"/>
              </w:rPr>
              <w:t>Portal: Dashboard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/api/v1/portal/dashboard</w:t>
            </w:r>
          </w:p>
        </w:tc>
      </w:tr>
      <w:tr>
        <w:trPr>
          <w:cantSplit/>
        </w:trPr>
        <w:tc>
          <w:tcPr>
            <w:tcW w:type="dxa" w:w="8504"/>
            <w:gridSpan w:val="2"/>
            <w:shd w:val="clear" w:color="auto" w:fill="FEEBDD"/>
          </w:tcPr>
          <w:p>
            <w:pPr>
              <w:keepNext/>
              <w:spacing w:after="0"/>
            </w:pPr>
            <w:r>
              <w:rPr>
                <w:b/>
                <w:i w:val="0"/>
                <w:color w:val="333333"/>
                <w:sz w:val="15"/>
              </w:rPr>
              <w:t>Portal: 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/api/v1/portal/participants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/api/v1/portal/participants/lookup</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/api/v1/portal/participants/{id}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/api/v1/portal/participants/{id}/update-requests</w:t>
            </w:r>
          </w:p>
        </w:tc>
      </w:tr>
      <w:tr>
        <w:trPr>
          <w:cantSplit/>
        </w:trPr>
        <w:tc>
          <w:tcPr>
            <w:tcW w:type="dxa" w:w="8504"/>
            <w:gridSpan w:val="2"/>
            <w:shd w:val="clear" w:color="auto" w:fill="FEEBDD"/>
          </w:tcPr>
          <w:p>
            <w:pPr>
              <w:keepNext/>
              <w:spacing w:after="0"/>
            </w:pPr>
            <w:r>
              <w:rPr>
                <w:b/>
                <w:i w:val="0"/>
                <w:color w:val="333333"/>
                <w:sz w:val="15"/>
              </w:rPr>
              <w:t>Portal: Profile &amp; agency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/api/v1/portal/profile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/api/v1/portal/profile/update-requests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/api/v1/portal/agency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/api/v1/portal/hierarchy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/api/v1/portal/agents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/api/v1/portal/agents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/api/v1/portal/agents/{id}</w:t>
            </w:r>
          </w:p>
        </w:tc>
      </w:tr>
      <w:tr>
        <w:trPr>
          <w:cantSplit/>
        </w:trPr>
        <w:tc>
          <w:tcPr>
            <w:tcW w:type="dxa" w:w="8504"/>
            <w:gridSpan w:val="2"/>
            <w:shd w:val="clear" w:color="auto" w:fill="FEEBDD"/>
          </w:tcPr>
          <w:p>
            <w:pPr>
              <w:keepNext/>
              <w:spacing w:after="0"/>
            </w:pPr>
            <w:r>
              <w:rPr>
                <w:b/>
                <w:i w:val="0"/>
                <w:color w:val="333333"/>
                <w:sz w:val="15"/>
              </w:rPr>
              <w:t>Portal: Quotations &amp; 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/api/v1/portal/policies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/api/v1/portal/policies/renewals-due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/api/v1/portal/policies/{id}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/api/v1/portal/policies/{id}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/api/v1/portal/policies/calculate</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/api/v1/portal/policies/{id}/questionnaire</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/api/v1/portal/policies/{id}/nominees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/api/v1/portal/policies/{id}/submit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/api/v1/portal/policies/{id}/discard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/api/v1/portal/policies/{id}/reopen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/api/v1/portal/policies/{id}/renew</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/api/v1/portal/policies/{id}/endorsements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/api/v1/portal/policies/{id}/cancellations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/api/v1/portal/policies/{id}/email-documents</w:t>
            </w:r>
          </w:p>
        </w:tc>
      </w:tr>
      <w:tr>
        <w:trPr>
          <w:cantSplit/>
        </w:trPr>
        <w:tc>
          <w:tcPr>
            <w:tcW w:type="dxa" w:w="8504"/>
            <w:gridSpan w:val="2"/>
            <w:shd w:val="clear" w:color="auto" w:fill="FEEBDD"/>
          </w:tcPr>
          <w:p>
            <w:pPr>
              <w:keepNext/>
              <w:spacing w:after="0"/>
            </w:pPr>
            <w:r>
              <w:rPr>
                <w:b/>
                <w:i w:val="0"/>
                <w:color w:val="333333"/>
                <w:sz w:val="15"/>
              </w:rPr>
              <w:t>Portal: 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/api/v1/portal/reports/{code}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/api/v1/portal/reports/{code}/export</w:t>
            </w:r>
          </w:p>
        </w:tc>
      </w:tr>
      <w:tr>
        <w:trPr>
          <w:cantSplit/>
        </w:trPr>
        <w:tc>
          <w:tcPr>
            <w:tcW w:type="dxa" w:w="8504"/>
            <w:gridSpan w:val="2"/>
            <w:shd w:val="clear" w:color="auto" w:fill="FEEBDD"/>
          </w:tcPr>
          <w:p>
            <w:pPr>
              <w:keepNext/>
              <w:spacing w:after="0"/>
            </w:pPr>
            <w:r>
              <w:rPr>
                <w:b/>
                <w:i w:val="0"/>
                <w:color w:val="333333"/>
                <w:sz w:val="15"/>
              </w:rPr>
              <w:t>Portal: Requests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/api/v1/portal/requests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/api/v1/portal/requests/{id}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/api/v1/portal/requests/{id}/withdraw</w:t>
            </w:r>
          </w:p>
        </w:tc>
      </w:tr>
      <w:tr>
        <w:trPr>
          <w:cantSplit/>
        </w:trPr>
        <w:tc>
          <w:tcPr>
            <w:tcW w:type="dxa" w:w="8504"/>
            <w:gridSpan w:val="2"/>
            <w:shd w:val="clear" w:color="auto" w:fill="FEEBDD"/>
          </w:tcPr>
          <w:p>
            <w:pPr>
              <w:keepNext/>
              <w:spacing w:after="0"/>
            </w:pPr>
            <w:r>
              <w:rPr>
                <w:b/>
                <w:i w:val="0"/>
                <w:color w:val="333333"/>
                <w:sz w:val="15"/>
              </w:rPr>
              <w:t>Portal: e-Signature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/api/v1/portal/policies/{id}/signatures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/api/v1/portal/policies/{id}/signatures/link</w:t>
            </w:r>
          </w:p>
        </w:tc>
      </w:tr>
      <w:tr>
        <w:trPr>
          <w:cantSplit/>
        </w:trPr>
        <w:tc>
          <w:tcPr>
            <w:tcW w:type="dxa" w:w="8504"/>
            <w:gridSpan w:val="2"/>
            <w:shd w:val="clear" w:color="auto" w:fill="FEEBDD"/>
          </w:tcPr>
          <w:p>
            <w:pPr>
              <w:keepNext/>
              <w:spacing w:after="0"/>
            </w:pPr>
            <w:r>
              <w:rPr>
                <w:b/>
                <w:i w:val="0"/>
                <w:color w:val="333333"/>
                <w:sz w:val="15"/>
              </w:rPr>
              <w:t>Public: e-Signature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/api/v1/public/esign/{token}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/api/v1/public/esign/{token}</w:t>
            </w:r>
          </w:p>
        </w:tc>
      </w:tr>
    </w:tbl>
    <w:p>
      <w:pPr>
        <w:spacing w:after="0" w:before="0"/>
      </w:pPr>
      <w:r>
        <w:rPr>
          <w:sz w:val="8"/>
        </w:rPr>
      </w:r>
    </w:p>
    <w:p>
      <w:pPr>
        <w:pStyle w:val="Heading1"/>
        <w:pageBreakBefore/>
        <w:pBdr>
          <w:bottom w:val="single" w:sz="12" w:space="4" w:color="F58220"/>
        </w:pBdr>
      </w:pPr>
      <w:r>
        <w:t>Appendix B: Glossary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Term</w:t>
            </w:r>
          </w:p>
        </w:tc>
        <w:tc>
          <w:tcPr>
            <w:tcW w:type="dxa" w:w="7597"/>
            <w:shd w:val="clear" w:color="auto" w:fill="E1058C"/>
            <w:vAlign w:val="center"/>
          </w:tcPr>
          <w:p>
            <w:pPr>
              <w:spacing w:after="0"/>
            </w:pPr>
            <w:r>
              <w:rPr>
                <w:b/>
                <w:i w:val="0"/>
                <w:color w:val="FFFFFF"/>
                <w:sz w:val="17"/>
              </w:rPr>
              <w:t>Meaning</w:t>
            </w:r>
          </w:p>
        </w:tc>
      </w:tr>
      <w:tr>
        <w:trPr>
          <w:cantSplit/>
        </w:trPr>
        <w:tc>
          <w:tcPr>
            <w:tcW w:type="dxa" w:w="2041"/>
            <w:vAlign w:val="top"/>
          </w:tcPr>
          <w:p>
            <w:pPr>
              <w:spacing w:after="20" w:line="252" w:lineRule="auto"/>
            </w:pPr>
            <w:r>
              <w:rPr>
                <w:b/>
                <w:i w:val="0"/>
                <w:sz w:val="17"/>
              </w:rPr>
              <w:t>Advisory lock</w:t>
            </w:r>
          </w:p>
        </w:tc>
        <w:tc>
          <w:tcPr>
            <w:tcW w:type="dxa" w:w="7597"/>
            <w:vAlign w:val="top"/>
          </w:tcPr>
          <w:p>
            <w:pPr>
              <w:spacing w:after="20" w:line="252" w:lineRule="auto"/>
            </w:pPr>
            <w:r>
              <w:rPr>
                <w:b w:val="0"/>
                <w:i w:val="0"/>
                <w:sz w:val="17"/>
              </w:rPr>
              <w:t>PostgreSQL lock identified by a number, used here so one API instance runs each job</w:t>
            </w:r>
          </w:p>
        </w:tc>
      </w:tr>
      <w:tr>
        <w:trPr>
          <w:cantSplit/>
        </w:trPr>
        <w:tc>
          <w:tcPr>
            <w:tcW w:type="dxa" w:w="2041"/>
            <w:vAlign w:val="top"/>
            <w:shd w:val="clear" w:color="auto" w:fill="FDF0F7"/>
          </w:tcPr>
          <w:p>
            <w:pPr>
              <w:spacing w:after="20" w:line="252" w:lineRule="auto"/>
            </w:pPr>
            <w:r>
              <w:rPr>
                <w:b/>
                <w:i w:val="0"/>
                <w:sz w:val="17"/>
              </w:rPr>
              <w:t>AMBD</w:t>
            </w:r>
          </w:p>
        </w:tc>
        <w:tc>
          <w:tcPr>
            <w:tcW w:type="dxa" w:w="7597"/>
            <w:vAlign w:val="top"/>
            <w:shd w:val="clear" w:color="auto" w:fill="FDF0F7"/>
          </w:tcPr>
          <w:p>
            <w:pPr>
              <w:spacing w:after="20" w:line="252" w:lineRule="auto"/>
            </w:pPr>
            <w:r>
              <w:rPr>
                <w:b w:val="0"/>
                <w:i w:val="0"/>
                <w:sz w:val="17"/>
              </w:rPr>
              <w:t>Autoriti Monetari Brunei Darussalam, the financial regulator</w:t>
            </w:r>
          </w:p>
        </w:tc>
      </w:tr>
      <w:tr>
        <w:trPr>
          <w:cantSplit/>
        </w:trPr>
        <w:tc>
          <w:tcPr>
            <w:tcW w:type="dxa" w:w="2041"/>
            <w:vAlign w:val="top"/>
          </w:tcPr>
          <w:p>
            <w:pPr>
              <w:spacing w:after="20" w:line="252" w:lineRule="auto"/>
            </w:pPr>
            <w:r>
              <w:rPr>
                <w:b/>
                <w:i w:val="0"/>
                <w:sz w:val="17"/>
              </w:rPr>
              <w:t>Blind index</w:t>
            </w:r>
          </w:p>
        </w:tc>
        <w:tc>
          <w:tcPr>
            <w:tcW w:type="dxa" w:w="7597"/>
            <w:vAlign w:val="top"/>
          </w:tcPr>
          <w:p>
            <w:pPr>
              <w:spacing w:after="20" w:line="252" w:lineRule="auto"/>
            </w:pPr>
            <w:r>
              <w:rPr>
                <w:b w:val="0"/>
                <w:i w:val="0"/>
                <w:sz w:val="17"/>
              </w:rPr>
              <w:t>Keyed hash of a value stored next to its ciphertext so the value can be matched exactly without decrypting</w:t>
            </w:r>
          </w:p>
        </w:tc>
      </w:tr>
      <w:tr>
        <w:trPr>
          <w:cantSplit/>
        </w:trPr>
        <w:tc>
          <w:tcPr>
            <w:tcW w:type="dxa" w:w="2041"/>
            <w:vAlign w:val="top"/>
            <w:shd w:val="clear" w:color="auto" w:fill="FDF0F7"/>
          </w:tcPr>
          <w:p>
            <w:pPr>
              <w:spacing w:after="20" w:line="252" w:lineRule="auto"/>
            </w:pPr>
            <w:r>
              <w:rPr>
                <w:b/>
                <w:i w:val="0"/>
                <w:sz w:val="17"/>
              </w:rPr>
              <w:t>CSRF</w:t>
            </w:r>
          </w:p>
        </w:tc>
        <w:tc>
          <w:tcPr>
            <w:tcW w:type="dxa" w:w="7597"/>
            <w:vAlign w:val="top"/>
            <w:shd w:val="clear" w:color="auto" w:fill="FDF0F7"/>
          </w:tcPr>
          <w:p>
            <w:pPr>
              <w:spacing w:after="20" w:line="252" w:lineRule="auto"/>
            </w:pPr>
            <w:r>
              <w:rPr>
                <w:b w:val="0"/>
                <w:i w:val="0"/>
                <w:sz w:val="17"/>
              </w:rPr>
              <w:t>Cross-site request forgery</w:t>
            </w:r>
          </w:p>
        </w:tc>
      </w:tr>
      <w:tr>
        <w:trPr>
          <w:cantSplit/>
        </w:trPr>
        <w:tc>
          <w:tcPr>
            <w:tcW w:type="dxa" w:w="2041"/>
            <w:vAlign w:val="top"/>
          </w:tcPr>
          <w:p>
            <w:pPr>
              <w:spacing w:after="20" w:line="252" w:lineRule="auto"/>
            </w:pPr>
            <w:r>
              <w:rPr>
                <w:b/>
                <w:i w:val="0"/>
                <w:sz w:val="17"/>
              </w:rPr>
              <w:t>Dead-letter</w:t>
            </w:r>
          </w:p>
        </w:tc>
        <w:tc>
          <w:tcPr>
            <w:tcW w:type="dxa" w:w="7597"/>
            <w:vAlign w:val="top"/>
          </w:tcPr>
          <w:p>
            <w:pPr>
              <w:spacing w:after="20" w:line="252" w:lineRule="auto"/>
            </w:pPr>
            <w:r>
              <w:rPr>
                <w:b w:val="0"/>
                <w:i w:val="0"/>
                <w:sz w:val="17"/>
              </w:rPr>
              <w:t>State of a message that will not be retried automatically</w:t>
            </w:r>
          </w:p>
        </w:tc>
      </w:tr>
      <w:tr>
        <w:trPr>
          <w:cantSplit/>
        </w:trPr>
        <w:tc>
          <w:tcPr>
            <w:tcW w:type="dxa" w:w="2041"/>
            <w:vAlign w:val="top"/>
            <w:shd w:val="clear" w:color="auto" w:fill="FDF0F7"/>
          </w:tcPr>
          <w:p>
            <w:pPr>
              <w:spacing w:after="20" w:line="252" w:lineRule="auto"/>
            </w:pPr>
            <w:r>
              <w:rPr>
                <w:b/>
                <w:i w:val="0"/>
                <w:sz w:val="17"/>
              </w:rPr>
              <w:t>EOD</w:t>
            </w:r>
          </w:p>
        </w:tc>
        <w:tc>
          <w:tcPr>
            <w:tcW w:type="dxa" w:w="7597"/>
            <w:vAlign w:val="top"/>
            <w:shd w:val="clear" w:color="auto" w:fill="FDF0F7"/>
          </w:tcPr>
          <w:p>
            <w:pPr>
              <w:spacing w:after="20" w:line="252" w:lineRule="auto"/>
            </w:pPr>
            <w:r>
              <w:rPr>
                <w:b w:val="0"/>
                <w:i w:val="0"/>
                <w:sz w:val="17"/>
              </w:rPr>
              <w:t>End-of-day processing</w:t>
            </w:r>
          </w:p>
        </w:tc>
      </w:tr>
      <w:tr>
        <w:trPr>
          <w:cantSplit/>
        </w:trPr>
        <w:tc>
          <w:tcPr>
            <w:tcW w:type="dxa" w:w="2041"/>
            <w:vAlign w:val="top"/>
          </w:tcPr>
          <w:p>
            <w:pPr>
              <w:spacing w:after="20" w:line="252" w:lineRule="auto"/>
            </w:pPr>
            <w:r>
              <w:rPr>
                <w:b/>
                <w:i w:val="0"/>
                <w:sz w:val="17"/>
              </w:rPr>
              <w:t>FIN</w:t>
            </w:r>
          </w:p>
        </w:tc>
        <w:tc>
          <w:tcPr>
            <w:tcW w:type="dxa" w:w="7597"/>
            <w:vAlign w:val="top"/>
          </w:tcPr>
          <w:p>
            <w:pPr>
              <w:spacing w:after="20" w:line="252" w:lineRule="auto"/>
            </w:pPr>
            <w:r>
              <w:rPr>
                <w:b w:val="0"/>
                <w:i w:val="0"/>
                <w:sz w:val="17"/>
              </w:rPr>
              <w:t>IITH financial system</w:t>
            </w:r>
          </w:p>
        </w:tc>
      </w:tr>
      <w:tr>
        <w:trPr>
          <w:cantSplit/>
        </w:trPr>
        <w:tc>
          <w:tcPr>
            <w:tcW w:type="dxa" w:w="2041"/>
            <w:vAlign w:val="top"/>
            <w:shd w:val="clear" w:color="auto" w:fill="FDF0F7"/>
          </w:tcPr>
          <w:p>
            <w:pPr>
              <w:spacing w:after="20" w:line="252" w:lineRule="auto"/>
            </w:pPr>
            <w:r>
              <w:rPr>
                <w:b/>
                <w:i w:val="0"/>
                <w:sz w:val="17"/>
              </w:rPr>
              <w:t>Idempotency key</w:t>
            </w:r>
          </w:p>
        </w:tc>
        <w:tc>
          <w:tcPr>
            <w:tcW w:type="dxa" w:w="7597"/>
            <w:vAlign w:val="top"/>
            <w:shd w:val="clear" w:color="auto" w:fill="FDF0F7"/>
          </w:tcPr>
          <w:p>
            <w:pPr>
              <w:spacing w:after="20" w:line="252" w:lineRule="auto"/>
            </w:pPr>
            <w:r>
              <w:rPr>
                <w:b w:val="0"/>
                <w:i w:val="0"/>
                <w:sz w:val="17"/>
              </w:rPr>
              <w:t>Identifier that lets a receiver ignore a repeated delivery</w:t>
            </w:r>
          </w:p>
        </w:tc>
      </w:tr>
      <w:tr>
        <w:trPr>
          <w:cantSplit/>
        </w:trPr>
        <w:tc>
          <w:tcPr>
            <w:tcW w:type="dxa" w:w="2041"/>
            <w:vAlign w:val="top"/>
          </w:tcPr>
          <w:p>
            <w:pPr>
              <w:spacing w:after="20" w:line="252" w:lineRule="auto"/>
            </w:pPr>
            <w:r>
              <w:rPr>
                <w:b/>
                <w:i w:val="0"/>
                <w:sz w:val="17"/>
              </w:rPr>
              <w:t>Maker-checker</w:t>
            </w:r>
          </w:p>
        </w:tc>
        <w:tc>
          <w:tcPr>
            <w:tcW w:type="dxa" w:w="7597"/>
            <w:vAlign w:val="top"/>
          </w:tcPr>
          <w:p>
            <w:pPr>
              <w:spacing w:after="20" w:line="252" w:lineRule="auto"/>
            </w:pPr>
            <w:r>
              <w:rPr>
                <w:b w:val="0"/>
                <w:i w:val="0"/>
                <w:sz w:val="17"/>
              </w:rPr>
              <w:t>Control where one person raises a change and another approves it</w:t>
            </w:r>
          </w:p>
        </w:tc>
      </w:tr>
      <w:tr>
        <w:trPr>
          <w:cantSplit/>
        </w:trPr>
        <w:tc>
          <w:tcPr>
            <w:tcW w:type="dxa" w:w="2041"/>
            <w:vAlign w:val="top"/>
            <w:shd w:val="clear" w:color="auto" w:fill="FDF0F7"/>
          </w:tcPr>
          <w:p>
            <w:pPr>
              <w:spacing w:after="20" w:line="252" w:lineRule="auto"/>
            </w:pPr>
            <w:r>
              <w:rPr>
                <w:b/>
                <w:i w:val="0"/>
                <w:sz w:val="17"/>
              </w:rPr>
              <w:t>Outbox</w:t>
            </w:r>
          </w:p>
        </w:tc>
        <w:tc>
          <w:tcPr>
            <w:tcW w:type="dxa" w:w="7597"/>
            <w:vAlign w:val="top"/>
            <w:shd w:val="clear" w:color="auto" w:fill="FDF0F7"/>
          </w:tcPr>
          <w:p>
            <w:pPr>
              <w:spacing w:after="20" w:line="252" w:lineRule="auto"/>
            </w:pPr>
            <w:r>
              <w:rPr>
                <w:b w:val="0"/>
                <w:i w:val="0"/>
                <w:sz w:val="17"/>
              </w:rPr>
              <w:t>Table of messages written with the business change and delivered afterwards</w:t>
            </w:r>
          </w:p>
        </w:tc>
      </w:tr>
      <w:tr>
        <w:trPr>
          <w:cantSplit/>
        </w:trPr>
        <w:tc>
          <w:tcPr>
            <w:tcW w:type="dxa" w:w="2041"/>
            <w:vAlign w:val="top"/>
          </w:tcPr>
          <w:p>
            <w:pPr>
              <w:spacing w:after="20" w:line="252" w:lineRule="auto"/>
            </w:pPr>
            <w:r>
              <w:rPr>
                <w:b/>
                <w:i w:val="0"/>
                <w:sz w:val="17"/>
              </w:rPr>
              <w:t>PDPO</w:t>
            </w:r>
          </w:p>
        </w:tc>
        <w:tc>
          <w:tcPr>
            <w:tcW w:type="dxa" w:w="7597"/>
            <w:vAlign w:val="top"/>
          </w:tcPr>
          <w:p>
            <w:pPr>
              <w:spacing w:after="20" w:line="252" w:lineRule="auto"/>
            </w:pPr>
            <w:r>
              <w:rPr>
                <w:b w:val="0"/>
                <w:i w:val="0"/>
                <w:sz w:val="17"/>
              </w:rPr>
              <w:t>Personal Data Protection Order 2025 (Brunei)</w:t>
            </w:r>
          </w:p>
        </w:tc>
      </w:tr>
      <w:tr>
        <w:trPr>
          <w:cantSplit/>
        </w:trPr>
        <w:tc>
          <w:tcPr>
            <w:tcW w:type="dxa" w:w="2041"/>
            <w:vAlign w:val="top"/>
            <w:shd w:val="clear" w:color="auto" w:fill="FDF0F7"/>
          </w:tcPr>
          <w:p>
            <w:pPr>
              <w:spacing w:after="20" w:line="252" w:lineRule="auto"/>
            </w:pPr>
            <w:r>
              <w:rPr>
                <w:b/>
                <w:i w:val="0"/>
                <w:sz w:val="17"/>
              </w:rPr>
              <w:t>PITR</w:t>
            </w:r>
          </w:p>
        </w:tc>
        <w:tc>
          <w:tcPr>
            <w:tcW w:type="dxa" w:w="7597"/>
            <w:vAlign w:val="top"/>
            <w:shd w:val="clear" w:color="auto" w:fill="FDF0F7"/>
          </w:tcPr>
          <w:p>
            <w:pPr>
              <w:spacing w:after="20" w:line="252" w:lineRule="auto"/>
            </w:pPr>
            <w:r>
              <w:rPr>
                <w:b w:val="0"/>
                <w:i w:val="0"/>
                <w:sz w:val="17"/>
              </w:rPr>
              <w:t>Point-in-time recovery</w:t>
            </w:r>
          </w:p>
        </w:tc>
      </w:tr>
      <w:tr>
        <w:trPr>
          <w:cantSplit/>
        </w:trPr>
        <w:tc>
          <w:tcPr>
            <w:tcW w:type="dxa" w:w="2041"/>
            <w:vAlign w:val="top"/>
          </w:tcPr>
          <w:p>
            <w:pPr>
              <w:spacing w:after="20" w:line="252" w:lineRule="auto"/>
            </w:pPr>
            <w:r>
              <w:rPr>
                <w:b/>
                <w:i w:val="0"/>
                <w:sz w:val="17"/>
              </w:rPr>
              <w:t>RPO / RTO</w:t>
            </w:r>
          </w:p>
        </w:tc>
        <w:tc>
          <w:tcPr>
            <w:tcW w:type="dxa" w:w="7597"/>
            <w:vAlign w:val="top"/>
          </w:tcPr>
          <w:p>
            <w:pPr>
              <w:spacing w:after="20" w:line="252" w:lineRule="auto"/>
            </w:pPr>
            <w:r>
              <w:rPr>
                <w:b w:val="0"/>
                <w:i w:val="0"/>
                <w:sz w:val="17"/>
              </w:rPr>
              <w:t>Recovery point objective (data loss) / recovery time objective (downtime)</w:t>
            </w:r>
          </w:p>
        </w:tc>
      </w:tr>
      <w:tr>
        <w:trPr>
          <w:cantSplit/>
        </w:trPr>
        <w:tc>
          <w:tcPr>
            <w:tcW w:type="dxa" w:w="2041"/>
            <w:vAlign w:val="top"/>
            <w:shd w:val="clear" w:color="auto" w:fill="FDF0F7"/>
          </w:tcPr>
          <w:p>
            <w:pPr>
              <w:spacing w:after="20" w:line="252" w:lineRule="auto"/>
            </w:pPr>
            <w:r>
              <w:rPr>
                <w:b/>
                <w:i w:val="0"/>
                <w:sz w:val="17"/>
              </w:rPr>
              <w:t>SPA</w:t>
            </w:r>
          </w:p>
        </w:tc>
        <w:tc>
          <w:tcPr>
            <w:tcW w:type="dxa" w:w="7597"/>
            <w:vAlign w:val="top"/>
            <w:shd w:val="clear" w:color="auto" w:fill="FDF0F7"/>
          </w:tcPr>
          <w:p>
            <w:pPr>
              <w:spacing w:after="20" w:line="252" w:lineRule="auto"/>
            </w:pPr>
            <w:r>
              <w:rPr>
                <w:b w:val="0"/>
                <w:i w:val="0"/>
                <w:sz w:val="17"/>
              </w:rPr>
              <w:t>Single-page application</w:t>
            </w:r>
          </w:p>
        </w:tc>
      </w:tr>
      <w:tr>
        <w:trPr>
          <w:cantSplit/>
        </w:trPr>
        <w:tc>
          <w:tcPr>
            <w:tcW w:type="dxa" w:w="2041"/>
            <w:vAlign w:val="top"/>
          </w:tcPr>
          <w:p>
            <w:pPr>
              <w:spacing w:after="20" w:line="252" w:lineRule="auto"/>
            </w:pPr>
            <w:r>
              <w:rPr>
                <w:b/>
                <w:i w:val="0"/>
                <w:sz w:val="17"/>
              </w:rPr>
              <w:t>Tabarru'</w:t>
            </w:r>
          </w:p>
        </w:tc>
        <w:tc>
          <w:tcPr>
            <w:tcW w:type="dxa" w:w="7597"/>
            <w:vAlign w:val="top"/>
          </w:tcPr>
          <w:p>
            <w:pPr>
              <w:spacing w:after="20" w:line="252" w:lineRule="auto"/>
            </w:pPr>
            <w:r>
              <w:rPr>
                <w:b w:val="0"/>
                <w:i w:val="0"/>
                <w:sz w:val="17"/>
              </w:rPr>
              <w:t>Donation portion of the contribution to the participants' risk fund</w:t>
            </w:r>
          </w:p>
        </w:tc>
      </w:tr>
      <w:tr>
        <w:trPr>
          <w:cantSplit/>
        </w:trPr>
        <w:tc>
          <w:tcPr>
            <w:tcW w:type="dxa" w:w="2041"/>
            <w:vAlign w:val="top"/>
            <w:shd w:val="clear" w:color="auto" w:fill="FDF0F7"/>
          </w:tcPr>
          <w:p>
            <w:pPr>
              <w:spacing w:after="20" w:line="252" w:lineRule="auto"/>
            </w:pPr>
            <w:r>
              <w:rPr>
                <w:b/>
                <w:i w:val="0"/>
                <w:sz w:val="17"/>
              </w:rPr>
              <w:t>Wakalah</w:t>
            </w:r>
          </w:p>
        </w:tc>
        <w:tc>
          <w:tcPr>
            <w:tcW w:type="dxa" w:w="7597"/>
            <w:vAlign w:val="top"/>
            <w:shd w:val="clear" w:color="auto" w:fill="FDF0F7"/>
          </w:tcPr>
          <w:p>
            <w:pPr>
              <w:spacing w:after="20" w:line="252" w:lineRule="auto"/>
            </w:pPr>
            <w:r>
              <w:rPr>
                <w:b w:val="0"/>
                <w:i w:val="0"/>
                <w:sz w:val="17"/>
              </w:rPr>
              <w:t>Agency fee charged by the takaful operator</w:t>
            </w:r>
          </w:p>
        </w:tc>
      </w:tr>
    </w:tbl>
    <w:p>
      <w:pPr>
        <w:spacing w:after="0" w:before="0"/>
      </w:pPr>
      <w:r>
        <w:rPr>
          <w:sz w:val="8"/>
        </w:rPr>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IIFT-SV2-SAD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SalesVerse 2.0 Solution Architecture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Solution Architecture</dc:title>
  <dc:subject>IIFT Agent/Banca Portal &amp; Back-office – Solution Architecture</dc:subject>
  <dc:creator>iorta TechNXT</dc:creator>
  <cp:keywords>solution architecture; SalesVerse 2.0; IIFT; NestJS; PostgreSQL; deployment; security</cp:keywords>
  <dc:description/>
  <cp:lastModifiedBy>iorta TechNXT</cp:lastModifiedBy>
  <cp:revision>1</cp:revision>
  <dcterms:created xsi:type="dcterms:W3CDTF">2026-10-02T14:29:51Z</dcterms:created>
  <dcterms:modified xsi:type="dcterms:W3CDTF">2026-10-02T14:29:51Z</dcterms:modified>
  <cp:category>Commercial-in-Confidence</cp:category>
  <dc:identifier>IIFT-SV2-SAD</dc:identifier>
  <cp:version>1.0</cp:version>
</cp:coreProperties>
</file>