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Production Support Handover</w:t>
      </w:r>
    </w:p>
    <w:p>
      <w:pPr>
        <w:keepNext w:val="0"/>
        <w:spacing w:after="120"/>
      </w:pPr>
      <w:r>
        <w:rPr>
          <w:b w:val="0"/>
          <w:i w:val="0"/>
          <w:color w:val="333333"/>
          <w:sz w:val="26"/>
        </w:rPr>
        <w:t>Support model, service levels, operating procedures, runbooks, configuration reference, knowledge transfer and the Option C source code transition</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3" name="Picture 3"/>
                  <wp:cNvGraphicFramePr>
                    <a:graphicFrameLocks noChangeAspect="1"/>
                  </wp:cNvGraphicFramePr>
                  <a:graphic>
                    <a:graphicData uri="http://schemas.openxmlformats.org/drawingml/2006/picture">
                      <pic:pic>
                        <pic:nvPicPr>
                          <pic:cNvPr id="0" name="iift-logo.png"/>
                          <pic:cNvPicPr/>
                        </pic:nvPicPr>
                        <pic:blipFill>
                          <a:blip r:embed="rId13"/>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IIFT-SV2-PSH</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DEL-26 (Technical manual), DEL-27 (Operations manual), MNT-01 to MNT-30</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document hands over the operation of SalesVerse 2.0 to the support organisation. It defines who does what, the service levels, the processes for incidents, problems, changes and releases, and gives the runbooks and reference data that support staff need. It covers both hosting options of the proposal (Option A on-premise, Option B iorta-hosted cloud with managed services) and the transition under Option C (source code handover). It is updated after every release (MNT-27).</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This document</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SalesVerse-2.0-Solution-Architecture: design, deployment, sizing and security.</w:t>
      </w:r>
    </w:p>
    <w:p>
      <w:pPr>
        <w:pStyle w:val="ListBullet"/>
      </w:pPr>
      <w:r>
        <w:rPr>
          <w:b w:val="0"/>
          <w:i w:val="0"/>
        </w:rPr>
        <w:t>SalesVerse-2.0-Data-Dictionary: database tables and columns.</w:t>
      </w:r>
    </w:p>
    <w:p>
      <w:pPr>
        <w:pStyle w:val="ListBullet"/>
      </w:pPr>
      <w:r>
        <w:rPr>
          <w:b w:val="0"/>
          <w:i w:val="0"/>
        </w:rPr>
        <w:t>README.md and apps/api/.env.example in the source repository.</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Option A, B and C are the commercial options of the proposal: on-premise with a perpetual licence, subscription hosted and managed by iorta on cloud, and source code handover. Prices and commercial terms are in the proposal and its pricing workbook; this pack quotes a figure only where a technical statement depends on it, and reads it from the same source as the proposal.</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Introduction</w:t>
      </w:r>
    </w:p>
    <w:p>
      <w:pPr>
        <w:keepNext w:val="0"/>
      </w:pPr>
      <w:r>
        <w:rPr>
          <w:b w:val="0"/>
          <w:i w:val="0"/>
        </w:rPr>
        <w:t>SalesVerse 2.0 goes live after UAT sign-off and is followed by 4 weeks of hypercare, during which the project team supports production directly. At hypercare exit the service moves to the support model in this document for the 5-year term: under Option A the annual maintenance (AMC) with IITH operating the infrastructure, under Option B the subscription with iorta's managed services operating the cloud estate. The 6-month warranty from go-live runs in parallel and covers defect correction at no cost. Under Option C the source code handover and transition in chapter 16 can start once hypercare has ended.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2835"/>
        <w:gridCol w:w="4876"/>
      </w:tblGrid>
      <w:tr>
        <w:trPr>
          <w:cantSplit/>
          <w:tblHeader/>
        </w:trPr>
        <w:tc>
          <w:tcPr>
            <w:tcW w:type="dxa" w:w="1928"/>
            <w:shd w:val="clear" w:color="auto" w:fill="E1058C"/>
            <w:vAlign w:val="center"/>
          </w:tcPr>
          <w:p>
            <w:pPr>
              <w:spacing w:after="0"/>
            </w:pPr>
            <w:r>
              <w:rPr>
                <w:b/>
                <w:i w:val="0"/>
                <w:color w:val="FFFFFF"/>
                <w:sz w:val="17"/>
              </w:rPr>
              <w:t>Phase</w:t>
            </w:r>
          </w:p>
        </w:tc>
        <w:tc>
          <w:tcPr>
            <w:tcW w:type="dxa" w:w="2835"/>
            <w:shd w:val="clear" w:color="auto" w:fill="E1058C"/>
            <w:vAlign w:val="center"/>
          </w:tcPr>
          <w:p>
            <w:pPr>
              <w:spacing w:after="0"/>
            </w:pPr>
            <w:r>
              <w:rPr>
                <w:b/>
                <w:i w:val="0"/>
                <w:color w:val="FFFFFF"/>
                <w:sz w:val="17"/>
              </w:rPr>
              <w:t>Period</w:t>
            </w:r>
          </w:p>
        </w:tc>
        <w:tc>
          <w:tcPr>
            <w:tcW w:type="dxa" w:w="4876"/>
            <w:shd w:val="clear" w:color="auto" w:fill="E1058C"/>
            <w:vAlign w:val="center"/>
          </w:tcPr>
          <w:p>
            <w:pPr>
              <w:spacing w:after="0"/>
            </w:pPr>
            <w:r>
              <w:rPr>
                <w:b/>
                <w:i w:val="0"/>
                <w:color w:val="FFFFFF"/>
                <w:sz w:val="17"/>
              </w:rPr>
              <w:t>Support arrangement</w:t>
            </w:r>
          </w:p>
        </w:tc>
      </w:tr>
      <w:tr>
        <w:trPr>
          <w:cantSplit/>
        </w:trPr>
        <w:tc>
          <w:tcPr>
            <w:tcW w:type="dxa" w:w="1928"/>
            <w:vAlign w:val="top"/>
          </w:tcPr>
          <w:p>
            <w:pPr>
              <w:spacing w:after="20" w:line="252" w:lineRule="auto"/>
            </w:pPr>
            <w:r>
              <w:rPr>
                <w:b w:val="0"/>
                <w:i w:val="0"/>
                <w:sz w:val="17"/>
              </w:rPr>
              <w:t>Hypercare</w:t>
            </w:r>
          </w:p>
        </w:tc>
        <w:tc>
          <w:tcPr>
            <w:tcW w:type="dxa" w:w="2835"/>
            <w:vAlign w:val="top"/>
          </w:tcPr>
          <w:p>
            <w:pPr>
              <w:spacing w:after="20" w:line="252" w:lineRule="auto"/>
            </w:pPr>
            <w:r>
              <w:rPr>
                <w:b w:val="0"/>
                <w:i w:val="0"/>
                <w:sz w:val="17"/>
              </w:rPr>
              <w:t>Weeks 25 to 28 (4 weeks after go-live)</w:t>
            </w:r>
          </w:p>
        </w:tc>
        <w:tc>
          <w:tcPr>
            <w:tcW w:type="dxa" w:w="4876"/>
            <w:vAlign w:val="top"/>
          </w:tcPr>
          <w:p>
            <w:pPr>
              <w:spacing w:after="20" w:line="252" w:lineRule="auto"/>
            </w:pPr>
            <w:r>
              <w:rPr>
                <w:b w:val="0"/>
                <w:i w:val="0"/>
                <w:sz w:val="17"/>
              </w:rPr>
              <w:t>Project team: senior developer on site in Bandar Seri Begawan, the rest on call; daily stand-up with IIFT; priority fixes</w:t>
            </w:r>
          </w:p>
        </w:tc>
      </w:tr>
      <w:tr>
        <w:trPr>
          <w:cantSplit/>
        </w:trPr>
        <w:tc>
          <w:tcPr>
            <w:tcW w:type="dxa" w:w="1928"/>
            <w:vAlign w:val="top"/>
            <w:shd w:val="clear" w:color="auto" w:fill="FDF0F7"/>
          </w:tcPr>
          <w:p>
            <w:pPr>
              <w:spacing w:after="20" w:line="252" w:lineRule="auto"/>
            </w:pPr>
            <w:r>
              <w:rPr>
                <w:b w:val="0"/>
                <w:i w:val="0"/>
                <w:sz w:val="17"/>
              </w:rPr>
              <w:t>Warranty</w:t>
            </w:r>
          </w:p>
        </w:tc>
        <w:tc>
          <w:tcPr>
            <w:tcW w:type="dxa" w:w="2835"/>
            <w:vAlign w:val="top"/>
            <w:shd w:val="clear" w:color="auto" w:fill="FDF0F7"/>
          </w:tcPr>
          <w:p>
            <w:pPr>
              <w:spacing w:after="20" w:line="252" w:lineRule="auto"/>
            </w:pPr>
            <w:r>
              <w:rPr>
                <w:b w:val="0"/>
                <w:i w:val="0"/>
                <w:sz w:val="17"/>
              </w:rPr>
              <w:t>6 months from go-live</w:t>
            </w:r>
          </w:p>
        </w:tc>
        <w:tc>
          <w:tcPr>
            <w:tcW w:type="dxa" w:w="4876"/>
            <w:vAlign w:val="top"/>
            <w:shd w:val="clear" w:color="auto" w:fill="FDF0F7"/>
          </w:tcPr>
          <w:p>
            <w:pPr>
              <w:spacing w:after="20" w:line="252" w:lineRule="auto"/>
            </w:pPr>
            <w:r>
              <w:rPr>
                <w:b w:val="0"/>
                <w:i w:val="0"/>
                <w:sz w:val="17"/>
              </w:rPr>
              <w:t>Defects fixed free of charge under this support model</w:t>
            </w:r>
          </w:p>
        </w:tc>
      </w:tr>
      <w:tr>
        <w:trPr>
          <w:cantSplit/>
        </w:trPr>
        <w:tc>
          <w:tcPr>
            <w:tcW w:type="dxa" w:w="1928"/>
            <w:vAlign w:val="top"/>
          </w:tcPr>
          <w:p>
            <w:pPr>
              <w:spacing w:after="20" w:line="252" w:lineRule="auto"/>
            </w:pPr>
            <w:r>
              <w:rPr>
                <w:b w:val="0"/>
                <w:i w:val="0"/>
                <w:sz w:val="17"/>
              </w:rPr>
              <w:t>Maintenance or subscription</w:t>
            </w:r>
          </w:p>
        </w:tc>
        <w:tc>
          <w:tcPr>
            <w:tcW w:type="dxa" w:w="2835"/>
            <w:vAlign w:val="top"/>
          </w:tcPr>
          <w:p>
            <w:pPr>
              <w:spacing w:after="20" w:line="252" w:lineRule="auto"/>
            </w:pPr>
            <w:r>
              <w:rPr>
                <w:b w:val="0"/>
                <w:i w:val="0"/>
                <w:sz w:val="17"/>
              </w:rPr>
              <w:t>Years 1 to 5 from go-live</w:t>
            </w:r>
          </w:p>
        </w:tc>
        <w:tc>
          <w:tcPr>
            <w:tcW w:type="dxa" w:w="4876"/>
            <w:vAlign w:val="top"/>
          </w:tcPr>
          <w:p>
            <w:pPr>
              <w:spacing w:after="20" w:line="252" w:lineRule="auto"/>
            </w:pPr>
            <w:r>
              <w:rPr>
                <w:b w:val="0"/>
                <w:i w:val="0"/>
                <w:sz w:val="17"/>
              </w:rPr>
              <w:t>This support model, SLA and monthly reporting; Option B adds the managed services operating model in chapter 12</w:t>
            </w:r>
          </w:p>
        </w:tc>
      </w:tr>
      <w:tr>
        <w:trPr>
          <w:cantSplit/>
        </w:trPr>
        <w:tc>
          <w:tcPr>
            <w:tcW w:type="dxa" w:w="1928"/>
            <w:vAlign w:val="top"/>
            <w:shd w:val="clear" w:color="auto" w:fill="FDF0F7"/>
          </w:tcPr>
          <w:p>
            <w:pPr>
              <w:spacing w:after="20" w:line="252" w:lineRule="auto"/>
            </w:pPr>
            <w:r>
              <w:rPr>
                <w:b w:val="0"/>
                <w:i w:val="0"/>
                <w:sz w:val="17"/>
              </w:rPr>
              <w:t>Option C transition</w:t>
            </w:r>
          </w:p>
        </w:tc>
        <w:tc>
          <w:tcPr>
            <w:tcW w:type="dxa" w:w="2835"/>
            <w:vAlign w:val="top"/>
            <w:shd w:val="clear" w:color="auto" w:fill="FDF0F7"/>
          </w:tcPr>
          <w:p>
            <w:pPr>
              <w:spacing w:after="20" w:line="252" w:lineRule="auto"/>
            </w:pPr>
            <w:r>
              <w:rPr>
                <w:b w:val="0"/>
                <w:i w:val="0"/>
                <w:sz w:val="17"/>
              </w:rPr>
              <w:t>From week 29 at the earliest, 8 weeks</w:t>
            </w:r>
          </w:p>
        </w:tc>
        <w:tc>
          <w:tcPr>
            <w:tcW w:type="dxa" w:w="4876"/>
            <w:vAlign w:val="top"/>
            <w:shd w:val="clear" w:color="auto" w:fill="FDF0F7"/>
          </w:tcPr>
          <w:p>
            <w:pPr>
              <w:spacing w:after="20" w:line="252" w:lineRule="auto"/>
            </w:pPr>
            <w:r>
              <w:rPr>
                <w:b w:val="0"/>
                <w:i w:val="0"/>
                <w:sz w:val="17"/>
              </w:rPr>
              <w:t>Chapter 16: knowledge transfer, repository handover, handover certificate, then the post-handover support model IIFT chooses</w:t>
            </w:r>
          </w:p>
        </w:tc>
      </w:tr>
    </w:tbl>
    <w:p>
      <w:pPr>
        <w:pStyle w:val="Caption"/>
        <w:jc w:val="center"/>
      </w:pPr>
      <w:r>
        <w:rPr>
          <w:b w:val="0"/>
          <w:i w:val="0"/>
        </w:rPr>
        <w:t>Table 1: Support phases</w:t>
      </w:r>
    </w:p>
    <w:p>
      <w:pPr>
        <w:keepNext w:val="0"/>
      </w:pPr>
      <w:r>
        <w:rPr>
          <w:b w:val="0"/>
          <w:i w:val="0"/>
        </w:rPr>
        <w:t>Readers: IIFT helpdesk and IT, IITH infrastructure, iorta support, managed services and engineering. Commands assume a Linux shell on the application or database VM, with the repository's deploy directory as working directory for Docker Compose commands; chapter 12 gives the Option B equivalents.</w:t>
      </w:r>
    </w:p>
    <w:p>
      <w:pPr>
        <w:pStyle w:val="Heading1"/>
        <w:pageBreakBefore/>
        <w:pBdr>
          <w:bottom w:val="single" w:sz="12" w:space="4" w:color="F58220"/>
        </w:pBdr>
      </w:pPr>
      <w:r>
        <w:t>2. Support Model</w:t>
      </w:r>
    </w:p>
    <w:p>
      <w:pPr>
        <w:keepNext/>
        <w:spacing w:after="0"/>
        <w:jc w:val="center"/>
      </w:pPr>
      <w:r>
        <w:drawing>
          <wp:inline xmlns:a="http://schemas.openxmlformats.org/drawingml/2006/main" xmlns:pic="http://schemas.openxmlformats.org/drawingml/2006/picture">
            <wp:extent cx="5400000" cy="3702857"/>
            <wp:docPr id="4" name="Picture 4"/>
            <wp:cNvGraphicFramePr>
              <a:graphicFrameLocks noChangeAspect="1"/>
            </wp:cNvGraphicFramePr>
            <a:graphic>
              <a:graphicData uri="http://schemas.openxmlformats.org/drawingml/2006/picture">
                <pic:pic>
                  <pic:nvPicPr>
                    <pic:cNvPr id="0" name="tech-support-model.png"/>
                    <pic:cNvPicPr/>
                  </pic:nvPicPr>
                  <pic:blipFill>
                    <a:blip r:embed="rId14"/>
                    <a:stretch>
                      <a:fillRect/>
                    </a:stretch>
                  </pic:blipFill>
                  <pic:spPr>
                    <a:xfrm>
                      <a:off x="0" y="0"/>
                      <a:ext cx="5400000" cy="3702857"/>
                    </a:xfrm>
                    <a:prstGeom prst="rect"/>
                  </pic:spPr>
                </pic:pic>
              </a:graphicData>
            </a:graphic>
          </wp:inline>
        </w:drawing>
      </w:r>
    </w:p>
    <w:p>
      <w:pPr>
        <w:pStyle w:val="Caption"/>
        <w:jc w:val="center"/>
      </w:pPr>
      <w:r>
        <w:rPr>
          <w:b w:val="0"/>
          <w:i w:val="0"/>
        </w:rPr>
        <w:t>Figure 1: Support tiers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1814"/>
        <w:gridCol w:w="5103"/>
        <w:gridCol w:w="2041"/>
      </w:tblGrid>
      <w:tr>
        <w:trPr>
          <w:cantSplit/>
          <w:tblHeader/>
        </w:trPr>
        <w:tc>
          <w:tcPr>
            <w:tcW w:type="dxa" w:w="680"/>
            <w:shd w:val="clear" w:color="auto" w:fill="E1058C"/>
            <w:vAlign w:val="center"/>
          </w:tcPr>
          <w:p>
            <w:pPr>
              <w:spacing w:after="0"/>
            </w:pPr>
            <w:r>
              <w:rPr>
                <w:b/>
                <w:i w:val="0"/>
                <w:color w:val="FFFFFF"/>
                <w:sz w:val="16"/>
              </w:rPr>
              <w:t>Tier</w:t>
            </w:r>
          </w:p>
        </w:tc>
        <w:tc>
          <w:tcPr>
            <w:tcW w:type="dxa" w:w="1814"/>
            <w:shd w:val="clear" w:color="auto" w:fill="E1058C"/>
            <w:vAlign w:val="center"/>
          </w:tcPr>
          <w:p>
            <w:pPr>
              <w:spacing w:after="0"/>
            </w:pPr>
            <w:r>
              <w:rPr>
                <w:b/>
                <w:i w:val="0"/>
                <w:color w:val="FFFFFF"/>
                <w:sz w:val="16"/>
              </w:rPr>
              <w:t>Team</w:t>
            </w:r>
          </w:p>
        </w:tc>
        <w:tc>
          <w:tcPr>
            <w:tcW w:type="dxa" w:w="5102"/>
            <w:shd w:val="clear" w:color="auto" w:fill="E1058C"/>
            <w:vAlign w:val="center"/>
          </w:tcPr>
          <w:p>
            <w:pPr>
              <w:spacing w:after="0"/>
            </w:pPr>
            <w:r>
              <w:rPr>
                <w:b/>
                <w:i w:val="0"/>
                <w:color w:val="FFFFFF"/>
                <w:sz w:val="16"/>
              </w:rPr>
              <w:t>Responsibilities</w:t>
            </w:r>
          </w:p>
        </w:tc>
        <w:tc>
          <w:tcPr>
            <w:tcW w:type="dxa" w:w="2041"/>
            <w:shd w:val="clear" w:color="auto" w:fill="E1058C"/>
            <w:vAlign w:val="center"/>
          </w:tcPr>
          <w:p>
            <w:pPr>
              <w:spacing w:after="0"/>
            </w:pPr>
            <w:r>
              <w:rPr>
                <w:b/>
                <w:i w:val="0"/>
                <w:color w:val="FFFFFF"/>
                <w:sz w:val="16"/>
              </w:rPr>
              <w:t>Hours</w:t>
            </w:r>
          </w:p>
        </w:tc>
      </w:tr>
      <w:tr>
        <w:trPr>
          <w:cantSplit/>
        </w:trPr>
        <w:tc>
          <w:tcPr>
            <w:tcW w:type="dxa" w:w="680"/>
            <w:vAlign w:val="top"/>
          </w:tcPr>
          <w:p>
            <w:pPr>
              <w:spacing w:after="20" w:line="252" w:lineRule="auto"/>
            </w:pPr>
            <w:r>
              <w:rPr>
                <w:b/>
                <w:i w:val="0"/>
                <w:sz w:val="16"/>
              </w:rPr>
              <w:t>L1</w:t>
            </w:r>
          </w:p>
        </w:tc>
        <w:tc>
          <w:tcPr>
            <w:tcW w:type="dxa" w:w="1814"/>
            <w:vAlign w:val="top"/>
          </w:tcPr>
          <w:p>
            <w:pPr>
              <w:spacing w:after="20" w:line="252" w:lineRule="auto"/>
            </w:pPr>
            <w:r>
              <w:rPr>
                <w:b w:val="0"/>
                <w:i w:val="0"/>
                <w:sz w:val="16"/>
              </w:rPr>
              <w:t>IIFT helpdesk</w:t>
            </w:r>
          </w:p>
        </w:tc>
        <w:tc>
          <w:tcPr>
            <w:tcW w:type="dxa" w:w="5102"/>
            <w:vAlign w:val="top"/>
          </w:tcPr>
          <w:p>
            <w:pPr>
              <w:spacing w:after="20" w:line="252" w:lineRule="auto"/>
            </w:pPr>
            <w:r>
              <w:rPr>
                <w:b w:val="0"/>
                <w:i w:val="0"/>
                <w:sz w:val="16"/>
              </w:rPr>
              <w:t>Receives calls, e-mails and Issues-module tickets; classifies priority; answers how-to questions; resets passwords and unlocks users; checks known errors; escalates with the correlation id</w:t>
            </w:r>
          </w:p>
        </w:tc>
        <w:tc>
          <w:tcPr>
            <w:tcW w:type="dxa" w:w="2041"/>
            <w:vAlign w:val="top"/>
          </w:tcPr>
          <w:p>
            <w:pPr>
              <w:spacing w:after="20" w:line="252" w:lineRule="auto"/>
            </w:pPr>
            <w:r>
              <w:rPr>
                <w:b w:val="0"/>
                <w:i w:val="0"/>
                <w:sz w:val="16"/>
              </w:rPr>
              <w:t>IIFT business hours; P1 on-call per IIFT rota</w:t>
            </w:r>
          </w:p>
        </w:tc>
      </w:tr>
      <w:tr>
        <w:trPr>
          <w:cantSplit/>
        </w:trPr>
        <w:tc>
          <w:tcPr>
            <w:tcW w:type="dxa" w:w="680"/>
            <w:vAlign w:val="top"/>
            <w:shd w:val="clear" w:color="auto" w:fill="FDF0F7"/>
          </w:tcPr>
          <w:p>
            <w:pPr>
              <w:spacing w:after="20" w:line="252" w:lineRule="auto"/>
            </w:pPr>
            <w:r>
              <w:rPr>
                <w:b/>
                <w:i w:val="0"/>
                <w:sz w:val="16"/>
              </w:rPr>
              <w:t>L2</w:t>
            </w:r>
          </w:p>
        </w:tc>
        <w:tc>
          <w:tcPr>
            <w:tcW w:type="dxa" w:w="1814"/>
            <w:vAlign w:val="top"/>
            <w:shd w:val="clear" w:color="auto" w:fill="FDF0F7"/>
          </w:tcPr>
          <w:p>
            <w:pPr>
              <w:spacing w:after="20" w:line="252" w:lineRule="auto"/>
            </w:pPr>
            <w:r>
              <w:rPr>
                <w:b w:val="0"/>
                <w:i w:val="0"/>
                <w:sz w:val="16"/>
              </w:rPr>
              <w:t>iorta application support</w:t>
            </w:r>
          </w:p>
        </w:tc>
        <w:tc>
          <w:tcPr>
            <w:tcW w:type="dxa" w:w="5102"/>
            <w:vAlign w:val="top"/>
            <w:shd w:val="clear" w:color="auto" w:fill="FDF0F7"/>
          </w:tcPr>
          <w:p>
            <w:pPr>
              <w:spacing w:after="20" w:line="252" w:lineRule="auto"/>
            </w:pPr>
            <w:r>
              <w:rPr>
                <w:b w:val="0"/>
                <w:i w:val="0"/>
                <w:sz w:val="16"/>
              </w:rPr>
              <w:t>Diagnoses from logs, metrics and data; runs runbooks; configuration and parameter changes; data corrections under change control; integration retries; coordinates with IITH IT</w:t>
            </w:r>
          </w:p>
        </w:tc>
        <w:tc>
          <w:tcPr>
            <w:tcW w:type="dxa" w:w="2041"/>
            <w:vAlign w:val="top"/>
            <w:shd w:val="clear" w:color="auto" w:fill="FDF0F7"/>
          </w:tcPr>
          <w:p>
            <w:pPr>
              <w:spacing w:after="20" w:line="252" w:lineRule="auto"/>
            </w:pPr>
            <w:r>
              <w:rPr>
                <w:b w:val="0"/>
                <w:i w:val="0"/>
                <w:sz w:val="16"/>
              </w:rPr>
              <w:t>IIFT business hours; P1 24 x 7 on call</w:t>
            </w:r>
          </w:p>
        </w:tc>
      </w:tr>
      <w:tr>
        <w:trPr>
          <w:cantSplit/>
        </w:trPr>
        <w:tc>
          <w:tcPr>
            <w:tcW w:type="dxa" w:w="680"/>
            <w:vAlign w:val="top"/>
          </w:tcPr>
          <w:p>
            <w:pPr>
              <w:spacing w:after="20" w:line="252" w:lineRule="auto"/>
            </w:pPr>
            <w:r>
              <w:rPr>
                <w:b/>
                <w:i w:val="0"/>
                <w:sz w:val="16"/>
              </w:rPr>
              <w:t>L3</w:t>
            </w:r>
          </w:p>
        </w:tc>
        <w:tc>
          <w:tcPr>
            <w:tcW w:type="dxa" w:w="1814"/>
            <w:vAlign w:val="top"/>
          </w:tcPr>
          <w:p>
            <w:pPr>
              <w:spacing w:after="20" w:line="252" w:lineRule="auto"/>
            </w:pPr>
            <w:r>
              <w:rPr>
                <w:b w:val="0"/>
                <w:i w:val="0"/>
                <w:sz w:val="16"/>
              </w:rPr>
              <w:t>iorta engineering</w:t>
            </w:r>
          </w:p>
        </w:tc>
        <w:tc>
          <w:tcPr>
            <w:tcW w:type="dxa" w:w="5102"/>
            <w:vAlign w:val="top"/>
          </w:tcPr>
          <w:p>
            <w:pPr>
              <w:spacing w:after="20" w:line="252" w:lineRule="auto"/>
            </w:pPr>
            <w:r>
              <w:rPr>
                <w:b w:val="0"/>
                <w:i w:val="0"/>
                <w:sz w:val="16"/>
              </w:rPr>
              <w:t>Code defects, root-cause analysis, fixes, performance work, releases and emergency patches</w:t>
            </w:r>
          </w:p>
        </w:tc>
        <w:tc>
          <w:tcPr>
            <w:tcW w:type="dxa" w:w="2041"/>
            <w:vAlign w:val="top"/>
          </w:tcPr>
          <w:p>
            <w:pPr>
              <w:spacing w:after="20" w:line="252" w:lineRule="auto"/>
            </w:pPr>
            <w:r>
              <w:rPr>
                <w:b w:val="0"/>
                <w:i w:val="0"/>
                <w:sz w:val="16"/>
              </w:rPr>
              <w:t>Business hours; P1 24 x 7 when escalated</w:t>
            </w:r>
          </w:p>
        </w:tc>
      </w:tr>
      <w:tr>
        <w:trPr>
          <w:cantSplit/>
        </w:trPr>
        <w:tc>
          <w:tcPr>
            <w:tcW w:type="dxa" w:w="680"/>
            <w:vAlign w:val="top"/>
            <w:shd w:val="clear" w:color="auto" w:fill="FDF0F7"/>
          </w:tcPr>
          <w:p>
            <w:pPr>
              <w:spacing w:after="20" w:line="252" w:lineRule="auto"/>
            </w:pPr>
            <w:r>
              <w:rPr>
                <w:b/>
                <w:i w:val="0"/>
                <w:sz w:val="16"/>
              </w:rPr>
              <w:t>Infra</w:t>
            </w:r>
          </w:p>
        </w:tc>
        <w:tc>
          <w:tcPr>
            <w:tcW w:type="dxa" w:w="1814"/>
            <w:vAlign w:val="top"/>
            <w:shd w:val="clear" w:color="auto" w:fill="FDF0F7"/>
          </w:tcPr>
          <w:p>
            <w:pPr>
              <w:spacing w:after="20" w:line="252" w:lineRule="auto"/>
            </w:pPr>
            <w:r>
              <w:rPr>
                <w:b w:val="0"/>
                <w:i w:val="0"/>
                <w:sz w:val="16"/>
              </w:rPr>
              <w:t>Option A: IITH IT (infrastructure owner). Option B: iorta managed services</w:t>
            </w:r>
          </w:p>
        </w:tc>
        <w:tc>
          <w:tcPr>
            <w:tcW w:type="dxa" w:w="5102"/>
            <w:vAlign w:val="top"/>
            <w:shd w:val="clear" w:color="auto" w:fill="FDF0F7"/>
          </w:tcPr>
          <w:p>
            <w:pPr>
              <w:spacing w:after="20" w:line="252" w:lineRule="auto"/>
            </w:pPr>
            <w:r>
              <w:rPr>
                <w:b w:val="0"/>
                <w:i w:val="0"/>
                <w:sz w:val="16"/>
              </w:rPr>
              <w:t>Servers or cloud estate, storage, network, firewalls, load balancers and WAF, operating systems and container platform, backup infrastructure, DR site or region, certificates, DNS; SMTP relay and AD stay with IITH under both options</w:t>
            </w:r>
          </w:p>
        </w:tc>
        <w:tc>
          <w:tcPr>
            <w:tcW w:type="dxa" w:w="2041"/>
            <w:vAlign w:val="top"/>
            <w:shd w:val="clear" w:color="auto" w:fill="FDF0F7"/>
          </w:tcPr>
          <w:p>
            <w:pPr>
              <w:spacing w:after="20" w:line="252" w:lineRule="auto"/>
            </w:pPr>
            <w:r>
              <w:rPr>
                <w:b w:val="0"/>
                <w:i w:val="0"/>
                <w:sz w:val="16"/>
              </w:rPr>
              <w:t>A: per IITH service hours. B: 24 x 7 monitoring; patching in agreed windows</w:t>
            </w:r>
          </w:p>
        </w:tc>
      </w:tr>
    </w:tbl>
    <w:p>
      <w:pPr>
        <w:pStyle w:val="Caption"/>
        <w:jc w:val="center"/>
      </w:pPr>
      <w:r>
        <w:rPr>
          <w:b w:val="0"/>
          <w:i w:val="0"/>
        </w:rPr>
        <w:t>Table 2: Support tiers</w:t>
      </w:r>
    </w:p>
    <w:p>
      <w:pPr>
        <w:pStyle w:val="Heading2"/>
      </w:pPr>
      <w:r>
        <w:t>2.1 Channels</w:t>
      </w:r>
    </w:p>
    <w:p>
      <w:pPr>
        <w:pStyle w:val="ListBullet"/>
      </w:pPr>
      <w:r>
        <w:rPr>
          <w:b/>
          <w:i w:val="0"/>
        </w:rPr>
        <w:t>Issues module</w:t>
      </w:r>
      <w:r>
        <w:rPr>
          <w:b w:val="0"/>
          <w:i w:val="0"/>
        </w:rPr>
        <w:t xml:space="preserve"> in the portal and back-office (preferred): records priority, category, attachments and SLA timers automatically.</w:t>
      </w:r>
    </w:p>
    <w:p>
      <w:pPr>
        <w:pStyle w:val="ListBullet"/>
      </w:pPr>
      <w:r>
        <w:rPr>
          <w:b/>
          <w:i w:val="0"/>
        </w:rPr>
        <w:t>Support e-mail</w:t>
      </w:r>
      <w:r>
        <w:rPr>
          <w:b w:val="0"/>
          <w:i w:val="0"/>
        </w:rPr>
        <w:t xml:space="preserve"> </w:t>
      </w:r>
      <w:r>
        <w:rPr>
          <w:b w:val="0"/>
          <w:i w:val="0"/>
          <w:highlight w:val="yellow"/>
        </w:rPr>
        <w:t>[support mailbox]</w:t>
      </w:r>
      <w:r>
        <w:rPr>
          <w:b w:val="0"/>
          <w:i w:val="0"/>
        </w:rPr>
        <w:t xml:space="preserve"> for users without portal access; the helpdesk logs the ticket.</w:t>
      </w:r>
    </w:p>
    <w:p>
      <w:pPr>
        <w:pStyle w:val="ListBullet"/>
      </w:pPr>
      <w:r>
        <w:rPr>
          <w:b/>
          <w:i w:val="0"/>
        </w:rPr>
        <w:t>Telephone hotline</w:t>
      </w:r>
      <w:r>
        <w:rPr>
          <w:b w:val="0"/>
          <w:i w:val="0"/>
        </w:rPr>
        <w:t xml:space="preserve"> </w:t>
      </w:r>
      <w:r>
        <w:rPr>
          <w:b w:val="0"/>
          <w:i w:val="0"/>
          <w:highlight w:val="yellow"/>
        </w:rPr>
        <w:t>[number]</w:t>
      </w:r>
      <w:r>
        <w:rPr>
          <w:b w:val="0"/>
          <w:i w:val="0"/>
        </w:rPr>
        <w:t xml:space="preserve"> for P1: always call in addition to logging a ticket.</w:t>
      </w:r>
    </w:p>
    <w:p>
      <w:pPr>
        <w:pStyle w:val="ListBullet"/>
      </w:pPr>
      <w:r>
        <w:rPr>
          <w:b w:val="0"/>
          <w:i w:val="0"/>
        </w:rPr>
        <w:t>Every error screen shows a reference (the correlation id). Users quote it; support searches logs and the audit trail with it.</w:t>
      </w:r>
    </w:p>
    <w:p>
      <w:pPr>
        <w:pStyle w:val="Heading2"/>
      </w:pPr>
      <w:r>
        <w:t>2.2 Responsibilities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628"/>
        <w:gridCol w:w="1587"/>
        <w:gridCol w:w="1474"/>
        <w:gridCol w:w="1360"/>
        <w:gridCol w:w="1587"/>
      </w:tblGrid>
      <w:tr>
        <w:trPr>
          <w:cantSplit/>
          <w:tblHeader/>
        </w:trPr>
        <w:tc>
          <w:tcPr>
            <w:tcW w:type="dxa" w:w="3628"/>
            <w:shd w:val="clear" w:color="auto" w:fill="E1058C"/>
            <w:vAlign w:val="center"/>
          </w:tcPr>
          <w:p>
            <w:pPr>
              <w:spacing w:after="0"/>
            </w:pPr>
            <w:r>
              <w:rPr>
                <w:b/>
                <w:i w:val="0"/>
                <w:color w:val="FFFFFF"/>
                <w:sz w:val="16"/>
              </w:rPr>
              <w:t>Activity</w:t>
            </w:r>
          </w:p>
        </w:tc>
        <w:tc>
          <w:tcPr>
            <w:tcW w:type="dxa" w:w="1587"/>
            <w:shd w:val="clear" w:color="auto" w:fill="E1058C"/>
            <w:vAlign w:val="center"/>
          </w:tcPr>
          <w:p>
            <w:pPr>
              <w:spacing w:after="0"/>
            </w:pPr>
            <w:r>
              <w:rPr>
                <w:b/>
                <w:i w:val="0"/>
                <w:color w:val="FFFFFF"/>
                <w:sz w:val="16"/>
              </w:rPr>
              <w:t>IIFT helpdesk / IT</w:t>
            </w:r>
          </w:p>
        </w:tc>
        <w:tc>
          <w:tcPr>
            <w:tcW w:type="dxa" w:w="1474"/>
            <w:shd w:val="clear" w:color="auto" w:fill="E1058C"/>
            <w:vAlign w:val="center"/>
          </w:tcPr>
          <w:p>
            <w:pPr>
              <w:spacing w:after="0"/>
            </w:pPr>
            <w:r>
              <w:rPr>
                <w:b/>
                <w:i w:val="0"/>
                <w:color w:val="FFFFFF"/>
                <w:sz w:val="16"/>
              </w:rPr>
              <w:t>iorta L2</w:t>
            </w:r>
          </w:p>
        </w:tc>
        <w:tc>
          <w:tcPr>
            <w:tcW w:type="dxa" w:w="1361"/>
            <w:shd w:val="clear" w:color="auto" w:fill="E1058C"/>
            <w:vAlign w:val="center"/>
          </w:tcPr>
          <w:p>
            <w:pPr>
              <w:spacing w:after="0"/>
            </w:pPr>
            <w:r>
              <w:rPr>
                <w:b/>
                <w:i w:val="0"/>
                <w:color w:val="FFFFFF"/>
                <w:sz w:val="16"/>
              </w:rPr>
              <w:t>iorta L3</w:t>
            </w:r>
          </w:p>
        </w:tc>
        <w:tc>
          <w:tcPr>
            <w:tcW w:type="dxa" w:w="1587"/>
            <w:shd w:val="clear" w:color="auto" w:fill="E1058C"/>
            <w:vAlign w:val="center"/>
          </w:tcPr>
          <w:p>
            <w:pPr>
              <w:spacing w:after="0"/>
            </w:pPr>
            <w:r>
              <w:rPr>
                <w:b/>
                <w:i w:val="0"/>
                <w:color w:val="FFFFFF"/>
                <w:sz w:val="16"/>
              </w:rPr>
              <w:t>Infra (A: IITH; B: iorta managed services)</w:t>
            </w:r>
          </w:p>
        </w:tc>
      </w:tr>
      <w:tr>
        <w:trPr>
          <w:cantSplit/>
        </w:trPr>
        <w:tc>
          <w:tcPr>
            <w:tcW w:type="dxa" w:w="3628"/>
            <w:vAlign w:val="top"/>
          </w:tcPr>
          <w:p>
            <w:pPr>
              <w:spacing w:after="20" w:line="252" w:lineRule="auto"/>
            </w:pPr>
            <w:r>
              <w:rPr>
                <w:b w:val="0"/>
                <w:i w:val="0"/>
                <w:sz w:val="16"/>
              </w:rPr>
              <w:t>Log and classify incidents</w:t>
            </w:r>
          </w:p>
        </w:tc>
        <w:tc>
          <w:tcPr>
            <w:tcW w:type="dxa" w:w="1587"/>
            <w:vAlign w:val="top"/>
          </w:tcPr>
          <w:p>
            <w:pPr>
              <w:spacing w:after="20" w:line="252" w:lineRule="auto"/>
              <w:jc w:val="center"/>
            </w:pPr>
            <w:r>
              <w:rPr>
                <w:b w:val="0"/>
                <w:i w:val="0"/>
                <w:sz w:val="16"/>
              </w:rPr>
              <w:t>R/A</w:t>
            </w:r>
          </w:p>
        </w:tc>
        <w:tc>
          <w:tcPr>
            <w:tcW w:type="dxa" w:w="1474"/>
            <w:vAlign w:val="top"/>
          </w:tcPr>
          <w:p>
            <w:pPr>
              <w:spacing w:after="20" w:line="252" w:lineRule="auto"/>
              <w:jc w:val="center"/>
            </w:pPr>
            <w:r>
              <w:rPr>
                <w:b w:val="0"/>
                <w:i w:val="0"/>
                <w:sz w:val="16"/>
              </w:rPr>
              <w:t>C</w:t>
            </w:r>
          </w:p>
        </w:tc>
        <w:tc>
          <w:tcPr>
            <w:tcW w:type="dxa" w:w="1361"/>
            <w:vAlign w:val="top"/>
          </w:tcPr>
          <w:p>
            <w:pPr>
              <w:spacing w:after="20" w:line="252" w:lineRule="auto"/>
              <w:jc w:val="center"/>
            </w:pPr>
            <w:r>
              <w:rPr>
                <w:b w:val="0"/>
                <w:i w:val="0"/>
                <w:sz w:val="16"/>
              </w:rPr>
              <w:t>I</w:t>
            </w:r>
          </w:p>
        </w:tc>
        <w:tc>
          <w:tcPr>
            <w:tcW w:type="dxa" w:w="1587"/>
            <w:vAlign w:val="top"/>
          </w:tcPr>
          <w:p>
            <w:pPr>
              <w:spacing w:after="20" w:line="252" w:lineRule="auto"/>
              <w:jc w:val="center"/>
            </w:pPr>
            <w:r>
              <w:rPr>
                <w:b w:val="0"/>
                <w:i w:val="0"/>
                <w:sz w:val="16"/>
              </w:rPr>
              <w:t>I</w:t>
            </w:r>
          </w:p>
        </w:tc>
      </w:tr>
      <w:tr>
        <w:trPr>
          <w:cantSplit/>
        </w:trPr>
        <w:tc>
          <w:tcPr>
            <w:tcW w:type="dxa" w:w="3628"/>
            <w:vAlign w:val="top"/>
            <w:shd w:val="clear" w:color="auto" w:fill="FDF0F7"/>
          </w:tcPr>
          <w:p>
            <w:pPr>
              <w:spacing w:after="20" w:line="252" w:lineRule="auto"/>
            </w:pPr>
            <w:r>
              <w:rPr>
                <w:b w:val="0"/>
                <w:i w:val="0"/>
                <w:sz w:val="16"/>
              </w:rPr>
              <w:t>User administration, unlock, password reset</w:t>
            </w:r>
          </w:p>
        </w:tc>
        <w:tc>
          <w:tcPr>
            <w:tcW w:type="dxa" w:w="1587"/>
            <w:vAlign w:val="top"/>
            <w:shd w:val="clear" w:color="auto" w:fill="FDF0F7"/>
          </w:tcPr>
          <w:p>
            <w:pPr>
              <w:spacing w:after="20" w:line="252" w:lineRule="auto"/>
              <w:jc w:val="center"/>
            </w:pPr>
            <w:r>
              <w:rPr>
                <w:b w:val="0"/>
                <w:i w:val="0"/>
                <w:sz w:val="16"/>
              </w:rPr>
              <w:t>R/A</w:t>
            </w:r>
          </w:p>
        </w:tc>
        <w:tc>
          <w:tcPr>
            <w:tcW w:type="dxa" w:w="1474"/>
            <w:vAlign w:val="top"/>
            <w:shd w:val="clear" w:color="auto" w:fill="FDF0F7"/>
          </w:tcPr>
          <w:p>
            <w:pPr>
              <w:spacing w:after="20" w:line="252" w:lineRule="auto"/>
              <w:jc w:val="center"/>
            </w:pPr>
            <w:r>
              <w:rPr>
                <w:b w:val="0"/>
                <w:i w:val="0"/>
                <w:sz w:val="16"/>
              </w:rPr>
              <w:t>C</w:t>
            </w:r>
          </w:p>
        </w:tc>
        <w:tc>
          <w:tcPr>
            <w:tcW w:type="dxa" w:w="1361"/>
            <w:vAlign w:val="top"/>
            <w:shd w:val="clear" w:color="auto" w:fill="FDF0F7"/>
          </w:tcPr>
          <w:p>
            <w:pPr>
              <w:spacing w:after="20" w:line="252" w:lineRule="auto"/>
              <w:jc w:val="center"/>
            </w:pPr>
            <w:r>
              <w:rPr>
                <w:b w:val="0"/>
                <w:i w:val="0"/>
                <w:sz w:val="16"/>
              </w:rPr>
              <w:t>–</w:t>
            </w:r>
          </w:p>
        </w:tc>
        <w:tc>
          <w:tcPr>
            <w:tcW w:type="dxa" w:w="1587"/>
            <w:vAlign w:val="top"/>
            <w:shd w:val="clear" w:color="auto" w:fill="FDF0F7"/>
          </w:tcPr>
          <w:p>
            <w:pPr>
              <w:spacing w:after="20" w:line="252" w:lineRule="auto"/>
              <w:jc w:val="center"/>
            </w:pPr>
            <w:r>
              <w:rPr>
                <w:b w:val="0"/>
                <w:i w:val="0"/>
                <w:sz w:val="16"/>
              </w:rPr>
              <w:t>–</w:t>
            </w:r>
          </w:p>
        </w:tc>
      </w:tr>
      <w:tr>
        <w:trPr>
          <w:cantSplit/>
        </w:trPr>
        <w:tc>
          <w:tcPr>
            <w:tcW w:type="dxa" w:w="3628"/>
            <w:vAlign w:val="top"/>
          </w:tcPr>
          <w:p>
            <w:pPr>
              <w:spacing w:after="20" w:line="252" w:lineRule="auto"/>
            </w:pPr>
            <w:r>
              <w:rPr>
                <w:b w:val="0"/>
                <w:i w:val="0"/>
                <w:sz w:val="16"/>
              </w:rPr>
              <w:t>Business parameter and master data changes</w:t>
            </w:r>
          </w:p>
        </w:tc>
        <w:tc>
          <w:tcPr>
            <w:tcW w:type="dxa" w:w="1587"/>
            <w:vAlign w:val="top"/>
          </w:tcPr>
          <w:p>
            <w:pPr>
              <w:spacing w:after="20" w:line="252" w:lineRule="auto"/>
              <w:jc w:val="center"/>
            </w:pPr>
            <w:r>
              <w:rPr>
                <w:b w:val="0"/>
                <w:i w:val="0"/>
                <w:sz w:val="16"/>
              </w:rPr>
              <w:t>A</w:t>
            </w:r>
          </w:p>
        </w:tc>
        <w:tc>
          <w:tcPr>
            <w:tcW w:type="dxa" w:w="1474"/>
            <w:vAlign w:val="top"/>
          </w:tcPr>
          <w:p>
            <w:pPr>
              <w:spacing w:after="20" w:line="252" w:lineRule="auto"/>
              <w:jc w:val="center"/>
            </w:pPr>
            <w:r>
              <w:rPr>
                <w:b w:val="0"/>
                <w:i w:val="0"/>
                <w:sz w:val="16"/>
              </w:rPr>
              <w:t>R</w:t>
            </w:r>
          </w:p>
        </w:tc>
        <w:tc>
          <w:tcPr>
            <w:tcW w:type="dxa" w:w="1361"/>
            <w:vAlign w:val="top"/>
          </w:tcPr>
          <w:p>
            <w:pPr>
              <w:spacing w:after="20" w:line="252" w:lineRule="auto"/>
              <w:jc w:val="center"/>
            </w:pPr>
            <w:r>
              <w:rPr>
                <w:b w:val="0"/>
                <w:i w:val="0"/>
                <w:sz w:val="16"/>
              </w:rPr>
              <w:t>–</w:t>
            </w:r>
          </w:p>
        </w:tc>
        <w:tc>
          <w:tcPr>
            <w:tcW w:type="dxa" w:w="1587"/>
            <w:vAlign w:val="top"/>
          </w:tcPr>
          <w:p>
            <w:pPr>
              <w:spacing w:after="20" w:line="252" w:lineRule="auto"/>
              <w:jc w:val="center"/>
            </w:pPr>
            <w:r>
              <w:rPr>
                <w:b w:val="0"/>
                <w:i w:val="0"/>
                <w:sz w:val="16"/>
              </w:rPr>
              <w:t>–</w:t>
            </w:r>
          </w:p>
        </w:tc>
      </w:tr>
      <w:tr>
        <w:trPr>
          <w:cantSplit/>
        </w:trPr>
        <w:tc>
          <w:tcPr>
            <w:tcW w:type="dxa" w:w="3628"/>
            <w:vAlign w:val="top"/>
            <w:shd w:val="clear" w:color="auto" w:fill="FDF0F7"/>
          </w:tcPr>
          <w:p>
            <w:pPr>
              <w:spacing w:after="20" w:line="252" w:lineRule="auto"/>
            </w:pPr>
            <w:r>
              <w:rPr>
                <w:b w:val="0"/>
                <w:i w:val="0"/>
                <w:sz w:val="16"/>
              </w:rPr>
              <w:t>Application monitoring and alert response</w:t>
            </w:r>
          </w:p>
        </w:tc>
        <w:tc>
          <w:tcPr>
            <w:tcW w:type="dxa" w:w="1587"/>
            <w:vAlign w:val="top"/>
            <w:shd w:val="clear" w:color="auto" w:fill="FDF0F7"/>
          </w:tcPr>
          <w:p>
            <w:pPr>
              <w:spacing w:after="20" w:line="252" w:lineRule="auto"/>
              <w:jc w:val="center"/>
            </w:pPr>
            <w:r>
              <w:rPr>
                <w:b w:val="0"/>
                <w:i w:val="0"/>
                <w:sz w:val="16"/>
              </w:rPr>
              <w:t>I</w:t>
            </w:r>
          </w:p>
        </w:tc>
        <w:tc>
          <w:tcPr>
            <w:tcW w:type="dxa" w:w="1474"/>
            <w:vAlign w:val="top"/>
            <w:shd w:val="clear" w:color="auto" w:fill="FDF0F7"/>
          </w:tcPr>
          <w:p>
            <w:pPr>
              <w:spacing w:after="20" w:line="252" w:lineRule="auto"/>
              <w:jc w:val="center"/>
            </w:pPr>
            <w:r>
              <w:rPr>
                <w:b w:val="0"/>
                <w:i w:val="0"/>
                <w:sz w:val="16"/>
              </w:rPr>
              <w:t>R/A</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C</w:t>
            </w:r>
          </w:p>
        </w:tc>
      </w:tr>
      <w:tr>
        <w:trPr>
          <w:cantSplit/>
        </w:trPr>
        <w:tc>
          <w:tcPr>
            <w:tcW w:type="dxa" w:w="3628"/>
            <w:vAlign w:val="top"/>
          </w:tcPr>
          <w:p>
            <w:pPr>
              <w:spacing w:after="20" w:line="252" w:lineRule="auto"/>
            </w:pPr>
            <w:r>
              <w:rPr>
                <w:b w:val="0"/>
                <w:i w:val="0"/>
                <w:sz w:val="16"/>
              </w:rPr>
              <w:t>Infrastructure monitoring and patching</w:t>
            </w:r>
          </w:p>
        </w:tc>
        <w:tc>
          <w:tcPr>
            <w:tcW w:type="dxa" w:w="1587"/>
            <w:vAlign w:val="top"/>
          </w:tcPr>
          <w:p>
            <w:pPr>
              <w:spacing w:after="20" w:line="252" w:lineRule="auto"/>
              <w:jc w:val="center"/>
            </w:pPr>
            <w:r>
              <w:rPr>
                <w:b w:val="0"/>
                <w:i w:val="0"/>
                <w:sz w:val="16"/>
              </w:rPr>
              <w:t>I</w:t>
            </w:r>
          </w:p>
        </w:tc>
        <w:tc>
          <w:tcPr>
            <w:tcW w:type="dxa" w:w="1474"/>
            <w:vAlign w:val="top"/>
          </w:tcPr>
          <w:p>
            <w:pPr>
              <w:spacing w:after="20" w:line="252" w:lineRule="auto"/>
              <w:jc w:val="center"/>
            </w:pPr>
            <w:r>
              <w:rPr>
                <w:b w:val="0"/>
                <w:i w:val="0"/>
                <w:sz w:val="16"/>
              </w:rPr>
              <w:t>C</w:t>
            </w:r>
          </w:p>
        </w:tc>
        <w:tc>
          <w:tcPr>
            <w:tcW w:type="dxa" w:w="1361"/>
            <w:vAlign w:val="top"/>
          </w:tcPr>
          <w:p>
            <w:pPr>
              <w:spacing w:after="20" w:line="252" w:lineRule="auto"/>
              <w:jc w:val="center"/>
            </w:pPr>
            <w:r>
              <w:rPr>
                <w:b w:val="0"/>
                <w:i w:val="0"/>
                <w:sz w:val="16"/>
              </w:rPr>
              <w:t>–</w:t>
            </w:r>
          </w:p>
        </w:tc>
        <w:tc>
          <w:tcPr>
            <w:tcW w:type="dxa" w:w="1587"/>
            <w:vAlign w:val="top"/>
          </w:tcPr>
          <w:p>
            <w:pPr>
              <w:spacing w:after="20" w:line="252" w:lineRule="auto"/>
              <w:jc w:val="center"/>
            </w:pPr>
            <w:r>
              <w:rPr>
                <w:b w:val="0"/>
                <w:i w:val="0"/>
                <w:sz w:val="16"/>
              </w:rPr>
              <w:t>R/A</w:t>
            </w:r>
          </w:p>
        </w:tc>
      </w:tr>
      <w:tr>
        <w:trPr>
          <w:cantSplit/>
        </w:trPr>
        <w:tc>
          <w:tcPr>
            <w:tcW w:type="dxa" w:w="3628"/>
            <w:vAlign w:val="top"/>
            <w:shd w:val="clear" w:color="auto" w:fill="FDF0F7"/>
          </w:tcPr>
          <w:p>
            <w:pPr>
              <w:spacing w:after="20" w:line="252" w:lineRule="auto"/>
            </w:pPr>
            <w:r>
              <w:rPr>
                <w:b w:val="0"/>
                <w:i w:val="0"/>
                <w:sz w:val="16"/>
              </w:rPr>
              <w:t>Integration retries and reconciliation follow-up</w:t>
            </w:r>
          </w:p>
        </w:tc>
        <w:tc>
          <w:tcPr>
            <w:tcW w:type="dxa" w:w="1587"/>
            <w:vAlign w:val="top"/>
            <w:shd w:val="clear" w:color="auto" w:fill="FDF0F7"/>
          </w:tcPr>
          <w:p>
            <w:pPr>
              <w:spacing w:after="20" w:line="252" w:lineRule="auto"/>
              <w:jc w:val="center"/>
            </w:pPr>
            <w:r>
              <w:rPr>
                <w:b w:val="0"/>
                <w:i w:val="0"/>
                <w:sz w:val="16"/>
              </w:rPr>
              <w:t>C (Finance)</w:t>
            </w:r>
          </w:p>
        </w:tc>
        <w:tc>
          <w:tcPr>
            <w:tcW w:type="dxa" w:w="1474"/>
            <w:vAlign w:val="top"/>
            <w:shd w:val="clear" w:color="auto" w:fill="FDF0F7"/>
          </w:tcPr>
          <w:p>
            <w:pPr>
              <w:spacing w:after="20" w:line="252" w:lineRule="auto"/>
              <w:jc w:val="center"/>
            </w:pPr>
            <w:r>
              <w:rPr>
                <w:b w:val="0"/>
                <w:i w:val="0"/>
                <w:sz w:val="16"/>
              </w:rPr>
              <w:t>R/A</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w:t>
            </w:r>
          </w:p>
        </w:tc>
      </w:tr>
      <w:tr>
        <w:trPr>
          <w:cantSplit/>
        </w:trPr>
        <w:tc>
          <w:tcPr>
            <w:tcW w:type="dxa" w:w="3628"/>
            <w:vAlign w:val="top"/>
          </w:tcPr>
          <w:p>
            <w:pPr>
              <w:spacing w:after="20" w:line="252" w:lineRule="auto"/>
            </w:pPr>
            <w:r>
              <w:rPr>
                <w:b w:val="0"/>
                <w:i w:val="0"/>
                <w:sz w:val="16"/>
              </w:rPr>
              <w:t>Defect fixes and releases</w:t>
            </w:r>
          </w:p>
        </w:tc>
        <w:tc>
          <w:tcPr>
            <w:tcW w:type="dxa" w:w="1587"/>
            <w:vAlign w:val="top"/>
          </w:tcPr>
          <w:p>
            <w:pPr>
              <w:spacing w:after="20" w:line="252" w:lineRule="auto"/>
              <w:jc w:val="center"/>
            </w:pPr>
            <w:r>
              <w:rPr>
                <w:b w:val="0"/>
                <w:i w:val="0"/>
                <w:sz w:val="16"/>
              </w:rPr>
              <w:t>A (approve)</w:t>
            </w:r>
          </w:p>
        </w:tc>
        <w:tc>
          <w:tcPr>
            <w:tcW w:type="dxa" w:w="1474"/>
            <w:vAlign w:val="top"/>
          </w:tcPr>
          <w:p>
            <w:pPr>
              <w:spacing w:after="20" w:line="252" w:lineRule="auto"/>
              <w:jc w:val="center"/>
            </w:pPr>
            <w:r>
              <w:rPr>
                <w:b w:val="0"/>
                <w:i w:val="0"/>
                <w:sz w:val="16"/>
              </w:rPr>
              <w:t>R</w:t>
            </w:r>
          </w:p>
        </w:tc>
        <w:tc>
          <w:tcPr>
            <w:tcW w:type="dxa" w:w="1361"/>
            <w:vAlign w:val="top"/>
          </w:tcPr>
          <w:p>
            <w:pPr>
              <w:spacing w:after="20" w:line="252" w:lineRule="auto"/>
              <w:jc w:val="center"/>
            </w:pPr>
            <w:r>
              <w:rPr>
                <w:b w:val="0"/>
                <w:i w:val="0"/>
                <w:sz w:val="16"/>
              </w:rPr>
              <w:t>R</w:t>
            </w:r>
          </w:p>
        </w:tc>
        <w:tc>
          <w:tcPr>
            <w:tcW w:type="dxa" w:w="1587"/>
            <w:vAlign w:val="top"/>
          </w:tcPr>
          <w:p>
            <w:pPr>
              <w:spacing w:after="20" w:line="252" w:lineRule="auto"/>
              <w:jc w:val="center"/>
            </w:pPr>
            <w:r>
              <w:rPr>
                <w:b w:val="0"/>
                <w:i w:val="0"/>
                <w:sz w:val="16"/>
              </w:rPr>
              <w:t>C</w:t>
            </w:r>
          </w:p>
        </w:tc>
      </w:tr>
      <w:tr>
        <w:trPr>
          <w:cantSplit/>
        </w:trPr>
        <w:tc>
          <w:tcPr>
            <w:tcW w:type="dxa" w:w="3628"/>
            <w:vAlign w:val="top"/>
            <w:shd w:val="clear" w:color="auto" w:fill="FDF0F7"/>
          </w:tcPr>
          <w:p>
            <w:pPr>
              <w:spacing w:after="20" w:line="252" w:lineRule="auto"/>
            </w:pPr>
            <w:r>
              <w:rPr>
                <w:b w:val="0"/>
                <w:i w:val="0"/>
                <w:sz w:val="16"/>
              </w:rPr>
              <w:t>Database backups and restore</w:t>
            </w:r>
          </w:p>
        </w:tc>
        <w:tc>
          <w:tcPr>
            <w:tcW w:type="dxa" w:w="1587"/>
            <w:vAlign w:val="top"/>
            <w:shd w:val="clear" w:color="auto" w:fill="FDF0F7"/>
          </w:tcPr>
          <w:p>
            <w:pPr>
              <w:spacing w:after="20" w:line="252" w:lineRule="auto"/>
              <w:jc w:val="center"/>
            </w:pPr>
            <w:r>
              <w:rPr>
                <w:b w:val="0"/>
                <w:i w:val="0"/>
                <w:sz w:val="16"/>
              </w:rPr>
              <w:t>I</w:t>
            </w:r>
          </w:p>
        </w:tc>
        <w:tc>
          <w:tcPr>
            <w:tcW w:type="dxa" w:w="1474"/>
            <w:vAlign w:val="top"/>
            <w:shd w:val="clear" w:color="auto" w:fill="FDF0F7"/>
          </w:tcPr>
          <w:p>
            <w:pPr>
              <w:spacing w:after="20" w:line="252" w:lineRule="auto"/>
              <w:jc w:val="center"/>
            </w:pPr>
            <w:r>
              <w:rPr>
                <w:b w:val="0"/>
                <w:i w:val="0"/>
                <w:sz w:val="16"/>
              </w:rPr>
              <w:t>R (verify)</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R/A (run)</w:t>
            </w:r>
          </w:p>
        </w:tc>
      </w:tr>
      <w:tr>
        <w:trPr>
          <w:cantSplit/>
        </w:trPr>
        <w:tc>
          <w:tcPr>
            <w:tcW w:type="dxa" w:w="3628"/>
            <w:vAlign w:val="top"/>
          </w:tcPr>
          <w:p>
            <w:pPr>
              <w:spacing w:after="20" w:line="252" w:lineRule="auto"/>
            </w:pPr>
            <w:r>
              <w:rPr>
                <w:b w:val="0"/>
                <w:i w:val="0"/>
                <w:sz w:val="16"/>
              </w:rPr>
              <w:t>DR invocation and tests</w:t>
            </w:r>
          </w:p>
        </w:tc>
        <w:tc>
          <w:tcPr>
            <w:tcW w:type="dxa" w:w="1587"/>
            <w:vAlign w:val="top"/>
          </w:tcPr>
          <w:p>
            <w:pPr>
              <w:spacing w:after="20" w:line="252" w:lineRule="auto"/>
              <w:jc w:val="center"/>
            </w:pPr>
            <w:r>
              <w:rPr>
                <w:b w:val="0"/>
                <w:i w:val="0"/>
                <w:sz w:val="16"/>
              </w:rPr>
              <w:t>A</w:t>
            </w:r>
          </w:p>
        </w:tc>
        <w:tc>
          <w:tcPr>
            <w:tcW w:type="dxa" w:w="1474"/>
            <w:vAlign w:val="top"/>
          </w:tcPr>
          <w:p>
            <w:pPr>
              <w:spacing w:after="20" w:line="252" w:lineRule="auto"/>
              <w:jc w:val="center"/>
            </w:pPr>
            <w:r>
              <w:rPr>
                <w:b w:val="0"/>
                <w:i w:val="0"/>
                <w:sz w:val="16"/>
              </w:rPr>
              <w:t>R</w:t>
            </w:r>
          </w:p>
        </w:tc>
        <w:tc>
          <w:tcPr>
            <w:tcW w:type="dxa" w:w="1361"/>
            <w:vAlign w:val="top"/>
          </w:tcPr>
          <w:p>
            <w:pPr>
              <w:spacing w:after="20" w:line="252" w:lineRule="auto"/>
              <w:jc w:val="center"/>
            </w:pPr>
            <w:r>
              <w:rPr>
                <w:b w:val="0"/>
                <w:i w:val="0"/>
                <w:sz w:val="16"/>
              </w:rPr>
              <w:t>C</w:t>
            </w:r>
          </w:p>
        </w:tc>
        <w:tc>
          <w:tcPr>
            <w:tcW w:type="dxa" w:w="1587"/>
            <w:vAlign w:val="top"/>
          </w:tcPr>
          <w:p>
            <w:pPr>
              <w:spacing w:after="20" w:line="252" w:lineRule="auto"/>
              <w:jc w:val="center"/>
            </w:pPr>
            <w:r>
              <w:rPr>
                <w:b w:val="0"/>
                <w:i w:val="0"/>
                <w:sz w:val="16"/>
              </w:rPr>
              <w:t>R</w:t>
            </w:r>
          </w:p>
        </w:tc>
      </w:tr>
      <w:tr>
        <w:trPr>
          <w:cantSplit/>
        </w:trPr>
        <w:tc>
          <w:tcPr>
            <w:tcW w:type="dxa" w:w="3628"/>
            <w:vAlign w:val="top"/>
            <w:shd w:val="clear" w:color="auto" w:fill="FDF0F7"/>
          </w:tcPr>
          <w:p>
            <w:pPr>
              <w:spacing w:after="20" w:line="252" w:lineRule="auto"/>
            </w:pPr>
            <w:r>
              <w:rPr>
                <w:b w:val="0"/>
                <w:i w:val="0"/>
                <w:sz w:val="16"/>
              </w:rPr>
              <w:t>Security patches (application)</w:t>
            </w:r>
          </w:p>
        </w:tc>
        <w:tc>
          <w:tcPr>
            <w:tcW w:type="dxa" w:w="1587"/>
            <w:vAlign w:val="top"/>
            <w:shd w:val="clear" w:color="auto" w:fill="FDF0F7"/>
          </w:tcPr>
          <w:p>
            <w:pPr>
              <w:spacing w:after="20" w:line="252" w:lineRule="auto"/>
              <w:jc w:val="center"/>
            </w:pPr>
            <w:r>
              <w:rPr>
                <w:b w:val="0"/>
                <w:i w:val="0"/>
                <w:sz w:val="16"/>
              </w:rPr>
              <w:t>A (approve)</w:t>
            </w:r>
          </w:p>
        </w:tc>
        <w:tc>
          <w:tcPr>
            <w:tcW w:type="dxa" w:w="1474"/>
            <w:vAlign w:val="top"/>
            <w:shd w:val="clear" w:color="auto" w:fill="FDF0F7"/>
          </w:tcPr>
          <w:p>
            <w:pPr>
              <w:spacing w:after="20" w:line="252" w:lineRule="auto"/>
              <w:jc w:val="center"/>
            </w:pPr>
            <w:r>
              <w:rPr>
                <w:b w:val="0"/>
                <w:i w:val="0"/>
                <w:sz w:val="16"/>
              </w:rPr>
              <w:t>R</w:t>
            </w:r>
          </w:p>
        </w:tc>
        <w:tc>
          <w:tcPr>
            <w:tcW w:type="dxa" w:w="1361"/>
            <w:vAlign w:val="top"/>
            <w:shd w:val="clear" w:color="auto" w:fill="FDF0F7"/>
          </w:tcPr>
          <w:p>
            <w:pPr>
              <w:spacing w:after="20" w:line="252" w:lineRule="auto"/>
              <w:jc w:val="center"/>
            </w:pPr>
            <w:r>
              <w:rPr>
                <w:b w:val="0"/>
                <w:i w:val="0"/>
                <w:sz w:val="16"/>
              </w:rPr>
              <w:t>R</w:t>
            </w:r>
          </w:p>
        </w:tc>
        <w:tc>
          <w:tcPr>
            <w:tcW w:type="dxa" w:w="1587"/>
            <w:vAlign w:val="top"/>
            <w:shd w:val="clear" w:color="auto" w:fill="FDF0F7"/>
          </w:tcPr>
          <w:p>
            <w:pPr>
              <w:spacing w:after="20" w:line="252" w:lineRule="auto"/>
              <w:jc w:val="center"/>
            </w:pPr>
            <w:r>
              <w:rPr>
                <w:b w:val="0"/>
                <w:i w:val="0"/>
                <w:sz w:val="16"/>
              </w:rPr>
              <w:t>I</w:t>
            </w:r>
          </w:p>
        </w:tc>
      </w:tr>
      <w:tr>
        <w:trPr>
          <w:cantSplit/>
        </w:trPr>
        <w:tc>
          <w:tcPr>
            <w:tcW w:type="dxa" w:w="3628"/>
            <w:vAlign w:val="top"/>
          </w:tcPr>
          <w:p>
            <w:pPr>
              <w:spacing w:after="20" w:line="252" w:lineRule="auto"/>
            </w:pPr>
            <w:r>
              <w:rPr>
                <w:b w:val="0"/>
                <w:i w:val="0"/>
                <w:sz w:val="16"/>
              </w:rPr>
              <w:t>Security patches (OS, database packages)</w:t>
            </w:r>
          </w:p>
        </w:tc>
        <w:tc>
          <w:tcPr>
            <w:tcW w:type="dxa" w:w="1587"/>
            <w:vAlign w:val="top"/>
          </w:tcPr>
          <w:p>
            <w:pPr>
              <w:spacing w:after="20" w:line="252" w:lineRule="auto"/>
              <w:jc w:val="center"/>
            </w:pPr>
            <w:r>
              <w:rPr>
                <w:b w:val="0"/>
                <w:i w:val="0"/>
                <w:sz w:val="16"/>
              </w:rPr>
              <w:t>A (approve)</w:t>
            </w:r>
          </w:p>
        </w:tc>
        <w:tc>
          <w:tcPr>
            <w:tcW w:type="dxa" w:w="1474"/>
            <w:vAlign w:val="top"/>
          </w:tcPr>
          <w:p>
            <w:pPr>
              <w:spacing w:after="20" w:line="252" w:lineRule="auto"/>
              <w:jc w:val="center"/>
            </w:pPr>
            <w:r>
              <w:rPr>
                <w:b w:val="0"/>
                <w:i w:val="0"/>
                <w:sz w:val="16"/>
              </w:rPr>
              <w:t>C</w:t>
            </w:r>
          </w:p>
        </w:tc>
        <w:tc>
          <w:tcPr>
            <w:tcW w:type="dxa" w:w="1361"/>
            <w:vAlign w:val="top"/>
          </w:tcPr>
          <w:p>
            <w:pPr>
              <w:spacing w:after="20" w:line="252" w:lineRule="auto"/>
              <w:jc w:val="center"/>
            </w:pPr>
            <w:r>
              <w:rPr>
                <w:b w:val="0"/>
                <w:i w:val="0"/>
                <w:sz w:val="16"/>
              </w:rPr>
              <w:t>–</w:t>
            </w:r>
          </w:p>
        </w:tc>
        <w:tc>
          <w:tcPr>
            <w:tcW w:type="dxa" w:w="1587"/>
            <w:vAlign w:val="top"/>
          </w:tcPr>
          <w:p>
            <w:pPr>
              <w:spacing w:after="20" w:line="252" w:lineRule="auto"/>
              <w:jc w:val="center"/>
            </w:pPr>
            <w:r>
              <w:rPr>
                <w:b w:val="0"/>
                <w:i w:val="0"/>
                <w:sz w:val="16"/>
              </w:rPr>
              <w:t>R</w:t>
            </w:r>
          </w:p>
        </w:tc>
      </w:tr>
      <w:tr>
        <w:trPr>
          <w:cantSplit/>
        </w:trPr>
        <w:tc>
          <w:tcPr>
            <w:tcW w:type="dxa" w:w="3628"/>
            <w:vAlign w:val="top"/>
            <w:shd w:val="clear" w:color="auto" w:fill="FDF0F7"/>
          </w:tcPr>
          <w:p>
            <w:pPr>
              <w:spacing w:after="20" w:line="252" w:lineRule="auto"/>
            </w:pPr>
            <w:r>
              <w:rPr>
                <w:b w:val="0"/>
                <w:i w:val="0"/>
                <w:sz w:val="16"/>
              </w:rPr>
              <w:t>Monthly service report</w:t>
            </w:r>
          </w:p>
        </w:tc>
        <w:tc>
          <w:tcPr>
            <w:tcW w:type="dxa" w:w="1587"/>
            <w:vAlign w:val="top"/>
            <w:shd w:val="clear" w:color="auto" w:fill="FDF0F7"/>
          </w:tcPr>
          <w:p>
            <w:pPr>
              <w:spacing w:after="20" w:line="252" w:lineRule="auto"/>
              <w:jc w:val="center"/>
            </w:pPr>
            <w:r>
              <w:rPr>
                <w:b w:val="0"/>
                <w:i w:val="0"/>
                <w:sz w:val="16"/>
              </w:rPr>
              <w:t>I</w:t>
            </w:r>
          </w:p>
        </w:tc>
        <w:tc>
          <w:tcPr>
            <w:tcW w:type="dxa" w:w="1474"/>
            <w:vAlign w:val="top"/>
            <w:shd w:val="clear" w:color="auto" w:fill="FDF0F7"/>
          </w:tcPr>
          <w:p>
            <w:pPr>
              <w:spacing w:after="20" w:line="252" w:lineRule="auto"/>
              <w:jc w:val="center"/>
            </w:pPr>
            <w:r>
              <w:rPr>
                <w:b w:val="0"/>
                <w:i w:val="0"/>
                <w:sz w:val="16"/>
              </w:rPr>
              <w:t>R/A</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C</w:t>
            </w:r>
          </w:p>
        </w:tc>
      </w:tr>
    </w:tbl>
    <w:p>
      <w:pPr>
        <w:pStyle w:val="Caption"/>
        <w:jc w:val="center"/>
      </w:pPr>
      <w:r>
        <w:rPr>
          <w:b w:val="0"/>
          <w:i w:val="0"/>
        </w:rPr>
        <w:t>Table 3: RACI (R responsible, A accountable, C consulted, I informed)</w:t>
      </w:r>
    </w:p>
    <w:p>
      <w:pPr>
        <w:pStyle w:val="Heading1"/>
        <w:pageBreakBefore/>
        <w:pBdr>
          <w:bottom w:val="single" w:sz="12" w:space="4" w:color="F58220"/>
        </w:pBdr>
      </w:pPr>
      <w:r>
        <w:t>3. Support Hours and Service Levels</w:t>
      </w:r>
    </w:p>
    <w:p>
      <w:pPr>
        <w:pStyle w:val="Heading2"/>
      </w:pPr>
      <w:r>
        <w:t>3.1 Support hours</w:t>
      </w:r>
    </w:p>
    <w:p>
      <w:pPr>
        <w:keepNext w:val="0"/>
      </w:pPr>
      <w:r>
        <w:rPr>
          <w:b w:val="0"/>
          <w:i w:val="0"/>
        </w:rPr>
        <w:t>Support follows the Insurans Islam TAIB business-hours schedule for Family Takaful (COM-14). P1 incidents are covered 24 hours a day, 7 days a week, including weekends and public holidays.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030"/>
      </w:tblGrid>
      <w:tr>
        <w:trPr>
          <w:cantSplit/>
          <w:tblHeader/>
        </w:trPr>
        <w:tc>
          <w:tcPr>
            <w:tcW w:type="dxa" w:w="2608"/>
            <w:shd w:val="clear" w:color="auto" w:fill="E1058C"/>
            <w:vAlign w:val="center"/>
          </w:tcPr>
          <w:p>
            <w:pPr>
              <w:spacing w:after="0"/>
            </w:pPr>
            <w:r>
              <w:rPr>
                <w:b/>
                <w:i w:val="0"/>
                <w:color w:val="FFFFFF"/>
                <w:sz w:val="17"/>
              </w:rPr>
              <w:t>Coverage</w:t>
            </w:r>
          </w:p>
        </w:tc>
        <w:tc>
          <w:tcPr>
            <w:tcW w:type="dxa" w:w="7030"/>
            <w:shd w:val="clear" w:color="auto" w:fill="E1058C"/>
            <w:vAlign w:val="center"/>
          </w:tcPr>
          <w:p>
            <w:pPr>
              <w:spacing w:after="0"/>
            </w:pPr>
            <w:r>
              <w:rPr>
                <w:b/>
                <w:i w:val="0"/>
                <w:color w:val="FFFFFF"/>
                <w:sz w:val="17"/>
              </w:rPr>
              <w:t>Hours</w:t>
            </w:r>
          </w:p>
        </w:tc>
      </w:tr>
      <w:tr>
        <w:trPr>
          <w:cantSplit/>
        </w:trPr>
        <w:tc>
          <w:tcPr>
            <w:tcW w:type="dxa" w:w="2608"/>
            <w:vAlign w:val="top"/>
          </w:tcPr>
          <w:p>
            <w:pPr>
              <w:spacing w:after="20" w:line="252" w:lineRule="auto"/>
            </w:pPr>
            <w:r>
              <w:rPr>
                <w:b/>
                <w:i w:val="0"/>
                <w:sz w:val="17"/>
              </w:rPr>
              <w:t>IIFT business hours</w:t>
            </w:r>
          </w:p>
        </w:tc>
        <w:tc>
          <w:tcPr>
            <w:tcW w:type="dxa" w:w="7030"/>
            <w:vAlign w:val="top"/>
          </w:tcPr>
          <w:p>
            <w:pPr>
              <w:spacing w:after="20" w:line="252" w:lineRule="auto"/>
            </w:pPr>
            <w:r>
              <w:rPr>
                <w:b w:val="0"/>
                <w:i w:val="0"/>
                <w:sz w:val="17"/>
                <w:highlight w:val="yellow"/>
              </w:rPr>
              <w:t>[As published in the 'Insurans Islam TAIB Business Hours (Family Takaful)' schedule, e.g. Monday to Thursday and Saturday, 08:00 to 17:00 Brunei time, excluding Friday, Sunday and public holidays]</w:t>
            </w:r>
          </w:p>
        </w:tc>
      </w:tr>
      <w:tr>
        <w:trPr>
          <w:cantSplit/>
        </w:trPr>
        <w:tc>
          <w:tcPr>
            <w:tcW w:type="dxa" w:w="2608"/>
            <w:vAlign w:val="top"/>
            <w:shd w:val="clear" w:color="auto" w:fill="FDF0F7"/>
          </w:tcPr>
          <w:p>
            <w:pPr>
              <w:spacing w:after="20" w:line="252" w:lineRule="auto"/>
            </w:pPr>
            <w:r>
              <w:rPr>
                <w:b/>
                <w:i w:val="0"/>
                <w:sz w:val="17"/>
              </w:rPr>
              <w:t>P1 critical incidents</w:t>
            </w:r>
          </w:p>
        </w:tc>
        <w:tc>
          <w:tcPr>
            <w:tcW w:type="dxa" w:w="7030"/>
            <w:vAlign w:val="top"/>
            <w:shd w:val="clear" w:color="auto" w:fill="FDF0F7"/>
          </w:tcPr>
          <w:p>
            <w:pPr>
              <w:spacing w:after="20" w:line="252" w:lineRule="auto"/>
            </w:pPr>
            <w:r>
              <w:rPr>
                <w:b w:val="0"/>
                <w:i w:val="0"/>
                <w:sz w:val="17"/>
              </w:rPr>
              <w:t>24 x 7 through the hotline and on-call engineer</w:t>
            </w:r>
          </w:p>
        </w:tc>
      </w:tr>
      <w:tr>
        <w:trPr>
          <w:cantSplit/>
        </w:trPr>
        <w:tc>
          <w:tcPr>
            <w:tcW w:type="dxa" w:w="2608"/>
            <w:vAlign w:val="top"/>
          </w:tcPr>
          <w:p>
            <w:pPr>
              <w:spacing w:after="20" w:line="252" w:lineRule="auto"/>
            </w:pPr>
            <w:r>
              <w:rPr>
                <w:b/>
                <w:i w:val="0"/>
                <w:sz w:val="17"/>
              </w:rPr>
              <w:t>Planned maintenance windows</w:t>
            </w:r>
          </w:p>
        </w:tc>
        <w:tc>
          <w:tcPr>
            <w:tcW w:type="dxa" w:w="7030"/>
            <w:vAlign w:val="top"/>
          </w:tcPr>
          <w:p>
            <w:pPr>
              <w:spacing w:after="20" w:line="252" w:lineRule="auto"/>
            </w:pPr>
            <w:r>
              <w:rPr>
                <w:b w:val="0"/>
                <w:i w:val="0"/>
                <w:sz w:val="17"/>
                <w:highlight w:val="yellow"/>
              </w:rPr>
              <w:t>[Agreed with IIFT, e.g. Sunday 08:00 to 12:00]</w:t>
            </w:r>
            <w:r>
              <w:rPr>
                <w:b w:val="0"/>
                <w:i w:val="0"/>
                <w:sz w:val="17"/>
              </w:rPr>
              <w:t>, announced 5 business days ahead</w:t>
            </w:r>
          </w:p>
        </w:tc>
      </w:tr>
    </w:tbl>
    <w:p>
      <w:pPr>
        <w:pStyle w:val="Caption"/>
        <w:jc w:val="center"/>
      </w:pPr>
      <w:r>
        <w:rPr>
          <w:b w:val="0"/>
          <w:i w:val="0"/>
        </w:rPr>
        <w:t>Table 4: Support hours</w:t>
      </w:r>
    </w:p>
    <w:p>
      <w:pPr>
        <w:pStyle w:val="Heading2"/>
      </w:pPr>
      <w:r>
        <w:t>3.2 Severity definitions and SLA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3855"/>
        <w:gridCol w:w="1360"/>
        <w:gridCol w:w="1701"/>
        <w:gridCol w:w="1474"/>
      </w:tblGrid>
      <w:tr>
        <w:trPr>
          <w:cantSplit/>
          <w:tblHeader/>
        </w:trPr>
        <w:tc>
          <w:tcPr>
            <w:tcW w:type="dxa" w:w="1247"/>
            <w:shd w:val="clear" w:color="auto" w:fill="E1058C"/>
            <w:vAlign w:val="center"/>
          </w:tcPr>
          <w:p>
            <w:pPr>
              <w:spacing w:after="0"/>
            </w:pPr>
            <w:r>
              <w:rPr>
                <w:b/>
                <w:i w:val="0"/>
                <w:color w:val="FFFFFF"/>
                <w:sz w:val="16"/>
              </w:rPr>
              <w:t>Priority</w:t>
            </w:r>
          </w:p>
        </w:tc>
        <w:tc>
          <w:tcPr>
            <w:tcW w:type="dxa" w:w="3855"/>
            <w:shd w:val="clear" w:color="auto" w:fill="E1058C"/>
            <w:vAlign w:val="center"/>
          </w:tcPr>
          <w:p>
            <w:pPr>
              <w:spacing w:after="0"/>
            </w:pPr>
            <w:r>
              <w:rPr>
                <w:b/>
                <w:i w:val="0"/>
                <w:color w:val="FFFFFF"/>
                <w:sz w:val="16"/>
              </w:rPr>
              <w:t>Definition</w:t>
            </w:r>
          </w:p>
        </w:tc>
        <w:tc>
          <w:tcPr>
            <w:tcW w:type="dxa" w:w="1361"/>
            <w:shd w:val="clear" w:color="auto" w:fill="E1058C"/>
            <w:vAlign w:val="center"/>
          </w:tcPr>
          <w:p>
            <w:pPr>
              <w:spacing w:after="0"/>
            </w:pPr>
            <w:r>
              <w:rPr>
                <w:b/>
                <w:i w:val="0"/>
                <w:color w:val="FFFFFF"/>
                <w:sz w:val="16"/>
              </w:rPr>
              <w:t>Response</w:t>
            </w:r>
          </w:p>
        </w:tc>
        <w:tc>
          <w:tcPr>
            <w:tcW w:type="dxa" w:w="1701"/>
            <w:shd w:val="clear" w:color="auto" w:fill="E1058C"/>
            <w:vAlign w:val="center"/>
          </w:tcPr>
          <w:p>
            <w:pPr>
              <w:spacing w:after="0"/>
            </w:pPr>
            <w:r>
              <w:rPr>
                <w:b/>
                <w:i w:val="0"/>
                <w:color w:val="FFFFFF"/>
                <w:sz w:val="16"/>
              </w:rPr>
              <w:t>Restore / resolve</w:t>
            </w:r>
          </w:p>
        </w:tc>
        <w:tc>
          <w:tcPr>
            <w:tcW w:type="dxa" w:w="1474"/>
            <w:shd w:val="clear" w:color="auto" w:fill="E1058C"/>
            <w:vAlign w:val="center"/>
          </w:tcPr>
          <w:p>
            <w:pPr>
              <w:spacing w:after="0"/>
            </w:pPr>
            <w:r>
              <w:rPr>
                <w:b/>
                <w:i w:val="0"/>
                <w:color w:val="FFFFFF"/>
                <w:sz w:val="16"/>
              </w:rPr>
              <w:t>Coverage</w:t>
            </w:r>
          </w:p>
        </w:tc>
      </w:tr>
      <w:tr>
        <w:trPr>
          <w:cantSplit/>
        </w:trPr>
        <w:tc>
          <w:tcPr>
            <w:tcW w:type="dxa" w:w="1247"/>
            <w:vAlign w:val="top"/>
          </w:tcPr>
          <w:p>
            <w:pPr>
              <w:spacing w:after="20" w:line="252" w:lineRule="auto"/>
            </w:pPr>
            <w:r>
              <w:rPr>
                <w:b/>
                <w:i w:val="0"/>
                <w:sz w:val="16"/>
              </w:rPr>
              <w:t>P1 Critical</w:t>
            </w:r>
          </w:p>
        </w:tc>
        <w:tc>
          <w:tcPr>
            <w:tcW w:type="dxa" w:w="3855"/>
            <w:vAlign w:val="top"/>
          </w:tcPr>
          <w:p>
            <w:pPr>
              <w:spacing w:after="20" w:line="252" w:lineRule="auto"/>
            </w:pPr>
            <w:r>
              <w:rPr>
                <w:b w:val="0"/>
                <w:i w:val="0"/>
                <w:sz w:val="16"/>
              </w:rPr>
              <w:t>Production down, or a critical function (sign-in, quotation, issuance, payment verification, EOD) unavailable for all users; data integrity or security breach</w:t>
            </w:r>
          </w:p>
        </w:tc>
        <w:tc>
          <w:tcPr>
            <w:tcW w:type="dxa" w:w="1361"/>
            <w:vAlign w:val="top"/>
          </w:tcPr>
          <w:p>
            <w:pPr>
              <w:spacing w:after="20" w:line="252" w:lineRule="auto"/>
            </w:pPr>
            <w:r>
              <w:rPr>
                <w:b w:val="0"/>
                <w:i w:val="0"/>
                <w:sz w:val="16"/>
              </w:rPr>
              <w:t>30 minutes</w:t>
            </w:r>
          </w:p>
        </w:tc>
        <w:tc>
          <w:tcPr>
            <w:tcW w:type="dxa" w:w="1701"/>
            <w:vAlign w:val="top"/>
          </w:tcPr>
          <w:p>
            <w:pPr>
              <w:spacing w:after="20" w:line="252" w:lineRule="auto"/>
            </w:pPr>
            <w:r>
              <w:rPr>
                <w:b w:val="0"/>
                <w:i w:val="0"/>
                <w:sz w:val="16"/>
              </w:rPr>
              <w:t>4 hours (restore or workaround)</w:t>
            </w:r>
          </w:p>
        </w:tc>
        <w:tc>
          <w:tcPr>
            <w:tcW w:type="dxa" w:w="1474"/>
            <w:vAlign w:val="top"/>
          </w:tcPr>
          <w:p>
            <w:pPr>
              <w:spacing w:after="20" w:line="252" w:lineRule="auto"/>
            </w:pPr>
            <w:r>
              <w:rPr>
                <w:b w:val="0"/>
                <w:i w:val="0"/>
                <w:sz w:val="16"/>
              </w:rPr>
              <w:t>24 x 7</w:t>
            </w:r>
          </w:p>
        </w:tc>
      </w:tr>
      <w:tr>
        <w:trPr>
          <w:cantSplit/>
        </w:trPr>
        <w:tc>
          <w:tcPr>
            <w:tcW w:type="dxa" w:w="1247"/>
            <w:vAlign w:val="top"/>
            <w:shd w:val="clear" w:color="auto" w:fill="FDF0F7"/>
          </w:tcPr>
          <w:p>
            <w:pPr>
              <w:spacing w:after="20" w:line="252" w:lineRule="auto"/>
            </w:pPr>
            <w:r>
              <w:rPr>
                <w:b/>
                <w:i w:val="0"/>
                <w:sz w:val="16"/>
              </w:rPr>
              <w:t>P2 High</w:t>
            </w:r>
          </w:p>
        </w:tc>
        <w:tc>
          <w:tcPr>
            <w:tcW w:type="dxa" w:w="3855"/>
            <w:vAlign w:val="top"/>
            <w:shd w:val="clear" w:color="auto" w:fill="FDF0F7"/>
          </w:tcPr>
          <w:p>
            <w:pPr>
              <w:spacing w:after="20" w:line="252" w:lineRule="auto"/>
            </w:pPr>
            <w:r>
              <w:rPr>
                <w:b w:val="0"/>
                <w:i w:val="0"/>
                <w:sz w:val="16"/>
              </w:rPr>
              <w:t>Major function impaired for many users with no reasonable workaround</w:t>
            </w:r>
          </w:p>
        </w:tc>
        <w:tc>
          <w:tcPr>
            <w:tcW w:type="dxa" w:w="1361"/>
            <w:vAlign w:val="top"/>
            <w:shd w:val="clear" w:color="auto" w:fill="FDF0F7"/>
          </w:tcPr>
          <w:p>
            <w:pPr>
              <w:spacing w:after="20" w:line="252" w:lineRule="auto"/>
            </w:pPr>
            <w:r>
              <w:rPr>
                <w:b w:val="0"/>
                <w:i w:val="0"/>
                <w:sz w:val="16"/>
              </w:rPr>
              <w:t>2 hours</w:t>
            </w:r>
          </w:p>
        </w:tc>
        <w:tc>
          <w:tcPr>
            <w:tcW w:type="dxa" w:w="1701"/>
            <w:vAlign w:val="top"/>
            <w:shd w:val="clear" w:color="auto" w:fill="FDF0F7"/>
          </w:tcPr>
          <w:p>
            <w:pPr>
              <w:spacing w:after="20" w:line="252" w:lineRule="auto"/>
            </w:pPr>
            <w:r>
              <w:rPr>
                <w:b w:val="0"/>
                <w:i w:val="0"/>
                <w:sz w:val="16"/>
              </w:rPr>
              <w:t>1 business day</w:t>
            </w:r>
          </w:p>
        </w:tc>
        <w:tc>
          <w:tcPr>
            <w:tcW w:type="dxa" w:w="1474"/>
            <w:vAlign w:val="top"/>
            <w:shd w:val="clear" w:color="auto" w:fill="FDF0F7"/>
          </w:tcPr>
          <w:p>
            <w:pPr>
              <w:spacing w:after="20" w:line="252" w:lineRule="auto"/>
            </w:pPr>
            <w:r>
              <w:rPr>
                <w:b w:val="0"/>
                <w:i w:val="0"/>
                <w:sz w:val="16"/>
              </w:rPr>
              <w:t>IIFT business hours</w:t>
            </w:r>
          </w:p>
        </w:tc>
      </w:tr>
      <w:tr>
        <w:trPr>
          <w:cantSplit/>
        </w:trPr>
        <w:tc>
          <w:tcPr>
            <w:tcW w:type="dxa" w:w="1247"/>
            <w:vAlign w:val="top"/>
          </w:tcPr>
          <w:p>
            <w:pPr>
              <w:spacing w:after="20" w:line="252" w:lineRule="auto"/>
            </w:pPr>
            <w:r>
              <w:rPr>
                <w:b/>
                <w:i w:val="0"/>
                <w:sz w:val="16"/>
              </w:rPr>
              <w:t>P3 Medium</w:t>
            </w:r>
          </w:p>
        </w:tc>
        <w:tc>
          <w:tcPr>
            <w:tcW w:type="dxa" w:w="3855"/>
            <w:vAlign w:val="top"/>
          </w:tcPr>
          <w:p>
            <w:pPr>
              <w:spacing w:after="20" w:line="252" w:lineRule="auto"/>
            </w:pPr>
            <w:r>
              <w:rPr>
                <w:b w:val="0"/>
                <w:i w:val="0"/>
                <w:sz w:val="16"/>
              </w:rPr>
              <w:t>Function impaired with a workaround; few users affected</w:t>
            </w:r>
          </w:p>
        </w:tc>
        <w:tc>
          <w:tcPr>
            <w:tcW w:type="dxa" w:w="1361"/>
            <w:vAlign w:val="top"/>
          </w:tcPr>
          <w:p>
            <w:pPr>
              <w:spacing w:after="20" w:line="252" w:lineRule="auto"/>
            </w:pPr>
            <w:r>
              <w:rPr>
                <w:b w:val="0"/>
                <w:i w:val="0"/>
                <w:sz w:val="16"/>
              </w:rPr>
              <w:t>4 business hours</w:t>
            </w:r>
          </w:p>
        </w:tc>
        <w:tc>
          <w:tcPr>
            <w:tcW w:type="dxa" w:w="1701"/>
            <w:vAlign w:val="top"/>
          </w:tcPr>
          <w:p>
            <w:pPr>
              <w:spacing w:after="20" w:line="252" w:lineRule="auto"/>
            </w:pPr>
            <w:r>
              <w:rPr>
                <w:b w:val="0"/>
                <w:i w:val="0"/>
                <w:sz w:val="16"/>
              </w:rPr>
              <w:t>3 business days</w:t>
            </w:r>
          </w:p>
        </w:tc>
        <w:tc>
          <w:tcPr>
            <w:tcW w:type="dxa" w:w="1474"/>
            <w:vAlign w:val="top"/>
          </w:tcPr>
          <w:p>
            <w:pPr>
              <w:spacing w:after="20" w:line="252" w:lineRule="auto"/>
            </w:pPr>
            <w:r>
              <w:rPr>
                <w:b w:val="0"/>
                <w:i w:val="0"/>
                <w:sz w:val="16"/>
              </w:rPr>
              <w:t>IIFT business hours</w:t>
            </w:r>
          </w:p>
        </w:tc>
      </w:tr>
      <w:tr>
        <w:trPr>
          <w:cantSplit/>
        </w:trPr>
        <w:tc>
          <w:tcPr>
            <w:tcW w:type="dxa" w:w="1247"/>
            <w:vAlign w:val="top"/>
            <w:shd w:val="clear" w:color="auto" w:fill="FDF0F7"/>
          </w:tcPr>
          <w:p>
            <w:pPr>
              <w:spacing w:after="20" w:line="252" w:lineRule="auto"/>
            </w:pPr>
            <w:r>
              <w:rPr>
                <w:b/>
                <w:i w:val="0"/>
                <w:sz w:val="16"/>
              </w:rPr>
              <w:t>P4 Low</w:t>
            </w:r>
          </w:p>
        </w:tc>
        <w:tc>
          <w:tcPr>
            <w:tcW w:type="dxa" w:w="3855"/>
            <w:vAlign w:val="top"/>
            <w:shd w:val="clear" w:color="auto" w:fill="FDF0F7"/>
          </w:tcPr>
          <w:p>
            <w:pPr>
              <w:spacing w:after="20" w:line="252" w:lineRule="auto"/>
            </w:pPr>
            <w:r>
              <w:rPr>
                <w:b w:val="0"/>
                <w:i w:val="0"/>
                <w:sz w:val="16"/>
              </w:rPr>
              <w:t>Cosmetic issue, question or minor defect</w:t>
            </w:r>
          </w:p>
        </w:tc>
        <w:tc>
          <w:tcPr>
            <w:tcW w:type="dxa" w:w="1361"/>
            <w:vAlign w:val="top"/>
            <w:shd w:val="clear" w:color="auto" w:fill="FDF0F7"/>
          </w:tcPr>
          <w:p>
            <w:pPr>
              <w:spacing w:after="20" w:line="252" w:lineRule="auto"/>
            </w:pPr>
            <w:r>
              <w:rPr>
                <w:b w:val="0"/>
                <w:i w:val="0"/>
                <w:sz w:val="16"/>
              </w:rPr>
              <w:t>1 business day</w:t>
            </w:r>
          </w:p>
        </w:tc>
        <w:tc>
          <w:tcPr>
            <w:tcW w:type="dxa" w:w="1701"/>
            <w:vAlign w:val="top"/>
            <w:shd w:val="clear" w:color="auto" w:fill="FDF0F7"/>
          </w:tcPr>
          <w:p>
            <w:pPr>
              <w:spacing w:after="20" w:line="252" w:lineRule="auto"/>
            </w:pPr>
            <w:r>
              <w:rPr>
                <w:b w:val="0"/>
                <w:i w:val="0"/>
                <w:sz w:val="16"/>
              </w:rPr>
              <w:t>Next scheduled release</w:t>
            </w:r>
          </w:p>
        </w:tc>
        <w:tc>
          <w:tcPr>
            <w:tcW w:type="dxa" w:w="1474"/>
            <w:vAlign w:val="top"/>
            <w:shd w:val="clear" w:color="auto" w:fill="FDF0F7"/>
          </w:tcPr>
          <w:p>
            <w:pPr>
              <w:spacing w:after="20" w:line="252" w:lineRule="auto"/>
            </w:pPr>
            <w:r>
              <w:rPr>
                <w:b w:val="0"/>
                <w:i w:val="0"/>
                <w:sz w:val="16"/>
              </w:rPr>
              <w:t>IIFT business hours</w:t>
            </w:r>
          </w:p>
        </w:tc>
      </w:tr>
    </w:tbl>
    <w:p>
      <w:pPr>
        <w:pStyle w:val="Caption"/>
        <w:jc w:val="center"/>
      </w:pPr>
      <w:r>
        <w:rPr>
          <w:b w:val="0"/>
          <w:i w:val="0"/>
        </w:rPr>
        <w:t>Table 5: Incident service levels (MNT-05 to MNT-07, COM-13)</w:t>
      </w:r>
    </w:p>
    <w:p>
      <w:pPr>
        <w:pStyle w:val="ListBullet"/>
      </w:pPr>
      <w:r>
        <w:rPr>
          <w:b w:val="0"/>
          <w:i w:val="0"/>
        </w:rPr>
        <w:t>Response: an engineer has acknowledged the incident and started work, measured from logging (or from the call for P1).</w:t>
      </w:r>
    </w:p>
    <w:p>
      <w:pPr>
        <w:pStyle w:val="ListBullet"/>
      </w:pPr>
      <w:r>
        <w:rPr>
          <w:b w:val="0"/>
          <w:i w:val="0"/>
        </w:rPr>
        <w:t>Restore: service or function available again, possibly with a workaround; the permanent fix follows under problem management.</w:t>
      </w:r>
    </w:p>
    <w:p>
      <w:pPr>
        <w:pStyle w:val="ListBullet"/>
      </w:pPr>
      <w:r>
        <w:rPr>
          <w:b w:val="0"/>
          <w:i w:val="0"/>
        </w:rPr>
        <w:t>Priority is set by the helpdesk from impact and urgency and can be changed by agreement; the SLA clock follows the agreed priority.</w:t>
      </w:r>
    </w:p>
    <w:p>
      <w:pPr>
        <w:pStyle w:val="ListBullet"/>
      </w:pPr>
      <w:r>
        <w:rPr>
          <w:b w:val="0"/>
          <w:i w:val="0"/>
        </w:rPr>
        <w:t>The clock pauses while waiting for IIFT information or for infrastructure outside iorta's responsibility; pauses are recorded on the ticket.</w:t>
      </w:r>
    </w:p>
    <w:p>
      <w:pPr>
        <w:pStyle w:val="ListBullet"/>
      </w:pPr>
      <w:r>
        <w:rPr>
          <w:b w:val="0"/>
          <w:i w:val="0"/>
        </w:rPr>
        <w:t>Availability target: 99.5% per month overall and 99.9% within IIFT business hours, excluding approved maintenance windows.</w:t>
      </w:r>
    </w:p>
    <w:p>
      <w:pPr>
        <w:pStyle w:val="ListBullet"/>
      </w:pPr>
      <w:r>
        <w:rPr>
          <w:b w:val="0"/>
          <w:i w:val="0"/>
        </w:rPr>
        <w:t>The Issues module's own SLA timers (Issue SLA parameters sla.*) track user-reported issues inside the application; they are configured to match this table at go-live.</w:t>
      </w:r>
    </w:p>
    <w:p>
      <w:pPr>
        <w:pStyle w:val="Heading1"/>
        <w:pageBreakBefore/>
        <w:pBdr>
          <w:bottom w:val="single" w:sz="12" w:space="4" w:color="F58220"/>
        </w:pBdr>
      </w:pPr>
      <w:r>
        <w:t>4. Incident Management</w:t>
      </w:r>
    </w:p>
    <w:p>
      <w:pPr>
        <w:keepNext/>
        <w:spacing w:after="0"/>
        <w:jc w:val="center"/>
      </w:pPr>
      <w:r>
        <w:drawing>
          <wp:inline xmlns:a="http://schemas.openxmlformats.org/drawingml/2006/main" xmlns:pic="http://schemas.openxmlformats.org/drawingml/2006/picture">
            <wp:extent cx="5760000" cy="2550857"/>
            <wp:docPr id="5" name="Picture 5"/>
            <wp:cNvGraphicFramePr>
              <a:graphicFrameLocks noChangeAspect="1"/>
            </wp:cNvGraphicFramePr>
            <a:graphic>
              <a:graphicData uri="http://schemas.openxmlformats.org/drawingml/2006/picture">
                <pic:pic>
                  <pic:nvPicPr>
                    <pic:cNvPr id="0" name="tech-incident.png"/>
                    <pic:cNvPicPr/>
                  </pic:nvPicPr>
                  <pic:blipFill>
                    <a:blip r:embed="rId15"/>
                    <a:stretch>
                      <a:fillRect/>
                    </a:stretch>
                  </pic:blipFill>
                  <pic:spPr>
                    <a:xfrm>
                      <a:off x="0" y="0"/>
                      <a:ext cx="5760000" cy="2550857"/>
                    </a:xfrm>
                    <a:prstGeom prst="rect"/>
                  </pic:spPr>
                </pic:pic>
              </a:graphicData>
            </a:graphic>
          </wp:inline>
        </w:drawing>
      </w:r>
    </w:p>
    <w:p>
      <w:pPr>
        <w:pStyle w:val="Caption"/>
        <w:jc w:val="center"/>
      </w:pPr>
      <w:r>
        <w:rPr>
          <w:b w:val="0"/>
          <w:i w:val="0"/>
        </w:rPr>
        <w:t>Figure 2: Incident process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6237"/>
        <w:gridCol w:w="2041"/>
      </w:tblGrid>
      <w:tr>
        <w:trPr>
          <w:cantSplit/>
          <w:tblHeader/>
        </w:trPr>
        <w:tc>
          <w:tcPr>
            <w:tcW w:type="dxa" w:w="1361"/>
            <w:shd w:val="clear" w:color="auto" w:fill="E1058C"/>
            <w:vAlign w:val="center"/>
          </w:tcPr>
          <w:p>
            <w:pPr>
              <w:spacing w:after="0"/>
            </w:pPr>
            <w:r>
              <w:rPr>
                <w:b/>
                <w:i w:val="0"/>
                <w:color w:val="FFFFFF"/>
                <w:sz w:val="17"/>
              </w:rPr>
              <w:t>Step</w:t>
            </w:r>
          </w:p>
        </w:tc>
        <w:tc>
          <w:tcPr>
            <w:tcW w:type="dxa" w:w="6236"/>
            <w:shd w:val="clear" w:color="auto" w:fill="E1058C"/>
            <w:vAlign w:val="center"/>
          </w:tcPr>
          <w:p>
            <w:pPr>
              <w:spacing w:after="0"/>
            </w:pPr>
            <w:r>
              <w:rPr>
                <w:b/>
                <w:i w:val="0"/>
                <w:color w:val="FFFFFF"/>
                <w:sz w:val="17"/>
              </w:rPr>
              <w:t>What happens</w:t>
            </w:r>
          </w:p>
        </w:tc>
        <w:tc>
          <w:tcPr>
            <w:tcW w:type="dxa" w:w="2041"/>
            <w:shd w:val="clear" w:color="auto" w:fill="E1058C"/>
            <w:vAlign w:val="center"/>
          </w:tcPr>
          <w:p>
            <w:pPr>
              <w:spacing w:after="0"/>
            </w:pPr>
            <w:r>
              <w:rPr>
                <w:b/>
                <w:i w:val="0"/>
                <w:color w:val="FFFFFF"/>
                <w:sz w:val="17"/>
              </w:rPr>
              <w:t>Who</w:t>
            </w:r>
          </w:p>
        </w:tc>
      </w:tr>
      <w:tr>
        <w:trPr>
          <w:cantSplit/>
        </w:trPr>
        <w:tc>
          <w:tcPr>
            <w:tcW w:type="dxa" w:w="1361"/>
            <w:vAlign w:val="top"/>
          </w:tcPr>
          <w:p>
            <w:pPr>
              <w:spacing w:after="20" w:line="252" w:lineRule="auto"/>
            </w:pPr>
            <w:r>
              <w:rPr>
                <w:b/>
                <w:i w:val="0"/>
                <w:sz w:val="17"/>
              </w:rPr>
              <w:t>Detect</w:t>
            </w:r>
          </w:p>
        </w:tc>
        <w:tc>
          <w:tcPr>
            <w:tcW w:type="dxa" w:w="6236"/>
            <w:vAlign w:val="top"/>
          </w:tcPr>
          <w:p>
            <w:pPr>
              <w:spacing w:after="20" w:line="252" w:lineRule="auto"/>
            </w:pPr>
            <w:r>
              <w:rPr>
                <w:b w:val="0"/>
                <w:i w:val="0"/>
                <w:sz w:val="17"/>
              </w:rPr>
              <w:t>Alert, user call, e-mail or Issues-module ticket</w:t>
            </w:r>
          </w:p>
        </w:tc>
        <w:tc>
          <w:tcPr>
            <w:tcW w:type="dxa" w:w="2041"/>
            <w:vAlign w:val="top"/>
          </w:tcPr>
          <w:p>
            <w:pPr>
              <w:spacing w:after="20" w:line="252" w:lineRule="auto"/>
            </w:pPr>
            <w:r>
              <w:rPr>
                <w:b w:val="0"/>
                <w:i w:val="0"/>
                <w:sz w:val="17"/>
              </w:rPr>
              <w:t>Monitoring, users</w:t>
            </w:r>
          </w:p>
        </w:tc>
      </w:tr>
      <w:tr>
        <w:trPr>
          <w:cantSplit/>
        </w:trPr>
        <w:tc>
          <w:tcPr>
            <w:tcW w:type="dxa" w:w="1361"/>
            <w:vAlign w:val="top"/>
            <w:shd w:val="clear" w:color="auto" w:fill="FDF0F7"/>
          </w:tcPr>
          <w:p>
            <w:pPr>
              <w:spacing w:after="20" w:line="252" w:lineRule="auto"/>
            </w:pPr>
            <w:r>
              <w:rPr>
                <w:b/>
                <w:i w:val="0"/>
                <w:sz w:val="17"/>
              </w:rPr>
              <w:t>Log</w:t>
            </w:r>
          </w:p>
        </w:tc>
        <w:tc>
          <w:tcPr>
            <w:tcW w:type="dxa" w:w="6236"/>
            <w:vAlign w:val="top"/>
            <w:shd w:val="clear" w:color="auto" w:fill="FDF0F7"/>
          </w:tcPr>
          <w:p>
            <w:pPr>
              <w:spacing w:after="20" w:line="252" w:lineRule="auto"/>
            </w:pPr>
            <w:r>
              <w:rPr>
                <w:b w:val="0"/>
                <w:i w:val="0"/>
                <w:sz w:val="17"/>
              </w:rPr>
              <w:t>Ticket with symptom, time, user, correlation id, screenshots</w:t>
            </w:r>
          </w:p>
        </w:tc>
        <w:tc>
          <w:tcPr>
            <w:tcW w:type="dxa" w:w="2041"/>
            <w:vAlign w:val="top"/>
            <w:shd w:val="clear" w:color="auto" w:fill="FDF0F7"/>
          </w:tcPr>
          <w:p>
            <w:pPr>
              <w:spacing w:after="20" w:line="252" w:lineRule="auto"/>
            </w:pPr>
            <w:r>
              <w:rPr>
                <w:b w:val="0"/>
                <w:i w:val="0"/>
                <w:sz w:val="17"/>
              </w:rPr>
              <w:t>L1</w:t>
            </w:r>
          </w:p>
        </w:tc>
      </w:tr>
      <w:tr>
        <w:trPr>
          <w:cantSplit/>
        </w:trPr>
        <w:tc>
          <w:tcPr>
            <w:tcW w:type="dxa" w:w="1361"/>
            <w:vAlign w:val="top"/>
          </w:tcPr>
          <w:p>
            <w:pPr>
              <w:spacing w:after="20" w:line="252" w:lineRule="auto"/>
            </w:pPr>
            <w:r>
              <w:rPr>
                <w:b/>
                <w:i w:val="0"/>
                <w:sz w:val="17"/>
              </w:rPr>
              <w:t>Classify</w:t>
            </w:r>
          </w:p>
        </w:tc>
        <w:tc>
          <w:tcPr>
            <w:tcW w:type="dxa" w:w="6236"/>
            <w:vAlign w:val="top"/>
          </w:tcPr>
          <w:p>
            <w:pPr>
              <w:spacing w:after="20" w:line="252" w:lineRule="auto"/>
            </w:pPr>
            <w:r>
              <w:rPr>
                <w:b w:val="0"/>
                <w:i w:val="0"/>
                <w:sz w:val="17"/>
              </w:rPr>
              <w:t>Priority P1 to P4 from the definitions; category</w:t>
            </w:r>
          </w:p>
        </w:tc>
        <w:tc>
          <w:tcPr>
            <w:tcW w:type="dxa" w:w="2041"/>
            <w:vAlign w:val="top"/>
          </w:tcPr>
          <w:p>
            <w:pPr>
              <w:spacing w:after="20" w:line="252" w:lineRule="auto"/>
            </w:pPr>
            <w:r>
              <w:rPr>
                <w:b w:val="0"/>
                <w:i w:val="0"/>
                <w:sz w:val="17"/>
              </w:rPr>
              <w:t>L1</w:t>
            </w:r>
          </w:p>
        </w:tc>
      </w:tr>
      <w:tr>
        <w:trPr>
          <w:cantSplit/>
        </w:trPr>
        <w:tc>
          <w:tcPr>
            <w:tcW w:type="dxa" w:w="1361"/>
            <w:vAlign w:val="top"/>
            <w:shd w:val="clear" w:color="auto" w:fill="FDF0F7"/>
          </w:tcPr>
          <w:p>
            <w:pPr>
              <w:spacing w:after="20" w:line="252" w:lineRule="auto"/>
            </w:pPr>
            <w:r>
              <w:rPr>
                <w:b/>
                <w:i w:val="0"/>
                <w:sz w:val="17"/>
              </w:rPr>
              <w:t>Respond</w:t>
            </w:r>
          </w:p>
        </w:tc>
        <w:tc>
          <w:tcPr>
            <w:tcW w:type="dxa" w:w="6236"/>
            <w:vAlign w:val="top"/>
            <w:shd w:val="clear" w:color="auto" w:fill="FDF0F7"/>
          </w:tcPr>
          <w:p>
            <w:pPr>
              <w:spacing w:after="20" w:line="252" w:lineRule="auto"/>
            </w:pPr>
            <w:r>
              <w:rPr>
                <w:b w:val="0"/>
                <w:i w:val="0"/>
                <w:sz w:val="17"/>
              </w:rPr>
              <w:t>Acknowledge within SLA; for P1 open a bridge call and notify the escalation contacts</w:t>
            </w:r>
          </w:p>
        </w:tc>
        <w:tc>
          <w:tcPr>
            <w:tcW w:type="dxa" w:w="2041"/>
            <w:vAlign w:val="top"/>
            <w:shd w:val="clear" w:color="auto" w:fill="FDF0F7"/>
          </w:tcPr>
          <w:p>
            <w:pPr>
              <w:spacing w:after="20" w:line="252" w:lineRule="auto"/>
            </w:pPr>
            <w:r>
              <w:rPr>
                <w:b w:val="0"/>
                <w:i w:val="0"/>
                <w:sz w:val="17"/>
              </w:rPr>
              <w:t>L2</w:t>
            </w:r>
          </w:p>
        </w:tc>
      </w:tr>
      <w:tr>
        <w:trPr>
          <w:cantSplit/>
        </w:trPr>
        <w:tc>
          <w:tcPr>
            <w:tcW w:type="dxa" w:w="1361"/>
            <w:vAlign w:val="top"/>
          </w:tcPr>
          <w:p>
            <w:pPr>
              <w:spacing w:after="20" w:line="252" w:lineRule="auto"/>
            </w:pPr>
            <w:r>
              <w:rPr>
                <w:b/>
                <w:i w:val="0"/>
                <w:sz w:val="17"/>
              </w:rPr>
              <w:t>Diagnose</w:t>
            </w:r>
          </w:p>
        </w:tc>
        <w:tc>
          <w:tcPr>
            <w:tcW w:type="dxa" w:w="6236"/>
            <w:vAlign w:val="top"/>
          </w:tcPr>
          <w:p>
            <w:pPr>
              <w:spacing w:after="20" w:line="252" w:lineRule="auto"/>
            </w:pPr>
            <w:r>
              <w:rPr>
                <w:b w:val="0"/>
                <w:i w:val="0"/>
                <w:sz w:val="17"/>
              </w:rPr>
              <w:t>Logs by correlation id, metrics, integration monitor, audit trail, data</w:t>
            </w:r>
          </w:p>
        </w:tc>
        <w:tc>
          <w:tcPr>
            <w:tcW w:type="dxa" w:w="2041"/>
            <w:vAlign w:val="top"/>
          </w:tcPr>
          <w:p>
            <w:pPr>
              <w:spacing w:after="20" w:line="252" w:lineRule="auto"/>
            </w:pPr>
            <w:r>
              <w:rPr>
                <w:b w:val="0"/>
                <w:i w:val="0"/>
                <w:sz w:val="17"/>
              </w:rPr>
              <w:t>L2, L3</w:t>
            </w:r>
          </w:p>
        </w:tc>
      </w:tr>
      <w:tr>
        <w:trPr>
          <w:cantSplit/>
        </w:trPr>
        <w:tc>
          <w:tcPr>
            <w:tcW w:type="dxa" w:w="1361"/>
            <w:vAlign w:val="top"/>
            <w:shd w:val="clear" w:color="auto" w:fill="FDF0F7"/>
          </w:tcPr>
          <w:p>
            <w:pPr>
              <w:spacing w:after="20" w:line="252" w:lineRule="auto"/>
            </w:pPr>
            <w:r>
              <w:rPr>
                <w:b/>
                <w:i w:val="0"/>
                <w:sz w:val="17"/>
              </w:rPr>
              <w:t>Restore</w:t>
            </w:r>
          </w:p>
        </w:tc>
        <w:tc>
          <w:tcPr>
            <w:tcW w:type="dxa" w:w="6236"/>
            <w:vAlign w:val="top"/>
            <w:shd w:val="clear" w:color="auto" w:fill="FDF0F7"/>
          </w:tcPr>
          <w:p>
            <w:pPr>
              <w:spacing w:after="20" w:line="252" w:lineRule="auto"/>
            </w:pPr>
            <w:r>
              <w:rPr>
                <w:b w:val="0"/>
                <w:i w:val="0"/>
                <w:sz w:val="17"/>
              </w:rPr>
              <w:t>Workaround or fix; runbook where one exists</w:t>
            </w:r>
          </w:p>
        </w:tc>
        <w:tc>
          <w:tcPr>
            <w:tcW w:type="dxa" w:w="2041"/>
            <w:vAlign w:val="top"/>
            <w:shd w:val="clear" w:color="auto" w:fill="FDF0F7"/>
          </w:tcPr>
          <w:p>
            <w:pPr>
              <w:spacing w:after="20" w:line="252" w:lineRule="auto"/>
            </w:pPr>
            <w:r>
              <w:rPr>
                <w:b w:val="0"/>
                <w:i w:val="0"/>
                <w:sz w:val="17"/>
              </w:rPr>
              <w:t>L2, L3, Infra</w:t>
            </w:r>
          </w:p>
        </w:tc>
      </w:tr>
      <w:tr>
        <w:trPr>
          <w:cantSplit/>
        </w:trPr>
        <w:tc>
          <w:tcPr>
            <w:tcW w:type="dxa" w:w="1361"/>
            <w:vAlign w:val="top"/>
          </w:tcPr>
          <w:p>
            <w:pPr>
              <w:spacing w:after="20" w:line="252" w:lineRule="auto"/>
            </w:pPr>
            <w:r>
              <w:rPr>
                <w:b/>
                <w:i w:val="0"/>
                <w:sz w:val="17"/>
              </w:rPr>
              <w:t>Verify</w:t>
            </w:r>
          </w:p>
        </w:tc>
        <w:tc>
          <w:tcPr>
            <w:tcW w:type="dxa" w:w="6236"/>
            <w:vAlign w:val="top"/>
          </w:tcPr>
          <w:p>
            <w:pPr>
              <w:spacing w:after="20" w:line="252" w:lineRule="auto"/>
            </w:pPr>
            <w:r>
              <w:rPr>
                <w:b w:val="0"/>
                <w:i w:val="0"/>
                <w:sz w:val="17"/>
              </w:rPr>
              <w:t>User confirms; monitoring back to normal</w:t>
            </w:r>
          </w:p>
        </w:tc>
        <w:tc>
          <w:tcPr>
            <w:tcW w:type="dxa" w:w="2041"/>
            <w:vAlign w:val="top"/>
          </w:tcPr>
          <w:p>
            <w:pPr>
              <w:spacing w:after="20" w:line="252" w:lineRule="auto"/>
            </w:pPr>
            <w:r>
              <w:rPr>
                <w:b w:val="0"/>
                <w:i w:val="0"/>
                <w:sz w:val="17"/>
              </w:rPr>
              <w:t>L1, L2</w:t>
            </w:r>
          </w:p>
        </w:tc>
      </w:tr>
      <w:tr>
        <w:trPr>
          <w:cantSplit/>
        </w:trPr>
        <w:tc>
          <w:tcPr>
            <w:tcW w:type="dxa" w:w="1361"/>
            <w:vAlign w:val="top"/>
            <w:shd w:val="clear" w:color="auto" w:fill="FDF0F7"/>
          </w:tcPr>
          <w:p>
            <w:pPr>
              <w:spacing w:after="20" w:line="252" w:lineRule="auto"/>
            </w:pPr>
            <w:r>
              <w:rPr>
                <w:b/>
                <w:i w:val="0"/>
                <w:sz w:val="17"/>
              </w:rPr>
              <w:t>Close</w:t>
            </w:r>
          </w:p>
        </w:tc>
        <w:tc>
          <w:tcPr>
            <w:tcW w:type="dxa" w:w="6236"/>
            <w:vAlign w:val="top"/>
            <w:shd w:val="clear" w:color="auto" w:fill="FDF0F7"/>
          </w:tcPr>
          <w:p>
            <w:pPr>
              <w:spacing w:after="20" w:line="252" w:lineRule="auto"/>
            </w:pPr>
            <w:r>
              <w:rPr>
                <w:b w:val="0"/>
                <w:i w:val="0"/>
                <w:sz w:val="17"/>
              </w:rPr>
              <w:t>IIFT confirms closure; P1 and P2 open a problem record</w:t>
            </w:r>
          </w:p>
        </w:tc>
        <w:tc>
          <w:tcPr>
            <w:tcW w:type="dxa" w:w="2041"/>
            <w:vAlign w:val="top"/>
            <w:shd w:val="clear" w:color="auto" w:fill="FDF0F7"/>
          </w:tcPr>
          <w:p>
            <w:pPr>
              <w:spacing w:after="20" w:line="252" w:lineRule="auto"/>
            </w:pPr>
            <w:r>
              <w:rPr>
                <w:b w:val="0"/>
                <w:i w:val="0"/>
                <w:sz w:val="17"/>
              </w:rPr>
              <w:t>L1</w:t>
            </w:r>
          </w:p>
        </w:tc>
      </w:tr>
    </w:tbl>
    <w:p>
      <w:pPr>
        <w:pStyle w:val="Caption"/>
        <w:jc w:val="center"/>
      </w:pPr>
      <w:r>
        <w:rPr>
          <w:b w:val="0"/>
          <w:i w:val="0"/>
        </w:rPr>
        <w:t>Table 6: Incident steps (MNT-02)</w:t>
      </w:r>
    </w:p>
    <w:p>
      <w:pPr>
        <w:pStyle w:val="Heading2"/>
      </w:pPr>
      <w:r>
        <w:t>4.1 P1 procedure</w:t>
      </w:r>
    </w:p>
    <w:p>
      <w:pPr>
        <w:pStyle w:val="ListNumber"/>
      </w:pPr>
      <w:r>
        <w:rPr>
          <w:b w:val="0"/>
          <w:i w:val="0"/>
        </w:rPr>
        <w:t>Call the on-call engineer; log the ticket; the engineer acknowledges within 30 minutes.</w:t>
      </w:r>
    </w:p>
    <w:p>
      <w:pPr>
        <w:pStyle w:val="ListNumber"/>
      </w:pPr>
      <w:r>
        <w:rPr>
          <w:b w:val="0"/>
          <w:i w:val="0"/>
        </w:rPr>
        <w:t>Open a bridge call with the IIFT application owner and, if needed, IITH infrastructure.</w:t>
      </w:r>
    </w:p>
    <w:p>
      <w:pPr>
        <w:pStyle w:val="ListNumber"/>
      </w:pPr>
      <w:r>
        <w:rPr>
          <w:b w:val="0"/>
          <w:i w:val="0"/>
        </w:rPr>
        <w:t>Send a first update to the IIFT contact list within 30 minutes, then every 30 minutes until service is restored: impact, actions, next update time.</w:t>
      </w:r>
    </w:p>
    <w:p>
      <w:pPr>
        <w:pStyle w:val="ListNumber"/>
      </w:pPr>
      <w:r>
        <w:rPr>
          <w:b w:val="0"/>
          <w:i w:val="0"/>
        </w:rPr>
        <w:t>Restore service by the fastest safe route (restart, rollback, failover, workaround). Record every action with its time on the ticket.</w:t>
      </w:r>
    </w:p>
    <w:p>
      <w:pPr>
        <w:pStyle w:val="ListNumber"/>
      </w:pPr>
      <w:r>
        <w:rPr>
          <w:b w:val="0"/>
          <w:i w:val="0"/>
        </w:rPr>
        <w:t>Confirm restoration with users; keep monitoring for at least one hour.</w:t>
      </w:r>
    </w:p>
    <w:p>
      <w:pPr>
        <w:pStyle w:val="ListNumber"/>
      </w:pPr>
      <w:r>
        <w:rPr>
          <w:b w:val="0"/>
          <w:i w:val="0"/>
        </w:rPr>
        <w:t>Issue a short incident summary within 1 business day and a root-cause report within 5 business days.</w:t>
      </w:r>
    </w:p>
    <w:p>
      <w:pPr>
        <w:pStyle w:val="Heading1"/>
        <w:pageBreakBefore w:val="0"/>
        <w:pBdr>
          <w:bottom w:val="single" w:sz="12" w:space="4" w:color="F58220"/>
        </w:pBdr>
      </w:pPr>
      <w:r>
        <w:t>5. Problem Management</w:t>
      </w:r>
    </w:p>
    <w:p>
      <w:pPr>
        <w:keepNext/>
        <w:spacing w:after="0"/>
        <w:jc w:val="center"/>
      </w:pPr>
      <w:r>
        <w:drawing>
          <wp:inline xmlns:a="http://schemas.openxmlformats.org/drawingml/2006/main" xmlns:pic="http://schemas.openxmlformats.org/drawingml/2006/picture">
            <wp:extent cx="5760000" cy="1686857"/>
            <wp:docPr id="6" name="Picture 6"/>
            <wp:cNvGraphicFramePr>
              <a:graphicFrameLocks noChangeAspect="1"/>
            </wp:cNvGraphicFramePr>
            <a:graphic>
              <a:graphicData uri="http://schemas.openxmlformats.org/drawingml/2006/picture">
                <pic:pic>
                  <pic:nvPicPr>
                    <pic:cNvPr id="0" name="tech-problem.png"/>
                    <pic:cNvPicPr/>
                  </pic:nvPicPr>
                  <pic:blipFill>
                    <a:blip r:embed="rId16"/>
                    <a:stretch>
                      <a:fillRect/>
                    </a:stretch>
                  </pic:blipFill>
                  <pic:spPr>
                    <a:xfrm>
                      <a:off x="0" y="0"/>
                      <a:ext cx="5760000" cy="1686857"/>
                    </a:xfrm>
                    <a:prstGeom prst="rect"/>
                  </pic:spPr>
                </pic:pic>
              </a:graphicData>
            </a:graphic>
          </wp:inline>
        </w:drawing>
      </w:r>
    </w:p>
    <w:p>
      <w:pPr>
        <w:pStyle w:val="Caption"/>
        <w:jc w:val="center"/>
      </w:pPr>
      <w:r>
        <w:rPr>
          <w:b w:val="0"/>
          <w:i w:val="0"/>
        </w:rPr>
        <w:t>Figure 3: Problem process</w:t>
      </w:r>
    </w:p>
    <w:p>
      <w:pPr>
        <w:keepNext w:val="0"/>
      </w:pPr>
      <w:r>
        <w:rPr>
          <w:b w:val="0"/>
          <w:i w:val="0"/>
        </w:rPr>
        <w:t>A problem record is opened for every P1 and P2, for recurring incidents (three or more with the same symptom in a month) and for trends seen in monitoring (MNT-03). The root-cause report contains: summary and impact; timeline; root cause; why it was not detected earlier; corrective actions with owner and date; preventive actions. Known errors with their workaround are published to the helpdesk until the fix is released.</w:t>
      </w:r>
    </w:p>
    <w:p>
      <w:pPr>
        <w:pStyle w:val="Heading1"/>
        <w:pageBreakBefore/>
        <w:pBdr>
          <w:bottom w:val="single" w:sz="12" w:space="4" w:color="F58220"/>
        </w:pBdr>
      </w:pPr>
      <w:r>
        <w:t>6. Change Management</w:t>
      </w:r>
    </w:p>
    <w:p>
      <w:pPr>
        <w:keepNext/>
        <w:spacing w:after="0"/>
        <w:jc w:val="center"/>
      </w:pPr>
      <w:r>
        <w:drawing>
          <wp:inline xmlns:a="http://schemas.openxmlformats.org/drawingml/2006/main" xmlns:pic="http://schemas.openxmlformats.org/drawingml/2006/picture">
            <wp:extent cx="5760000" cy="2550857"/>
            <wp:docPr id="7" name="Picture 7"/>
            <wp:cNvGraphicFramePr>
              <a:graphicFrameLocks noChangeAspect="1"/>
            </wp:cNvGraphicFramePr>
            <a:graphic>
              <a:graphicData uri="http://schemas.openxmlformats.org/drawingml/2006/picture">
                <pic:pic>
                  <pic:nvPicPr>
                    <pic:cNvPr id="0" name="tech-change.png"/>
                    <pic:cNvPicPr/>
                  </pic:nvPicPr>
                  <pic:blipFill>
                    <a:blip r:embed="rId17"/>
                    <a:stretch>
                      <a:fillRect/>
                    </a:stretch>
                  </pic:blipFill>
                  <pic:spPr>
                    <a:xfrm>
                      <a:off x="0" y="0"/>
                      <a:ext cx="5760000" cy="2550857"/>
                    </a:xfrm>
                    <a:prstGeom prst="rect"/>
                  </pic:spPr>
                </pic:pic>
              </a:graphicData>
            </a:graphic>
          </wp:inline>
        </w:drawing>
      </w:r>
    </w:p>
    <w:p>
      <w:pPr>
        <w:pStyle w:val="Caption"/>
        <w:jc w:val="center"/>
      </w:pPr>
      <w:r>
        <w:rPr>
          <w:b w:val="0"/>
          <w:i w:val="0"/>
        </w:rPr>
        <w:t>Figure 4: Change process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3628"/>
        <w:gridCol w:w="3061"/>
        <w:gridCol w:w="1587"/>
      </w:tblGrid>
      <w:tr>
        <w:trPr>
          <w:cantSplit/>
          <w:tblHeader/>
        </w:trPr>
        <w:tc>
          <w:tcPr>
            <w:tcW w:type="dxa" w:w="1361"/>
            <w:shd w:val="clear" w:color="auto" w:fill="E1058C"/>
            <w:vAlign w:val="center"/>
          </w:tcPr>
          <w:p>
            <w:pPr>
              <w:spacing w:after="0"/>
            </w:pPr>
            <w:r>
              <w:rPr>
                <w:b/>
                <w:i w:val="0"/>
                <w:color w:val="FFFFFF"/>
                <w:sz w:val="16"/>
              </w:rPr>
              <w:t>Type</w:t>
            </w:r>
          </w:p>
        </w:tc>
        <w:tc>
          <w:tcPr>
            <w:tcW w:type="dxa" w:w="3628"/>
            <w:shd w:val="clear" w:color="auto" w:fill="E1058C"/>
            <w:vAlign w:val="center"/>
          </w:tcPr>
          <w:p>
            <w:pPr>
              <w:spacing w:after="0"/>
            </w:pPr>
            <w:r>
              <w:rPr>
                <w:b/>
                <w:i w:val="0"/>
                <w:color w:val="FFFFFF"/>
                <w:sz w:val="16"/>
              </w:rPr>
              <w:t>Examples</w:t>
            </w:r>
          </w:p>
        </w:tc>
        <w:tc>
          <w:tcPr>
            <w:tcW w:type="dxa" w:w="3061"/>
            <w:shd w:val="clear" w:color="auto" w:fill="E1058C"/>
            <w:vAlign w:val="center"/>
          </w:tcPr>
          <w:p>
            <w:pPr>
              <w:spacing w:after="0"/>
            </w:pPr>
            <w:r>
              <w:rPr>
                <w:b/>
                <w:i w:val="0"/>
                <w:color w:val="FFFFFF"/>
                <w:sz w:val="16"/>
              </w:rPr>
              <w:t>Approval</w:t>
            </w:r>
          </w:p>
        </w:tc>
        <w:tc>
          <w:tcPr>
            <w:tcW w:type="dxa" w:w="1587"/>
            <w:shd w:val="clear" w:color="auto" w:fill="E1058C"/>
            <w:vAlign w:val="center"/>
          </w:tcPr>
          <w:p>
            <w:pPr>
              <w:spacing w:after="0"/>
            </w:pPr>
            <w:r>
              <w:rPr>
                <w:b/>
                <w:i w:val="0"/>
                <w:color w:val="FFFFFF"/>
                <w:sz w:val="16"/>
              </w:rPr>
              <w:t>Lead time</w:t>
            </w:r>
          </w:p>
        </w:tc>
      </w:tr>
      <w:tr>
        <w:trPr>
          <w:cantSplit/>
        </w:trPr>
        <w:tc>
          <w:tcPr>
            <w:tcW w:type="dxa" w:w="1361"/>
            <w:vAlign w:val="top"/>
          </w:tcPr>
          <w:p>
            <w:pPr>
              <w:spacing w:after="20" w:line="252" w:lineRule="auto"/>
            </w:pPr>
            <w:r>
              <w:rPr>
                <w:b/>
                <w:i w:val="0"/>
                <w:sz w:val="16"/>
              </w:rPr>
              <w:t>Standard</w:t>
            </w:r>
          </w:p>
        </w:tc>
        <w:tc>
          <w:tcPr>
            <w:tcW w:type="dxa" w:w="3628"/>
            <w:vAlign w:val="top"/>
          </w:tcPr>
          <w:p>
            <w:pPr>
              <w:spacing w:after="20" w:line="252" w:lineRule="auto"/>
            </w:pPr>
            <w:r>
              <w:rPr>
                <w:b w:val="0"/>
                <w:i w:val="0"/>
                <w:sz w:val="16"/>
              </w:rPr>
              <w:t>Business parameter within range, master data code, user and role administration, report schedule</w:t>
            </w:r>
          </w:p>
        </w:tc>
        <w:tc>
          <w:tcPr>
            <w:tcW w:type="dxa" w:w="3061"/>
            <w:vAlign w:val="top"/>
          </w:tcPr>
          <w:p>
            <w:pPr>
              <w:spacing w:after="20" w:line="252" w:lineRule="auto"/>
            </w:pPr>
            <w:r>
              <w:rPr>
                <w:b w:val="0"/>
                <w:i w:val="0"/>
                <w:sz w:val="16"/>
              </w:rPr>
              <w:t>Pre-approved; done by IIFT administrators in the back-office; audited</w:t>
            </w:r>
          </w:p>
        </w:tc>
        <w:tc>
          <w:tcPr>
            <w:tcW w:type="dxa" w:w="1587"/>
            <w:vAlign w:val="top"/>
          </w:tcPr>
          <w:p>
            <w:pPr>
              <w:spacing w:after="20" w:line="252" w:lineRule="auto"/>
            </w:pPr>
            <w:r>
              <w:rPr>
                <w:b w:val="0"/>
                <w:i w:val="0"/>
                <w:sz w:val="16"/>
              </w:rPr>
              <w:t>None</w:t>
            </w:r>
          </w:p>
        </w:tc>
      </w:tr>
      <w:tr>
        <w:trPr>
          <w:cantSplit/>
        </w:trPr>
        <w:tc>
          <w:tcPr>
            <w:tcW w:type="dxa" w:w="1361"/>
            <w:vAlign w:val="top"/>
            <w:shd w:val="clear" w:color="auto" w:fill="FDF0F7"/>
          </w:tcPr>
          <w:p>
            <w:pPr>
              <w:spacing w:after="20" w:line="252" w:lineRule="auto"/>
            </w:pPr>
            <w:r>
              <w:rPr>
                <w:b/>
                <w:i w:val="0"/>
                <w:sz w:val="16"/>
              </w:rPr>
              <w:t>Normal</w:t>
            </w:r>
          </w:p>
        </w:tc>
        <w:tc>
          <w:tcPr>
            <w:tcW w:type="dxa" w:w="3628"/>
            <w:vAlign w:val="top"/>
            <w:shd w:val="clear" w:color="auto" w:fill="FDF0F7"/>
          </w:tcPr>
          <w:p>
            <w:pPr>
              <w:spacing w:after="20" w:line="252" w:lineRule="auto"/>
            </w:pPr>
            <w:r>
              <w:rPr>
                <w:b w:val="0"/>
                <w:i w:val="0"/>
                <w:sz w:val="16"/>
              </w:rPr>
              <w:t>Release, product rate change, workflow change, infrastructure change, integration change</w:t>
            </w:r>
          </w:p>
        </w:tc>
        <w:tc>
          <w:tcPr>
            <w:tcW w:type="dxa" w:w="3061"/>
            <w:vAlign w:val="top"/>
            <w:shd w:val="clear" w:color="auto" w:fill="FDF0F7"/>
          </w:tcPr>
          <w:p>
            <w:pPr>
              <w:spacing w:after="20" w:line="252" w:lineRule="auto"/>
            </w:pPr>
            <w:r>
              <w:rPr>
                <w:b w:val="0"/>
                <w:i w:val="0"/>
                <w:sz w:val="16"/>
              </w:rPr>
              <w:t>IIFT change approval (CAB) after impact assessment</w:t>
            </w:r>
          </w:p>
        </w:tc>
        <w:tc>
          <w:tcPr>
            <w:tcW w:type="dxa" w:w="1587"/>
            <w:vAlign w:val="top"/>
            <w:shd w:val="clear" w:color="auto" w:fill="FDF0F7"/>
          </w:tcPr>
          <w:p>
            <w:pPr>
              <w:spacing w:after="20" w:line="252" w:lineRule="auto"/>
            </w:pPr>
            <w:r>
              <w:rPr>
                <w:b w:val="0"/>
                <w:i w:val="0"/>
                <w:sz w:val="16"/>
              </w:rPr>
              <w:t>5 business days</w:t>
            </w:r>
          </w:p>
        </w:tc>
      </w:tr>
      <w:tr>
        <w:trPr>
          <w:cantSplit/>
        </w:trPr>
        <w:tc>
          <w:tcPr>
            <w:tcW w:type="dxa" w:w="1361"/>
            <w:vAlign w:val="top"/>
          </w:tcPr>
          <w:p>
            <w:pPr>
              <w:spacing w:after="20" w:line="252" w:lineRule="auto"/>
            </w:pPr>
            <w:r>
              <w:rPr>
                <w:b/>
                <w:i w:val="0"/>
                <w:sz w:val="16"/>
              </w:rPr>
              <w:t>Emergency</w:t>
            </w:r>
          </w:p>
        </w:tc>
        <w:tc>
          <w:tcPr>
            <w:tcW w:type="dxa" w:w="3628"/>
            <w:vAlign w:val="top"/>
          </w:tcPr>
          <w:p>
            <w:pPr>
              <w:spacing w:after="20" w:line="252" w:lineRule="auto"/>
            </w:pPr>
            <w:r>
              <w:rPr>
                <w:b w:val="0"/>
                <w:i w:val="0"/>
                <w:sz w:val="16"/>
              </w:rPr>
              <w:t>Fix for a P1/P2, urgent security patch</w:t>
            </w:r>
          </w:p>
        </w:tc>
        <w:tc>
          <w:tcPr>
            <w:tcW w:type="dxa" w:w="3061"/>
            <w:vAlign w:val="top"/>
          </w:tcPr>
          <w:p>
            <w:pPr>
              <w:spacing w:after="20" w:line="252" w:lineRule="auto"/>
            </w:pPr>
            <w:r>
              <w:rPr>
                <w:b w:val="0"/>
                <w:i w:val="0"/>
                <w:sz w:val="16"/>
              </w:rPr>
              <w:t>IIFT application owner (retrospective CAB review)</w:t>
            </w:r>
          </w:p>
        </w:tc>
        <w:tc>
          <w:tcPr>
            <w:tcW w:type="dxa" w:w="1587"/>
            <w:vAlign w:val="top"/>
          </w:tcPr>
          <w:p>
            <w:pPr>
              <w:spacing w:after="20" w:line="252" w:lineRule="auto"/>
            </w:pPr>
            <w:r>
              <w:rPr>
                <w:b w:val="0"/>
                <w:i w:val="0"/>
                <w:sz w:val="16"/>
              </w:rPr>
              <w:t>As needed</w:t>
            </w:r>
          </w:p>
        </w:tc>
      </w:tr>
    </w:tbl>
    <w:p>
      <w:pPr>
        <w:pStyle w:val="Caption"/>
        <w:jc w:val="center"/>
      </w:pPr>
      <w:r>
        <w:rPr>
          <w:b w:val="0"/>
          <w:i w:val="0"/>
        </w:rPr>
        <w:t>Table 7: Change types</w:t>
      </w:r>
    </w:p>
    <w:p>
      <w:pPr>
        <w:keepNext w:val="0"/>
      </w:pPr>
      <w:r>
        <w:rPr>
          <w:b w:val="0"/>
          <w:i w:val="0"/>
        </w:rPr>
        <w:t>Minor enhancements are delivered from the 60-hour annual pool included in the AMC or subscription; larger changes follow the change request process with impact assessment, quotation at the rate card in the proposal and approval (MNT-23, MNT-24). Data corrections in production are changes: they are scripted, reviewed, run in a transaction, and recorded in the audit trail or the change ticket.</w:t>
      </w:r>
    </w:p>
    <w:p>
      <w:pPr>
        <w:pStyle w:val="Heading1"/>
        <w:pageBreakBefore w:val="0"/>
        <w:pBdr>
          <w:bottom w:val="single" w:sz="12" w:space="4" w:color="F58220"/>
        </w:pBdr>
      </w:pPr>
      <w:r>
        <w:t>7. Release Management</w:t>
      </w:r>
    </w:p>
    <w:p>
      <w:pPr>
        <w:keepNext/>
        <w:spacing w:after="0"/>
        <w:jc w:val="center"/>
      </w:pPr>
      <w:r>
        <w:drawing>
          <wp:inline xmlns:a="http://schemas.openxmlformats.org/drawingml/2006/main" xmlns:pic="http://schemas.openxmlformats.org/drawingml/2006/picture">
            <wp:extent cx="5760000" cy="2550857"/>
            <wp:docPr id="8" name="Picture 8"/>
            <wp:cNvGraphicFramePr>
              <a:graphicFrameLocks noChangeAspect="1"/>
            </wp:cNvGraphicFramePr>
            <a:graphic>
              <a:graphicData uri="http://schemas.openxmlformats.org/drawingml/2006/picture">
                <pic:pic>
                  <pic:nvPicPr>
                    <pic:cNvPr id="0" name="tech-release.png"/>
                    <pic:cNvPicPr/>
                  </pic:nvPicPr>
                  <pic:blipFill>
                    <a:blip r:embed="rId18"/>
                    <a:stretch>
                      <a:fillRect/>
                    </a:stretch>
                  </pic:blipFill>
                  <pic:spPr>
                    <a:xfrm>
                      <a:off x="0" y="0"/>
                      <a:ext cx="5760000" cy="2550857"/>
                    </a:xfrm>
                    <a:prstGeom prst="rect"/>
                  </pic:spPr>
                </pic:pic>
              </a:graphicData>
            </a:graphic>
          </wp:inline>
        </w:drawing>
      </w:r>
    </w:p>
    <w:p>
      <w:pPr>
        <w:pStyle w:val="Caption"/>
        <w:jc w:val="center"/>
      </w:pPr>
      <w:r>
        <w:rPr>
          <w:b w:val="0"/>
          <w:i w:val="0"/>
        </w:rPr>
        <w:t>Figure 5: Release process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5103"/>
        <w:gridCol w:w="2268"/>
      </w:tblGrid>
      <w:tr>
        <w:trPr>
          <w:cantSplit/>
          <w:tblHeader/>
        </w:trPr>
        <w:tc>
          <w:tcPr>
            <w:tcW w:type="dxa" w:w="2268"/>
            <w:shd w:val="clear" w:color="auto" w:fill="E1058C"/>
            <w:vAlign w:val="center"/>
          </w:tcPr>
          <w:p>
            <w:pPr>
              <w:spacing w:after="0"/>
            </w:pPr>
            <w:r>
              <w:rPr>
                <w:b/>
                <w:i w:val="0"/>
                <w:color w:val="FFFFFF"/>
                <w:sz w:val="17"/>
              </w:rPr>
              <w:t>Release type</w:t>
            </w:r>
          </w:p>
        </w:tc>
        <w:tc>
          <w:tcPr>
            <w:tcW w:type="dxa" w:w="5102"/>
            <w:shd w:val="clear" w:color="auto" w:fill="E1058C"/>
            <w:vAlign w:val="center"/>
          </w:tcPr>
          <w:p>
            <w:pPr>
              <w:spacing w:after="0"/>
            </w:pPr>
            <w:r>
              <w:rPr>
                <w:b/>
                <w:i w:val="0"/>
                <w:color w:val="FFFFFF"/>
                <w:sz w:val="17"/>
              </w:rPr>
              <w:t>Content</w:t>
            </w:r>
          </w:p>
        </w:tc>
        <w:tc>
          <w:tcPr>
            <w:tcW w:type="dxa" w:w="2268"/>
            <w:shd w:val="clear" w:color="auto" w:fill="E1058C"/>
            <w:vAlign w:val="center"/>
          </w:tcPr>
          <w:p>
            <w:pPr>
              <w:spacing w:after="0"/>
            </w:pPr>
            <w:r>
              <w:rPr>
                <w:b/>
                <w:i w:val="0"/>
                <w:color w:val="FFFFFF"/>
                <w:sz w:val="17"/>
              </w:rPr>
              <w:t>Cadence</w:t>
            </w:r>
          </w:p>
        </w:tc>
      </w:tr>
      <w:tr>
        <w:trPr>
          <w:cantSplit/>
        </w:trPr>
        <w:tc>
          <w:tcPr>
            <w:tcW w:type="dxa" w:w="2268"/>
            <w:vAlign w:val="top"/>
          </w:tcPr>
          <w:p>
            <w:pPr>
              <w:spacing w:after="20" w:line="252" w:lineRule="auto"/>
            </w:pPr>
            <w:r>
              <w:rPr>
                <w:b/>
                <w:i w:val="0"/>
                <w:sz w:val="17"/>
              </w:rPr>
              <w:t>Emergency fix</w:t>
            </w:r>
          </w:p>
        </w:tc>
        <w:tc>
          <w:tcPr>
            <w:tcW w:type="dxa" w:w="5102"/>
            <w:vAlign w:val="top"/>
          </w:tcPr>
          <w:p>
            <w:pPr>
              <w:spacing w:after="20" w:line="252" w:lineRule="auto"/>
            </w:pPr>
            <w:r>
              <w:rPr>
                <w:b w:val="0"/>
                <w:i w:val="0"/>
                <w:sz w:val="17"/>
              </w:rPr>
              <w:t>P1/P2 defect or urgent security patch</w:t>
            </w:r>
          </w:p>
        </w:tc>
        <w:tc>
          <w:tcPr>
            <w:tcW w:type="dxa" w:w="2268"/>
            <w:vAlign w:val="top"/>
          </w:tcPr>
          <w:p>
            <w:pPr>
              <w:spacing w:after="20" w:line="252" w:lineRule="auto"/>
            </w:pPr>
            <w:r>
              <w:rPr>
                <w:b w:val="0"/>
                <w:i w:val="0"/>
                <w:sz w:val="17"/>
              </w:rPr>
              <w:t>As needed</w:t>
            </w:r>
          </w:p>
        </w:tc>
      </w:tr>
      <w:tr>
        <w:trPr>
          <w:cantSplit/>
        </w:trPr>
        <w:tc>
          <w:tcPr>
            <w:tcW w:type="dxa" w:w="2268"/>
            <w:vAlign w:val="top"/>
            <w:shd w:val="clear" w:color="auto" w:fill="FDF0F7"/>
          </w:tcPr>
          <w:p>
            <w:pPr>
              <w:spacing w:after="20" w:line="252" w:lineRule="auto"/>
            </w:pPr>
            <w:r>
              <w:rPr>
                <w:b/>
                <w:i w:val="0"/>
                <w:sz w:val="17"/>
              </w:rPr>
              <w:t>Maintenance release</w:t>
            </w:r>
          </w:p>
        </w:tc>
        <w:tc>
          <w:tcPr>
            <w:tcW w:type="dxa" w:w="5102"/>
            <w:vAlign w:val="top"/>
            <w:shd w:val="clear" w:color="auto" w:fill="FDF0F7"/>
          </w:tcPr>
          <w:p>
            <w:pPr>
              <w:spacing w:after="20" w:line="252" w:lineRule="auto"/>
            </w:pPr>
            <w:r>
              <w:rPr>
                <w:b w:val="0"/>
                <w:i w:val="0"/>
                <w:sz w:val="17"/>
              </w:rPr>
              <w:t>Defect fixes, dependency and image patches, minor enhancements</w:t>
            </w:r>
          </w:p>
        </w:tc>
        <w:tc>
          <w:tcPr>
            <w:tcW w:type="dxa" w:w="2268"/>
            <w:vAlign w:val="top"/>
            <w:shd w:val="clear" w:color="auto" w:fill="FDF0F7"/>
          </w:tcPr>
          <w:p>
            <w:pPr>
              <w:spacing w:after="20" w:line="252" w:lineRule="auto"/>
            </w:pPr>
            <w:r>
              <w:rPr>
                <w:b w:val="0"/>
                <w:i w:val="0"/>
                <w:sz w:val="17"/>
              </w:rPr>
              <w:t>Monthly</w:t>
            </w:r>
          </w:p>
        </w:tc>
      </w:tr>
      <w:tr>
        <w:trPr>
          <w:cantSplit/>
        </w:trPr>
        <w:tc>
          <w:tcPr>
            <w:tcW w:type="dxa" w:w="2268"/>
            <w:vAlign w:val="top"/>
          </w:tcPr>
          <w:p>
            <w:pPr>
              <w:spacing w:after="20" w:line="252" w:lineRule="auto"/>
            </w:pPr>
            <w:r>
              <w:rPr>
                <w:b/>
                <w:i w:val="0"/>
                <w:sz w:val="17"/>
              </w:rPr>
              <w:t>Feature release</w:t>
            </w:r>
          </w:p>
        </w:tc>
        <w:tc>
          <w:tcPr>
            <w:tcW w:type="dxa" w:w="5102"/>
            <w:vAlign w:val="top"/>
          </w:tcPr>
          <w:p>
            <w:pPr>
              <w:spacing w:after="20" w:line="252" w:lineRule="auto"/>
            </w:pPr>
            <w:r>
              <w:rPr>
                <w:b w:val="0"/>
                <w:i w:val="0"/>
                <w:sz w:val="17"/>
              </w:rPr>
              <w:t>Change requests</w:t>
            </w:r>
          </w:p>
        </w:tc>
        <w:tc>
          <w:tcPr>
            <w:tcW w:type="dxa" w:w="2268"/>
            <w:vAlign w:val="top"/>
          </w:tcPr>
          <w:p>
            <w:pPr>
              <w:spacing w:after="20" w:line="252" w:lineRule="auto"/>
            </w:pPr>
            <w:r>
              <w:rPr>
                <w:b w:val="0"/>
                <w:i w:val="0"/>
                <w:sz w:val="17"/>
              </w:rPr>
              <w:t>Quarterly or as agreed</w:t>
            </w:r>
          </w:p>
        </w:tc>
      </w:tr>
      <w:tr>
        <w:trPr>
          <w:cantSplit/>
        </w:trPr>
        <w:tc>
          <w:tcPr>
            <w:tcW w:type="dxa" w:w="2268"/>
            <w:vAlign w:val="top"/>
            <w:shd w:val="clear" w:color="auto" w:fill="FDF0F7"/>
          </w:tcPr>
          <w:p>
            <w:pPr>
              <w:spacing w:after="20" w:line="252" w:lineRule="auto"/>
            </w:pPr>
            <w:r>
              <w:rPr>
                <w:b/>
                <w:i w:val="0"/>
                <w:sz w:val="17"/>
              </w:rPr>
              <w:t>Platform upgrade</w:t>
            </w:r>
          </w:p>
        </w:tc>
        <w:tc>
          <w:tcPr>
            <w:tcW w:type="dxa" w:w="5102"/>
            <w:vAlign w:val="top"/>
            <w:shd w:val="clear" w:color="auto" w:fill="FDF0F7"/>
          </w:tcPr>
          <w:p>
            <w:pPr>
              <w:spacing w:after="20" w:line="252" w:lineRule="auto"/>
            </w:pPr>
            <w:r>
              <w:rPr>
                <w:b w:val="0"/>
                <w:i w:val="0"/>
                <w:sz w:val="17"/>
              </w:rPr>
              <w:t>Node.js, PostgreSQL, framework and SalesVerse 2.0 versions</w:t>
            </w:r>
          </w:p>
        </w:tc>
        <w:tc>
          <w:tcPr>
            <w:tcW w:type="dxa" w:w="2268"/>
            <w:vAlign w:val="top"/>
            <w:shd w:val="clear" w:color="auto" w:fill="FDF0F7"/>
          </w:tcPr>
          <w:p>
            <w:pPr>
              <w:spacing w:after="20" w:line="252" w:lineRule="auto"/>
            </w:pPr>
            <w:r>
              <w:rPr>
                <w:b w:val="0"/>
                <w:i w:val="0"/>
                <w:sz w:val="17"/>
              </w:rPr>
              <w:t>Typically yearly</w:t>
            </w:r>
          </w:p>
        </w:tc>
      </w:tr>
    </w:tbl>
    <w:p>
      <w:pPr>
        <w:pStyle w:val="Caption"/>
        <w:jc w:val="center"/>
      </w:pPr>
      <w:r>
        <w:rPr>
          <w:b w:val="0"/>
          <w:i w:val="0"/>
        </w:rPr>
        <w:t>Table 8: Release types (MNT-21, MNT-22)</w:t>
      </w:r>
    </w:p>
    <w:p>
      <w:pPr>
        <w:keepNext w:val="0"/>
      </w:pPr>
      <w:r>
        <w:rPr>
          <w:b w:val="0"/>
          <w:i w:val="0"/>
        </w:rPr>
        <w:t>Every release passes the CI pipeline, is deployed to UAT with the same images that will go to production, and is approved by IIFT before it is deployed in an agreed window. Release notes list changes, migrations, configuration changes, risks and the rollback plan. The deployment itself follows runbook R2; rollback follows R3.</w:t>
      </w:r>
    </w:p>
    <w:p>
      <w:pPr>
        <w:pStyle w:val="Heading1"/>
        <w:pageBreakBefore w:val="0"/>
        <w:pBdr>
          <w:bottom w:val="single" w:sz="12" w:space="4" w:color="F58220"/>
        </w:pBdr>
      </w:pPr>
      <w:r>
        <w:t>8. Escalation Matrix</w:t>
      </w:r>
    </w:p>
    <w:p>
      <w:pPr>
        <w:keepNext w:val="0"/>
      </w:pPr>
      <w:r>
        <w:rPr>
          <w:b w:val="0"/>
          <w:i w:val="0"/>
        </w:rPr>
        <w:t>Names and numbers are completed at mobilisation and checked quarterly.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2154"/>
        <w:gridCol w:w="1474"/>
        <w:gridCol w:w="1701"/>
        <w:gridCol w:w="3628"/>
      </w:tblGrid>
      <w:tr>
        <w:trPr>
          <w:cantSplit/>
          <w:tblHeader/>
        </w:trPr>
        <w:tc>
          <w:tcPr>
            <w:tcW w:type="dxa" w:w="680"/>
            <w:shd w:val="clear" w:color="auto" w:fill="E1058C"/>
            <w:vAlign w:val="center"/>
          </w:tcPr>
          <w:p>
            <w:pPr>
              <w:spacing w:after="0"/>
            </w:pPr>
            <w:r>
              <w:rPr>
                <w:b/>
                <w:i w:val="0"/>
                <w:color w:val="FFFFFF"/>
                <w:sz w:val="16"/>
              </w:rPr>
              <w:t>Level</w:t>
            </w:r>
          </w:p>
        </w:tc>
        <w:tc>
          <w:tcPr>
            <w:tcW w:type="dxa" w:w="2154"/>
            <w:shd w:val="clear" w:color="auto" w:fill="E1058C"/>
            <w:vAlign w:val="center"/>
          </w:tcPr>
          <w:p>
            <w:pPr>
              <w:spacing w:after="0"/>
            </w:pPr>
            <w:r>
              <w:rPr>
                <w:b/>
                <w:i w:val="0"/>
                <w:color w:val="FFFFFF"/>
                <w:sz w:val="16"/>
              </w:rPr>
              <w:t>iorta TechNXT role</w:t>
            </w:r>
          </w:p>
        </w:tc>
        <w:tc>
          <w:tcPr>
            <w:tcW w:type="dxa" w:w="1474"/>
            <w:shd w:val="clear" w:color="auto" w:fill="E1058C"/>
            <w:vAlign w:val="center"/>
          </w:tcPr>
          <w:p>
            <w:pPr>
              <w:spacing w:after="0"/>
            </w:pPr>
            <w:r>
              <w:rPr>
                <w:b/>
                <w:i w:val="0"/>
                <w:color w:val="FFFFFF"/>
                <w:sz w:val="16"/>
              </w:rPr>
              <w:t>Name</w:t>
            </w:r>
          </w:p>
        </w:tc>
        <w:tc>
          <w:tcPr>
            <w:tcW w:type="dxa" w:w="1701"/>
            <w:shd w:val="clear" w:color="auto" w:fill="E1058C"/>
            <w:vAlign w:val="center"/>
          </w:tcPr>
          <w:p>
            <w:pPr>
              <w:spacing w:after="0"/>
            </w:pPr>
            <w:r>
              <w:rPr>
                <w:b/>
                <w:i w:val="0"/>
                <w:color w:val="FFFFFF"/>
                <w:sz w:val="16"/>
              </w:rPr>
              <w:t>Contact</w:t>
            </w:r>
          </w:p>
        </w:tc>
        <w:tc>
          <w:tcPr>
            <w:tcW w:type="dxa" w:w="3628"/>
            <w:shd w:val="clear" w:color="auto" w:fill="E1058C"/>
            <w:vAlign w:val="center"/>
          </w:tcPr>
          <w:p>
            <w:pPr>
              <w:spacing w:after="0"/>
            </w:pPr>
            <w:r>
              <w:rPr>
                <w:b/>
                <w:i w:val="0"/>
                <w:color w:val="FFFFFF"/>
                <w:sz w:val="16"/>
              </w:rPr>
              <w:t>Escalate when</w:t>
            </w:r>
          </w:p>
        </w:tc>
      </w:tr>
      <w:tr>
        <w:trPr>
          <w:cantSplit/>
        </w:trPr>
        <w:tc>
          <w:tcPr>
            <w:tcW w:type="dxa" w:w="680"/>
            <w:vAlign w:val="top"/>
          </w:tcPr>
          <w:p>
            <w:pPr>
              <w:spacing w:after="20" w:line="252" w:lineRule="auto"/>
              <w:jc w:val="center"/>
            </w:pPr>
            <w:r>
              <w:rPr>
                <w:b w:val="0"/>
                <w:i w:val="0"/>
                <w:sz w:val="16"/>
              </w:rPr>
              <w:t>1</w:t>
            </w:r>
          </w:p>
        </w:tc>
        <w:tc>
          <w:tcPr>
            <w:tcW w:type="dxa" w:w="2154"/>
            <w:vAlign w:val="top"/>
          </w:tcPr>
          <w:p>
            <w:pPr>
              <w:spacing w:after="20" w:line="252" w:lineRule="auto"/>
            </w:pPr>
            <w:r>
              <w:rPr>
                <w:b w:val="0"/>
                <w:i w:val="0"/>
                <w:sz w:val="16"/>
              </w:rPr>
              <w:t>Support engineer (on call)</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[Mobile, e-mail]</w:t>
            </w:r>
          </w:p>
        </w:tc>
        <w:tc>
          <w:tcPr>
            <w:tcW w:type="dxa" w:w="3628"/>
            <w:vAlign w:val="top"/>
          </w:tcPr>
          <w:p>
            <w:pPr>
              <w:spacing w:after="20" w:line="252" w:lineRule="auto"/>
            </w:pPr>
            <w:r>
              <w:rPr>
                <w:b w:val="0"/>
                <w:i w:val="0"/>
                <w:sz w:val="16"/>
              </w:rPr>
              <w:t>On logging; P1 by telephone immediately</w:t>
            </w:r>
          </w:p>
        </w:tc>
      </w:tr>
      <w:tr>
        <w:trPr>
          <w:cantSplit/>
        </w:trPr>
        <w:tc>
          <w:tcPr>
            <w:tcW w:type="dxa" w:w="680"/>
            <w:vAlign w:val="top"/>
            <w:shd w:val="clear" w:color="auto" w:fill="FDF0F7"/>
          </w:tcPr>
          <w:p>
            <w:pPr>
              <w:spacing w:after="20" w:line="252" w:lineRule="auto"/>
              <w:jc w:val="center"/>
            </w:pPr>
            <w:r>
              <w:rPr>
                <w:b w:val="0"/>
                <w:i w:val="0"/>
                <w:sz w:val="16"/>
              </w:rPr>
              <w:t>2</w:t>
            </w:r>
          </w:p>
        </w:tc>
        <w:tc>
          <w:tcPr>
            <w:tcW w:type="dxa" w:w="2154"/>
            <w:vAlign w:val="top"/>
            <w:shd w:val="clear" w:color="auto" w:fill="FDF0F7"/>
          </w:tcPr>
          <w:p>
            <w:pPr>
              <w:spacing w:after="20" w:line="252" w:lineRule="auto"/>
            </w:pPr>
            <w:r>
              <w:rPr>
                <w:b w:val="0"/>
                <w:i w:val="0"/>
                <w:sz w:val="16"/>
              </w:rPr>
              <w:t>Support lead</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[Mobile, e-mail]</w:t>
            </w:r>
          </w:p>
        </w:tc>
        <w:tc>
          <w:tcPr>
            <w:tcW w:type="dxa" w:w="3628"/>
            <w:vAlign w:val="top"/>
            <w:shd w:val="clear" w:color="auto" w:fill="FDF0F7"/>
          </w:tcPr>
          <w:p>
            <w:pPr>
              <w:spacing w:after="20" w:line="252" w:lineRule="auto"/>
            </w:pPr>
            <w:r>
              <w:rPr>
                <w:b w:val="0"/>
                <w:i w:val="0"/>
                <w:sz w:val="16"/>
              </w:rPr>
              <w:t>P1 not restored in 1 hour; P2 not responded in 2 hours</w:t>
            </w:r>
          </w:p>
        </w:tc>
      </w:tr>
      <w:tr>
        <w:trPr>
          <w:cantSplit/>
        </w:trPr>
        <w:tc>
          <w:tcPr>
            <w:tcW w:type="dxa" w:w="680"/>
            <w:vAlign w:val="top"/>
          </w:tcPr>
          <w:p>
            <w:pPr>
              <w:spacing w:after="20" w:line="252" w:lineRule="auto"/>
              <w:jc w:val="center"/>
            </w:pPr>
            <w:r>
              <w:rPr>
                <w:b w:val="0"/>
                <w:i w:val="0"/>
                <w:sz w:val="16"/>
              </w:rPr>
              <w:t>3</w:t>
            </w:r>
          </w:p>
        </w:tc>
        <w:tc>
          <w:tcPr>
            <w:tcW w:type="dxa" w:w="2154"/>
            <w:vAlign w:val="top"/>
          </w:tcPr>
          <w:p>
            <w:pPr>
              <w:spacing w:after="20" w:line="252" w:lineRule="auto"/>
            </w:pPr>
            <w:r>
              <w:rPr>
                <w:b w:val="0"/>
                <w:i w:val="0"/>
                <w:sz w:val="16"/>
              </w:rPr>
              <w:t>Engineering lead</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[Mobile, e-mail]</w:t>
            </w:r>
          </w:p>
        </w:tc>
        <w:tc>
          <w:tcPr>
            <w:tcW w:type="dxa" w:w="3628"/>
            <w:vAlign w:val="top"/>
          </w:tcPr>
          <w:p>
            <w:pPr>
              <w:spacing w:after="20" w:line="252" w:lineRule="auto"/>
            </w:pPr>
            <w:r>
              <w:rPr>
                <w:b w:val="0"/>
                <w:i w:val="0"/>
                <w:sz w:val="16"/>
              </w:rPr>
              <w:t>P1 not restored in 2 hours; P2 not resolved in 1 business day</w:t>
            </w:r>
          </w:p>
        </w:tc>
      </w:tr>
      <w:tr>
        <w:trPr>
          <w:cantSplit/>
        </w:trPr>
        <w:tc>
          <w:tcPr>
            <w:tcW w:type="dxa" w:w="680"/>
            <w:vAlign w:val="top"/>
            <w:shd w:val="clear" w:color="auto" w:fill="FDF0F7"/>
          </w:tcPr>
          <w:p>
            <w:pPr>
              <w:spacing w:after="20" w:line="252" w:lineRule="auto"/>
              <w:jc w:val="center"/>
            </w:pPr>
            <w:r>
              <w:rPr>
                <w:b w:val="0"/>
                <w:i w:val="0"/>
                <w:sz w:val="16"/>
              </w:rPr>
              <w:t>4</w:t>
            </w:r>
          </w:p>
        </w:tc>
        <w:tc>
          <w:tcPr>
            <w:tcW w:type="dxa" w:w="2154"/>
            <w:vAlign w:val="top"/>
            <w:shd w:val="clear" w:color="auto" w:fill="FDF0F7"/>
          </w:tcPr>
          <w:p>
            <w:pPr>
              <w:spacing w:after="20" w:line="252" w:lineRule="auto"/>
            </w:pPr>
            <w:r>
              <w:rPr>
                <w:b w:val="0"/>
                <w:i w:val="0"/>
                <w:sz w:val="16"/>
              </w:rPr>
              <w:t>Account / project director</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[Mobile, e-mail]</w:t>
            </w:r>
          </w:p>
        </w:tc>
        <w:tc>
          <w:tcPr>
            <w:tcW w:type="dxa" w:w="3628"/>
            <w:vAlign w:val="top"/>
            <w:shd w:val="clear" w:color="auto" w:fill="FDF0F7"/>
          </w:tcPr>
          <w:p>
            <w:pPr>
              <w:spacing w:after="20" w:line="252" w:lineRule="auto"/>
            </w:pPr>
            <w:r>
              <w:rPr>
                <w:b w:val="0"/>
                <w:i w:val="0"/>
                <w:sz w:val="16"/>
              </w:rPr>
              <w:t>P1 not restored in 4 hours; repeated SLA breach</w:t>
            </w:r>
          </w:p>
        </w:tc>
      </w:tr>
    </w:tbl>
    <w:p>
      <w:pPr>
        <w:pStyle w:val="Caption"/>
        <w:jc w:val="center"/>
      </w:pPr>
      <w:r>
        <w:rPr>
          <w:b w:val="0"/>
          <w:i w:val="0"/>
        </w:rPr>
        <w:t>Table 9: iorta escalation (COM-15)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2154"/>
        <w:gridCol w:w="1474"/>
        <w:gridCol w:w="1701"/>
        <w:gridCol w:w="3628"/>
      </w:tblGrid>
      <w:tr>
        <w:trPr>
          <w:cantSplit/>
          <w:tblHeader/>
        </w:trPr>
        <w:tc>
          <w:tcPr>
            <w:tcW w:type="dxa" w:w="680"/>
            <w:shd w:val="clear" w:color="auto" w:fill="E1058C"/>
            <w:vAlign w:val="center"/>
          </w:tcPr>
          <w:p>
            <w:pPr>
              <w:spacing w:after="0"/>
            </w:pPr>
            <w:r>
              <w:rPr>
                <w:b/>
                <w:i w:val="0"/>
                <w:color w:val="FFFFFF"/>
                <w:sz w:val="16"/>
              </w:rPr>
              <w:t>Level</w:t>
            </w:r>
          </w:p>
        </w:tc>
        <w:tc>
          <w:tcPr>
            <w:tcW w:type="dxa" w:w="2154"/>
            <w:shd w:val="clear" w:color="auto" w:fill="E1058C"/>
            <w:vAlign w:val="center"/>
          </w:tcPr>
          <w:p>
            <w:pPr>
              <w:spacing w:after="0"/>
            </w:pPr>
            <w:r>
              <w:rPr>
                <w:b/>
                <w:i w:val="0"/>
                <w:color w:val="FFFFFF"/>
                <w:sz w:val="16"/>
              </w:rPr>
              <w:t>IIFT / IITH role</w:t>
            </w:r>
          </w:p>
        </w:tc>
        <w:tc>
          <w:tcPr>
            <w:tcW w:type="dxa" w:w="1474"/>
            <w:shd w:val="clear" w:color="auto" w:fill="E1058C"/>
            <w:vAlign w:val="center"/>
          </w:tcPr>
          <w:p>
            <w:pPr>
              <w:spacing w:after="0"/>
            </w:pPr>
            <w:r>
              <w:rPr>
                <w:b/>
                <w:i w:val="0"/>
                <w:color w:val="FFFFFF"/>
                <w:sz w:val="16"/>
              </w:rPr>
              <w:t>Name</w:t>
            </w:r>
          </w:p>
        </w:tc>
        <w:tc>
          <w:tcPr>
            <w:tcW w:type="dxa" w:w="1701"/>
            <w:shd w:val="clear" w:color="auto" w:fill="E1058C"/>
            <w:vAlign w:val="center"/>
          </w:tcPr>
          <w:p>
            <w:pPr>
              <w:spacing w:after="0"/>
            </w:pPr>
            <w:r>
              <w:rPr>
                <w:b/>
                <w:i w:val="0"/>
                <w:color w:val="FFFFFF"/>
                <w:sz w:val="16"/>
              </w:rPr>
              <w:t>Contact</w:t>
            </w:r>
          </w:p>
        </w:tc>
        <w:tc>
          <w:tcPr>
            <w:tcW w:type="dxa" w:w="3628"/>
            <w:shd w:val="clear" w:color="auto" w:fill="E1058C"/>
            <w:vAlign w:val="center"/>
          </w:tcPr>
          <w:p>
            <w:pPr>
              <w:spacing w:after="0"/>
            </w:pPr>
            <w:r>
              <w:rPr>
                <w:b/>
                <w:i w:val="0"/>
                <w:color w:val="FFFFFF"/>
                <w:sz w:val="16"/>
              </w:rPr>
              <w:t>Involved for</w:t>
            </w:r>
          </w:p>
        </w:tc>
      </w:tr>
      <w:tr>
        <w:trPr>
          <w:cantSplit/>
        </w:trPr>
        <w:tc>
          <w:tcPr>
            <w:tcW w:type="dxa" w:w="680"/>
            <w:vAlign w:val="top"/>
          </w:tcPr>
          <w:p>
            <w:pPr>
              <w:spacing w:after="20" w:line="252" w:lineRule="auto"/>
              <w:jc w:val="center"/>
            </w:pPr>
            <w:r>
              <w:rPr>
                <w:b w:val="0"/>
                <w:i w:val="0"/>
                <w:sz w:val="16"/>
              </w:rPr>
              <w:t>1</w:t>
            </w:r>
          </w:p>
        </w:tc>
        <w:tc>
          <w:tcPr>
            <w:tcW w:type="dxa" w:w="2154"/>
            <w:vAlign w:val="top"/>
          </w:tcPr>
          <w:p>
            <w:pPr>
              <w:spacing w:after="20" w:line="252" w:lineRule="auto"/>
            </w:pPr>
            <w:r>
              <w:rPr>
                <w:b w:val="0"/>
                <w:i w:val="0"/>
                <w:sz w:val="16"/>
              </w:rPr>
              <w:t>IIFT helpdesk</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[Phone, e-mail]</w:t>
            </w:r>
          </w:p>
        </w:tc>
        <w:tc>
          <w:tcPr>
            <w:tcW w:type="dxa" w:w="3628"/>
            <w:vAlign w:val="top"/>
          </w:tcPr>
          <w:p>
            <w:pPr>
              <w:spacing w:after="20" w:line="252" w:lineRule="auto"/>
            </w:pPr>
            <w:r>
              <w:rPr>
                <w:b w:val="0"/>
                <w:i w:val="0"/>
                <w:sz w:val="16"/>
              </w:rPr>
              <w:t>First contact for users</w:t>
            </w:r>
          </w:p>
        </w:tc>
      </w:tr>
      <w:tr>
        <w:trPr>
          <w:cantSplit/>
        </w:trPr>
        <w:tc>
          <w:tcPr>
            <w:tcW w:type="dxa" w:w="680"/>
            <w:vAlign w:val="top"/>
            <w:shd w:val="clear" w:color="auto" w:fill="FDF0F7"/>
          </w:tcPr>
          <w:p>
            <w:pPr>
              <w:spacing w:after="20" w:line="252" w:lineRule="auto"/>
              <w:jc w:val="center"/>
            </w:pPr>
            <w:r>
              <w:rPr>
                <w:b w:val="0"/>
                <w:i w:val="0"/>
                <w:sz w:val="16"/>
              </w:rPr>
              <w:t>2</w:t>
            </w:r>
          </w:p>
        </w:tc>
        <w:tc>
          <w:tcPr>
            <w:tcW w:type="dxa" w:w="2154"/>
            <w:vAlign w:val="top"/>
            <w:shd w:val="clear" w:color="auto" w:fill="FDF0F7"/>
          </w:tcPr>
          <w:p>
            <w:pPr>
              <w:spacing w:after="20" w:line="252" w:lineRule="auto"/>
            </w:pPr>
            <w:r>
              <w:rPr>
                <w:b w:val="0"/>
                <w:i w:val="0"/>
                <w:sz w:val="16"/>
              </w:rPr>
              <w:t>IIFT IT application owner</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[Phone, e-mail]</w:t>
            </w:r>
          </w:p>
        </w:tc>
        <w:tc>
          <w:tcPr>
            <w:tcW w:type="dxa" w:w="3628"/>
            <w:vAlign w:val="top"/>
            <w:shd w:val="clear" w:color="auto" w:fill="FDF0F7"/>
          </w:tcPr>
          <w:p>
            <w:pPr>
              <w:spacing w:after="20" w:line="252" w:lineRule="auto"/>
            </w:pPr>
            <w:r>
              <w:rPr>
                <w:b w:val="0"/>
                <w:i w:val="0"/>
                <w:sz w:val="16"/>
              </w:rPr>
              <w:t>P1/P2 decisions, change approval</w:t>
            </w:r>
          </w:p>
        </w:tc>
      </w:tr>
      <w:tr>
        <w:trPr>
          <w:cantSplit/>
        </w:trPr>
        <w:tc>
          <w:tcPr>
            <w:tcW w:type="dxa" w:w="680"/>
            <w:vAlign w:val="top"/>
          </w:tcPr>
          <w:p>
            <w:pPr>
              <w:spacing w:after="20" w:line="252" w:lineRule="auto"/>
              <w:jc w:val="center"/>
            </w:pPr>
            <w:r>
              <w:rPr>
                <w:b w:val="0"/>
                <w:i w:val="0"/>
                <w:sz w:val="16"/>
              </w:rPr>
              <w:t>3</w:t>
            </w:r>
          </w:p>
        </w:tc>
        <w:tc>
          <w:tcPr>
            <w:tcW w:type="dxa" w:w="2154"/>
            <w:vAlign w:val="top"/>
          </w:tcPr>
          <w:p>
            <w:pPr>
              <w:spacing w:after="20" w:line="252" w:lineRule="auto"/>
            </w:pPr>
            <w:r>
              <w:rPr>
                <w:b w:val="0"/>
                <w:i w:val="0"/>
                <w:sz w:val="16"/>
              </w:rPr>
              <w:t>IITH infrastructure on-call</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[Phone, e-mail]</w:t>
            </w:r>
          </w:p>
        </w:tc>
        <w:tc>
          <w:tcPr>
            <w:tcW w:type="dxa" w:w="3628"/>
            <w:vAlign w:val="top"/>
          </w:tcPr>
          <w:p>
            <w:pPr>
              <w:spacing w:after="20" w:line="252" w:lineRule="auto"/>
            </w:pPr>
            <w:r>
              <w:rPr>
                <w:b w:val="0"/>
                <w:i w:val="0"/>
                <w:sz w:val="16"/>
              </w:rPr>
              <w:t>Server, network, database host, DR</w:t>
            </w:r>
          </w:p>
        </w:tc>
      </w:tr>
      <w:tr>
        <w:trPr>
          <w:cantSplit/>
        </w:trPr>
        <w:tc>
          <w:tcPr>
            <w:tcW w:type="dxa" w:w="680"/>
            <w:vAlign w:val="top"/>
            <w:shd w:val="clear" w:color="auto" w:fill="FDF0F7"/>
          </w:tcPr>
          <w:p>
            <w:pPr>
              <w:spacing w:after="20" w:line="252" w:lineRule="auto"/>
              <w:jc w:val="center"/>
            </w:pPr>
            <w:r>
              <w:rPr>
                <w:b w:val="0"/>
                <w:i w:val="0"/>
                <w:sz w:val="16"/>
              </w:rPr>
              <w:t>4</w:t>
            </w:r>
          </w:p>
        </w:tc>
        <w:tc>
          <w:tcPr>
            <w:tcW w:type="dxa" w:w="2154"/>
            <w:vAlign w:val="top"/>
            <w:shd w:val="clear" w:color="auto" w:fill="FDF0F7"/>
          </w:tcPr>
          <w:p>
            <w:pPr>
              <w:spacing w:after="20" w:line="252" w:lineRule="auto"/>
            </w:pPr>
            <w:r>
              <w:rPr>
                <w:b w:val="0"/>
                <w:i w:val="0"/>
                <w:sz w:val="16"/>
              </w:rPr>
              <w:t>IIFT Head of IT / business owner</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[Phone, e-mail]</w:t>
            </w:r>
          </w:p>
        </w:tc>
        <w:tc>
          <w:tcPr>
            <w:tcW w:type="dxa" w:w="3628"/>
            <w:vAlign w:val="top"/>
            <w:shd w:val="clear" w:color="auto" w:fill="FDF0F7"/>
          </w:tcPr>
          <w:p>
            <w:pPr>
              <w:spacing w:after="20" w:line="252" w:lineRule="auto"/>
            </w:pPr>
            <w:r>
              <w:rPr>
                <w:b w:val="0"/>
                <w:i w:val="0"/>
                <w:sz w:val="16"/>
              </w:rPr>
              <w:t>Business impact, external communication</w:t>
            </w:r>
          </w:p>
        </w:tc>
      </w:tr>
    </w:tbl>
    <w:p>
      <w:pPr>
        <w:pStyle w:val="Caption"/>
        <w:jc w:val="center"/>
      </w:pPr>
      <w:r>
        <w:rPr>
          <w:b w:val="0"/>
          <w:i w:val="0"/>
        </w:rPr>
        <w:t>Table 10: IIFT and IITH contacts</w:t>
      </w:r>
    </w:p>
    <w:p>
      <w:pPr>
        <w:pStyle w:val="Heading1"/>
        <w:pageBreakBefore/>
        <w:pBdr>
          <w:bottom w:val="single" w:sz="12" w:space="4" w:color="F58220"/>
        </w:pBdr>
      </w:pPr>
      <w:r>
        <w:t>9. Monitoring and Alerting</w:t>
      </w:r>
    </w:p>
    <w:p>
      <w:pPr>
        <w:pStyle w:val="Heading2"/>
      </w:pPr>
      <w:r>
        <w:t>9.1 Health endpoints and metrics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5103"/>
        <w:gridCol w:w="2608"/>
      </w:tblGrid>
      <w:tr>
        <w:trPr>
          <w:cantSplit/>
          <w:tblHeader/>
        </w:trPr>
        <w:tc>
          <w:tcPr>
            <w:tcW w:type="dxa" w:w="1928"/>
            <w:shd w:val="clear" w:color="auto" w:fill="E1058C"/>
            <w:vAlign w:val="center"/>
          </w:tcPr>
          <w:p>
            <w:pPr>
              <w:spacing w:after="0"/>
            </w:pPr>
            <w:r>
              <w:rPr>
                <w:b/>
                <w:i w:val="0"/>
                <w:color w:val="FFFFFF"/>
                <w:sz w:val="17"/>
              </w:rPr>
              <w:t>Endpoint</w:t>
            </w:r>
          </w:p>
        </w:tc>
        <w:tc>
          <w:tcPr>
            <w:tcW w:type="dxa" w:w="5102"/>
            <w:shd w:val="clear" w:color="auto" w:fill="E1058C"/>
            <w:vAlign w:val="center"/>
          </w:tcPr>
          <w:p>
            <w:pPr>
              <w:spacing w:after="0"/>
            </w:pPr>
            <w:r>
              <w:rPr>
                <w:b/>
                <w:i w:val="0"/>
                <w:color w:val="FFFFFF"/>
                <w:sz w:val="17"/>
              </w:rPr>
              <w:t>Returns</w:t>
            </w:r>
          </w:p>
        </w:tc>
        <w:tc>
          <w:tcPr>
            <w:tcW w:type="dxa" w:w="2608"/>
            <w:shd w:val="clear" w:color="auto" w:fill="E1058C"/>
            <w:vAlign w:val="center"/>
          </w:tcPr>
          <w:p>
            <w:pPr>
              <w:spacing w:after="0"/>
            </w:pPr>
            <w:r>
              <w:rPr>
                <w:b/>
                <w:i w:val="0"/>
                <w:color w:val="FFFFFF"/>
                <w:sz w:val="17"/>
              </w:rPr>
              <w:t>Used by</w:t>
            </w:r>
          </w:p>
        </w:tc>
      </w:tr>
      <w:tr>
        <w:trPr>
          <w:cantSplit/>
        </w:trPr>
        <w:tc>
          <w:tcPr>
            <w:tcW w:type="dxa" w:w="1928"/>
            <w:vAlign w:val="top"/>
          </w:tcPr>
          <w:p>
            <w:pPr>
              <w:spacing w:after="20" w:line="252" w:lineRule="auto"/>
            </w:pPr>
            <w:r>
              <w:rPr>
                <w:b w:val="0"/>
                <w:i w:val="0"/>
                <w:sz w:val="17"/>
              </w:rPr>
              <w:t>GET /health/live</w:t>
            </w:r>
          </w:p>
        </w:tc>
        <w:tc>
          <w:tcPr>
            <w:tcW w:type="dxa" w:w="5102"/>
            <w:vAlign w:val="top"/>
          </w:tcPr>
          <w:p>
            <w:pPr>
              <w:spacing w:after="20" w:line="252" w:lineRule="auto"/>
            </w:pPr>
            <w:r>
              <w:rPr>
                <w:b w:val="0"/>
                <w:i w:val="0"/>
                <w:sz w:val="17"/>
              </w:rPr>
              <w:t>200 {status: ok} while the process runs</w:t>
            </w:r>
          </w:p>
        </w:tc>
        <w:tc>
          <w:tcPr>
            <w:tcW w:type="dxa" w:w="2608"/>
            <w:vAlign w:val="top"/>
          </w:tcPr>
          <w:p>
            <w:pPr>
              <w:spacing w:after="20" w:line="252" w:lineRule="auto"/>
            </w:pPr>
            <w:r>
              <w:rPr>
                <w:b w:val="0"/>
                <w:i w:val="0"/>
                <w:sz w:val="17"/>
              </w:rPr>
              <w:t>Docker, load balancer</w:t>
            </w:r>
          </w:p>
        </w:tc>
      </w:tr>
      <w:tr>
        <w:trPr>
          <w:cantSplit/>
        </w:trPr>
        <w:tc>
          <w:tcPr>
            <w:tcW w:type="dxa" w:w="1928"/>
            <w:vAlign w:val="top"/>
            <w:shd w:val="clear" w:color="auto" w:fill="FDF0F7"/>
          </w:tcPr>
          <w:p>
            <w:pPr>
              <w:spacing w:after="20" w:line="252" w:lineRule="auto"/>
            </w:pPr>
            <w:r>
              <w:rPr>
                <w:b w:val="0"/>
                <w:i w:val="0"/>
                <w:sz w:val="17"/>
              </w:rPr>
              <w:t>GET /health/ready</w:t>
            </w:r>
          </w:p>
        </w:tc>
        <w:tc>
          <w:tcPr>
            <w:tcW w:type="dxa" w:w="5102"/>
            <w:vAlign w:val="top"/>
            <w:shd w:val="clear" w:color="auto" w:fill="FDF0F7"/>
          </w:tcPr>
          <w:p>
            <w:pPr>
              <w:spacing w:after="20" w:line="252" w:lineRule="auto"/>
            </w:pPr>
            <w:r>
              <w:rPr>
                <w:b w:val="0"/>
                <w:i w:val="0"/>
                <w:sz w:val="17"/>
              </w:rPr>
              <w:t>200 {status: ok, database: up}; 503 NOT_READY when PostgreSQL is unreachable</w:t>
            </w:r>
          </w:p>
        </w:tc>
        <w:tc>
          <w:tcPr>
            <w:tcW w:type="dxa" w:w="2608"/>
            <w:vAlign w:val="top"/>
            <w:shd w:val="clear" w:color="auto" w:fill="FDF0F7"/>
          </w:tcPr>
          <w:p>
            <w:pPr>
              <w:spacing w:after="20" w:line="252" w:lineRule="auto"/>
            </w:pPr>
            <w:r>
              <w:rPr>
                <w:b w:val="0"/>
                <w:i w:val="0"/>
                <w:sz w:val="17"/>
              </w:rPr>
              <w:t>Docker HEALTHCHECK every 30 s, load balancer</w:t>
            </w:r>
          </w:p>
        </w:tc>
      </w:tr>
      <w:tr>
        <w:trPr>
          <w:cantSplit/>
        </w:trPr>
        <w:tc>
          <w:tcPr>
            <w:tcW w:type="dxa" w:w="1928"/>
            <w:vAlign w:val="top"/>
          </w:tcPr>
          <w:p>
            <w:pPr>
              <w:spacing w:after="20" w:line="252" w:lineRule="auto"/>
            </w:pPr>
            <w:r>
              <w:rPr>
                <w:b w:val="0"/>
                <w:i w:val="0"/>
                <w:sz w:val="17"/>
              </w:rPr>
              <w:t>GET /metrics</w:t>
            </w:r>
          </w:p>
        </w:tc>
        <w:tc>
          <w:tcPr>
            <w:tcW w:type="dxa" w:w="5102"/>
            <w:vAlign w:val="top"/>
          </w:tcPr>
          <w:p>
            <w:pPr>
              <w:spacing w:after="20" w:line="252" w:lineRule="auto"/>
            </w:pPr>
            <w:r>
              <w:rPr>
                <w:b w:val="0"/>
                <w:i w:val="0"/>
                <w:sz w:val="17"/>
              </w:rPr>
              <w:t>Prometheus text format; process and Node.js metrics prefixed iift_api_; requires 'Authorization: Bearer &lt;METRICS_TOKEN&gt;' when the token is set</w:t>
            </w:r>
          </w:p>
        </w:tc>
        <w:tc>
          <w:tcPr>
            <w:tcW w:type="dxa" w:w="2608"/>
            <w:vAlign w:val="top"/>
          </w:tcPr>
          <w:p>
            <w:pPr>
              <w:spacing w:after="20" w:line="252" w:lineRule="auto"/>
            </w:pPr>
            <w:r>
              <w:rPr>
                <w:b w:val="0"/>
                <w:i w:val="0"/>
                <w:sz w:val="17"/>
              </w:rPr>
              <w:t>Prometheus</w:t>
            </w:r>
          </w:p>
        </w:tc>
      </w:tr>
    </w:tbl>
    <w:p>
      <w:pPr>
        <w:pStyle w:val="Caption"/>
        <w:jc w:val="center"/>
      </w:pPr>
      <w:r>
        <w:rPr>
          <w:b w:val="0"/>
          <w:i w:val="0"/>
        </w:rPr>
        <w:t>Table 11: Health and metrics endpoints</w:t>
      </w:r>
    </w:p>
    <w:p>
      <w:pPr>
        <w:keepNext w:val="0"/>
      </w:pPr>
      <w:r>
        <w:rPr>
          <w:b w:val="0"/>
          <w:i w:val="0"/>
        </w:rPr>
        <w:t>The endpoints are served by the API on port 3000 outside the /api/v1 prefix and are not exposed through nginx. To check from the VM:</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docker compose ps            # STATUS shows (healthy) for api and web</w:t>
            </w:r>
          </w:p>
          <w:p>
            <w:pPr>
              <w:spacing w:after="0" w:line="240" w:lineRule="auto"/>
            </w:pPr>
            <w:r>
              <w:rPr>
                <w:rFonts w:ascii="Courier New" w:hAnsi="Courier New" w:cs="Courier New" w:eastAsia="Courier New"/>
                <w:sz w:val="16"/>
              </w:rPr>
              <w:t>docker compose exec api node -e "fetch('http://127.0.0.1:3000/health/ready').then(async r =&gt; console.log(r.status, await r.text()))"</w:t>
            </w:r>
          </w:p>
        </w:tc>
      </w:tr>
    </w:tbl>
    <w:p>
      <w:pPr>
        <w:spacing w:after="0" w:before="0"/>
      </w:pPr>
      <w:r>
        <w:rPr>
          <w:sz w:val="8"/>
        </w:rPr>
      </w:r>
    </w:p>
    <w:p>
      <w:pPr>
        <w:pStyle w:val="Heading2"/>
      </w:pPr>
      <w:r>
        <w:t>9.2 Logs</w:t>
      </w:r>
    </w:p>
    <w:p>
      <w:pPr>
        <w:keepNext w:val="0"/>
      </w:pPr>
      <w:r>
        <w:rPr>
          <w:b w:val="0"/>
          <w:i w:val="0"/>
        </w:rPr>
        <w:t>The API writes JSON lines to standard output (read with docker compose logs api, or in the central log platform). Each HTTP request line carries req.id, the correlation id that is also returned to the browser in X-Request-Id and shown to users as the error reference. Cookies, authorization, CSRF and set-cookie headers are redacted. Example: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{"level":30,"time":1791014400123,"req":{"id":"6f1c2a9e-0d1b-4f6e-9a55-3b7e2c1d4a10","method":"POST",</w:t>
            </w:r>
          </w:p>
          <w:p>
            <w:pPr>
              <w:spacing w:after="0" w:line="240" w:lineRule="auto"/>
            </w:pPr>
            <w:r>
              <w:rPr>
                <w:rFonts w:ascii="Courier New" w:hAnsi="Courier New" w:cs="Courier New" w:eastAsia="Courier New"/>
                <w:sz w:val="16"/>
              </w:rPr>
              <w:t xml:space="preserve"> "url":"/api/v1/portal/policies/…/submit"},"res":{"statusCode":422},"responseTime":184,</w:t>
            </w:r>
          </w:p>
          <w:p>
            <w:pPr>
              <w:spacing w:after="0" w:line="240" w:lineRule="auto"/>
            </w:pPr>
            <w:r>
              <w:rPr>
                <w:rFonts w:ascii="Courier New" w:hAnsi="Courier New" w:cs="Courier New" w:eastAsia="Courier New"/>
                <w:sz w:val="16"/>
              </w:rPr>
              <w:t xml:space="preserve"> "msg":"request completed"}</w:t>
            </w:r>
          </w:p>
        </w:tc>
      </w:tr>
    </w:tbl>
    <w:p>
      <w:pPr>
        <w:spacing w:after="0" w:before="0"/>
      </w:pPr>
      <w:r>
        <w:rPr>
          <w:sz w:val="8"/>
        </w:rPr>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docker compose logs --since 2h api | grep 6f1c2a9e-0d1b-4f6e-9a55-3b7e2c1d4a10</w:t>
            </w:r>
          </w:p>
        </w:tc>
      </w:tr>
    </w:tbl>
    <w:p>
      <w:pPr>
        <w:spacing w:after="0" w:before="0"/>
      </w:pPr>
      <w:r>
        <w:rPr>
          <w:sz w:val="8"/>
        </w:rPr>
      </w:r>
    </w:p>
    <w:p>
      <w:pPr>
        <w:keepNext w:val="0"/>
      </w:pPr>
      <w:r>
        <w:rPr>
          <w:b w:val="0"/>
          <w:i w:val="0"/>
        </w:rPr>
        <w:t>Business events for the same request are in audit_log.correlation_id; integration messages in outbox_message.correlation_id.</w:t>
      </w:r>
    </w:p>
    <w:p>
      <w:pPr>
        <w:pStyle w:val="Heading2"/>
      </w:pPr>
      <w:r>
        <w:t>9.3 Alerts</w:t>
      </w:r>
    </w:p>
    <w:p>
      <w:pPr>
        <w:keepNext w:val="0"/>
      </w:pPr>
      <w:r>
        <w:rPr>
          <w:b w:val="0"/>
          <w:i w:val="0"/>
        </w:rPr>
        <w:t>Alert rules are configured in Prometheus Alertmanager (or the IITH equivalent) during implementation; the application itself e-mails dead-letters, SLA breaches, AML review requests and agency blocks.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3742"/>
        <w:gridCol w:w="1360"/>
        <w:gridCol w:w="1360"/>
        <w:gridCol w:w="1474"/>
      </w:tblGrid>
      <w:tr>
        <w:trPr>
          <w:cantSplit/>
          <w:tblHeader/>
        </w:trPr>
        <w:tc>
          <w:tcPr>
            <w:tcW w:type="dxa" w:w="1701"/>
            <w:shd w:val="clear" w:color="auto" w:fill="E1058C"/>
            <w:vAlign w:val="center"/>
          </w:tcPr>
          <w:p>
            <w:pPr>
              <w:spacing w:after="0"/>
            </w:pPr>
            <w:r>
              <w:rPr>
                <w:b/>
                <w:i w:val="0"/>
                <w:color w:val="FFFFFF"/>
                <w:sz w:val="15"/>
              </w:rPr>
              <w:t>Alert</w:t>
            </w:r>
          </w:p>
        </w:tc>
        <w:tc>
          <w:tcPr>
            <w:tcW w:type="dxa" w:w="3742"/>
            <w:shd w:val="clear" w:color="auto" w:fill="E1058C"/>
            <w:vAlign w:val="center"/>
          </w:tcPr>
          <w:p>
            <w:pPr>
              <w:spacing w:after="0"/>
            </w:pPr>
            <w:r>
              <w:rPr>
                <w:b/>
                <w:i w:val="0"/>
                <w:color w:val="FFFFFF"/>
                <w:sz w:val="15"/>
              </w:rPr>
              <w:t>Condition</w:t>
            </w:r>
          </w:p>
        </w:tc>
        <w:tc>
          <w:tcPr>
            <w:tcW w:type="dxa" w:w="1361"/>
            <w:shd w:val="clear" w:color="auto" w:fill="E1058C"/>
            <w:vAlign w:val="center"/>
          </w:tcPr>
          <w:p>
            <w:pPr>
              <w:spacing w:after="0"/>
            </w:pPr>
            <w:r>
              <w:rPr>
                <w:b/>
                <w:i w:val="0"/>
                <w:color w:val="FFFFFF"/>
                <w:sz w:val="15"/>
              </w:rPr>
              <w:t>Priority</w:t>
            </w:r>
          </w:p>
        </w:tc>
        <w:tc>
          <w:tcPr>
            <w:tcW w:type="dxa" w:w="1361"/>
            <w:shd w:val="clear" w:color="auto" w:fill="E1058C"/>
            <w:vAlign w:val="center"/>
          </w:tcPr>
          <w:p>
            <w:pPr>
              <w:spacing w:after="0"/>
            </w:pPr>
            <w:r>
              <w:rPr>
                <w:b/>
                <w:i w:val="0"/>
                <w:color w:val="FFFFFF"/>
                <w:sz w:val="15"/>
              </w:rPr>
              <w:t>Recipient</w:t>
            </w:r>
          </w:p>
        </w:tc>
        <w:tc>
          <w:tcPr>
            <w:tcW w:type="dxa" w:w="1474"/>
            <w:shd w:val="clear" w:color="auto" w:fill="E1058C"/>
            <w:vAlign w:val="center"/>
          </w:tcPr>
          <w:p>
            <w:pPr>
              <w:spacing w:after="0"/>
            </w:pPr>
            <w:r>
              <w:rPr>
                <w:b/>
                <w:i w:val="0"/>
                <w:color w:val="FFFFFF"/>
                <w:sz w:val="15"/>
              </w:rPr>
              <w:t>Runbook</w:t>
            </w:r>
          </w:p>
        </w:tc>
      </w:tr>
      <w:tr>
        <w:trPr>
          <w:cantSplit/>
        </w:trPr>
        <w:tc>
          <w:tcPr>
            <w:tcW w:type="dxa" w:w="1701"/>
            <w:vAlign w:val="top"/>
          </w:tcPr>
          <w:p>
            <w:pPr>
              <w:spacing w:after="20" w:line="252" w:lineRule="auto"/>
            </w:pPr>
            <w:r>
              <w:rPr>
                <w:b w:val="0"/>
                <w:i w:val="0"/>
                <w:sz w:val="15"/>
              </w:rPr>
              <w:t>API not ready</w:t>
            </w:r>
          </w:p>
        </w:tc>
        <w:tc>
          <w:tcPr>
            <w:tcW w:type="dxa" w:w="3742"/>
            <w:vAlign w:val="top"/>
          </w:tcPr>
          <w:p>
            <w:pPr>
              <w:spacing w:after="20" w:line="252" w:lineRule="auto"/>
            </w:pPr>
            <w:r>
              <w:rPr>
                <w:b w:val="0"/>
                <w:i w:val="0"/>
                <w:sz w:val="15"/>
              </w:rPr>
              <w:t>/health/ready fails on any instance for 2 minutes</w:t>
            </w:r>
          </w:p>
        </w:tc>
        <w:tc>
          <w:tcPr>
            <w:tcW w:type="dxa" w:w="1361"/>
            <w:vAlign w:val="top"/>
          </w:tcPr>
          <w:p>
            <w:pPr>
              <w:spacing w:after="20" w:line="252" w:lineRule="auto"/>
            </w:pPr>
            <w:r>
              <w:rPr>
                <w:b w:val="0"/>
                <w:i w:val="0"/>
                <w:sz w:val="15"/>
              </w:rPr>
              <w:t>P1 if all instances, else P2</w:t>
            </w:r>
          </w:p>
        </w:tc>
        <w:tc>
          <w:tcPr>
            <w:tcW w:type="dxa" w:w="1361"/>
            <w:vAlign w:val="top"/>
          </w:tcPr>
          <w:p>
            <w:pPr>
              <w:spacing w:after="20" w:line="252" w:lineRule="auto"/>
            </w:pPr>
            <w:r>
              <w:rPr>
                <w:b w:val="0"/>
                <w:i w:val="0"/>
                <w:sz w:val="15"/>
              </w:rPr>
              <w:t>L2 on call</w:t>
            </w:r>
          </w:p>
        </w:tc>
        <w:tc>
          <w:tcPr>
            <w:tcW w:type="dxa" w:w="1474"/>
            <w:vAlign w:val="top"/>
          </w:tcPr>
          <w:p>
            <w:pPr>
              <w:spacing w:after="20" w:line="252" w:lineRule="auto"/>
            </w:pPr>
            <w:r>
              <w:rPr>
                <w:b w:val="0"/>
                <w:i w:val="0"/>
                <w:sz w:val="15"/>
              </w:rPr>
              <w:t>R1, check database</w:t>
            </w:r>
          </w:p>
        </w:tc>
      </w:tr>
      <w:tr>
        <w:trPr>
          <w:cantSplit/>
        </w:trPr>
        <w:tc>
          <w:tcPr>
            <w:tcW w:type="dxa" w:w="1701"/>
            <w:vAlign w:val="top"/>
            <w:shd w:val="clear" w:color="auto" w:fill="FDF0F7"/>
          </w:tcPr>
          <w:p>
            <w:pPr>
              <w:spacing w:after="20" w:line="252" w:lineRule="auto"/>
            </w:pPr>
            <w:r>
              <w:rPr>
                <w:b w:val="0"/>
                <w:i w:val="0"/>
                <w:sz w:val="15"/>
              </w:rPr>
              <w:t>High error rate</w:t>
            </w:r>
          </w:p>
        </w:tc>
        <w:tc>
          <w:tcPr>
            <w:tcW w:type="dxa" w:w="3742"/>
            <w:vAlign w:val="top"/>
            <w:shd w:val="clear" w:color="auto" w:fill="FDF0F7"/>
          </w:tcPr>
          <w:p>
            <w:pPr>
              <w:spacing w:after="20" w:line="252" w:lineRule="auto"/>
            </w:pPr>
            <w:r>
              <w:rPr>
                <w:b w:val="0"/>
                <w:i w:val="0"/>
                <w:sz w:val="15"/>
              </w:rPr>
              <w:t>HTTP 5xx above 2% for 5 minutes (nginx logs)</w:t>
            </w:r>
          </w:p>
        </w:tc>
        <w:tc>
          <w:tcPr>
            <w:tcW w:type="dxa" w:w="1361"/>
            <w:vAlign w:val="top"/>
            <w:shd w:val="clear" w:color="auto" w:fill="FDF0F7"/>
          </w:tcPr>
          <w:p>
            <w:pPr>
              <w:spacing w:after="20" w:line="252" w:lineRule="auto"/>
            </w:pPr>
            <w:r>
              <w:rPr>
                <w:b w:val="0"/>
                <w:i w:val="0"/>
                <w:sz w:val="15"/>
              </w:rPr>
              <w:t>P2</w:t>
            </w:r>
          </w:p>
        </w:tc>
        <w:tc>
          <w:tcPr>
            <w:tcW w:type="dxa" w:w="1361"/>
            <w:vAlign w:val="top"/>
            <w:shd w:val="clear" w:color="auto" w:fill="FDF0F7"/>
          </w:tcPr>
          <w:p>
            <w:pPr>
              <w:spacing w:after="20" w:line="252" w:lineRule="auto"/>
            </w:pPr>
            <w:r>
              <w:rPr>
                <w:b w:val="0"/>
                <w:i w:val="0"/>
                <w:sz w:val="15"/>
              </w:rPr>
              <w:t>L2</w:t>
            </w:r>
          </w:p>
        </w:tc>
        <w:tc>
          <w:tcPr>
            <w:tcW w:type="dxa" w:w="1474"/>
            <w:vAlign w:val="top"/>
            <w:shd w:val="clear" w:color="auto" w:fill="FDF0F7"/>
          </w:tcPr>
          <w:p>
            <w:pPr>
              <w:spacing w:after="20" w:line="252" w:lineRule="auto"/>
            </w:pPr>
            <w:r>
              <w:rPr>
                <w:b w:val="0"/>
                <w:i w:val="0"/>
                <w:sz w:val="15"/>
              </w:rPr>
              <w:t>Logs by correlation id</w:t>
            </w:r>
          </w:p>
        </w:tc>
      </w:tr>
      <w:tr>
        <w:trPr>
          <w:cantSplit/>
        </w:trPr>
        <w:tc>
          <w:tcPr>
            <w:tcW w:type="dxa" w:w="1701"/>
            <w:vAlign w:val="top"/>
          </w:tcPr>
          <w:p>
            <w:pPr>
              <w:spacing w:after="20" w:line="252" w:lineRule="auto"/>
            </w:pPr>
            <w:r>
              <w:rPr>
                <w:b w:val="0"/>
                <w:i w:val="0"/>
                <w:sz w:val="15"/>
              </w:rPr>
              <w:t>Slow responses</w:t>
            </w:r>
          </w:p>
        </w:tc>
        <w:tc>
          <w:tcPr>
            <w:tcW w:type="dxa" w:w="3742"/>
            <w:vAlign w:val="top"/>
          </w:tcPr>
          <w:p>
            <w:pPr>
              <w:spacing w:after="20" w:line="252" w:lineRule="auto"/>
            </w:pPr>
            <w:r>
              <w:rPr>
                <w:b w:val="0"/>
                <w:i w:val="0"/>
                <w:sz w:val="15"/>
              </w:rPr>
              <w:t>p95 latency above 2 s for 10 minutes</w:t>
            </w:r>
          </w:p>
        </w:tc>
        <w:tc>
          <w:tcPr>
            <w:tcW w:type="dxa" w:w="1361"/>
            <w:vAlign w:val="top"/>
          </w:tcPr>
          <w:p>
            <w:pPr>
              <w:spacing w:after="20" w:line="252" w:lineRule="auto"/>
            </w:pPr>
            <w:r>
              <w:rPr>
                <w:b w:val="0"/>
                <w:i w:val="0"/>
                <w:sz w:val="15"/>
              </w:rPr>
              <w:t>P3</w:t>
            </w:r>
          </w:p>
        </w:tc>
        <w:tc>
          <w:tcPr>
            <w:tcW w:type="dxa" w:w="1361"/>
            <w:vAlign w:val="top"/>
          </w:tcPr>
          <w:p>
            <w:pPr>
              <w:spacing w:after="20" w:line="252" w:lineRule="auto"/>
            </w:pPr>
            <w:r>
              <w:rPr>
                <w:b w:val="0"/>
                <w:i w:val="0"/>
                <w:sz w:val="15"/>
              </w:rPr>
              <w:t>L2</w:t>
            </w:r>
          </w:p>
        </w:tc>
        <w:tc>
          <w:tcPr>
            <w:tcW w:type="dxa" w:w="1474"/>
            <w:vAlign w:val="top"/>
          </w:tcPr>
          <w:p>
            <w:pPr>
              <w:spacing w:after="20" w:line="252" w:lineRule="auto"/>
            </w:pPr>
            <w:r>
              <w:rPr>
                <w:b w:val="0"/>
                <w:i w:val="0"/>
                <w:sz w:val="15"/>
              </w:rPr>
              <w:t>Metrics, slow queries</w:t>
            </w:r>
          </w:p>
        </w:tc>
      </w:tr>
      <w:tr>
        <w:trPr>
          <w:cantSplit/>
        </w:trPr>
        <w:tc>
          <w:tcPr>
            <w:tcW w:type="dxa" w:w="1701"/>
            <w:vAlign w:val="top"/>
            <w:shd w:val="clear" w:color="auto" w:fill="FDF0F7"/>
          </w:tcPr>
          <w:p>
            <w:pPr>
              <w:spacing w:after="20" w:line="252" w:lineRule="auto"/>
            </w:pPr>
            <w:r>
              <w:rPr>
                <w:b w:val="0"/>
                <w:i w:val="0"/>
                <w:sz w:val="15"/>
              </w:rPr>
              <w:t>Event-loop lag</w:t>
            </w:r>
          </w:p>
        </w:tc>
        <w:tc>
          <w:tcPr>
            <w:tcW w:type="dxa" w:w="3742"/>
            <w:vAlign w:val="top"/>
            <w:shd w:val="clear" w:color="auto" w:fill="FDF0F7"/>
          </w:tcPr>
          <w:p>
            <w:pPr>
              <w:spacing w:after="20" w:line="252" w:lineRule="auto"/>
            </w:pPr>
            <w:r>
              <w:rPr>
                <w:b w:val="0"/>
                <w:i w:val="0"/>
                <w:sz w:val="15"/>
              </w:rPr>
              <w:t>iift_api_nodejs_eventloop_lag_seconds above 0.5 for 5 minutes</w:t>
            </w:r>
          </w:p>
        </w:tc>
        <w:tc>
          <w:tcPr>
            <w:tcW w:type="dxa" w:w="1361"/>
            <w:vAlign w:val="top"/>
            <w:shd w:val="clear" w:color="auto" w:fill="FDF0F7"/>
          </w:tcPr>
          <w:p>
            <w:pPr>
              <w:spacing w:after="20" w:line="252" w:lineRule="auto"/>
            </w:pPr>
            <w:r>
              <w:rPr>
                <w:b w:val="0"/>
                <w:i w:val="0"/>
                <w:sz w:val="15"/>
              </w:rPr>
              <w:t>P3</w:t>
            </w:r>
          </w:p>
        </w:tc>
        <w:tc>
          <w:tcPr>
            <w:tcW w:type="dxa" w:w="1361"/>
            <w:vAlign w:val="top"/>
            <w:shd w:val="clear" w:color="auto" w:fill="FDF0F7"/>
          </w:tcPr>
          <w:p>
            <w:pPr>
              <w:spacing w:after="20" w:line="252" w:lineRule="auto"/>
            </w:pPr>
            <w:r>
              <w:rPr>
                <w:b w:val="0"/>
                <w:i w:val="0"/>
                <w:sz w:val="15"/>
              </w:rPr>
              <w:t>L2</w:t>
            </w:r>
          </w:p>
        </w:tc>
        <w:tc>
          <w:tcPr>
            <w:tcW w:type="dxa" w:w="1474"/>
            <w:vAlign w:val="top"/>
            <w:shd w:val="clear" w:color="auto" w:fill="FDF0F7"/>
          </w:tcPr>
          <w:p>
            <w:pPr>
              <w:spacing w:after="20" w:line="252" w:lineRule="auto"/>
            </w:pPr>
            <w:r>
              <w:rPr>
                <w:b w:val="0"/>
                <w:i w:val="0"/>
                <w:sz w:val="15"/>
              </w:rPr>
              <w:t>Metrics</w:t>
            </w:r>
          </w:p>
        </w:tc>
      </w:tr>
      <w:tr>
        <w:trPr>
          <w:cantSplit/>
        </w:trPr>
        <w:tc>
          <w:tcPr>
            <w:tcW w:type="dxa" w:w="1701"/>
            <w:vAlign w:val="top"/>
          </w:tcPr>
          <w:p>
            <w:pPr>
              <w:spacing w:after="20" w:line="252" w:lineRule="auto"/>
            </w:pPr>
            <w:r>
              <w:rPr>
                <w:b w:val="0"/>
                <w:i w:val="0"/>
                <w:sz w:val="15"/>
              </w:rPr>
              <w:t>Memory or disk</w:t>
            </w:r>
          </w:p>
        </w:tc>
        <w:tc>
          <w:tcPr>
            <w:tcW w:type="dxa" w:w="3742"/>
            <w:vAlign w:val="top"/>
          </w:tcPr>
          <w:p>
            <w:pPr>
              <w:spacing w:after="20" w:line="252" w:lineRule="auto"/>
            </w:pPr>
            <w:r>
              <w:rPr>
                <w:b w:val="0"/>
                <w:i w:val="0"/>
                <w:sz w:val="15"/>
              </w:rPr>
              <w:t>Memory above 85% or disk above 80%</w:t>
            </w:r>
          </w:p>
        </w:tc>
        <w:tc>
          <w:tcPr>
            <w:tcW w:type="dxa" w:w="1361"/>
            <w:vAlign w:val="top"/>
          </w:tcPr>
          <w:p>
            <w:pPr>
              <w:spacing w:after="20" w:line="252" w:lineRule="auto"/>
            </w:pPr>
            <w:r>
              <w:rPr>
                <w:b w:val="0"/>
                <w:i w:val="0"/>
                <w:sz w:val="15"/>
              </w:rPr>
              <w:t>P3</w:t>
            </w:r>
          </w:p>
        </w:tc>
        <w:tc>
          <w:tcPr>
            <w:tcW w:type="dxa" w:w="1361"/>
            <w:vAlign w:val="top"/>
          </w:tcPr>
          <w:p>
            <w:pPr>
              <w:spacing w:after="20" w:line="252" w:lineRule="auto"/>
            </w:pPr>
            <w:r>
              <w:rPr>
                <w:b w:val="0"/>
                <w:i w:val="0"/>
                <w:sz w:val="15"/>
              </w:rPr>
              <w:t>Infra, L2</w:t>
            </w:r>
          </w:p>
        </w:tc>
        <w:tc>
          <w:tcPr>
            <w:tcW w:type="dxa" w:w="1474"/>
            <w:vAlign w:val="top"/>
          </w:tcPr>
          <w:p>
            <w:pPr>
              <w:spacing w:after="20" w:line="252" w:lineRule="auto"/>
            </w:pPr>
            <w:r>
              <w:rPr>
                <w:b w:val="0"/>
                <w:i w:val="0"/>
                <w:sz w:val="15"/>
              </w:rPr>
              <w:t>Capacity</w:t>
            </w:r>
          </w:p>
        </w:tc>
      </w:tr>
      <w:tr>
        <w:trPr>
          <w:cantSplit/>
        </w:trPr>
        <w:tc>
          <w:tcPr>
            <w:tcW w:type="dxa" w:w="1701"/>
            <w:vAlign w:val="top"/>
            <w:shd w:val="clear" w:color="auto" w:fill="FDF0F7"/>
          </w:tcPr>
          <w:p>
            <w:pPr>
              <w:spacing w:after="20" w:line="252" w:lineRule="auto"/>
            </w:pPr>
            <w:r>
              <w:rPr>
                <w:b w:val="0"/>
                <w:i w:val="0"/>
                <w:sz w:val="15"/>
              </w:rPr>
              <w:t>Replication lag</w:t>
            </w:r>
          </w:p>
        </w:tc>
        <w:tc>
          <w:tcPr>
            <w:tcW w:type="dxa" w:w="3742"/>
            <w:vAlign w:val="top"/>
            <w:shd w:val="clear" w:color="auto" w:fill="FDF0F7"/>
          </w:tcPr>
          <w:p>
            <w:pPr>
              <w:spacing w:after="20" w:line="252" w:lineRule="auto"/>
            </w:pPr>
            <w:r>
              <w:rPr>
                <w:b w:val="0"/>
                <w:i w:val="0"/>
                <w:sz w:val="15"/>
              </w:rPr>
              <w:t>Standby more than 5 minutes behind</w:t>
            </w:r>
          </w:p>
        </w:tc>
        <w:tc>
          <w:tcPr>
            <w:tcW w:type="dxa" w:w="1361"/>
            <w:vAlign w:val="top"/>
            <w:shd w:val="clear" w:color="auto" w:fill="FDF0F7"/>
          </w:tcPr>
          <w:p>
            <w:pPr>
              <w:spacing w:after="20" w:line="252" w:lineRule="auto"/>
            </w:pPr>
            <w:r>
              <w:rPr>
                <w:b w:val="0"/>
                <w:i w:val="0"/>
                <w:sz w:val="15"/>
              </w:rPr>
              <w:t>P2</w:t>
            </w:r>
          </w:p>
        </w:tc>
        <w:tc>
          <w:tcPr>
            <w:tcW w:type="dxa" w:w="1361"/>
            <w:vAlign w:val="top"/>
            <w:shd w:val="clear" w:color="auto" w:fill="FDF0F7"/>
          </w:tcPr>
          <w:p>
            <w:pPr>
              <w:spacing w:after="20" w:line="252" w:lineRule="auto"/>
            </w:pPr>
            <w:r>
              <w:rPr>
                <w:b w:val="0"/>
                <w:i w:val="0"/>
                <w:sz w:val="15"/>
              </w:rPr>
              <w:t>Infra, L2</w:t>
            </w:r>
          </w:p>
        </w:tc>
        <w:tc>
          <w:tcPr>
            <w:tcW w:type="dxa" w:w="1474"/>
            <w:vAlign w:val="top"/>
            <w:shd w:val="clear" w:color="auto" w:fill="FDF0F7"/>
          </w:tcPr>
          <w:p>
            <w:pPr>
              <w:spacing w:after="20" w:line="252" w:lineRule="auto"/>
            </w:pPr>
            <w:r>
              <w:rPr>
                <w:b w:val="0"/>
                <w:i w:val="0"/>
                <w:sz w:val="15"/>
              </w:rPr>
              <w:t>Section 11</w:t>
            </w:r>
          </w:p>
        </w:tc>
      </w:tr>
      <w:tr>
        <w:trPr>
          <w:cantSplit/>
        </w:trPr>
        <w:tc>
          <w:tcPr>
            <w:tcW w:type="dxa" w:w="1701"/>
            <w:vAlign w:val="top"/>
          </w:tcPr>
          <w:p>
            <w:pPr>
              <w:spacing w:after="20" w:line="252" w:lineRule="auto"/>
            </w:pPr>
            <w:r>
              <w:rPr>
                <w:b w:val="0"/>
                <w:i w:val="0"/>
                <w:sz w:val="15"/>
              </w:rPr>
              <w:t>Backup missing</w:t>
            </w:r>
          </w:p>
        </w:tc>
        <w:tc>
          <w:tcPr>
            <w:tcW w:type="dxa" w:w="3742"/>
            <w:vAlign w:val="top"/>
          </w:tcPr>
          <w:p>
            <w:pPr>
              <w:spacing w:after="20" w:line="252" w:lineRule="auto"/>
            </w:pPr>
            <w:r>
              <w:rPr>
                <w:b w:val="0"/>
                <w:i w:val="0"/>
                <w:sz w:val="15"/>
              </w:rPr>
              <w:t>No successful database backup in 26 hours</w:t>
            </w:r>
          </w:p>
        </w:tc>
        <w:tc>
          <w:tcPr>
            <w:tcW w:type="dxa" w:w="1361"/>
            <w:vAlign w:val="top"/>
          </w:tcPr>
          <w:p>
            <w:pPr>
              <w:spacing w:after="20" w:line="252" w:lineRule="auto"/>
            </w:pPr>
            <w:r>
              <w:rPr>
                <w:b w:val="0"/>
                <w:i w:val="0"/>
                <w:sz w:val="15"/>
              </w:rPr>
              <w:t>P2</w:t>
            </w:r>
          </w:p>
        </w:tc>
        <w:tc>
          <w:tcPr>
            <w:tcW w:type="dxa" w:w="1361"/>
            <w:vAlign w:val="top"/>
          </w:tcPr>
          <w:p>
            <w:pPr>
              <w:spacing w:after="20" w:line="252" w:lineRule="auto"/>
            </w:pPr>
            <w:r>
              <w:rPr>
                <w:b w:val="0"/>
                <w:i w:val="0"/>
                <w:sz w:val="15"/>
              </w:rPr>
              <w:t>Infra</w:t>
            </w:r>
          </w:p>
        </w:tc>
        <w:tc>
          <w:tcPr>
            <w:tcW w:type="dxa" w:w="1474"/>
            <w:vAlign w:val="top"/>
          </w:tcPr>
          <w:p>
            <w:pPr>
              <w:spacing w:after="20" w:line="252" w:lineRule="auto"/>
            </w:pPr>
            <w:r>
              <w:rPr>
                <w:b w:val="0"/>
                <w:i w:val="0"/>
                <w:sz w:val="15"/>
              </w:rPr>
              <w:t>Section 11</w:t>
            </w:r>
          </w:p>
        </w:tc>
      </w:tr>
      <w:tr>
        <w:trPr>
          <w:cantSplit/>
        </w:trPr>
        <w:tc>
          <w:tcPr>
            <w:tcW w:type="dxa" w:w="1701"/>
            <w:vAlign w:val="top"/>
            <w:shd w:val="clear" w:color="auto" w:fill="FDF0F7"/>
          </w:tcPr>
          <w:p>
            <w:pPr>
              <w:spacing w:after="20" w:line="252" w:lineRule="auto"/>
            </w:pPr>
            <w:r>
              <w:rPr>
                <w:b w:val="0"/>
                <w:i w:val="0"/>
                <w:sz w:val="15"/>
              </w:rPr>
              <w:t>EOD failed</w:t>
            </w:r>
          </w:p>
        </w:tc>
        <w:tc>
          <w:tcPr>
            <w:tcW w:type="dxa" w:w="3742"/>
            <w:vAlign w:val="top"/>
            <w:shd w:val="clear" w:color="auto" w:fill="FDF0F7"/>
          </w:tcPr>
          <w:p>
            <w:pPr>
              <w:spacing w:after="20" w:line="252" w:lineRule="auto"/>
            </w:pPr>
            <w:r>
              <w:rPr>
                <w:b w:val="0"/>
                <w:i w:val="0"/>
                <w:sz w:val="15"/>
              </w:rPr>
              <w:t>eod_run FAILED, or no COMPLETED run for the previous day by 01:00</w:t>
            </w:r>
          </w:p>
        </w:tc>
        <w:tc>
          <w:tcPr>
            <w:tcW w:type="dxa" w:w="1361"/>
            <w:vAlign w:val="top"/>
            <w:shd w:val="clear" w:color="auto" w:fill="FDF0F7"/>
          </w:tcPr>
          <w:p>
            <w:pPr>
              <w:spacing w:after="20" w:line="252" w:lineRule="auto"/>
            </w:pPr>
            <w:r>
              <w:rPr>
                <w:b w:val="0"/>
                <w:i w:val="0"/>
                <w:sz w:val="15"/>
              </w:rPr>
              <w:t>P2</w:t>
            </w:r>
          </w:p>
        </w:tc>
        <w:tc>
          <w:tcPr>
            <w:tcW w:type="dxa" w:w="1361"/>
            <w:vAlign w:val="top"/>
            <w:shd w:val="clear" w:color="auto" w:fill="FDF0F7"/>
          </w:tcPr>
          <w:p>
            <w:pPr>
              <w:spacing w:after="20" w:line="252" w:lineRule="auto"/>
            </w:pPr>
            <w:r>
              <w:rPr>
                <w:b w:val="0"/>
                <w:i w:val="0"/>
                <w:sz w:val="15"/>
              </w:rPr>
              <w:t>L2, Finance</w:t>
            </w:r>
          </w:p>
        </w:tc>
        <w:tc>
          <w:tcPr>
            <w:tcW w:type="dxa" w:w="1474"/>
            <w:vAlign w:val="top"/>
            <w:shd w:val="clear" w:color="auto" w:fill="FDF0F7"/>
          </w:tcPr>
          <w:p>
            <w:pPr>
              <w:spacing w:after="20" w:line="252" w:lineRule="auto"/>
            </w:pPr>
            <w:r>
              <w:rPr>
                <w:b w:val="0"/>
                <w:i w:val="0"/>
                <w:sz w:val="15"/>
              </w:rPr>
              <w:t>R6</w:t>
            </w:r>
          </w:p>
        </w:tc>
      </w:tr>
      <w:tr>
        <w:trPr>
          <w:cantSplit/>
        </w:trPr>
        <w:tc>
          <w:tcPr>
            <w:tcW w:type="dxa" w:w="1701"/>
            <w:vAlign w:val="top"/>
          </w:tcPr>
          <w:p>
            <w:pPr>
              <w:spacing w:after="20" w:line="252" w:lineRule="auto"/>
            </w:pPr>
            <w:r>
              <w:rPr>
                <w:b w:val="0"/>
                <w:i w:val="0"/>
                <w:sz w:val="15"/>
              </w:rPr>
              <w:t>Integration dead-letter</w:t>
            </w:r>
          </w:p>
        </w:tc>
        <w:tc>
          <w:tcPr>
            <w:tcW w:type="dxa" w:w="3742"/>
            <w:vAlign w:val="top"/>
          </w:tcPr>
          <w:p>
            <w:pPr>
              <w:spacing w:after="20" w:line="252" w:lineRule="auto"/>
            </w:pPr>
            <w:r>
              <w:rPr>
                <w:b w:val="0"/>
                <w:i w:val="0"/>
                <w:sz w:val="15"/>
              </w:rPr>
              <w:t>Any outbox_message in DEAD (application also e-mails integration support)</w:t>
            </w:r>
          </w:p>
        </w:tc>
        <w:tc>
          <w:tcPr>
            <w:tcW w:type="dxa" w:w="1361"/>
            <w:vAlign w:val="top"/>
          </w:tcPr>
          <w:p>
            <w:pPr>
              <w:spacing w:after="20" w:line="252" w:lineRule="auto"/>
            </w:pPr>
            <w:r>
              <w:rPr>
                <w:b w:val="0"/>
                <w:i w:val="0"/>
                <w:sz w:val="15"/>
              </w:rPr>
              <w:t>P2</w:t>
            </w:r>
          </w:p>
        </w:tc>
        <w:tc>
          <w:tcPr>
            <w:tcW w:type="dxa" w:w="1361"/>
            <w:vAlign w:val="top"/>
          </w:tcPr>
          <w:p>
            <w:pPr>
              <w:spacing w:after="20" w:line="252" w:lineRule="auto"/>
            </w:pPr>
            <w:r>
              <w:rPr>
                <w:b w:val="0"/>
                <w:i w:val="0"/>
                <w:sz w:val="15"/>
              </w:rPr>
              <w:t>L2</w:t>
            </w:r>
          </w:p>
        </w:tc>
        <w:tc>
          <w:tcPr>
            <w:tcW w:type="dxa" w:w="1474"/>
            <w:vAlign w:val="top"/>
          </w:tcPr>
          <w:p>
            <w:pPr>
              <w:spacing w:after="20" w:line="252" w:lineRule="auto"/>
            </w:pPr>
            <w:r>
              <w:rPr>
                <w:b w:val="0"/>
                <w:i w:val="0"/>
                <w:sz w:val="15"/>
              </w:rPr>
              <w:t>R7</w:t>
            </w:r>
          </w:p>
        </w:tc>
      </w:tr>
      <w:tr>
        <w:trPr>
          <w:cantSplit/>
        </w:trPr>
        <w:tc>
          <w:tcPr>
            <w:tcW w:type="dxa" w:w="1701"/>
            <w:vAlign w:val="top"/>
            <w:shd w:val="clear" w:color="auto" w:fill="FDF0F7"/>
          </w:tcPr>
          <w:p>
            <w:pPr>
              <w:spacing w:after="20" w:line="252" w:lineRule="auto"/>
            </w:pPr>
            <w:r>
              <w:rPr>
                <w:b w:val="0"/>
                <w:i w:val="0"/>
                <w:sz w:val="15"/>
              </w:rPr>
              <w:t>Reconciliation mismatch</w:t>
            </w:r>
          </w:p>
        </w:tc>
        <w:tc>
          <w:tcPr>
            <w:tcW w:type="dxa" w:w="3742"/>
            <w:vAlign w:val="top"/>
            <w:shd w:val="clear" w:color="auto" w:fill="FDF0F7"/>
          </w:tcPr>
          <w:p>
            <w:pPr>
              <w:spacing w:after="20" w:line="252" w:lineRule="auto"/>
            </w:pPr>
            <w:r>
              <w:rPr>
                <w:b w:val="0"/>
                <w:i w:val="0"/>
                <w:sz w:val="15"/>
              </w:rPr>
              <w:t>reconciliation_run status MISMATCH</w:t>
            </w:r>
          </w:p>
        </w:tc>
        <w:tc>
          <w:tcPr>
            <w:tcW w:type="dxa" w:w="1361"/>
            <w:vAlign w:val="top"/>
            <w:shd w:val="clear" w:color="auto" w:fill="FDF0F7"/>
          </w:tcPr>
          <w:p>
            <w:pPr>
              <w:spacing w:after="20" w:line="252" w:lineRule="auto"/>
            </w:pPr>
            <w:r>
              <w:rPr>
                <w:b w:val="0"/>
                <w:i w:val="0"/>
                <w:sz w:val="15"/>
              </w:rPr>
              <w:t>P3</w:t>
            </w:r>
          </w:p>
        </w:tc>
        <w:tc>
          <w:tcPr>
            <w:tcW w:type="dxa" w:w="1361"/>
            <w:vAlign w:val="top"/>
            <w:shd w:val="clear" w:color="auto" w:fill="FDF0F7"/>
          </w:tcPr>
          <w:p>
            <w:pPr>
              <w:spacing w:after="20" w:line="252" w:lineRule="auto"/>
            </w:pPr>
            <w:r>
              <w:rPr>
                <w:b w:val="0"/>
                <w:i w:val="0"/>
                <w:sz w:val="15"/>
              </w:rPr>
              <w:t>Finance, L2</w:t>
            </w:r>
          </w:p>
        </w:tc>
        <w:tc>
          <w:tcPr>
            <w:tcW w:type="dxa" w:w="1474"/>
            <w:vAlign w:val="top"/>
            <w:shd w:val="clear" w:color="auto" w:fill="FDF0F7"/>
          </w:tcPr>
          <w:p>
            <w:pPr>
              <w:spacing w:after="20" w:line="252" w:lineRule="auto"/>
            </w:pPr>
            <w:r>
              <w:rPr>
                <w:b w:val="0"/>
                <w:i w:val="0"/>
                <w:sz w:val="15"/>
              </w:rPr>
              <w:t>R7</w:t>
            </w:r>
          </w:p>
        </w:tc>
      </w:tr>
      <w:tr>
        <w:trPr>
          <w:cantSplit/>
        </w:trPr>
        <w:tc>
          <w:tcPr>
            <w:tcW w:type="dxa" w:w="1701"/>
            <w:vAlign w:val="top"/>
          </w:tcPr>
          <w:p>
            <w:pPr>
              <w:spacing w:after="20" w:line="252" w:lineRule="auto"/>
            </w:pPr>
            <w:r>
              <w:rPr>
                <w:b w:val="0"/>
                <w:i w:val="0"/>
                <w:sz w:val="15"/>
              </w:rPr>
              <w:t>Issue SLA breach</w:t>
            </w:r>
          </w:p>
        </w:tc>
        <w:tc>
          <w:tcPr>
            <w:tcW w:type="dxa" w:w="3742"/>
            <w:vAlign w:val="top"/>
          </w:tcPr>
          <w:p>
            <w:pPr>
              <w:spacing w:after="20" w:line="252" w:lineRule="auto"/>
            </w:pPr>
            <w:r>
              <w:rPr>
                <w:b w:val="0"/>
                <w:i w:val="0"/>
                <w:sz w:val="15"/>
              </w:rPr>
              <w:t>Application e-mails holders of bo.issues.manage when an issue misses a target</w:t>
            </w:r>
          </w:p>
        </w:tc>
        <w:tc>
          <w:tcPr>
            <w:tcW w:type="dxa" w:w="1361"/>
            <w:vAlign w:val="top"/>
          </w:tcPr>
          <w:p>
            <w:pPr>
              <w:spacing w:after="20" w:line="252" w:lineRule="auto"/>
            </w:pPr>
            <w:r>
              <w:rPr>
                <w:b w:val="0"/>
                <w:i w:val="0"/>
                <w:sz w:val="15"/>
              </w:rPr>
              <w:t>Per issue</w:t>
            </w:r>
          </w:p>
        </w:tc>
        <w:tc>
          <w:tcPr>
            <w:tcW w:type="dxa" w:w="1361"/>
            <w:vAlign w:val="top"/>
          </w:tcPr>
          <w:p>
            <w:pPr>
              <w:spacing w:after="20" w:line="252" w:lineRule="auto"/>
            </w:pPr>
            <w:r>
              <w:rPr>
                <w:b w:val="0"/>
                <w:i w:val="0"/>
                <w:sz w:val="15"/>
              </w:rPr>
              <w:t>Support desk</w:t>
            </w:r>
          </w:p>
        </w:tc>
        <w:tc>
          <w:tcPr>
            <w:tcW w:type="dxa" w:w="1474"/>
            <w:vAlign w:val="top"/>
          </w:tcPr>
          <w:p>
            <w:pPr>
              <w:spacing w:after="20" w:line="252" w:lineRule="auto"/>
            </w:pPr>
            <w:r>
              <w:rPr>
                <w:b w:val="0"/>
                <w:i w:val="0"/>
                <w:sz w:val="15"/>
              </w:rPr>
              <w:t>Issues module</w:t>
            </w:r>
          </w:p>
        </w:tc>
      </w:tr>
      <w:tr>
        <w:trPr>
          <w:cantSplit/>
        </w:trPr>
        <w:tc>
          <w:tcPr>
            <w:tcW w:type="dxa" w:w="1701"/>
            <w:vAlign w:val="top"/>
            <w:shd w:val="clear" w:color="auto" w:fill="FDF0F7"/>
          </w:tcPr>
          <w:p>
            <w:pPr>
              <w:spacing w:after="20" w:line="252" w:lineRule="auto"/>
            </w:pPr>
            <w:r>
              <w:rPr>
                <w:b w:val="0"/>
                <w:i w:val="0"/>
                <w:sz w:val="15"/>
              </w:rPr>
              <w:t>Certificate expiry</w:t>
            </w:r>
          </w:p>
        </w:tc>
        <w:tc>
          <w:tcPr>
            <w:tcW w:type="dxa" w:w="3742"/>
            <w:vAlign w:val="top"/>
            <w:shd w:val="clear" w:color="auto" w:fill="FDF0F7"/>
          </w:tcPr>
          <w:p>
            <w:pPr>
              <w:spacing w:after="20" w:line="252" w:lineRule="auto"/>
            </w:pPr>
            <w:r>
              <w:rPr>
                <w:b w:val="0"/>
                <w:i w:val="0"/>
                <w:sz w:val="15"/>
              </w:rPr>
              <w:t>TLS certificate expires within 30 days</w:t>
            </w:r>
          </w:p>
        </w:tc>
        <w:tc>
          <w:tcPr>
            <w:tcW w:type="dxa" w:w="1361"/>
            <w:vAlign w:val="top"/>
            <w:shd w:val="clear" w:color="auto" w:fill="FDF0F7"/>
          </w:tcPr>
          <w:p>
            <w:pPr>
              <w:spacing w:after="20" w:line="252" w:lineRule="auto"/>
            </w:pPr>
            <w:r>
              <w:rPr>
                <w:b w:val="0"/>
                <w:i w:val="0"/>
                <w:sz w:val="15"/>
              </w:rPr>
              <w:t>P3</w:t>
            </w:r>
          </w:p>
        </w:tc>
        <w:tc>
          <w:tcPr>
            <w:tcW w:type="dxa" w:w="1361"/>
            <w:vAlign w:val="top"/>
            <w:shd w:val="clear" w:color="auto" w:fill="FDF0F7"/>
          </w:tcPr>
          <w:p>
            <w:pPr>
              <w:spacing w:after="20" w:line="252" w:lineRule="auto"/>
            </w:pPr>
            <w:r>
              <w:rPr>
                <w:b w:val="0"/>
                <w:i w:val="0"/>
                <w:sz w:val="15"/>
              </w:rPr>
              <w:t>Infra</w:t>
            </w:r>
          </w:p>
        </w:tc>
        <w:tc>
          <w:tcPr>
            <w:tcW w:type="dxa" w:w="1474"/>
            <w:vAlign w:val="top"/>
            <w:shd w:val="clear" w:color="auto" w:fill="FDF0F7"/>
          </w:tcPr>
          <w:p>
            <w:pPr>
              <w:spacing w:after="20" w:line="252" w:lineRule="auto"/>
            </w:pPr>
            <w:r>
              <w:rPr>
                <w:b w:val="0"/>
                <w:i w:val="0"/>
                <w:sz w:val="15"/>
              </w:rPr>
              <w:t>Renew</w:t>
            </w:r>
          </w:p>
        </w:tc>
      </w:tr>
    </w:tbl>
    <w:p>
      <w:pPr>
        <w:pStyle w:val="Caption"/>
        <w:jc w:val="center"/>
      </w:pPr>
      <w:r>
        <w:rPr>
          <w:b w:val="0"/>
          <w:i w:val="0"/>
        </w:rPr>
        <w:t>Table 12: Alerts</w:t>
      </w:r>
    </w:p>
    <w:p>
      <w:pPr>
        <w:pStyle w:val="Heading2"/>
      </w:pPr>
      <w:r>
        <w:t>9.4 Daily health check</w:t>
      </w:r>
    </w:p>
    <w:p>
      <w:pPr>
        <w:pStyle w:val="ListBullet"/>
      </w:pPr>
      <w:r>
        <w:rPr>
          <w:b w:val="0"/>
          <w:i w:val="0"/>
        </w:rPr>
        <w:t>Grafana overview: all instances ready, error rate and latency normal overnight.</w:t>
      </w:r>
    </w:p>
    <w:p>
      <w:pPr>
        <w:pStyle w:val="ListBullet"/>
      </w:pPr>
      <w:r>
        <w:rPr>
          <w:b w:val="0"/>
          <w:i w:val="0"/>
        </w:rPr>
        <w:t>Back-office &gt; End of day: yesterday's run COMPLETED, totals plausible, files present.</w:t>
      </w:r>
    </w:p>
    <w:p>
      <w:pPr>
        <w:pStyle w:val="ListBullet"/>
      </w:pPr>
      <w:r>
        <w:rPr>
          <w:b w:val="0"/>
          <w:i w:val="0"/>
        </w:rPr>
        <w:t>Back-office &gt; Integration: no DEAD messages; pending and retrying counts near zero; reconciliation MATCHED.</w:t>
      </w:r>
    </w:p>
    <w:p>
      <w:pPr>
        <w:pStyle w:val="ListBullet"/>
      </w:pPr>
      <w:r>
        <w:rPr>
          <w:b w:val="0"/>
          <w:i w:val="0"/>
        </w:rPr>
        <w:t>Backup report: last full backup and WAL archiving successful; replication lag normal.</w:t>
      </w:r>
    </w:p>
    <w:p>
      <w:pPr>
        <w:pStyle w:val="ListBullet"/>
      </w:pPr>
      <w:r>
        <w:rPr>
          <w:b w:val="0"/>
          <w:i w:val="0"/>
        </w:rPr>
        <w:t>Issues module: new P1/P2 tickets, SLA breaches.</w:t>
      </w:r>
    </w:p>
    <w:p>
      <w:pPr>
        <w:pStyle w:val="ListBullet"/>
      </w:pPr>
      <w:r>
        <w:rPr>
          <w:b w:val="0"/>
          <w:i w:val="0"/>
        </w:rPr>
        <w:t>Back-office &gt; Agencies: agencies newly blocked overnight (expected after the 01:00 job) communicated to Distribution.</w:t>
      </w:r>
    </w:p>
    <w:p>
      <w:pPr>
        <w:pStyle w:val="Heading1"/>
        <w:pageBreakBefore/>
        <w:pBdr>
          <w:bottom w:val="single" w:sz="12" w:space="4" w:color="F58220"/>
        </w:pBdr>
      </w:pPr>
      <w:r>
        <w:t>10. Operational Runbooks</w:t>
      </w:r>
    </w:p>
    <w:p>
      <w:pPr>
        <w:keepNext w:val="0"/>
      </w:pPr>
      <w:r>
        <w:rPr>
          <w:b w:val="0"/>
          <w:i w:val="0"/>
        </w:rPr>
        <w:t>Each runbook lists who may run it, the steps and how to verify the result. Run every runbook once in UAT during knowledge transfer. Production commands are run on the VMs through the bastion, under a change ticket unless stated otherwise. The runbooks are written for the Option A deployment on VMs; under Option B the application steps are the same and the infrastructure steps (start and stop, image roll-out, restore, failover) are performed by iorta's managed services on the container service and the managed database, as set out in chapter 12.</w:t>
      </w:r>
    </w:p>
    <w:p>
      <w:pPr>
        <w:pStyle w:val="Heading2"/>
      </w:pPr>
      <w:r>
        <w:t>10.1 R1 Start and stop the service</w:t>
      </w:r>
    </w:p>
    <w:p>
      <w:pPr>
        <w:keepNext w:val="0"/>
      </w:pPr>
      <w:r>
        <w:rPr>
          <w:b w:val="0"/>
          <w:i w:val="0"/>
        </w:rPr>
        <w:t>Planned stop for maintenance, or restart after an infrastructure event. On production run the steps on one application VM at a time so the service stays available.</w:t>
      </w:r>
    </w:p>
    <w:p>
      <w:pPr>
        <w:keepNext w:val="0"/>
        <w:spacing w:after="60"/>
      </w:pPr>
      <w:r>
        <w:rPr>
          <w:b/>
          <w:i w:val="0"/>
        </w:rPr>
        <w:t>Needs:</w:t>
      </w:r>
      <w:r>
        <w:rPr>
          <w:b w:val="0"/>
          <w:i w:val="0"/>
        </w:rPr>
        <w:t xml:space="preserve"> L2 or IITH infrastructure; change ticket for production.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Announce the window if users will be affected.</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Stop: docker compose --env-file .env stop web api (ClamAV can stay up).</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Start: docker compose --env-file .env up -d (starts or recreates containers as needed).</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Wait until docker compose ps shows api and web as healthy (start period 30 s).</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Repeat on the second application VM.</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Database VMs: systemctl stop|start postgresql@16-main (stop the standby last and start the primary first).</w:t>
            </w:r>
          </w:p>
        </w:tc>
      </w:tr>
    </w:tbl>
    <w:p>
      <w:pPr>
        <w:spacing w:after="0" w:before="0"/>
      </w:pPr>
      <w:r>
        <w:rPr>
          <w:sz w:val="8"/>
        </w:rPr>
      </w:r>
    </w:p>
    <w:p>
      <w:pPr>
        <w:keepNext w:val="0"/>
      </w:pPr>
      <w:r>
        <w:rPr>
          <w:b/>
          <w:i w:val="0"/>
        </w:rPr>
        <w:t>Verify:</w:t>
      </w:r>
      <w:r>
        <w:rPr>
          <w:b w:val="0"/>
          <w:i w:val="0"/>
        </w:rPr>
        <w:t xml:space="preserve"> health/ready returns 200 on both VMs; sign in to the back-office; Integration screen shows pending messages draining.</w:t>
      </w:r>
    </w:p>
    <w:p>
      <w:pPr>
        <w:pStyle w:val="ListBullet"/>
      </w:pPr>
      <w:r>
        <w:rPr>
          <w:b w:val="0"/>
          <w:i w:val="0"/>
        </w:rPr>
        <w:t>Stopping the API mid-job is safe: the advisory lock is released and the job runs again at its next schedule; an interrupted EOD can be re-run (R6).</w:t>
      </w:r>
    </w:p>
    <w:p>
      <w:pPr>
        <w:pStyle w:val="Heading2"/>
      </w:pPr>
      <w:r>
        <w:t>10.2 R2 Deploy a release with database migrations</w:t>
      </w:r>
    </w:p>
    <w:p>
      <w:pPr>
        <w:keepNext w:val="0"/>
      </w:pPr>
      <w:r>
        <w:rPr>
          <w:b w:val="0"/>
          <w:i w:val="0"/>
        </w:rPr>
        <w:t>Deploys a release that has passed UAT. Migrations are applied once, before the new containers start; they are backward compatible (expand-and-contract), so old and new containers can run together during the rolling update.</w:t>
      </w:r>
    </w:p>
    <w:p>
      <w:pPr>
        <w:keepNext w:val="0"/>
        <w:spacing w:after="60"/>
      </w:pPr>
      <w:r>
        <w:rPr>
          <w:b/>
          <w:i w:val="0"/>
        </w:rPr>
        <w:t>Needs:</w:t>
      </w:r>
      <w:r>
        <w:rPr>
          <w:b w:val="0"/>
          <w:i w:val="0"/>
        </w:rPr>
        <w:t xml:space="preserve"> L2 with IIFT change approval.</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cd /opt/salesverse/deploy</w:t>
            </w:r>
          </w:p>
          <w:p>
            <w:pPr>
              <w:spacing w:after="0" w:line="240" w:lineRule="auto"/>
            </w:pPr>
            <w:r>
              <w:rPr>
                <w:rFonts w:ascii="Courier New" w:hAnsi="Courier New" w:cs="Courier New" w:eastAsia="Courier New"/>
                <w:sz w:val="16"/>
              </w:rPr>
              <w:t>docker compose --env-file .env run --rm migrate</w:t>
            </w:r>
          </w:p>
          <w:p>
            <w:pPr>
              <w:spacing w:after="0" w:line="240" w:lineRule="auto"/>
            </w:pPr>
            <w:r>
              <w:rPr>
                <w:rFonts w:ascii="Courier New" w:hAnsi="Courier New" w:cs="Courier New" w:eastAsia="Courier New"/>
                <w:sz w:val="16"/>
              </w:rPr>
              <w:t>docker compose --env-file .env up -d api web</w:t>
            </w:r>
          </w:p>
          <w:p>
            <w:pPr>
              <w:spacing w:after="0" w:line="240" w:lineRule="auto"/>
            </w:pPr>
            <w:r>
              <w:rPr>
                <w:rFonts w:ascii="Courier New" w:hAnsi="Courier New" w:cs="Courier New" w:eastAsia="Courier New"/>
                <w:sz w:val="16"/>
              </w:rPr>
              <w:t>docker compose ps</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Confirm IIFT approval, release notes and the rollback criteria.</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Take a backup: pgbackrest --stanza=iift --type=incr backup on the database primary; note the time.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Load the release images (docker compose pull from the IITH registry, or docker load from the release package) and set RELEASE in deploy/.env; the production compose override (delivered during implementation) references the images by this tag.</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Apply migrations and reference data once: docker compose --env-file .env run --rm migrate. Equivalent from a source checkout: cd apps/api &amp;&amp; npm run db:migrate (with DATABASE_URL set to the migration role).</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Check the output ends with 'All migrations have been successfully applied' (or 'No pending migrations').</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VM 1: docker compose --env-file .env up -d api web; wait for healthy; run smoke tests.</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VM 2: same command; wait for healthy.</w:t>
            </w:r>
          </w:p>
        </w:tc>
      </w:tr>
      <w:tr>
        <w:trPr>
          <w:cantSplit/>
        </w:trPr>
        <w:tc>
          <w:tcPr>
            <w:tcW w:type="dxa" w:w="567"/>
            <w:vAlign w:val="top"/>
            <w:shd w:val="clear" w:color="auto" w:fill="FDF0F7"/>
          </w:tcPr>
          <w:p>
            <w:pPr>
              <w:spacing w:after="20" w:line="252" w:lineRule="auto"/>
              <w:jc w:val="center"/>
            </w:pPr>
            <w:r>
              <w:rPr>
                <w:b w:val="0"/>
                <w:i w:val="0"/>
                <w:sz w:val="17"/>
              </w:rPr>
              <w:t>8</w:t>
            </w:r>
          </w:p>
        </w:tc>
        <w:tc>
          <w:tcPr>
            <w:tcW w:type="dxa" w:w="9071"/>
            <w:vAlign w:val="top"/>
            <w:shd w:val="clear" w:color="auto" w:fill="FDF0F7"/>
          </w:tcPr>
          <w:p>
            <w:pPr>
              <w:spacing w:after="20" w:line="252" w:lineRule="auto"/>
            </w:pPr>
            <w:r>
              <w:rPr>
                <w:b w:val="0"/>
                <w:i w:val="0"/>
                <w:sz w:val="17"/>
              </w:rPr>
              <w:t>Smoke tests: sign in to portal and back-office, open a policy, calculate a quotation, open End of day and Integration screens, download a document.</w:t>
            </w:r>
          </w:p>
        </w:tc>
      </w:tr>
      <w:tr>
        <w:trPr>
          <w:cantSplit/>
        </w:trPr>
        <w:tc>
          <w:tcPr>
            <w:tcW w:type="dxa" w:w="567"/>
            <w:vAlign w:val="top"/>
          </w:tcPr>
          <w:p>
            <w:pPr>
              <w:spacing w:after="20" w:line="252" w:lineRule="auto"/>
              <w:jc w:val="center"/>
            </w:pPr>
            <w:r>
              <w:rPr>
                <w:b w:val="0"/>
                <w:i w:val="0"/>
                <w:sz w:val="17"/>
              </w:rPr>
              <w:t>9</w:t>
            </w:r>
          </w:p>
        </w:tc>
        <w:tc>
          <w:tcPr>
            <w:tcW w:type="dxa" w:w="9071"/>
            <w:vAlign w:val="top"/>
          </w:tcPr>
          <w:p>
            <w:pPr>
              <w:spacing w:after="20" w:line="252" w:lineRule="auto"/>
            </w:pPr>
            <w:r>
              <w:rPr>
                <w:b w:val="0"/>
                <w:i w:val="0"/>
                <w:sz w:val="17"/>
              </w:rPr>
              <w:t>Record the release, time and result on the change ticket; publish release notes.</w:t>
            </w:r>
          </w:p>
        </w:tc>
      </w:tr>
    </w:tbl>
    <w:p>
      <w:pPr>
        <w:spacing w:after="0" w:before="0"/>
      </w:pPr>
      <w:r>
        <w:rPr>
          <w:sz w:val="8"/>
        </w:rPr>
      </w:r>
    </w:p>
    <w:p>
      <w:pPr>
        <w:keepNext w:val="0"/>
      </w:pPr>
      <w:r>
        <w:rPr>
          <w:b/>
          <w:i w:val="0"/>
        </w:rPr>
        <w:t>Verify:</w:t>
      </w:r>
      <w:r>
        <w:rPr>
          <w:b w:val="0"/>
          <w:i w:val="0"/>
        </w:rPr>
        <w:t xml:space="preserve"> The version in the release notes matches the running images (docker compose images); no new errors in logs for 30 minutes.</w:t>
      </w:r>
    </w:p>
    <w:p>
      <w:pPr>
        <w:pStyle w:val="Heading2"/>
      </w:pPr>
      <w:r>
        <w:t>10.3 R3 Roll back a release</w:t>
      </w:r>
    </w:p>
    <w:p>
      <w:pPr>
        <w:keepNext w:val="0"/>
      </w:pPr>
      <w:r>
        <w:rPr>
          <w:b w:val="0"/>
          <w:i w:val="0"/>
        </w:rPr>
        <w:t>Returns to the previous release when the go/no-go check fails or a serious defect appears after release.</w:t>
      </w:r>
    </w:p>
    <w:p>
      <w:pPr>
        <w:keepNext w:val="0"/>
        <w:spacing w:after="60"/>
      </w:pPr>
      <w:r>
        <w:rPr>
          <w:b/>
          <w:i w:val="0"/>
        </w:rPr>
        <w:t>Needs:</w:t>
      </w:r>
      <w:r>
        <w:rPr>
          <w:b w:val="0"/>
          <w:i w:val="0"/>
        </w:rPr>
        <w:t xml:space="preserve"> L2 with the IIFT application owner.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Decide with the IIFT application owner using the rollback criteria in the release notes.</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Set RELEASE back to the previous tag in deploy/.env and run docker compose --env-file .env up -d api web on each VM in turn.</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Do not reverse migrations: the previous release runs on the expanded schema.</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If a migration failed part-way, Prisma marks it failed: fix the cause, then run npx prisma migrate resolve --rolled-back &lt;migration&gt; before re-applying, or restore (R5) if data was changed.</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Restore the database (R5) only if the release corrupted data; this needs IIFT approval because transactions after the restore point are lost.</w:t>
            </w:r>
          </w:p>
        </w:tc>
      </w:tr>
    </w:tbl>
    <w:p>
      <w:pPr>
        <w:spacing w:after="0" w:before="0"/>
      </w:pPr>
      <w:r>
        <w:rPr>
          <w:sz w:val="8"/>
        </w:rPr>
      </w:r>
    </w:p>
    <w:p>
      <w:pPr>
        <w:keepNext w:val="0"/>
      </w:pPr>
      <w:r>
        <w:rPr>
          <w:b/>
          <w:i w:val="0"/>
        </w:rPr>
        <w:t>Verify:</w:t>
      </w:r>
      <w:r>
        <w:rPr>
          <w:b w:val="0"/>
          <w:i w:val="0"/>
        </w:rPr>
        <w:t xml:space="preserve"> Smoke tests from R2 pass on the previous version.</w:t>
      </w:r>
    </w:p>
    <w:p>
      <w:pPr>
        <w:pStyle w:val="Heading2"/>
      </w:pPr>
      <w:r>
        <w:t>10.4 R4 Rotate secrets and keys</w:t>
      </w:r>
    </w:p>
    <w:p>
      <w:pPr>
        <w:keepNext w:val="0"/>
      </w:pPr>
      <w:r>
        <w:rPr>
          <w:b w:val="0"/>
          <w:i w:val="0"/>
        </w:rPr>
        <w:t>Scheduled rotation (yearly or on staff change) or emergency rotation after suspected exposure. Secrets are held in the vault and injected as environment variables; containers read them at start.</w:t>
      </w:r>
    </w:p>
    <w:p>
      <w:pPr>
        <w:keepNext w:val="0"/>
        <w:spacing w:after="60"/>
      </w:pPr>
      <w:r>
        <w:rPr>
          <w:b/>
          <w:i w:val="0"/>
        </w:rPr>
        <w:t>Needs:</w:t>
      </w:r>
      <w:r>
        <w:rPr>
          <w:b w:val="0"/>
          <w:i w:val="0"/>
        </w:rPr>
        <w:t xml:space="preserve"> L2 with IITH security; emergency rotation can start before CAB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SESSION_SECRET: generate (openssl rand -hex 32), update the vault, restart api on both VMs; every user must sign in again, so do it in a quiet period.</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INBOUND_API_KEY_SHA256: generate a key (openssl rand -base64 32), compute its hash (printf '%s' "$KEY" | sha256sum), agree a cut-over time with IITH, update the hash and restart api, then give the new key to the Core and FIN teams. Only one key is valid at a time.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Outbound API keys, SMTP and LDAP passwords: obtain the new value from the provider, update the vault, restart api, check the Integration screen and send a test e-mail.</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Database passwords: ALTER ROLE ... PASSWORD on the primary, update DATABASE_URL in the vault, restart api VM by VM.</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METRICS_TOKEN: update the vault and the Prometheus scrape configuration together.</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FIELD_ENCRYPTION_KEY, FIELD_HASH_KEY, DOCUMENT_ENCRYPTION_KEY: never change by editing the variable; existing data would become unreadable. Rotation uses the re-encryption tool delivered during implementation, under a dedicated change with a fresh backup.</w:t>
            </w:r>
          </w:p>
        </w:tc>
      </w:tr>
    </w:tbl>
    <w:p>
      <w:pPr>
        <w:spacing w:after="0" w:before="0"/>
      </w:pPr>
      <w:r>
        <w:rPr>
          <w:sz w:val="8"/>
        </w:rPr>
      </w:r>
    </w:p>
    <w:p>
      <w:pPr>
        <w:keepNext w:val="0"/>
      </w:pPr>
      <w:r>
        <w:rPr>
          <w:b/>
          <w:i w:val="0"/>
        </w:rPr>
        <w:t>Verify:</w:t>
      </w:r>
      <w:r>
        <w:rPr>
          <w:b w:val="0"/>
          <w:i w:val="0"/>
        </w:rPr>
        <w:t xml:space="preserve"> Sign-in works; integration calls succeed; /metrics scraped; audit trail shows normal activity.</w:t>
      </w:r>
    </w:p>
    <w:p>
      <w:pPr>
        <w:pStyle w:val="Heading2"/>
      </w:pPr>
      <w:r>
        <w:t>10.5 R5 Restore from backup</w:t>
      </w:r>
    </w:p>
    <w:p>
      <w:pPr>
        <w:keepNext w:val="0"/>
      </w:pPr>
      <w:r>
        <w:rPr>
          <w:b w:val="0"/>
          <w:i w:val="0"/>
        </w:rPr>
        <w:t>Recovers the database to a point in time after data loss or corruption, or rebuilds a server.</w:t>
      </w:r>
    </w:p>
    <w:p>
      <w:pPr>
        <w:keepNext w:val="0"/>
        <w:spacing w:after="60"/>
      </w:pPr>
      <w:r>
        <w:rPr>
          <w:b/>
          <w:i w:val="0"/>
        </w:rPr>
        <w:t>Needs:</w:t>
      </w:r>
      <w:r>
        <w:rPr>
          <w:b w:val="0"/>
          <w:i w:val="0"/>
        </w:rPr>
        <w:t xml:space="preserve"> IITH infrastructure runs the restore; L2 verifies; IIFT approves.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Agree the target time with IIFT (the last good moment) and record it.</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Stop the API on both VMs (R1) so nothing writes during the restore.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On the database host: systemctl stop postgresql@16-main.</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Restore: pgbackrest --stanza=iift --delta --type=time "--target=2026-11-05 10:42:00+08" --target-action=promote restore.</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Start PostgreSQL and wait for recovery to finish (pg_is_in_recovery() returns false).</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Re-create the standby from the new primary (pgbackrest restore --type=standby on the standby host).</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Documents: restore the document store to the same point from the document backup if files were lost.</w:t>
            </w:r>
          </w:p>
        </w:tc>
      </w:tr>
      <w:tr>
        <w:trPr>
          <w:cantSplit/>
        </w:trPr>
        <w:tc>
          <w:tcPr>
            <w:tcW w:type="dxa" w:w="567"/>
            <w:vAlign w:val="top"/>
            <w:shd w:val="clear" w:color="auto" w:fill="FDF0F7"/>
          </w:tcPr>
          <w:p>
            <w:pPr>
              <w:spacing w:after="20" w:line="252" w:lineRule="auto"/>
              <w:jc w:val="center"/>
            </w:pPr>
            <w:r>
              <w:rPr>
                <w:b w:val="0"/>
                <w:i w:val="0"/>
                <w:sz w:val="17"/>
              </w:rPr>
              <w:t>8</w:t>
            </w:r>
          </w:p>
        </w:tc>
        <w:tc>
          <w:tcPr>
            <w:tcW w:type="dxa" w:w="9071"/>
            <w:vAlign w:val="top"/>
            <w:shd w:val="clear" w:color="auto" w:fill="FDF0F7"/>
          </w:tcPr>
          <w:p>
            <w:pPr>
              <w:spacing w:after="20" w:line="252" w:lineRule="auto"/>
            </w:pPr>
            <w:r>
              <w:rPr>
                <w:b w:val="0"/>
                <w:i w:val="0"/>
                <w:sz w:val="17"/>
              </w:rPr>
              <w:t>Start the API (R1) and reconcile: counts of policies, receipts and payments for the affected days; re-run EOD for affected dates (R6).</w:t>
            </w:r>
          </w:p>
        </w:tc>
      </w:tr>
      <w:tr>
        <w:trPr>
          <w:cantSplit/>
        </w:trPr>
        <w:tc>
          <w:tcPr>
            <w:tcW w:type="dxa" w:w="567"/>
            <w:vAlign w:val="top"/>
          </w:tcPr>
          <w:p>
            <w:pPr>
              <w:spacing w:after="20" w:line="252" w:lineRule="auto"/>
              <w:jc w:val="center"/>
            </w:pPr>
            <w:r>
              <w:rPr>
                <w:b w:val="0"/>
                <w:i w:val="0"/>
                <w:sz w:val="17"/>
              </w:rPr>
              <w:t>9</w:t>
            </w:r>
          </w:p>
        </w:tc>
        <w:tc>
          <w:tcPr>
            <w:tcW w:type="dxa" w:w="9071"/>
            <w:vAlign w:val="top"/>
          </w:tcPr>
          <w:p>
            <w:pPr>
              <w:spacing w:after="20" w:line="252" w:lineRule="auto"/>
            </w:pPr>
            <w:r>
              <w:rPr>
                <w:b w:val="0"/>
                <w:i w:val="0"/>
                <w:sz w:val="17"/>
              </w:rPr>
              <w:t>Outbox messages created before the target but delivered after it are sent again; receivers ignore them by Idempotency-Key. Check the Integration screen for DEAD messages.</w:t>
            </w:r>
          </w:p>
        </w:tc>
      </w:tr>
    </w:tbl>
    <w:p>
      <w:pPr>
        <w:spacing w:after="0" w:before="0"/>
      </w:pPr>
      <w:r>
        <w:rPr>
          <w:sz w:val="8"/>
        </w:rPr>
      </w:r>
    </w:p>
    <w:p>
      <w:pPr>
        <w:keepNext w:val="0"/>
      </w:pPr>
      <w:r>
        <w:rPr>
          <w:b/>
          <w:i w:val="0"/>
        </w:rPr>
        <w:t>Verify:</w:t>
      </w:r>
      <w:r>
        <w:rPr>
          <w:b w:val="0"/>
          <w:i w:val="0"/>
        </w:rPr>
        <w:t xml:space="preserve"> Application readiness, reconciliation of counts with IIFT, EOD and reconciliation MATCHED.</w:t>
      </w:r>
    </w:p>
    <w:p>
      <w:pPr>
        <w:pStyle w:val="ListBullet"/>
      </w:pPr>
      <w:r>
        <w:rPr>
          <w:b w:val="0"/>
          <w:i w:val="0"/>
        </w:rPr>
        <w:t>For DEV, SIT and UAT (compose database): docker compose exec db pg_dump -U iift -Fc iift &gt; backup.dump and pg_restore --clean -d iift backup.dump.</w:t>
      </w:r>
    </w:p>
    <w:p>
      <w:pPr>
        <w:pStyle w:val="Heading2"/>
      </w:pPr>
      <w:r>
        <w:t>10.6 R6 Re-run end-of-day</w:t>
      </w:r>
    </w:p>
    <w:p>
      <w:pPr>
        <w:keepNext w:val="0"/>
      </w:pPr>
      <w:r>
        <w:rPr>
          <w:b w:val="0"/>
          <w:i w:val="0"/>
        </w:rPr>
        <w:t>Runs EOD again for a business date after a failure, after late corrections, or after a restore.</w:t>
      </w:r>
    </w:p>
    <w:p>
      <w:pPr>
        <w:keepNext w:val="0"/>
        <w:spacing w:after="60"/>
      </w:pPr>
      <w:r>
        <w:rPr>
          <w:b/>
          <w:i w:val="0"/>
        </w:rPr>
        <w:t>Needs:</w:t>
      </w:r>
      <w:r>
        <w:rPr>
          <w:b w:val="0"/>
          <w:i w:val="0"/>
        </w:rPr>
        <w:t xml:space="preserve"> Finance officer or L2 with bo.eod.run.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Back-office &gt; End of day: check the run for the date (status, error message).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Fix the cause shown in the error message or logs (search 'EOD' in the API log for that night).</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Choose Run, enter the business date (YYYY-MM-DD) and confirm. API: POST /api/v1/backoffice/eod with {"businessDate": "2026-11-04"}.</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The run refuses future dates, and refuses a date whose run started less than 30 minutes ago and is still RUNNING.</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The run for the date is updated in place with new totals, report and FIN file; reconciliation runs again.</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The new EOD_POSTING carries the next revision number, the idempotency key EOD-&lt;date&gt;-R&lt;n&gt; and replacesPreviousRevision=true when an earlier revision was sent, so FIN replaces the earlier revision for the date and ignores a repeated delivery of the same one.</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Tell Finance which revision was sent for the date.</w:t>
            </w:r>
          </w:p>
        </w:tc>
      </w:tr>
    </w:tbl>
    <w:p>
      <w:pPr>
        <w:spacing w:after="0" w:before="0"/>
      </w:pPr>
      <w:r>
        <w:rPr>
          <w:sz w:val="8"/>
        </w:rPr>
      </w:r>
    </w:p>
    <w:p>
      <w:pPr>
        <w:keepNext w:val="0"/>
      </w:pPr>
      <w:r>
        <w:rPr>
          <w:b/>
          <w:i w:val="0"/>
        </w:rPr>
        <w:t>Verify:</w:t>
      </w:r>
      <w:r>
        <w:rPr>
          <w:b w:val="0"/>
          <w:i w:val="0"/>
        </w:rPr>
        <w:t xml:space="preserve"> Status COMPLETED; totals match the policy and collection reports for the date; reconciliation MATCHED or explained.</w:t>
      </w:r>
    </w:p>
    <w:p>
      <w:pPr>
        <w:pStyle w:val="Heading2"/>
      </w:pPr>
      <w:r>
        <w:t>10.7 R7 Retry integration messages</w:t>
      </w:r>
    </w:p>
    <w:p>
      <w:pPr>
        <w:keepNext w:val="0"/>
      </w:pPr>
      <w:r>
        <w:rPr>
          <w:b w:val="0"/>
          <w:i w:val="0"/>
        </w:rPr>
        <w:t>Clears dead-letter messages after the cause has been fixed (receiver down, credentials expired, data rejected).</w:t>
      </w:r>
    </w:p>
    <w:p>
      <w:pPr>
        <w:keepNext w:val="0"/>
        <w:spacing w:after="60"/>
      </w:pPr>
      <w:r>
        <w:rPr>
          <w:b/>
          <w:i w:val="0"/>
        </w:rPr>
        <w:t>Needs:</w:t>
      </w:r>
      <w:r>
        <w:rPr>
          <w:b w:val="0"/>
          <w:i w:val="0"/>
        </w:rPr>
        <w:t xml:space="preserve"> L2 or Finance with bo.integration.manage.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 List dead-letter messages (read-only)</w:t>
            </w:r>
          </w:p>
          <w:p>
            <w:pPr>
              <w:spacing w:after="0" w:line="240" w:lineRule="auto"/>
            </w:pPr>
            <w:r>
              <w:rPr>
                <w:rFonts w:ascii="Courier New" w:hAnsi="Courier New" w:cs="Courier New" w:eastAsia="Courier New"/>
                <w:sz w:val="16"/>
              </w:rPr>
              <w:t>SELECT id, system, operation, attempts, last_error, created_at</w:t>
            </w:r>
          </w:p>
          <w:p>
            <w:pPr>
              <w:spacing w:after="0" w:line="240" w:lineRule="auto"/>
            </w:pPr>
            <w:r>
              <w:rPr>
                <w:rFonts w:ascii="Courier New" w:hAnsi="Courier New" w:cs="Courier New" w:eastAsia="Courier New"/>
                <w:sz w:val="16"/>
              </w:rPr>
              <w:t>FROM outbox_message WHERE status = 'DEAD' ORDER BY created_at;</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Back-office &gt; Integration: filter status DEAD; open the message; read last_error and the integration log entries.</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Fix the cause first: receiver available, credentials valid, or the data corrected in the source record.</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Select Retry (POST /api/v1/backoffice/integration/outbox/{id}/retry). The message returns to PENDING with attempts reset and is sent within 20 seconds.</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For many messages after an outage, retry in creation order so events for one record stay in order.</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A message rejected with HTTP 4xx will fail again unless its payload is valid for the receiver; raise a problem record with the receiving team.</w:t>
            </w:r>
          </w:p>
        </w:tc>
      </w:tr>
    </w:tbl>
    <w:p>
      <w:pPr>
        <w:spacing w:after="0" w:before="0"/>
      </w:pPr>
      <w:r>
        <w:rPr>
          <w:sz w:val="8"/>
        </w:rPr>
      </w:r>
    </w:p>
    <w:p>
      <w:pPr>
        <w:keepNext w:val="0"/>
      </w:pPr>
      <w:r>
        <w:rPr>
          <w:b/>
          <w:i w:val="0"/>
        </w:rPr>
        <w:t>Verify:</w:t>
      </w:r>
      <w:r>
        <w:rPr>
          <w:b w:val="0"/>
          <w:i w:val="0"/>
        </w:rPr>
        <w:t xml:space="preserve"> Message status SENT; integration log shows success; the receiving system confirms.</w:t>
      </w:r>
    </w:p>
    <w:p>
      <w:pPr>
        <w:pStyle w:val="Heading2"/>
      </w:pPr>
      <w:r>
        <w:t>10.8 R8 Unlock a user or reset a password</w:t>
      </w:r>
    </w:p>
    <w:p>
      <w:pPr>
        <w:keepNext w:val="0"/>
      </w:pPr>
      <w:r>
        <w:rPr>
          <w:b w:val="0"/>
          <w:i w:val="0"/>
        </w:rPr>
        <w:t>A user is locked after repeated failed sign-ins (5 attempts, 30 minutes by default) or has forgotten the password.</w:t>
      </w:r>
    </w:p>
    <w:p>
      <w:pPr>
        <w:keepNext w:val="0"/>
        <w:spacing w:after="60"/>
      </w:pPr>
      <w:r>
        <w:rPr>
          <w:b/>
          <w:i w:val="0"/>
        </w:rPr>
        <w:t>Needs:</w:t>
      </w:r>
      <w:r>
        <w:rPr>
          <w:b w:val="0"/>
          <w:i w:val="0"/>
        </w:rPr>
        <w:t xml:space="preserve"> IIFT administrator (L1) with bo.users.manage; an administrator cannot reset their own password this way.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Verify the caller's identity with the IIFT procedure (call-back to the registered number).</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Back-office &gt; Users: find the user. Status LOCKED: choose Unlock (POST /api/v1/backoffice/users/{id}/unlock). The lock also clears itself when the period ends.</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Forgotten password: choose Reset password. A temporary password is shown once to the administrator; give it to the user through a separate channel. The user must change it at sign-in, and all the user's sessions are ended.</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DISABLED users are re-activated, not unlocked. Directory (AD) users are unlocked and reset in Active Directory, not in the application.</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Repeated lockouts for one account: check the audit trail (LOGIN_FAILED, ACCOUNT_LOCKED) for signs of an attack and inform IIFT IT security.</w:t>
            </w:r>
          </w:p>
        </w:tc>
      </w:tr>
    </w:tbl>
    <w:p>
      <w:pPr>
        <w:spacing w:after="0" w:before="0"/>
      </w:pPr>
      <w:r>
        <w:rPr>
          <w:sz w:val="8"/>
        </w:rPr>
      </w:r>
    </w:p>
    <w:p>
      <w:pPr>
        <w:keepNext w:val="0"/>
      </w:pPr>
      <w:r>
        <w:rPr>
          <w:b/>
          <w:i w:val="0"/>
        </w:rPr>
        <w:t>Verify:</w:t>
      </w:r>
      <w:r>
        <w:rPr>
          <w:b w:val="0"/>
          <w:i w:val="0"/>
        </w:rPr>
        <w:t xml:space="preserve"> The user signs in; audit trail shows USER_UNLOCKED or USER_PASSWORD_RESET.</w:t>
      </w:r>
    </w:p>
    <w:p>
      <w:pPr>
        <w:pStyle w:val="Heading2"/>
      </w:pPr>
      <w:r>
        <w:t>10.9 R9 Lift an agency issuance block</w:t>
      </w:r>
    </w:p>
    <w:p>
      <w:pPr>
        <w:keepNext w:val="0"/>
      </w:pPr>
      <w:r>
        <w:rPr>
          <w:b w:val="0"/>
          <w:i w:val="0"/>
        </w:rPr>
        <w:t>The 01:00 job blocks an agency's new business when an issued policy is unpaid past its due date, and lifts the block automatically once nothing is overdue. A manual lift is for payments made outside the portal or agreed exceptions.</w:t>
      </w:r>
    </w:p>
    <w:p>
      <w:pPr>
        <w:keepNext w:val="0"/>
        <w:spacing w:after="60"/>
      </w:pPr>
      <w:r>
        <w:rPr>
          <w:b/>
          <w:i w:val="0"/>
        </w:rPr>
        <w:t>Needs:</w:t>
      </w:r>
      <w:r>
        <w:rPr>
          <w:b w:val="0"/>
          <w:i w:val="0"/>
        </w:rPr>
        <w:t xml:space="preserve"> Operations or Finance with bo.agencies.manage, with IIFT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Back-office &gt; Agencies: open the agency; read the block reason (number of overdue policies, amount).</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Preferred: have the agency submit the payment and Finance verify it; the block lifts at the next 01:00 run.</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If a manual lift is approved by IIFT, choose Lift block and enter the reason and approval reference (POST /api/v1/backoffice/agencies/{id}/lift-block).</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Make sure the overdue policies are paid before 01:00; otherwise the job re-applies the block.</w:t>
            </w:r>
          </w:p>
        </w:tc>
      </w:tr>
    </w:tbl>
    <w:p>
      <w:pPr>
        <w:spacing w:after="0" w:before="0"/>
      </w:pPr>
      <w:r>
        <w:rPr>
          <w:sz w:val="8"/>
        </w:rPr>
      </w:r>
    </w:p>
    <w:p>
      <w:pPr>
        <w:keepNext w:val="0"/>
      </w:pPr>
      <w:r>
        <w:rPr>
          <w:b/>
          <w:i w:val="0"/>
        </w:rPr>
        <w:t>Verify:</w:t>
      </w:r>
      <w:r>
        <w:rPr>
          <w:b w:val="0"/>
          <w:i w:val="0"/>
        </w:rPr>
        <w:t xml:space="preserve"> Agency shows issuance not blocked; agents can submit; audit trail shows AGENCY_BLOCK_LIFTED with the reason.</w:t>
      </w:r>
    </w:p>
    <w:p>
      <w:pPr>
        <w:pStyle w:val="Heading2"/>
      </w:pPr>
      <w:r>
        <w:t>10.10 R10 Replace an AML watch-list</w:t>
      </w:r>
    </w:p>
    <w:p>
      <w:pPr>
        <w:keepNext w:val="0"/>
      </w:pPr>
      <w:r>
        <w:rPr>
          <w:b w:val="0"/>
          <w:i w:val="0"/>
        </w:rPr>
        <w:t>Loads a new version of a sanctions, PEP or internal list from Compliance.</w:t>
      </w:r>
    </w:p>
    <w:p>
      <w:pPr>
        <w:keepNext w:val="0"/>
        <w:spacing w:after="60"/>
      </w:pPr>
      <w:r>
        <w:rPr>
          <w:b/>
          <w:i w:val="0"/>
        </w:rPr>
        <w:t>Needs:</w:t>
      </w:r>
      <w:r>
        <w:rPr>
          <w:b w:val="0"/>
          <w:i w:val="0"/>
        </w:rPr>
        <w:t xml:space="preserve"> Compliance officer with bo.aml.review.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Prepare a UTF-8 CSV whose first line is exactly: list_name,full_name,id_number,country,reference. list_name and full_name are mandatory; up to 20,000 entries per file.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Back-office &gt; AML &gt; Watch-list &gt; Import; choose the file and tick 'Replace list' (replaceList=true): entries of the lists named in the file are deactivated and the file's entries become the active list. Without the option, entries are added.</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Import runs in one transaction: a format error rejects the whole file with the line number.</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Spot-check: search the watch-list for a few new names.</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Screening is applied to new registrations and name changes from now on; re-screening of existing agents and participants against a new list is requested from L2 as a service request.</w:t>
            </w:r>
          </w:p>
        </w:tc>
      </w:tr>
    </w:tbl>
    <w:p>
      <w:pPr>
        <w:spacing w:after="0" w:before="0"/>
      </w:pPr>
      <w:r>
        <w:rPr>
          <w:sz w:val="8"/>
        </w:rPr>
      </w:r>
    </w:p>
    <w:p>
      <w:pPr>
        <w:keepNext w:val="0"/>
      </w:pPr>
      <w:r>
        <w:rPr>
          <w:b/>
          <w:i w:val="0"/>
        </w:rPr>
        <w:t>Verify:</w:t>
      </w:r>
      <w:r>
        <w:rPr>
          <w:b w:val="0"/>
          <w:i w:val="0"/>
        </w:rPr>
        <w:t xml:space="preserve"> Import result shows the expected count; audit trail shows WATCHLIST_IMPORTED with the list names and count.</w:t>
      </w:r>
    </w:p>
    <w:p>
      <w:pPr>
        <w:pStyle w:val="Heading2"/>
      </w:pPr>
      <w:r>
        <w:t>10.11 R11 Apply a product rate change</w:t>
      </w:r>
    </w:p>
    <w:p>
      <w:pPr>
        <w:keepNext w:val="0"/>
      </w:pPr>
      <w:r>
        <w:rPr>
          <w:b w:val="0"/>
          <w:i w:val="0"/>
        </w:rPr>
        <w:t>Changes rates, plans, limits or questionnaire for a product, for example when IIFT actuarial issues new rates.</w:t>
      </w:r>
    </w:p>
    <w:p>
      <w:pPr>
        <w:keepNext w:val="0"/>
        <w:spacing w:after="60"/>
      </w:pPr>
      <w:r>
        <w:rPr>
          <w:b/>
          <w:i w:val="0"/>
        </w:rPr>
        <w:t>Needs:</w:t>
      </w:r>
      <w:r>
        <w:rPr>
          <w:b w:val="0"/>
          <w:i w:val="0"/>
        </w:rPr>
        <w:t xml:space="preserve"> System administrator with bo.products.manage, with IIFT actuarial sign-off.</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Receive the signed rate change from IIFT actuarial with its effective date.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In UAT: Back-office &gt; Products: edit the product configuration; save. The rating engine validates the configuration and names the exact field if a value is invalid.</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Quote test cases agreed with actuarial in UAT and compare with their expected contributions; obtain sign-off.</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In production, on the effective date and after that day's EOD: apply the same change (second person checks the values against the signed sheet).</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From then on new quotations use the new rates. Drafts saved earlier are re-rated at submission, so agents see the new contribution when they submit; inform Distribution beforehand.</w:t>
            </w:r>
          </w:p>
        </w:tc>
      </w:tr>
    </w:tbl>
    <w:p>
      <w:pPr>
        <w:spacing w:after="0" w:before="0"/>
      </w:pPr>
      <w:r>
        <w:rPr>
          <w:sz w:val="8"/>
        </w:rPr>
      </w:r>
    </w:p>
    <w:p>
      <w:pPr>
        <w:keepNext w:val="0"/>
      </w:pPr>
      <w:r>
        <w:rPr>
          <w:b/>
          <w:i w:val="0"/>
        </w:rPr>
        <w:t>Verify:</w:t>
      </w:r>
      <w:r>
        <w:rPr>
          <w:b w:val="0"/>
          <w:i w:val="0"/>
        </w:rPr>
        <w:t xml:space="preserve"> Audit trail shows PRODUCT_UPDATED with before and after values; a test quotation in production gives the expected contribution and is then discarded.</w:t>
      </w:r>
    </w:p>
    <w:p>
      <w:pPr>
        <w:pStyle w:val="ListBullet"/>
      </w:pPr>
      <w:r>
        <w:rPr>
          <w:b w:val="0"/>
          <w:i w:val="0"/>
        </w:rPr>
        <w:t>Product changes are not routed through maker-checker in the application; the two-person check above is the control until an approval type for products is added.</w:t>
      </w:r>
    </w:p>
    <w:p>
      <w:pPr>
        <w:pStyle w:val="Heading2"/>
      </w:pPr>
      <w:r>
        <w:t>10.12 R12 Investigate an error reported by a user</w:t>
      </w:r>
    </w:p>
    <w:p>
      <w:pPr>
        <w:keepNext w:val="0"/>
      </w:pPr>
      <w:r>
        <w:rPr>
          <w:b w:val="0"/>
          <w:i w:val="0"/>
        </w:rPr>
        <w:t>A user quotes the reference shown on an error message.</w:t>
      </w:r>
    </w:p>
    <w:p>
      <w:pPr>
        <w:keepNext w:val="0"/>
        <w:spacing w:after="60"/>
      </w:pPr>
      <w:r>
        <w:rPr>
          <w:b/>
          <w:i w:val="0"/>
        </w:rPr>
        <w:t>Needs:</w:t>
      </w:r>
      <w:r>
        <w:rPr>
          <w:b w:val="0"/>
          <w:i w:val="0"/>
        </w:rPr>
        <w:t xml:space="preserve"> L1 for business-rule messages; L2 for logs and database.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SELECT occurred_at, actor_name, action, entity_type, entity_id</w:t>
            </w:r>
          </w:p>
          <w:p>
            <w:pPr>
              <w:spacing w:after="0" w:line="240" w:lineRule="auto"/>
            </w:pPr>
            <w:r>
              <w:rPr>
                <w:rFonts w:ascii="Courier New" w:hAnsi="Courier New" w:cs="Courier New" w:eastAsia="Courier New"/>
                <w:sz w:val="16"/>
              </w:rPr>
              <w:t>FROM audit_log WHERE correlation_id = '6f1c2a9e-0d1b-4f6e-9a55-3b7e2c1d4a10';</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Search the logs for the reference (correlation id) over the time of the error.</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Read the error entry (stack trace for 500 errors) and the request line (URL, status, user).</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Check audit_log and outbox_message for the same correlation_id to see what was committed.</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4xx errors with a code (for example AGENCY_BLOCKED, SUBMISSION_INCOMPLETE) are business rules: explain the message and details to the user.</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500 errors: open an incident with the stack trace and steps to reproduce.</w:t>
            </w:r>
          </w:p>
        </w:tc>
      </w:tr>
    </w:tbl>
    <w:p>
      <w:pPr>
        <w:spacing w:after="0" w:before="0"/>
      </w:pPr>
      <w:r>
        <w:rPr>
          <w:sz w:val="8"/>
        </w:rPr>
      </w:r>
    </w:p>
    <w:p>
      <w:pPr>
        <w:pStyle w:val="Heading1"/>
        <w:pageBreakBefore/>
        <w:pBdr>
          <w:bottom w:val="single" w:sz="12" w:space="4" w:color="F58220"/>
        </w:pBdr>
      </w:pPr>
      <w:r>
        <w:t>11. Backup and Disaster Recovery</w:t>
      </w:r>
    </w:p>
    <w:p>
      <w:pPr>
        <w:pStyle w:val="Heading2"/>
      </w:pPr>
      <w:r>
        <w:t>11.1 Backup schedule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3742"/>
        <w:gridCol w:w="1701"/>
        <w:gridCol w:w="2381"/>
      </w:tblGrid>
      <w:tr>
        <w:trPr>
          <w:cantSplit/>
          <w:tblHeader/>
        </w:trPr>
        <w:tc>
          <w:tcPr>
            <w:tcW w:type="dxa" w:w="1814"/>
            <w:shd w:val="clear" w:color="auto" w:fill="E1058C"/>
            <w:vAlign w:val="center"/>
          </w:tcPr>
          <w:p>
            <w:pPr>
              <w:spacing w:after="0"/>
            </w:pPr>
            <w:r>
              <w:rPr>
                <w:b/>
                <w:i w:val="0"/>
                <w:color w:val="FFFFFF"/>
                <w:sz w:val="17"/>
              </w:rPr>
              <w:t>What</w:t>
            </w:r>
          </w:p>
        </w:tc>
        <w:tc>
          <w:tcPr>
            <w:tcW w:type="dxa" w:w="3742"/>
            <w:shd w:val="clear" w:color="auto" w:fill="E1058C"/>
            <w:vAlign w:val="center"/>
          </w:tcPr>
          <w:p>
            <w:pPr>
              <w:spacing w:after="0"/>
            </w:pPr>
            <w:r>
              <w:rPr>
                <w:b/>
                <w:i w:val="0"/>
                <w:color w:val="FFFFFF"/>
                <w:sz w:val="17"/>
              </w:rPr>
              <w:t>How</w:t>
            </w:r>
          </w:p>
        </w:tc>
        <w:tc>
          <w:tcPr>
            <w:tcW w:type="dxa" w:w="1701"/>
            <w:shd w:val="clear" w:color="auto" w:fill="E1058C"/>
            <w:vAlign w:val="center"/>
          </w:tcPr>
          <w:p>
            <w:pPr>
              <w:spacing w:after="0"/>
            </w:pPr>
            <w:r>
              <w:rPr>
                <w:b/>
                <w:i w:val="0"/>
                <w:color w:val="FFFFFF"/>
                <w:sz w:val="17"/>
              </w:rPr>
              <w:t>When</w:t>
            </w:r>
          </w:p>
        </w:tc>
        <w:tc>
          <w:tcPr>
            <w:tcW w:type="dxa" w:w="2381"/>
            <w:shd w:val="clear" w:color="auto" w:fill="E1058C"/>
            <w:vAlign w:val="center"/>
          </w:tcPr>
          <w:p>
            <w:pPr>
              <w:spacing w:after="0"/>
            </w:pPr>
            <w:r>
              <w:rPr>
                <w:b/>
                <w:i w:val="0"/>
                <w:color w:val="FFFFFF"/>
                <w:sz w:val="17"/>
              </w:rPr>
              <w:t>Retention</w:t>
            </w:r>
          </w:p>
        </w:tc>
      </w:tr>
      <w:tr>
        <w:trPr>
          <w:cantSplit/>
        </w:trPr>
        <w:tc>
          <w:tcPr>
            <w:tcW w:type="dxa" w:w="1814"/>
            <w:vAlign w:val="top"/>
          </w:tcPr>
          <w:p>
            <w:pPr>
              <w:spacing w:after="20" w:line="252" w:lineRule="auto"/>
            </w:pPr>
            <w:r>
              <w:rPr>
                <w:b w:val="0"/>
                <w:i w:val="0"/>
                <w:sz w:val="17"/>
              </w:rPr>
              <w:t>Database full</w:t>
            </w:r>
          </w:p>
        </w:tc>
        <w:tc>
          <w:tcPr>
            <w:tcW w:type="dxa" w:w="3742"/>
            <w:vAlign w:val="top"/>
          </w:tcPr>
          <w:p>
            <w:pPr>
              <w:spacing w:after="20" w:line="252" w:lineRule="auto"/>
            </w:pPr>
            <w:r>
              <w:rPr>
                <w:b w:val="0"/>
                <w:i w:val="0"/>
                <w:sz w:val="17"/>
              </w:rPr>
              <w:t>pgBackRest full backup to the backup repository</w:t>
            </w:r>
          </w:p>
        </w:tc>
        <w:tc>
          <w:tcPr>
            <w:tcW w:type="dxa" w:w="1701"/>
            <w:vAlign w:val="top"/>
          </w:tcPr>
          <w:p>
            <w:pPr>
              <w:spacing w:after="20" w:line="252" w:lineRule="auto"/>
            </w:pPr>
            <w:r>
              <w:rPr>
                <w:b w:val="0"/>
                <w:i w:val="0"/>
                <w:sz w:val="17"/>
              </w:rPr>
              <w:t>Daily 02:00</w:t>
            </w:r>
          </w:p>
        </w:tc>
        <w:tc>
          <w:tcPr>
            <w:tcW w:type="dxa" w:w="2381"/>
            <w:vAlign w:val="top"/>
          </w:tcPr>
          <w:p>
            <w:pPr>
              <w:spacing w:after="20" w:line="252" w:lineRule="auto"/>
            </w:pPr>
            <w:r>
              <w:rPr>
                <w:b w:val="0"/>
                <w:i w:val="0"/>
                <w:sz w:val="17"/>
              </w:rPr>
              <w:t>35 days</w:t>
            </w:r>
          </w:p>
        </w:tc>
      </w:tr>
      <w:tr>
        <w:trPr>
          <w:cantSplit/>
        </w:trPr>
        <w:tc>
          <w:tcPr>
            <w:tcW w:type="dxa" w:w="1814"/>
            <w:vAlign w:val="top"/>
            <w:shd w:val="clear" w:color="auto" w:fill="FDF0F7"/>
          </w:tcPr>
          <w:p>
            <w:pPr>
              <w:spacing w:after="20" w:line="252" w:lineRule="auto"/>
            </w:pPr>
            <w:r>
              <w:rPr>
                <w:b w:val="0"/>
                <w:i w:val="0"/>
                <w:sz w:val="17"/>
              </w:rPr>
              <w:t>Database WAL</w:t>
            </w:r>
          </w:p>
        </w:tc>
        <w:tc>
          <w:tcPr>
            <w:tcW w:type="dxa" w:w="3742"/>
            <w:vAlign w:val="top"/>
            <w:shd w:val="clear" w:color="auto" w:fill="FDF0F7"/>
          </w:tcPr>
          <w:p>
            <w:pPr>
              <w:spacing w:after="20" w:line="252" w:lineRule="auto"/>
            </w:pPr>
            <w:r>
              <w:rPr>
                <w:b w:val="0"/>
                <w:i w:val="0"/>
                <w:sz w:val="17"/>
              </w:rPr>
              <w:t>Continuous archiving (archive_timeout 300 s)</w:t>
            </w:r>
          </w:p>
        </w:tc>
        <w:tc>
          <w:tcPr>
            <w:tcW w:type="dxa" w:w="1701"/>
            <w:vAlign w:val="top"/>
            <w:shd w:val="clear" w:color="auto" w:fill="FDF0F7"/>
          </w:tcPr>
          <w:p>
            <w:pPr>
              <w:spacing w:after="20" w:line="252" w:lineRule="auto"/>
            </w:pPr>
            <w:r>
              <w:rPr>
                <w:b w:val="0"/>
                <w:i w:val="0"/>
                <w:sz w:val="17"/>
              </w:rPr>
              <w:t>Continuous</w:t>
            </w:r>
          </w:p>
        </w:tc>
        <w:tc>
          <w:tcPr>
            <w:tcW w:type="dxa" w:w="2381"/>
            <w:vAlign w:val="top"/>
            <w:shd w:val="clear" w:color="auto" w:fill="FDF0F7"/>
          </w:tcPr>
          <w:p>
            <w:pPr>
              <w:spacing w:after="20" w:line="252" w:lineRule="auto"/>
            </w:pPr>
            <w:r>
              <w:rPr>
                <w:b w:val="0"/>
                <w:i w:val="0"/>
                <w:sz w:val="17"/>
              </w:rPr>
              <w:t>35 days</w:t>
            </w:r>
          </w:p>
        </w:tc>
      </w:tr>
      <w:tr>
        <w:trPr>
          <w:cantSplit/>
        </w:trPr>
        <w:tc>
          <w:tcPr>
            <w:tcW w:type="dxa" w:w="1814"/>
            <w:vAlign w:val="top"/>
          </w:tcPr>
          <w:p>
            <w:pPr>
              <w:spacing w:after="20" w:line="252" w:lineRule="auto"/>
            </w:pPr>
            <w:r>
              <w:rPr>
                <w:b w:val="0"/>
                <w:i w:val="0"/>
                <w:sz w:val="17"/>
              </w:rPr>
              <w:t>Database monthly</w:t>
            </w:r>
          </w:p>
        </w:tc>
        <w:tc>
          <w:tcPr>
            <w:tcW w:type="dxa" w:w="3742"/>
            <w:vAlign w:val="top"/>
          </w:tcPr>
          <w:p>
            <w:pPr>
              <w:spacing w:after="20" w:line="252" w:lineRule="auto"/>
            </w:pPr>
            <w:r>
              <w:rPr>
                <w:b w:val="0"/>
                <w:i w:val="0"/>
                <w:sz w:val="17"/>
              </w:rPr>
              <w:t>Copy of the first full backup of the month</w:t>
            </w:r>
          </w:p>
        </w:tc>
        <w:tc>
          <w:tcPr>
            <w:tcW w:type="dxa" w:w="1701"/>
            <w:vAlign w:val="top"/>
          </w:tcPr>
          <w:p>
            <w:pPr>
              <w:spacing w:after="20" w:line="252" w:lineRule="auto"/>
            </w:pPr>
            <w:r>
              <w:rPr>
                <w:b w:val="0"/>
                <w:i w:val="0"/>
                <w:sz w:val="17"/>
              </w:rPr>
              <w:t>Monthly</w:t>
            </w:r>
          </w:p>
        </w:tc>
        <w:tc>
          <w:tcPr>
            <w:tcW w:type="dxa" w:w="2381"/>
            <w:vAlign w:val="top"/>
          </w:tcPr>
          <w:p>
            <w:pPr>
              <w:spacing w:after="20" w:line="252" w:lineRule="auto"/>
            </w:pPr>
            <w:r>
              <w:rPr>
                <w:b w:val="0"/>
                <w:i w:val="0"/>
                <w:sz w:val="17"/>
              </w:rPr>
              <w:t>12 months</w:t>
            </w:r>
          </w:p>
        </w:tc>
      </w:tr>
      <w:tr>
        <w:trPr>
          <w:cantSplit/>
        </w:trPr>
        <w:tc>
          <w:tcPr>
            <w:tcW w:type="dxa" w:w="1814"/>
            <w:vAlign w:val="top"/>
            <w:shd w:val="clear" w:color="auto" w:fill="FDF0F7"/>
          </w:tcPr>
          <w:p>
            <w:pPr>
              <w:spacing w:after="20" w:line="252" w:lineRule="auto"/>
            </w:pPr>
            <w:r>
              <w:rPr>
                <w:b w:val="0"/>
                <w:i w:val="0"/>
                <w:sz w:val="17"/>
              </w:rPr>
              <w:t>Document store</w:t>
            </w:r>
          </w:p>
        </w:tc>
        <w:tc>
          <w:tcPr>
            <w:tcW w:type="dxa" w:w="3742"/>
            <w:vAlign w:val="top"/>
            <w:shd w:val="clear" w:color="auto" w:fill="FDF0F7"/>
          </w:tcPr>
          <w:p>
            <w:pPr>
              <w:spacing w:after="20" w:line="252" w:lineRule="auto"/>
            </w:pPr>
            <w:r>
              <w:rPr>
                <w:b w:val="0"/>
                <w:i w:val="0"/>
                <w:sz w:val="17"/>
              </w:rPr>
              <w:t>Incremental file backup; weekly full</w:t>
            </w:r>
          </w:p>
        </w:tc>
        <w:tc>
          <w:tcPr>
            <w:tcW w:type="dxa" w:w="1701"/>
            <w:vAlign w:val="top"/>
            <w:shd w:val="clear" w:color="auto" w:fill="FDF0F7"/>
          </w:tcPr>
          <w:p>
            <w:pPr>
              <w:spacing w:after="20" w:line="252" w:lineRule="auto"/>
            </w:pPr>
            <w:r>
              <w:rPr>
                <w:b w:val="0"/>
                <w:i w:val="0"/>
                <w:sz w:val="17"/>
              </w:rPr>
              <w:t>Daily 03:00</w:t>
            </w:r>
          </w:p>
        </w:tc>
        <w:tc>
          <w:tcPr>
            <w:tcW w:type="dxa" w:w="2381"/>
            <w:vAlign w:val="top"/>
            <w:shd w:val="clear" w:color="auto" w:fill="FDF0F7"/>
          </w:tcPr>
          <w:p>
            <w:pPr>
              <w:spacing w:after="20" w:line="252" w:lineRule="auto"/>
            </w:pPr>
            <w:r>
              <w:rPr>
                <w:b w:val="0"/>
                <w:i w:val="0"/>
                <w:sz w:val="17"/>
              </w:rPr>
              <w:t>35 days; monthly 12 months</w:t>
            </w:r>
          </w:p>
        </w:tc>
      </w:tr>
      <w:tr>
        <w:trPr>
          <w:cantSplit/>
        </w:trPr>
        <w:tc>
          <w:tcPr>
            <w:tcW w:type="dxa" w:w="1814"/>
            <w:vAlign w:val="top"/>
          </w:tcPr>
          <w:p>
            <w:pPr>
              <w:spacing w:after="20" w:line="252" w:lineRule="auto"/>
            </w:pPr>
            <w:r>
              <w:rPr>
                <w:b w:val="0"/>
                <w:i w:val="0"/>
                <w:sz w:val="17"/>
              </w:rPr>
              <w:t>Configuration</w:t>
            </w:r>
          </w:p>
        </w:tc>
        <w:tc>
          <w:tcPr>
            <w:tcW w:type="dxa" w:w="3742"/>
            <w:vAlign w:val="top"/>
          </w:tcPr>
          <w:p>
            <w:pPr>
              <w:spacing w:after="20" w:line="252" w:lineRule="auto"/>
            </w:pPr>
            <w:r>
              <w:rPr>
                <w:b w:val="0"/>
                <w:i w:val="0"/>
                <w:sz w:val="17"/>
              </w:rPr>
              <w:t>deploy files, compose overrides, vault export (encrypted)</w:t>
            </w:r>
          </w:p>
        </w:tc>
        <w:tc>
          <w:tcPr>
            <w:tcW w:type="dxa" w:w="1701"/>
            <w:vAlign w:val="top"/>
          </w:tcPr>
          <w:p>
            <w:pPr>
              <w:spacing w:after="20" w:line="252" w:lineRule="auto"/>
            </w:pPr>
            <w:r>
              <w:rPr>
                <w:b w:val="0"/>
                <w:i w:val="0"/>
                <w:sz w:val="17"/>
              </w:rPr>
              <w:t>On change</w:t>
            </w:r>
          </w:p>
        </w:tc>
        <w:tc>
          <w:tcPr>
            <w:tcW w:type="dxa" w:w="2381"/>
            <w:vAlign w:val="top"/>
          </w:tcPr>
          <w:p>
            <w:pPr>
              <w:spacing w:after="20" w:line="252" w:lineRule="auto"/>
            </w:pPr>
            <w:r>
              <w:rPr>
                <w:b w:val="0"/>
                <w:i w:val="0"/>
                <w:sz w:val="17"/>
              </w:rPr>
              <w:t>All versions</w:t>
            </w:r>
          </w:p>
        </w:tc>
      </w:tr>
      <w:tr>
        <w:trPr>
          <w:cantSplit/>
        </w:trPr>
        <w:tc>
          <w:tcPr>
            <w:tcW w:type="dxa" w:w="1814"/>
            <w:vAlign w:val="top"/>
            <w:shd w:val="clear" w:color="auto" w:fill="FDF0F7"/>
          </w:tcPr>
          <w:p>
            <w:pPr>
              <w:spacing w:after="20" w:line="252" w:lineRule="auto"/>
            </w:pPr>
            <w:r>
              <w:rPr>
                <w:b w:val="0"/>
                <w:i w:val="0"/>
                <w:sz w:val="17"/>
              </w:rPr>
              <w:t>Off-site</w:t>
            </w:r>
          </w:p>
        </w:tc>
        <w:tc>
          <w:tcPr>
            <w:tcW w:type="dxa" w:w="3742"/>
            <w:vAlign w:val="top"/>
            <w:shd w:val="clear" w:color="auto" w:fill="FDF0F7"/>
          </w:tcPr>
          <w:p>
            <w:pPr>
              <w:spacing w:after="20" w:line="252" w:lineRule="auto"/>
            </w:pPr>
            <w:r>
              <w:rPr>
                <w:b w:val="0"/>
                <w:i w:val="0"/>
                <w:sz w:val="17"/>
              </w:rPr>
              <w:t>Copy of backups to the DR site</w:t>
            </w:r>
          </w:p>
        </w:tc>
        <w:tc>
          <w:tcPr>
            <w:tcW w:type="dxa" w:w="1701"/>
            <w:vAlign w:val="top"/>
            <w:shd w:val="clear" w:color="auto" w:fill="FDF0F7"/>
          </w:tcPr>
          <w:p>
            <w:pPr>
              <w:spacing w:after="20" w:line="252" w:lineRule="auto"/>
            </w:pPr>
            <w:r>
              <w:rPr>
                <w:b w:val="0"/>
                <w:i w:val="0"/>
                <w:sz w:val="17"/>
              </w:rPr>
              <w:t>Daily</w:t>
            </w:r>
          </w:p>
        </w:tc>
        <w:tc>
          <w:tcPr>
            <w:tcW w:type="dxa" w:w="2381"/>
            <w:vAlign w:val="top"/>
            <w:shd w:val="clear" w:color="auto" w:fill="FDF0F7"/>
          </w:tcPr>
          <w:p>
            <w:pPr>
              <w:spacing w:after="20" w:line="252" w:lineRule="auto"/>
            </w:pPr>
            <w:r>
              <w:rPr>
                <w:b w:val="0"/>
                <w:i w:val="0"/>
                <w:sz w:val="17"/>
              </w:rPr>
              <w:t>As above</w:t>
            </w:r>
          </w:p>
        </w:tc>
      </w:tr>
    </w:tbl>
    <w:p>
      <w:pPr>
        <w:pStyle w:val="Caption"/>
        <w:jc w:val="center"/>
      </w:pPr>
      <w:r>
        <w:rPr>
          <w:b w:val="0"/>
          <w:i w:val="0"/>
        </w:rPr>
        <w:t>Table 13: Backups (NFR-17)</w:t>
      </w:r>
    </w:p>
    <w:p>
      <w:pPr>
        <w:pStyle w:val="Heading2"/>
      </w:pPr>
      <w:r>
        <w:t>11.2 Targets</w:t>
      </w:r>
    </w:p>
    <w:p>
      <w:pPr>
        <w:keepNext w:val="0"/>
      </w:pPr>
      <w:r>
        <w:rPr>
          <w:b w:val="0"/>
          <w:i w:val="0"/>
        </w:rPr>
        <w:t>RPO 15 minutes or better (the local standby is near-real-time; archived WAL bounds loss to 5 minutes if both database nodes are lost); RTO 4 hours for loss of the primary site. Loss of one application VM has no outage; loss of the database primary is recovered by promoting the local standby within 30 minutes.</w:t>
      </w:r>
    </w:p>
    <w:p>
      <w:pPr>
        <w:pStyle w:val="Heading2"/>
      </w:pPr>
      <w:r>
        <w:t>11.3 Database failover to the local standby</w:t>
      </w:r>
    </w:p>
    <w:p>
      <w:pPr>
        <w:keepNext/>
        <w:spacing w:after="60"/>
      </w:pPr>
      <w:r>
        <w:rPr>
          <w:b/>
          <w:i w:val="0"/>
        </w:rPr>
        <w:t>Promotion procedure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Confirm the primary is down and will not return quickly (IITH infrastructure).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Make sure the old primary cannot start again (stop the service or isolate the VM) to avoid two primaries.</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On the standby: pg_ctlcluster 16 main promote (or SELECT pg_promote();).</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Move the database VIP or DNS name to the promoted server; the API reconnects automatically (readiness turns green).</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Rebuild the old primary as the new standby when it is repaired.</w:t>
            </w:r>
          </w:p>
        </w:tc>
      </w:tr>
    </w:tbl>
    <w:p>
      <w:pPr>
        <w:spacing w:after="0" w:before="0"/>
      </w:pPr>
      <w:r>
        <w:rPr>
          <w:sz w:val="8"/>
        </w:rPr>
      </w:r>
    </w:p>
    <w:p>
      <w:pPr>
        <w:pStyle w:val="Heading2"/>
      </w:pPr>
      <w:r>
        <w:t>11.4 DR invocation</w:t>
      </w:r>
    </w:p>
    <w:p>
      <w:pPr>
        <w:keepNext/>
        <w:spacing w:after="0"/>
        <w:jc w:val="center"/>
      </w:pPr>
      <w:r>
        <w:drawing>
          <wp:inline xmlns:a="http://schemas.openxmlformats.org/drawingml/2006/main" xmlns:pic="http://schemas.openxmlformats.org/drawingml/2006/picture">
            <wp:extent cx="5400000" cy="3780000"/>
            <wp:docPr id="9" name="Picture 9"/>
            <wp:cNvGraphicFramePr>
              <a:graphicFrameLocks noChangeAspect="1"/>
            </wp:cNvGraphicFramePr>
            <a:graphic>
              <a:graphicData uri="http://schemas.openxmlformats.org/drawingml/2006/picture">
                <pic:pic>
                  <pic:nvPicPr>
                    <pic:cNvPr id="0" name="tech-dr.png"/>
                    <pic:cNvPicPr/>
                  </pic:nvPicPr>
                  <pic:blipFill>
                    <a:blip r:embed="rId19"/>
                    <a:stretch>
                      <a:fillRect/>
                    </a:stretch>
                  </pic:blipFill>
                  <pic:spPr>
                    <a:xfrm>
                      <a:off x="0" y="0"/>
                      <a:ext cx="5400000" cy="3780000"/>
                    </a:xfrm>
                    <a:prstGeom prst="rect"/>
                  </pic:spPr>
                </pic:pic>
              </a:graphicData>
            </a:graphic>
          </wp:inline>
        </w:drawing>
      </w:r>
    </w:p>
    <w:p>
      <w:pPr>
        <w:pStyle w:val="Caption"/>
        <w:jc w:val="center"/>
      </w:pPr>
      <w:r>
        <w:rPr>
          <w:b w:val="0"/>
          <w:i w:val="0"/>
        </w:rPr>
        <w:t>Figure 6: DR topology</w:t>
      </w:r>
    </w:p>
    <w:p>
      <w:pPr>
        <w:keepNext/>
        <w:spacing w:after="60"/>
      </w:pPr>
      <w:r>
        <w:rPr>
          <w:b/>
          <w:i w:val="0"/>
        </w:rPr>
        <w:t>Invocation procedure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Declare the disaster with the IIFT application owner and IITH infrastructure; record the time.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Promote the DR database replica; note the last replayed transaction time (data after it is lost).</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Mount the document replica at /data/documents on the DR application VM.</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Start the containers with the DR configuration: docker compose --env-file .env.dr up -d.</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Switch DNS or the external load balancer to the DR site; confirm TLS certificates.</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Run the R2 smoke tests; re-run EOD for the last business day if it did not complete (R6).</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Inform users and IITH system owners; monitor closely.</w:t>
            </w:r>
          </w:p>
        </w:tc>
      </w:tr>
      <w:tr>
        <w:trPr>
          <w:cantSplit/>
        </w:trPr>
        <w:tc>
          <w:tcPr>
            <w:tcW w:type="dxa" w:w="567"/>
            <w:vAlign w:val="top"/>
            <w:shd w:val="clear" w:color="auto" w:fill="FDF0F7"/>
          </w:tcPr>
          <w:p>
            <w:pPr>
              <w:spacing w:after="20" w:line="252" w:lineRule="auto"/>
              <w:jc w:val="center"/>
            </w:pPr>
            <w:r>
              <w:rPr>
                <w:b w:val="0"/>
                <w:i w:val="0"/>
                <w:sz w:val="17"/>
              </w:rPr>
              <w:t>8</w:t>
            </w:r>
          </w:p>
        </w:tc>
        <w:tc>
          <w:tcPr>
            <w:tcW w:type="dxa" w:w="9071"/>
            <w:vAlign w:val="top"/>
            <w:shd w:val="clear" w:color="auto" w:fill="FDF0F7"/>
          </w:tcPr>
          <w:p>
            <w:pPr>
              <w:spacing w:after="20" w:line="252" w:lineRule="auto"/>
            </w:pPr>
            <w:r>
              <w:rPr>
                <w:b w:val="0"/>
                <w:i w:val="0"/>
                <w:sz w:val="17"/>
              </w:rPr>
              <w:t>Plan fail-back after the primary site is restored: rebuild replication in reverse, then switch in a maintenance window.</w:t>
            </w:r>
          </w:p>
        </w:tc>
      </w:tr>
    </w:tbl>
    <w:p>
      <w:pPr>
        <w:spacing w:after="0" w:before="0"/>
      </w:pPr>
      <w:r>
        <w:rPr>
          <w:sz w:val="8"/>
        </w:rPr>
      </w:r>
    </w:p>
    <w:p>
      <w:pPr>
        <w:pStyle w:val="Heading2"/>
      </w:pPr>
      <w:r>
        <w:t>11.5 Test schedule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2041"/>
        <w:gridCol w:w="3742"/>
        <w:gridCol w:w="2041"/>
      </w:tblGrid>
      <w:tr>
        <w:trPr>
          <w:cantSplit/>
          <w:tblHeader/>
        </w:trPr>
        <w:tc>
          <w:tcPr>
            <w:tcW w:type="dxa" w:w="1814"/>
            <w:shd w:val="clear" w:color="auto" w:fill="E1058C"/>
            <w:vAlign w:val="center"/>
          </w:tcPr>
          <w:p>
            <w:pPr>
              <w:spacing w:after="0"/>
            </w:pPr>
            <w:r>
              <w:rPr>
                <w:b/>
                <w:i w:val="0"/>
                <w:color w:val="FFFFFF"/>
                <w:sz w:val="17"/>
              </w:rPr>
              <w:t>Test</w:t>
            </w:r>
          </w:p>
        </w:tc>
        <w:tc>
          <w:tcPr>
            <w:tcW w:type="dxa" w:w="2041"/>
            <w:shd w:val="clear" w:color="auto" w:fill="E1058C"/>
            <w:vAlign w:val="center"/>
          </w:tcPr>
          <w:p>
            <w:pPr>
              <w:spacing w:after="0"/>
            </w:pPr>
            <w:r>
              <w:rPr>
                <w:b/>
                <w:i w:val="0"/>
                <w:color w:val="FFFFFF"/>
                <w:sz w:val="17"/>
              </w:rPr>
              <w:t>Frequency</w:t>
            </w:r>
          </w:p>
        </w:tc>
        <w:tc>
          <w:tcPr>
            <w:tcW w:type="dxa" w:w="3742"/>
            <w:shd w:val="clear" w:color="auto" w:fill="E1058C"/>
            <w:vAlign w:val="center"/>
          </w:tcPr>
          <w:p>
            <w:pPr>
              <w:spacing w:after="0"/>
            </w:pPr>
            <w:r>
              <w:rPr>
                <w:b/>
                <w:i w:val="0"/>
                <w:color w:val="FFFFFF"/>
                <w:sz w:val="17"/>
              </w:rPr>
              <w:t>Scope</w:t>
            </w:r>
          </w:p>
        </w:tc>
        <w:tc>
          <w:tcPr>
            <w:tcW w:type="dxa" w:w="2041"/>
            <w:shd w:val="clear" w:color="auto" w:fill="E1058C"/>
            <w:vAlign w:val="center"/>
          </w:tcPr>
          <w:p>
            <w:pPr>
              <w:spacing w:after="0"/>
            </w:pPr>
            <w:r>
              <w:rPr>
                <w:b/>
                <w:i w:val="0"/>
                <w:color w:val="FFFFFF"/>
                <w:sz w:val="17"/>
              </w:rPr>
              <w:t>Evidence</w:t>
            </w:r>
          </w:p>
        </w:tc>
      </w:tr>
      <w:tr>
        <w:trPr>
          <w:cantSplit/>
        </w:trPr>
        <w:tc>
          <w:tcPr>
            <w:tcW w:type="dxa" w:w="1814"/>
            <w:vAlign w:val="top"/>
          </w:tcPr>
          <w:p>
            <w:pPr>
              <w:spacing w:after="20" w:line="252" w:lineRule="auto"/>
            </w:pPr>
            <w:r>
              <w:rPr>
                <w:b w:val="0"/>
                <w:i w:val="0"/>
                <w:sz w:val="17"/>
              </w:rPr>
              <w:t>Restore test</w:t>
            </w:r>
          </w:p>
        </w:tc>
        <w:tc>
          <w:tcPr>
            <w:tcW w:type="dxa" w:w="2041"/>
            <w:vAlign w:val="top"/>
          </w:tcPr>
          <w:p>
            <w:pPr>
              <w:spacing w:after="20" w:line="252" w:lineRule="auto"/>
            </w:pPr>
            <w:r>
              <w:rPr>
                <w:b w:val="0"/>
                <w:i w:val="0"/>
                <w:sz w:val="17"/>
              </w:rPr>
              <w:t>Quarterly</w:t>
            </w:r>
          </w:p>
        </w:tc>
        <w:tc>
          <w:tcPr>
            <w:tcW w:type="dxa" w:w="3742"/>
            <w:vAlign w:val="top"/>
          </w:tcPr>
          <w:p>
            <w:pPr>
              <w:spacing w:after="20" w:line="252" w:lineRule="auto"/>
            </w:pPr>
            <w:r>
              <w:rPr>
                <w:b w:val="0"/>
                <w:i w:val="0"/>
                <w:sz w:val="17"/>
              </w:rPr>
              <w:t>Restore the latest backup to a scratch server; reconcile counts and amounts</w:t>
            </w:r>
          </w:p>
        </w:tc>
        <w:tc>
          <w:tcPr>
            <w:tcW w:type="dxa" w:w="2041"/>
            <w:vAlign w:val="top"/>
          </w:tcPr>
          <w:p>
            <w:pPr>
              <w:spacing w:after="20" w:line="252" w:lineRule="auto"/>
            </w:pPr>
            <w:r>
              <w:rPr>
                <w:b w:val="0"/>
                <w:i w:val="0"/>
                <w:sz w:val="17"/>
              </w:rPr>
              <w:t>Restore record (MNT-19)</w:t>
            </w:r>
          </w:p>
        </w:tc>
      </w:tr>
      <w:tr>
        <w:trPr>
          <w:cantSplit/>
        </w:trPr>
        <w:tc>
          <w:tcPr>
            <w:tcW w:type="dxa" w:w="1814"/>
            <w:vAlign w:val="top"/>
            <w:shd w:val="clear" w:color="auto" w:fill="FDF0F7"/>
          </w:tcPr>
          <w:p>
            <w:pPr>
              <w:spacing w:after="20" w:line="252" w:lineRule="auto"/>
            </w:pPr>
            <w:r>
              <w:rPr>
                <w:b w:val="0"/>
                <w:i w:val="0"/>
                <w:sz w:val="17"/>
              </w:rPr>
              <w:t>Local failover</w:t>
            </w:r>
          </w:p>
        </w:tc>
        <w:tc>
          <w:tcPr>
            <w:tcW w:type="dxa" w:w="2041"/>
            <w:vAlign w:val="top"/>
            <w:shd w:val="clear" w:color="auto" w:fill="FDF0F7"/>
          </w:tcPr>
          <w:p>
            <w:pPr>
              <w:spacing w:after="20" w:line="252" w:lineRule="auto"/>
            </w:pPr>
            <w:r>
              <w:rPr>
                <w:b w:val="0"/>
                <w:i w:val="0"/>
                <w:sz w:val="17"/>
              </w:rPr>
              <w:t>Twice a year, in a maintenance window</w:t>
            </w:r>
          </w:p>
        </w:tc>
        <w:tc>
          <w:tcPr>
            <w:tcW w:type="dxa" w:w="3742"/>
            <w:vAlign w:val="top"/>
            <w:shd w:val="clear" w:color="auto" w:fill="FDF0F7"/>
          </w:tcPr>
          <w:p>
            <w:pPr>
              <w:spacing w:after="20" w:line="252" w:lineRule="auto"/>
            </w:pPr>
            <w:r>
              <w:rPr>
                <w:b w:val="0"/>
                <w:i w:val="0"/>
                <w:sz w:val="17"/>
              </w:rPr>
              <w:t>Promote the standby, run the service, rebuild</w:t>
            </w:r>
          </w:p>
        </w:tc>
        <w:tc>
          <w:tcPr>
            <w:tcW w:type="dxa" w:w="2041"/>
            <w:vAlign w:val="top"/>
            <w:shd w:val="clear" w:color="auto" w:fill="FDF0F7"/>
          </w:tcPr>
          <w:p>
            <w:pPr>
              <w:spacing w:after="20" w:line="252" w:lineRule="auto"/>
            </w:pPr>
            <w:r>
              <w:rPr>
                <w:b w:val="0"/>
                <w:i w:val="0"/>
                <w:sz w:val="17"/>
              </w:rPr>
              <w:t>Change record</w:t>
            </w:r>
          </w:p>
        </w:tc>
      </w:tr>
      <w:tr>
        <w:trPr>
          <w:cantSplit/>
        </w:trPr>
        <w:tc>
          <w:tcPr>
            <w:tcW w:type="dxa" w:w="1814"/>
            <w:vAlign w:val="top"/>
          </w:tcPr>
          <w:p>
            <w:pPr>
              <w:spacing w:after="20" w:line="252" w:lineRule="auto"/>
            </w:pPr>
            <w:r>
              <w:rPr>
                <w:b w:val="0"/>
                <w:i w:val="0"/>
                <w:sz w:val="17"/>
              </w:rPr>
              <w:t>DR site test</w:t>
            </w:r>
          </w:p>
        </w:tc>
        <w:tc>
          <w:tcPr>
            <w:tcW w:type="dxa" w:w="2041"/>
            <w:vAlign w:val="top"/>
          </w:tcPr>
          <w:p>
            <w:pPr>
              <w:spacing w:after="20" w:line="252" w:lineRule="auto"/>
            </w:pPr>
            <w:r>
              <w:rPr>
                <w:b w:val="0"/>
                <w:i w:val="0"/>
                <w:sz w:val="17"/>
              </w:rPr>
              <w:t>Yearly</w:t>
            </w:r>
          </w:p>
        </w:tc>
        <w:tc>
          <w:tcPr>
            <w:tcW w:type="dxa" w:w="3742"/>
            <w:vAlign w:val="top"/>
          </w:tcPr>
          <w:p>
            <w:pPr>
              <w:spacing w:after="20" w:line="252" w:lineRule="auto"/>
            </w:pPr>
            <w:r>
              <w:rPr>
                <w:b w:val="0"/>
                <w:i w:val="0"/>
                <w:sz w:val="17"/>
              </w:rPr>
              <w:t>Full invocation at the DR site with IIFT users testing key functions; fail-back</w:t>
            </w:r>
          </w:p>
        </w:tc>
        <w:tc>
          <w:tcPr>
            <w:tcW w:type="dxa" w:w="2041"/>
            <w:vAlign w:val="top"/>
          </w:tcPr>
          <w:p>
            <w:pPr>
              <w:spacing w:after="20" w:line="252" w:lineRule="auto"/>
            </w:pPr>
            <w:r>
              <w:rPr>
                <w:b w:val="0"/>
                <w:i w:val="0"/>
                <w:sz w:val="17"/>
              </w:rPr>
              <w:t>DR test report (NFR-19, MNT-20)</w:t>
            </w:r>
          </w:p>
        </w:tc>
      </w:tr>
      <w:tr>
        <w:trPr>
          <w:cantSplit/>
        </w:trPr>
        <w:tc>
          <w:tcPr>
            <w:tcW w:type="dxa" w:w="1814"/>
            <w:vAlign w:val="top"/>
            <w:shd w:val="clear" w:color="auto" w:fill="FDF0F7"/>
          </w:tcPr>
          <w:p>
            <w:pPr>
              <w:spacing w:after="20" w:line="252" w:lineRule="auto"/>
            </w:pPr>
            <w:r>
              <w:rPr>
                <w:b w:val="0"/>
                <w:i w:val="0"/>
                <w:sz w:val="17"/>
              </w:rPr>
              <w:t>Document restore</w:t>
            </w:r>
          </w:p>
        </w:tc>
        <w:tc>
          <w:tcPr>
            <w:tcW w:type="dxa" w:w="2041"/>
            <w:vAlign w:val="top"/>
            <w:shd w:val="clear" w:color="auto" w:fill="FDF0F7"/>
          </w:tcPr>
          <w:p>
            <w:pPr>
              <w:spacing w:after="20" w:line="252" w:lineRule="auto"/>
            </w:pPr>
            <w:r>
              <w:rPr>
                <w:b w:val="0"/>
                <w:i w:val="0"/>
                <w:sz w:val="17"/>
              </w:rPr>
              <w:t>Twice a year</w:t>
            </w:r>
          </w:p>
        </w:tc>
        <w:tc>
          <w:tcPr>
            <w:tcW w:type="dxa" w:w="3742"/>
            <w:vAlign w:val="top"/>
            <w:shd w:val="clear" w:color="auto" w:fill="FDF0F7"/>
          </w:tcPr>
          <w:p>
            <w:pPr>
              <w:spacing w:after="20" w:line="252" w:lineRule="auto"/>
            </w:pPr>
            <w:r>
              <w:rPr>
                <w:b w:val="0"/>
                <w:i w:val="0"/>
                <w:sz w:val="17"/>
              </w:rPr>
              <w:t>Restore a sample of files and open them in the application</w:t>
            </w:r>
          </w:p>
        </w:tc>
        <w:tc>
          <w:tcPr>
            <w:tcW w:type="dxa" w:w="2041"/>
            <w:vAlign w:val="top"/>
            <w:shd w:val="clear" w:color="auto" w:fill="FDF0F7"/>
          </w:tcPr>
          <w:p>
            <w:pPr>
              <w:spacing w:after="20" w:line="252" w:lineRule="auto"/>
            </w:pPr>
            <w:r>
              <w:rPr>
                <w:b w:val="0"/>
                <w:i w:val="0"/>
                <w:sz w:val="17"/>
              </w:rPr>
              <w:t>Restore record</w:t>
            </w:r>
          </w:p>
        </w:tc>
      </w:tr>
    </w:tbl>
    <w:p>
      <w:pPr>
        <w:pStyle w:val="Caption"/>
        <w:jc w:val="center"/>
      </w:pPr>
      <w:r>
        <w:rPr>
          <w:b w:val="0"/>
          <w:i w:val="0"/>
        </w:rPr>
        <w:t>Table 14: Backup and DR tests</w:t>
      </w:r>
    </w:p>
    <w:p>
      <w:pPr>
        <w:pStyle w:val="Heading1"/>
        <w:pageBreakBefore/>
        <w:pBdr>
          <w:bottom w:val="single" w:sz="12" w:space="4" w:color="F58220"/>
        </w:pBdr>
      </w:pPr>
      <w:r>
        <w:t>12. Managed Services Operating Model (Option B)</w:t>
      </w:r>
    </w:p>
    <w:p>
      <w:pPr>
        <w:keepNext w:val="0"/>
      </w:pPr>
      <w:r>
        <w:rPr>
          <w:b w:val="0"/>
          <w:i w:val="0"/>
        </w:rPr>
        <w:t>Under Option B iorta hosts the solution in a cloud account dedicated to IIFT (AWS Asia Pacific (Malaysia) or Azure Malaysia West, DR in a second region) and operates the infrastructure as a managed service alongside the application support in chapters 2 to 10. The application processes, SLA, escalation and runbooks are unchanged; this chapter adds the infrastructure layer that IITH provides under Option A. The scope of the managed services and the fee are in the proposal; the Solution Architecture describes the landing zone, environments and shared responsibility.</w:t>
      </w:r>
    </w:p>
    <w:p>
      <w:pPr>
        <w:pStyle w:val="Heading2"/>
      </w:pPr>
      <w:r>
        <w:t>12.1 Scope</w:t>
      </w:r>
    </w:p>
    <w:p>
      <w:pPr>
        <w:pStyle w:val="ListBullet"/>
      </w:pPr>
      <w:r>
        <w:rPr>
          <w:b w:val="0"/>
          <w:i w:val="0"/>
        </w:rPr>
        <w:t>24x7 infrastructure and availability monitoring with alerting</w:t>
      </w:r>
    </w:p>
    <w:p>
      <w:pPr>
        <w:pStyle w:val="ListBullet"/>
      </w:pPr>
      <w:r>
        <w:rPr>
          <w:b w:val="0"/>
          <w:i w:val="0"/>
        </w:rPr>
        <w:t>Operating system, container and database patching in agreed windows</w:t>
      </w:r>
    </w:p>
    <w:p>
      <w:pPr>
        <w:pStyle w:val="ListBullet"/>
      </w:pPr>
      <w:r>
        <w:rPr>
          <w:b w:val="0"/>
          <w:i w:val="0"/>
        </w:rPr>
        <w:t>Backups, monthly restore tests and the annual DR drill</w:t>
      </w:r>
    </w:p>
    <w:p>
      <w:pPr>
        <w:pStyle w:val="ListBullet"/>
      </w:pPr>
      <w:r>
        <w:rPr>
          <w:b w:val="0"/>
          <w:i w:val="0"/>
        </w:rPr>
        <w:t>Security monitoring: WAF, threat detection, vulnerability scanning of the cloud estate</w:t>
      </w:r>
    </w:p>
    <w:p>
      <w:pPr>
        <w:pStyle w:val="ListBullet"/>
      </w:pPr>
      <w:r>
        <w:rPr>
          <w:b w:val="0"/>
          <w:i w:val="0"/>
        </w:rPr>
        <w:t>Capacity, performance and cloud cost management with a monthly report</w:t>
      </w:r>
    </w:p>
    <w:p>
      <w:pPr>
        <w:pStyle w:val="ListBullet"/>
      </w:pPr>
      <w:r>
        <w:rPr>
          <w:b w:val="0"/>
          <w:i w:val="0"/>
        </w:rPr>
        <w:t>Infrastructure incident response and liaison with the cloud provider</w:t>
      </w:r>
    </w:p>
    <w:p>
      <w:pPr>
        <w:pStyle w:val="Heading2"/>
      </w:pPr>
      <w:r>
        <w:t>12.2 Roster and on-call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628"/>
        <w:gridCol w:w="2381"/>
        <w:gridCol w:w="3628"/>
      </w:tblGrid>
      <w:tr>
        <w:trPr>
          <w:cantSplit/>
          <w:tblHeader/>
        </w:trPr>
        <w:tc>
          <w:tcPr>
            <w:tcW w:type="dxa" w:w="3628"/>
            <w:shd w:val="clear" w:color="auto" w:fill="E1058C"/>
            <w:vAlign w:val="center"/>
          </w:tcPr>
          <w:p>
            <w:pPr>
              <w:spacing w:after="0"/>
            </w:pPr>
            <w:r>
              <w:rPr>
                <w:b/>
                <w:i w:val="0"/>
                <w:color w:val="FFFFFF"/>
                <w:sz w:val="16"/>
              </w:rPr>
              <w:t>Activity</w:t>
            </w:r>
          </w:p>
        </w:tc>
        <w:tc>
          <w:tcPr>
            <w:tcW w:type="dxa" w:w="2381"/>
            <w:shd w:val="clear" w:color="auto" w:fill="E1058C"/>
            <w:vAlign w:val="center"/>
          </w:tcPr>
          <w:p>
            <w:pPr>
              <w:spacing w:after="0"/>
            </w:pPr>
            <w:r>
              <w:rPr>
                <w:b/>
                <w:i w:val="0"/>
                <w:color w:val="FFFFFF"/>
                <w:sz w:val="16"/>
              </w:rPr>
              <w:t>When</w:t>
            </w:r>
          </w:p>
        </w:tc>
        <w:tc>
          <w:tcPr>
            <w:tcW w:type="dxa" w:w="3628"/>
            <w:shd w:val="clear" w:color="auto" w:fill="E1058C"/>
            <w:vAlign w:val="center"/>
          </w:tcPr>
          <w:p>
            <w:pPr>
              <w:spacing w:after="0"/>
            </w:pPr>
            <w:r>
              <w:rPr>
                <w:b/>
                <w:i w:val="0"/>
                <w:color w:val="FFFFFF"/>
                <w:sz w:val="16"/>
              </w:rPr>
              <w:t>Who and how</w:t>
            </w:r>
          </w:p>
        </w:tc>
      </w:tr>
      <w:tr>
        <w:trPr>
          <w:cantSplit/>
        </w:trPr>
        <w:tc>
          <w:tcPr>
            <w:tcW w:type="dxa" w:w="3628"/>
            <w:vAlign w:val="top"/>
          </w:tcPr>
          <w:p>
            <w:pPr>
              <w:spacing w:after="20" w:line="252" w:lineRule="auto"/>
            </w:pPr>
            <w:r>
              <w:rPr>
                <w:b w:val="0"/>
                <w:i w:val="0"/>
                <w:sz w:val="16"/>
              </w:rPr>
              <w:t>Infrastructure monitoring and first response</w:t>
            </w:r>
          </w:p>
        </w:tc>
        <w:tc>
          <w:tcPr>
            <w:tcW w:type="dxa" w:w="2381"/>
            <w:vAlign w:val="top"/>
          </w:tcPr>
          <w:p>
            <w:pPr>
              <w:spacing w:after="20" w:line="252" w:lineRule="auto"/>
            </w:pPr>
            <w:r>
              <w:rPr>
                <w:b w:val="0"/>
                <w:i w:val="0"/>
                <w:sz w:val="16"/>
              </w:rPr>
              <w:t>24 x 7</w:t>
            </w:r>
          </w:p>
        </w:tc>
        <w:tc>
          <w:tcPr>
            <w:tcW w:type="dxa" w:w="3628"/>
            <w:vAlign w:val="top"/>
          </w:tcPr>
          <w:p>
            <w:pPr>
              <w:spacing w:after="20" w:line="252" w:lineRule="auto"/>
            </w:pPr>
            <w:r>
              <w:rPr>
                <w:b w:val="0"/>
                <w:i w:val="0"/>
                <w:sz w:val="16"/>
              </w:rPr>
              <w:t>On-call cloud engineer (two-person rota), alerted by the monitoring platform; acknowledges within the P1 response time</w:t>
            </w:r>
          </w:p>
        </w:tc>
      </w:tr>
      <w:tr>
        <w:trPr>
          <w:cantSplit/>
        </w:trPr>
        <w:tc>
          <w:tcPr>
            <w:tcW w:type="dxa" w:w="3628"/>
            <w:vAlign w:val="top"/>
            <w:shd w:val="clear" w:color="auto" w:fill="FDF0F7"/>
          </w:tcPr>
          <w:p>
            <w:pPr>
              <w:spacing w:after="20" w:line="252" w:lineRule="auto"/>
            </w:pPr>
            <w:r>
              <w:rPr>
                <w:b w:val="0"/>
                <w:i w:val="0"/>
                <w:sz w:val="16"/>
              </w:rPr>
              <w:t>Patching: operating system images, container base images, database engine minor versions</w:t>
            </w:r>
          </w:p>
        </w:tc>
        <w:tc>
          <w:tcPr>
            <w:tcW w:type="dxa" w:w="2381"/>
            <w:vAlign w:val="top"/>
            <w:shd w:val="clear" w:color="auto" w:fill="FDF0F7"/>
          </w:tcPr>
          <w:p>
            <w:pPr>
              <w:spacing w:after="20" w:line="252" w:lineRule="auto"/>
            </w:pPr>
            <w:r>
              <w:rPr>
                <w:b w:val="0"/>
                <w:i w:val="0"/>
                <w:sz w:val="16"/>
              </w:rPr>
              <w:t>Monthly window agreed with IIFT; emergency patches as needed</w:t>
            </w:r>
          </w:p>
        </w:tc>
        <w:tc>
          <w:tcPr>
            <w:tcW w:type="dxa" w:w="3628"/>
            <w:vAlign w:val="top"/>
            <w:shd w:val="clear" w:color="auto" w:fill="FDF0F7"/>
          </w:tcPr>
          <w:p>
            <w:pPr>
              <w:spacing w:after="20" w:line="252" w:lineRule="auto"/>
            </w:pPr>
            <w:r>
              <w:rPr>
                <w:b w:val="0"/>
                <w:i w:val="0"/>
                <w:sz w:val="16"/>
              </w:rPr>
              <w:t>Cloud engineer; change ticket; UAT first</w:t>
            </w:r>
          </w:p>
        </w:tc>
      </w:tr>
      <w:tr>
        <w:trPr>
          <w:cantSplit/>
        </w:trPr>
        <w:tc>
          <w:tcPr>
            <w:tcW w:type="dxa" w:w="3628"/>
            <w:vAlign w:val="top"/>
          </w:tcPr>
          <w:p>
            <w:pPr>
              <w:spacing w:after="20" w:line="252" w:lineRule="auto"/>
            </w:pPr>
            <w:r>
              <w:rPr>
                <w:b w:val="0"/>
                <w:i w:val="0"/>
                <w:sz w:val="16"/>
              </w:rPr>
              <w:t>Backup verification and restore test</w:t>
            </w:r>
          </w:p>
        </w:tc>
        <w:tc>
          <w:tcPr>
            <w:tcW w:type="dxa" w:w="2381"/>
            <w:vAlign w:val="top"/>
          </w:tcPr>
          <w:p>
            <w:pPr>
              <w:spacing w:after="20" w:line="252" w:lineRule="auto"/>
            </w:pPr>
            <w:r>
              <w:rPr>
                <w:b w:val="0"/>
                <w:i w:val="0"/>
                <w:sz w:val="16"/>
              </w:rPr>
              <w:t>Daily check; monthly restore to a scratch instance</w:t>
            </w:r>
          </w:p>
        </w:tc>
        <w:tc>
          <w:tcPr>
            <w:tcW w:type="dxa" w:w="3628"/>
            <w:vAlign w:val="top"/>
          </w:tcPr>
          <w:p>
            <w:pPr>
              <w:spacing w:after="20" w:line="252" w:lineRule="auto"/>
            </w:pPr>
            <w:r>
              <w:rPr>
                <w:b w:val="0"/>
                <w:i w:val="0"/>
                <w:sz w:val="16"/>
              </w:rPr>
              <w:t>Cloud engineer; record in the monthly report</w:t>
            </w:r>
          </w:p>
        </w:tc>
      </w:tr>
      <w:tr>
        <w:trPr>
          <w:cantSplit/>
        </w:trPr>
        <w:tc>
          <w:tcPr>
            <w:tcW w:type="dxa" w:w="3628"/>
            <w:vAlign w:val="top"/>
            <w:shd w:val="clear" w:color="auto" w:fill="FDF0F7"/>
          </w:tcPr>
          <w:p>
            <w:pPr>
              <w:spacing w:after="20" w:line="252" w:lineRule="auto"/>
            </w:pPr>
            <w:r>
              <w:rPr>
                <w:b w:val="0"/>
                <w:i w:val="0"/>
                <w:sz w:val="16"/>
              </w:rPr>
              <w:t>DR drill</w:t>
            </w:r>
          </w:p>
        </w:tc>
        <w:tc>
          <w:tcPr>
            <w:tcW w:type="dxa" w:w="2381"/>
            <w:vAlign w:val="top"/>
            <w:shd w:val="clear" w:color="auto" w:fill="FDF0F7"/>
          </w:tcPr>
          <w:p>
            <w:pPr>
              <w:spacing w:after="20" w:line="252" w:lineRule="auto"/>
            </w:pPr>
            <w:r>
              <w:rPr>
                <w:b w:val="0"/>
                <w:i w:val="0"/>
                <w:sz w:val="16"/>
              </w:rPr>
              <w:t>Yearly, with IIFT users</w:t>
            </w:r>
          </w:p>
        </w:tc>
        <w:tc>
          <w:tcPr>
            <w:tcW w:type="dxa" w:w="3628"/>
            <w:vAlign w:val="top"/>
            <w:shd w:val="clear" w:color="auto" w:fill="FDF0F7"/>
          </w:tcPr>
          <w:p>
            <w:pPr>
              <w:spacing w:after="20" w:line="252" w:lineRule="auto"/>
            </w:pPr>
            <w:r>
              <w:rPr>
                <w:b w:val="0"/>
                <w:i w:val="0"/>
                <w:sz w:val="16"/>
              </w:rPr>
              <w:t>Cloud engineer and L2; DR test report</w:t>
            </w:r>
          </w:p>
        </w:tc>
      </w:tr>
      <w:tr>
        <w:trPr>
          <w:cantSplit/>
        </w:trPr>
        <w:tc>
          <w:tcPr>
            <w:tcW w:type="dxa" w:w="3628"/>
            <w:vAlign w:val="top"/>
          </w:tcPr>
          <w:p>
            <w:pPr>
              <w:spacing w:after="20" w:line="252" w:lineRule="auto"/>
            </w:pPr>
            <w:r>
              <w:rPr>
                <w:b w:val="0"/>
                <w:i w:val="0"/>
                <w:sz w:val="16"/>
              </w:rPr>
              <w:t>Security monitoring: WAF events, threat detection findings, vulnerability scans</w:t>
            </w:r>
          </w:p>
        </w:tc>
        <w:tc>
          <w:tcPr>
            <w:tcW w:type="dxa" w:w="2381"/>
            <w:vAlign w:val="top"/>
          </w:tcPr>
          <w:p>
            <w:pPr>
              <w:spacing w:after="20" w:line="252" w:lineRule="auto"/>
            </w:pPr>
            <w:r>
              <w:rPr>
                <w:b w:val="0"/>
                <w:i w:val="0"/>
                <w:sz w:val="16"/>
              </w:rPr>
              <w:t>Continuous; weekly review</w:t>
            </w:r>
          </w:p>
        </w:tc>
        <w:tc>
          <w:tcPr>
            <w:tcW w:type="dxa" w:w="3628"/>
            <w:vAlign w:val="top"/>
          </w:tcPr>
          <w:p>
            <w:pPr>
              <w:spacing w:after="20" w:line="252" w:lineRule="auto"/>
            </w:pPr>
            <w:r>
              <w:rPr>
                <w:b w:val="0"/>
                <w:i w:val="0"/>
                <w:sz w:val="16"/>
              </w:rPr>
              <w:t>Cloud engineer; findings triaged to the remediation timelines of the Security Assessment Report</w:t>
            </w:r>
          </w:p>
        </w:tc>
      </w:tr>
      <w:tr>
        <w:trPr>
          <w:cantSplit/>
        </w:trPr>
        <w:tc>
          <w:tcPr>
            <w:tcW w:type="dxa" w:w="3628"/>
            <w:vAlign w:val="top"/>
            <w:shd w:val="clear" w:color="auto" w:fill="FDF0F7"/>
          </w:tcPr>
          <w:p>
            <w:pPr>
              <w:spacing w:after="20" w:line="252" w:lineRule="auto"/>
            </w:pPr>
            <w:r>
              <w:rPr>
                <w:b w:val="0"/>
                <w:i w:val="0"/>
                <w:sz w:val="16"/>
              </w:rPr>
              <w:t>Capacity and cost: budget alerts, monthly cost report, quarterly right-sizing</w:t>
            </w:r>
          </w:p>
        </w:tc>
        <w:tc>
          <w:tcPr>
            <w:tcW w:type="dxa" w:w="2381"/>
            <w:vAlign w:val="top"/>
            <w:shd w:val="clear" w:color="auto" w:fill="FDF0F7"/>
          </w:tcPr>
          <w:p>
            <w:pPr>
              <w:spacing w:after="20" w:line="252" w:lineRule="auto"/>
            </w:pPr>
            <w:r>
              <w:rPr>
                <w:b w:val="0"/>
                <w:i w:val="0"/>
                <w:sz w:val="16"/>
              </w:rPr>
              <w:t>Monthly; quarterly review</w:t>
            </w:r>
          </w:p>
        </w:tc>
        <w:tc>
          <w:tcPr>
            <w:tcW w:type="dxa" w:w="3628"/>
            <w:vAlign w:val="top"/>
            <w:shd w:val="clear" w:color="auto" w:fill="FDF0F7"/>
          </w:tcPr>
          <w:p>
            <w:pPr>
              <w:spacing w:after="20" w:line="252" w:lineRule="auto"/>
            </w:pPr>
            <w:r>
              <w:rPr>
                <w:b w:val="0"/>
                <w:i w:val="0"/>
                <w:sz w:val="16"/>
              </w:rPr>
              <w:t>Service manager with the IIFT application owner</w:t>
            </w:r>
          </w:p>
        </w:tc>
      </w:tr>
      <w:tr>
        <w:trPr>
          <w:cantSplit/>
        </w:trPr>
        <w:tc>
          <w:tcPr>
            <w:tcW w:type="dxa" w:w="3628"/>
            <w:vAlign w:val="top"/>
          </w:tcPr>
          <w:p>
            <w:pPr>
              <w:spacing w:after="20" w:line="252" w:lineRule="auto"/>
            </w:pPr>
            <w:r>
              <w:rPr>
                <w:b w:val="0"/>
                <w:i w:val="0"/>
                <w:sz w:val="16"/>
              </w:rPr>
              <w:t>Provider liaison: support cases, service events, maintenance notices</w:t>
            </w:r>
          </w:p>
        </w:tc>
        <w:tc>
          <w:tcPr>
            <w:tcW w:type="dxa" w:w="2381"/>
            <w:vAlign w:val="top"/>
          </w:tcPr>
          <w:p>
            <w:pPr>
              <w:spacing w:after="20" w:line="252" w:lineRule="auto"/>
            </w:pPr>
            <w:r>
              <w:rPr>
                <w:b w:val="0"/>
                <w:i w:val="0"/>
                <w:sz w:val="16"/>
              </w:rPr>
              <w:t>As needed</w:t>
            </w:r>
          </w:p>
        </w:tc>
        <w:tc>
          <w:tcPr>
            <w:tcW w:type="dxa" w:w="3628"/>
            <w:vAlign w:val="top"/>
          </w:tcPr>
          <w:p>
            <w:pPr>
              <w:spacing w:after="20" w:line="252" w:lineRule="auto"/>
            </w:pPr>
            <w:r>
              <w:rPr>
                <w:b w:val="0"/>
                <w:i w:val="0"/>
                <w:sz w:val="16"/>
              </w:rPr>
              <w:t>Cloud engineer</w:t>
            </w:r>
          </w:p>
        </w:tc>
      </w:tr>
      <w:tr>
        <w:trPr>
          <w:cantSplit/>
        </w:trPr>
        <w:tc>
          <w:tcPr>
            <w:tcW w:type="dxa" w:w="3628"/>
            <w:vAlign w:val="top"/>
            <w:shd w:val="clear" w:color="auto" w:fill="FDF0F7"/>
          </w:tcPr>
          <w:p>
            <w:pPr>
              <w:spacing w:after="20" w:line="252" w:lineRule="auto"/>
            </w:pPr>
            <w:r>
              <w:rPr>
                <w:b w:val="0"/>
                <w:i w:val="0"/>
                <w:sz w:val="16"/>
              </w:rPr>
              <w:t>Access reviews of the cloud account</w:t>
            </w:r>
          </w:p>
        </w:tc>
        <w:tc>
          <w:tcPr>
            <w:tcW w:type="dxa" w:w="2381"/>
            <w:vAlign w:val="top"/>
            <w:shd w:val="clear" w:color="auto" w:fill="FDF0F7"/>
          </w:tcPr>
          <w:p>
            <w:pPr>
              <w:spacing w:after="20" w:line="252" w:lineRule="auto"/>
            </w:pPr>
            <w:r>
              <w:rPr>
                <w:b w:val="0"/>
                <w:i w:val="0"/>
                <w:sz w:val="16"/>
              </w:rPr>
              <w:t>Quarterly</w:t>
            </w:r>
          </w:p>
        </w:tc>
        <w:tc>
          <w:tcPr>
            <w:tcW w:type="dxa" w:w="3628"/>
            <w:vAlign w:val="top"/>
            <w:shd w:val="clear" w:color="auto" w:fill="FDF0F7"/>
          </w:tcPr>
          <w:p>
            <w:pPr>
              <w:spacing w:after="20" w:line="252" w:lineRule="auto"/>
            </w:pPr>
            <w:r>
              <w:rPr>
                <w:b w:val="0"/>
                <w:i w:val="0"/>
                <w:sz w:val="16"/>
              </w:rPr>
              <w:t>Service manager; IIFT reviews the list</w:t>
            </w:r>
          </w:p>
        </w:tc>
      </w:tr>
    </w:tbl>
    <w:p>
      <w:pPr>
        <w:pStyle w:val="Caption"/>
        <w:jc w:val="center"/>
      </w:pPr>
      <w:r>
        <w:rPr>
          <w:b w:val="0"/>
          <w:i w:val="0"/>
        </w:rPr>
        <w:t>Table 15: Managed services roster</w:t>
      </w:r>
    </w:p>
    <w:p>
      <w:pPr>
        <w:keepNext w:val="0"/>
      </w:pPr>
      <w:r>
        <w:rPr>
          <w:b w:val="0"/>
          <w:i w:val="0"/>
        </w:rPr>
        <w:t>The on-call cloud engineer and the L2 application engineer are different people on the same rota schedule, so a P1 bridge call always has both. The escalation matrix in chapter 8 applies; the cloud provider's enterprise support case is opened by the cloud engineer for platform faults and its reference is recorded on the ticket.</w:t>
      </w:r>
    </w:p>
    <w:p>
      <w:pPr>
        <w:pStyle w:val="Heading2"/>
      </w:pPr>
      <w:r>
        <w:t>12.3 Runbook equivalents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3061"/>
        <w:gridCol w:w="4762"/>
      </w:tblGrid>
      <w:tr>
        <w:trPr>
          <w:cantSplit/>
          <w:tblHeader/>
        </w:trPr>
        <w:tc>
          <w:tcPr>
            <w:tcW w:type="dxa" w:w="1814"/>
            <w:shd w:val="clear" w:color="auto" w:fill="E1058C"/>
            <w:vAlign w:val="center"/>
          </w:tcPr>
          <w:p>
            <w:pPr>
              <w:spacing w:after="0"/>
            </w:pPr>
            <w:r>
              <w:rPr>
                <w:b/>
                <w:i w:val="0"/>
                <w:color w:val="FFFFFF"/>
                <w:sz w:val="16"/>
              </w:rPr>
              <w:t>Runbook</w:t>
            </w:r>
          </w:p>
        </w:tc>
        <w:tc>
          <w:tcPr>
            <w:tcW w:type="dxa" w:w="3061"/>
            <w:shd w:val="clear" w:color="auto" w:fill="E1058C"/>
            <w:vAlign w:val="center"/>
          </w:tcPr>
          <w:p>
            <w:pPr>
              <w:spacing w:after="0"/>
            </w:pPr>
            <w:r>
              <w:rPr>
                <w:b/>
                <w:i w:val="0"/>
                <w:color w:val="FFFFFF"/>
                <w:sz w:val="16"/>
              </w:rPr>
              <w:t>Option A (VMs)</w:t>
            </w:r>
          </w:p>
        </w:tc>
        <w:tc>
          <w:tcPr>
            <w:tcW w:type="dxa" w:w="4762"/>
            <w:shd w:val="clear" w:color="auto" w:fill="E1058C"/>
            <w:vAlign w:val="center"/>
          </w:tcPr>
          <w:p>
            <w:pPr>
              <w:spacing w:after="0"/>
            </w:pPr>
            <w:r>
              <w:rPr>
                <w:b/>
                <w:i w:val="0"/>
                <w:color w:val="FFFFFF"/>
                <w:sz w:val="16"/>
              </w:rPr>
              <w:t>Option B (managed services)</w:t>
            </w:r>
          </w:p>
        </w:tc>
      </w:tr>
      <w:tr>
        <w:trPr>
          <w:cantSplit/>
        </w:trPr>
        <w:tc>
          <w:tcPr>
            <w:tcW w:type="dxa" w:w="1814"/>
            <w:vAlign w:val="top"/>
          </w:tcPr>
          <w:p>
            <w:pPr>
              <w:spacing w:after="20" w:line="252" w:lineRule="auto"/>
            </w:pPr>
            <w:r>
              <w:rPr>
                <w:b/>
                <w:i w:val="0"/>
                <w:sz w:val="16"/>
              </w:rPr>
              <w:t>R1 start and stop</w:t>
            </w:r>
          </w:p>
        </w:tc>
        <w:tc>
          <w:tcPr>
            <w:tcW w:type="dxa" w:w="3061"/>
            <w:vAlign w:val="top"/>
          </w:tcPr>
          <w:p>
            <w:pPr>
              <w:spacing w:after="20" w:line="252" w:lineRule="auto"/>
            </w:pPr>
            <w:r>
              <w:rPr>
                <w:b w:val="0"/>
                <w:i w:val="0"/>
                <w:sz w:val="16"/>
              </w:rPr>
              <w:t>docker compose on each VM</w:t>
            </w:r>
          </w:p>
        </w:tc>
        <w:tc>
          <w:tcPr>
            <w:tcW w:type="dxa" w:w="4762"/>
            <w:vAlign w:val="top"/>
          </w:tcPr>
          <w:p>
            <w:pPr>
              <w:spacing w:after="20" w:line="252" w:lineRule="auto"/>
            </w:pPr>
            <w:r>
              <w:rPr>
                <w:b w:val="0"/>
                <w:i w:val="0"/>
                <w:sz w:val="16"/>
              </w:rPr>
              <w:t>Scale the service to zero and back; the database is stopped only for maintenance through the provider console</w:t>
            </w:r>
          </w:p>
        </w:tc>
      </w:tr>
      <w:tr>
        <w:trPr>
          <w:cantSplit/>
        </w:trPr>
        <w:tc>
          <w:tcPr>
            <w:tcW w:type="dxa" w:w="1814"/>
            <w:vAlign w:val="top"/>
            <w:shd w:val="clear" w:color="auto" w:fill="FDF0F7"/>
          </w:tcPr>
          <w:p>
            <w:pPr>
              <w:spacing w:after="20" w:line="252" w:lineRule="auto"/>
            </w:pPr>
            <w:r>
              <w:rPr>
                <w:b/>
                <w:i w:val="0"/>
                <w:sz w:val="16"/>
              </w:rPr>
              <w:t>R2 deploy a release</w:t>
            </w:r>
          </w:p>
        </w:tc>
        <w:tc>
          <w:tcPr>
            <w:tcW w:type="dxa" w:w="3061"/>
            <w:vAlign w:val="top"/>
            <w:shd w:val="clear" w:color="auto" w:fill="FDF0F7"/>
          </w:tcPr>
          <w:p>
            <w:pPr>
              <w:spacing w:after="20" w:line="252" w:lineRule="auto"/>
            </w:pPr>
            <w:r>
              <w:rPr>
                <w:b w:val="0"/>
                <w:i w:val="0"/>
                <w:sz w:val="16"/>
              </w:rPr>
              <w:t>Pull images, migrate job, up -d per VM</w:t>
            </w:r>
          </w:p>
        </w:tc>
        <w:tc>
          <w:tcPr>
            <w:tcW w:type="dxa" w:w="4762"/>
            <w:vAlign w:val="top"/>
            <w:shd w:val="clear" w:color="auto" w:fill="FDF0F7"/>
          </w:tcPr>
          <w:p>
            <w:pPr>
              <w:spacing w:after="20" w:line="252" w:lineRule="auto"/>
            </w:pPr>
            <w:r>
              <w:rPr>
                <w:b w:val="0"/>
                <w:i w:val="0"/>
                <w:sz w:val="16"/>
              </w:rPr>
              <w:t>Push images to the registry; run the migrate task; update the task definition; rolling deployment with health checks</w:t>
            </w:r>
          </w:p>
        </w:tc>
      </w:tr>
      <w:tr>
        <w:trPr>
          <w:cantSplit/>
        </w:trPr>
        <w:tc>
          <w:tcPr>
            <w:tcW w:type="dxa" w:w="1814"/>
            <w:vAlign w:val="top"/>
          </w:tcPr>
          <w:p>
            <w:pPr>
              <w:spacing w:after="20" w:line="252" w:lineRule="auto"/>
            </w:pPr>
            <w:r>
              <w:rPr>
                <w:b/>
                <w:i w:val="0"/>
                <w:sz w:val="16"/>
              </w:rPr>
              <w:t>R3 roll back</w:t>
            </w:r>
          </w:p>
        </w:tc>
        <w:tc>
          <w:tcPr>
            <w:tcW w:type="dxa" w:w="3061"/>
            <w:vAlign w:val="top"/>
          </w:tcPr>
          <w:p>
            <w:pPr>
              <w:spacing w:after="20" w:line="252" w:lineRule="auto"/>
            </w:pPr>
            <w:r>
              <w:rPr>
                <w:b w:val="0"/>
                <w:i w:val="0"/>
                <w:sz w:val="16"/>
              </w:rPr>
              <w:t>Previous RELEASE tag per VM</w:t>
            </w:r>
          </w:p>
        </w:tc>
        <w:tc>
          <w:tcPr>
            <w:tcW w:type="dxa" w:w="4762"/>
            <w:vAlign w:val="top"/>
          </w:tcPr>
          <w:p>
            <w:pPr>
              <w:spacing w:after="20" w:line="252" w:lineRule="auto"/>
            </w:pPr>
            <w:r>
              <w:rPr>
                <w:b w:val="0"/>
                <w:i w:val="0"/>
                <w:sz w:val="16"/>
              </w:rPr>
              <w:t>Previous task definition revision; same expand-and-contract rule</w:t>
            </w:r>
          </w:p>
        </w:tc>
      </w:tr>
      <w:tr>
        <w:trPr>
          <w:cantSplit/>
        </w:trPr>
        <w:tc>
          <w:tcPr>
            <w:tcW w:type="dxa" w:w="1814"/>
            <w:vAlign w:val="top"/>
            <w:shd w:val="clear" w:color="auto" w:fill="FDF0F7"/>
          </w:tcPr>
          <w:p>
            <w:pPr>
              <w:spacing w:after="20" w:line="252" w:lineRule="auto"/>
            </w:pPr>
            <w:r>
              <w:rPr>
                <w:b/>
                <w:i w:val="0"/>
                <w:sz w:val="16"/>
              </w:rPr>
              <w:t>R4 rotate secrets</w:t>
            </w:r>
          </w:p>
        </w:tc>
        <w:tc>
          <w:tcPr>
            <w:tcW w:type="dxa" w:w="3061"/>
            <w:vAlign w:val="top"/>
            <w:shd w:val="clear" w:color="auto" w:fill="FDF0F7"/>
          </w:tcPr>
          <w:p>
            <w:pPr>
              <w:spacing w:after="20" w:line="252" w:lineRule="auto"/>
            </w:pPr>
            <w:r>
              <w:rPr>
                <w:b w:val="0"/>
                <w:i w:val="0"/>
                <w:sz w:val="16"/>
              </w:rPr>
              <w:t>Vault and restart</w:t>
            </w:r>
          </w:p>
        </w:tc>
        <w:tc>
          <w:tcPr>
            <w:tcW w:type="dxa" w:w="4762"/>
            <w:vAlign w:val="top"/>
            <w:shd w:val="clear" w:color="auto" w:fill="FDF0F7"/>
          </w:tcPr>
          <w:p>
            <w:pPr>
              <w:spacing w:after="20" w:line="252" w:lineRule="auto"/>
            </w:pPr>
            <w:r>
              <w:rPr>
                <w:b w:val="0"/>
                <w:i w:val="0"/>
                <w:sz w:val="16"/>
              </w:rPr>
              <w:t>Secrets store versions; new task revision picks them up</w:t>
            </w:r>
          </w:p>
        </w:tc>
      </w:tr>
      <w:tr>
        <w:trPr>
          <w:cantSplit/>
        </w:trPr>
        <w:tc>
          <w:tcPr>
            <w:tcW w:type="dxa" w:w="1814"/>
            <w:vAlign w:val="top"/>
          </w:tcPr>
          <w:p>
            <w:pPr>
              <w:spacing w:after="20" w:line="252" w:lineRule="auto"/>
            </w:pPr>
            <w:r>
              <w:rPr>
                <w:b/>
                <w:i w:val="0"/>
                <w:sz w:val="16"/>
              </w:rPr>
              <w:t>R5 restore</w:t>
            </w:r>
          </w:p>
        </w:tc>
        <w:tc>
          <w:tcPr>
            <w:tcW w:type="dxa" w:w="3061"/>
            <w:vAlign w:val="top"/>
          </w:tcPr>
          <w:p>
            <w:pPr>
              <w:spacing w:after="20" w:line="252" w:lineRule="auto"/>
            </w:pPr>
            <w:r>
              <w:rPr>
                <w:b w:val="0"/>
                <w:i w:val="0"/>
                <w:sz w:val="16"/>
              </w:rPr>
              <w:t>pgBackRest point-in-time restore</w:t>
            </w:r>
          </w:p>
        </w:tc>
        <w:tc>
          <w:tcPr>
            <w:tcW w:type="dxa" w:w="4762"/>
            <w:vAlign w:val="top"/>
          </w:tcPr>
          <w:p>
            <w:pPr>
              <w:spacing w:after="20" w:line="252" w:lineRule="auto"/>
            </w:pPr>
            <w:r>
              <w:rPr>
                <w:b w:val="0"/>
                <w:i w:val="0"/>
                <w:sz w:val="16"/>
              </w:rPr>
              <w:t>Point-in-time restore to a new database instance; switch the connection secret; documents from the file-system backup</w:t>
            </w:r>
          </w:p>
        </w:tc>
      </w:tr>
      <w:tr>
        <w:trPr>
          <w:cantSplit/>
        </w:trPr>
        <w:tc>
          <w:tcPr>
            <w:tcW w:type="dxa" w:w="1814"/>
            <w:vAlign w:val="top"/>
            <w:shd w:val="clear" w:color="auto" w:fill="FDF0F7"/>
          </w:tcPr>
          <w:p>
            <w:pPr>
              <w:spacing w:after="20" w:line="252" w:lineRule="auto"/>
            </w:pPr>
            <w:r>
              <w:rPr>
                <w:b/>
                <w:i w:val="0"/>
                <w:sz w:val="16"/>
              </w:rPr>
              <w:t>Local failover</w:t>
            </w:r>
          </w:p>
        </w:tc>
        <w:tc>
          <w:tcPr>
            <w:tcW w:type="dxa" w:w="3061"/>
            <w:vAlign w:val="top"/>
            <w:shd w:val="clear" w:color="auto" w:fill="FDF0F7"/>
          </w:tcPr>
          <w:p>
            <w:pPr>
              <w:spacing w:after="20" w:line="252" w:lineRule="auto"/>
            </w:pPr>
            <w:r>
              <w:rPr>
                <w:b w:val="0"/>
                <w:i w:val="0"/>
                <w:sz w:val="16"/>
              </w:rPr>
              <w:t>Promote the standby (section 11.3)</w:t>
            </w:r>
          </w:p>
        </w:tc>
        <w:tc>
          <w:tcPr>
            <w:tcW w:type="dxa" w:w="4762"/>
            <w:vAlign w:val="top"/>
            <w:shd w:val="clear" w:color="auto" w:fill="FDF0F7"/>
          </w:tcPr>
          <w:p>
            <w:pPr>
              <w:spacing w:after="20" w:line="252" w:lineRule="auto"/>
            </w:pPr>
            <w:r>
              <w:rPr>
                <w:b w:val="0"/>
                <w:i w:val="0"/>
                <w:sz w:val="16"/>
              </w:rPr>
              <w:t>Automatic Multi-AZ failover, typically within a minute; readiness turns green on reconnect</w:t>
            </w:r>
          </w:p>
        </w:tc>
      </w:tr>
      <w:tr>
        <w:trPr>
          <w:cantSplit/>
        </w:trPr>
        <w:tc>
          <w:tcPr>
            <w:tcW w:type="dxa" w:w="1814"/>
            <w:vAlign w:val="top"/>
          </w:tcPr>
          <w:p>
            <w:pPr>
              <w:spacing w:after="20" w:line="252" w:lineRule="auto"/>
            </w:pPr>
            <w:r>
              <w:rPr>
                <w:b/>
                <w:i w:val="0"/>
                <w:sz w:val="16"/>
              </w:rPr>
              <w:t>DR invocation</w:t>
            </w:r>
          </w:p>
        </w:tc>
        <w:tc>
          <w:tcPr>
            <w:tcW w:type="dxa" w:w="3061"/>
            <w:vAlign w:val="top"/>
          </w:tcPr>
          <w:p>
            <w:pPr>
              <w:spacing w:after="20" w:line="252" w:lineRule="auto"/>
            </w:pPr>
            <w:r>
              <w:rPr>
                <w:b w:val="0"/>
                <w:i w:val="0"/>
                <w:sz w:val="16"/>
              </w:rPr>
              <w:t>Section 11.4</w:t>
            </w:r>
          </w:p>
        </w:tc>
        <w:tc>
          <w:tcPr>
            <w:tcW w:type="dxa" w:w="4762"/>
            <w:vAlign w:val="top"/>
          </w:tcPr>
          <w:p>
            <w:pPr>
              <w:spacing w:after="20" w:line="252" w:lineRule="auto"/>
            </w:pPr>
            <w:r>
              <w:rPr>
                <w:b w:val="0"/>
                <w:i w:val="0"/>
                <w:sz w:val="16"/>
              </w:rPr>
              <w:t>Promote the cross-region replica, scale the standby tasks, switch DNS; the same declaration, communication and fail-back steps</w:t>
            </w:r>
          </w:p>
        </w:tc>
      </w:tr>
    </w:tbl>
    <w:p>
      <w:pPr>
        <w:pStyle w:val="Caption"/>
        <w:jc w:val="center"/>
      </w:pPr>
      <w:r>
        <w:rPr>
          <w:b w:val="0"/>
          <w:i w:val="0"/>
        </w:rPr>
        <w:t>Table 16: Runbooks under Option B</w:t>
      </w:r>
    </w:p>
    <w:p>
      <w:pPr>
        <w:pStyle w:val="Heading2"/>
      </w:pPr>
      <w:r>
        <w:t>12.4 Cost report</w:t>
      </w:r>
    </w:p>
    <w:p>
      <w:pPr>
        <w:keepNext w:val="0"/>
      </w:pPr>
      <w:r>
        <w:rPr>
          <w:b w:val="0"/>
          <w:i w:val="0"/>
        </w:rPr>
        <w:t>Cloud charges are recharged at the provider's cost, or paid by IIFT directly when it holds the account. The monthly cost report (section 11 of the monthly service report) shows charges by service and by environment against the estimate in the proposal, the budget alerts raised at 80% and 100% of the monthly estimate, the exchange rate applied, and the right-sizing actions taken or proposed. The quarterly service review decides on reserved capacity and on changes to the reference sizing; non-production environments are stopped outside test periods by schedule.</w:t>
      </w:r>
    </w:p>
    <w:p>
      <w:pPr>
        <w:pStyle w:val="Heading2"/>
      </w:pPr>
      <w:r>
        <w:t>12.5 SLA reporting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7257"/>
      </w:tblGrid>
      <w:tr>
        <w:trPr>
          <w:cantSplit/>
          <w:tblHeader/>
        </w:trPr>
        <w:tc>
          <w:tcPr>
            <w:tcW w:type="dxa" w:w="2381"/>
            <w:shd w:val="clear" w:color="auto" w:fill="E1058C"/>
            <w:vAlign w:val="center"/>
          </w:tcPr>
          <w:p>
            <w:pPr>
              <w:spacing w:after="0"/>
            </w:pPr>
            <w:r>
              <w:rPr>
                <w:b/>
                <w:i w:val="0"/>
                <w:color w:val="FFFFFF"/>
                <w:sz w:val="17"/>
              </w:rPr>
              <w:t>Measure</w:t>
            </w:r>
          </w:p>
        </w:tc>
        <w:tc>
          <w:tcPr>
            <w:tcW w:type="dxa" w:w="7257"/>
            <w:shd w:val="clear" w:color="auto" w:fill="E1058C"/>
            <w:vAlign w:val="center"/>
          </w:tcPr>
          <w:p>
            <w:pPr>
              <w:spacing w:after="0"/>
            </w:pPr>
            <w:r>
              <w:rPr>
                <w:b/>
                <w:i w:val="0"/>
                <w:color w:val="FFFFFF"/>
                <w:sz w:val="17"/>
              </w:rPr>
              <w:t>Reported</w:t>
            </w:r>
          </w:p>
        </w:tc>
      </w:tr>
      <w:tr>
        <w:trPr>
          <w:cantSplit/>
        </w:trPr>
        <w:tc>
          <w:tcPr>
            <w:tcW w:type="dxa" w:w="2381"/>
            <w:vAlign w:val="top"/>
          </w:tcPr>
          <w:p>
            <w:pPr>
              <w:spacing w:after="20" w:line="252" w:lineRule="auto"/>
            </w:pPr>
            <w:r>
              <w:rPr>
                <w:b/>
                <w:i w:val="0"/>
                <w:sz w:val="17"/>
              </w:rPr>
              <w:t>Infrastructure availability</w:t>
            </w:r>
          </w:p>
        </w:tc>
        <w:tc>
          <w:tcPr>
            <w:tcW w:type="dxa" w:w="7257"/>
            <w:vAlign w:val="top"/>
          </w:tcPr>
          <w:p>
            <w:pPr>
              <w:spacing w:after="20" w:line="252" w:lineRule="auto"/>
            </w:pPr>
            <w:r>
              <w:rPr>
                <w:b w:val="0"/>
                <w:i w:val="0"/>
                <w:sz w:val="17"/>
              </w:rPr>
              <w:t>Uptime of the load balancer, tasks and database per month against the 99.5% and 99.9% targets; provider service events listed separately</w:t>
            </w:r>
          </w:p>
        </w:tc>
      </w:tr>
      <w:tr>
        <w:trPr>
          <w:cantSplit/>
        </w:trPr>
        <w:tc>
          <w:tcPr>
            <w:tcW w:type="dxa" w:w="2381"/>
            <w:vAlign w:val="top"/>
            <w:shd w:val="clear" w:color="auto" w:fill="FDF0F7"/>
          </w:tcPr>
          <w:p>
            <w:pPr>
              <w:spacing w:after="20" w:line="252" w:lineRule="auto"/>
            </w:pPr>
            <w:r>
              <w:rPr>
                <w:b/>
                <w:i w:val="0"/>
                <w:sz w:val="17"/>
              </w:rPr>
              <w:t>Alerts and infrastructure incidents</w:t>
            </w:r>
          </w:p>
        </w:tc>
        <w:tc>
          <w:tcPr>
            <w:tcW w:type="dxa" w:w="7257"/>
            <w:vAlign w:val="top"/>
            <w:shd w:val="clear" w:color="auto" w:fill="FDF0F7"/>
          </w:tcPr>
          <w:p>
            <w:pPr>
              <w:spacing w:after="20" w:line="252" w:lineRule="auto"/>
            </w:pPr>
            <w:r>
              <w:rPr>
                <w:b w:val="0"/>
                <w:i w:val="0"/>
                <w:sz w:val="17"/>
              </w:rPr>
              <w:t>Count by severity, response and restore times, root causes</w:t>
            </w:r>
          </w:p>
        </w:tc>
      </w:tr>
      <w:tr>
        <w:trPr>
          <w:cantSplit/>
        </w:trPr>
        <w:tc>
          <w:tcPr>
            <w:tcW w:type="dxa" w:w="2381"/>
            <w:vAlign w:val="top"/>
          </w:tcPr>
          <w:p>
            <w:pPr>
              <w:spacing w:after="20" w:line="252" w:lineRule="auto"/>
            </w:pPr>
            <w:r>
              <w:rPr>
                <w:b/>
                <w:i w:val="0"/>
                <w:sz w:val="17"/>
              </w:rPr>
              <w:t>Patching</w:t>
            </w:r>
          </w:p>
        </w:tc>
        <w:tc>
          <w:tcPr>
            <w:tcW w:type="dxa" w:w="7257"/>
            <w:vAlign w:val="top"/>
          </w:tcPr>
          <w:p>
            <w:pPr>
              <w:spacing w:after="20" w:line="252" w:lineRule="auto"/>
            </w:pPr>
            <w:r>
              <w:rPr>
                <w:b w:val="0"/>
                <w:i w:val="0"/>
                <w:sz w:val="17"/>
              </w:rPr>
              <w:t>Patches applied, windows used, anything deferred and why</w:t>
            </w:r>
          </w:p>
        </w:tc>
      </w:tr>
      <w:tr>
        <w:trPr>
          <w:cantSplit/>
        </w:trPr>
        <w:tc>
          <w:tcPr>
            <w:tcW w:type="dxa" w:w="2381"/>
            <w:vAlign w:val="top"/>
            <w:shd w:val="clear" w:color="auto" w:fill="FDF0F7"/>
          </w:tcPr>
          <w:p>
            <w:pPr>
              <w:spacing w:after="20" w:line="252" w:lineRule="auto"/>
            </w:pPr>
            <w:r>
              <w:rPr>
                <w:b/>
                <w:i w:val="0"/>
                <w:sz w:val="17"/>
              </w:rPr>
              <w:t>Backups and DR</w:t>
            </w:r>
          </w:p>
        </w:tc>
        <w:tc>
          <w:tcPr>
            <w:tcW w:type="dxa" w:w="7257"/>
            <w:vAlign w:val="top"/>
            <w:shd w:val="clear" w:color="auto" w:fill="FDF0F7"/>
          </w:tcPr>
          <w:p>
            <w:pPr>
              <w:spacing w:after="20" w:line="252" w:lineRule="auto"/>
            </w:pPr>
            <w:r>
              <w:rPr>
                <w:b w:val="0"/>
                <w:i w:val="0"/>
                <w:sz w:val="17"/>
              </w:rPr>
              <w:t>Backup success rate, restore test result, replication lag, DR drill status</w:t>
            </w:r>
          </w:p>
        </w:tc>
      </w:tr>
      <w:tr>
        <w:trPr>
          <w:cantSplit/>
        </w:trPr>
        <w:tc>
          <w:tcPr>
            <w:tcW w:type="dxa" w:w="2381"/>
            <w:vAlign w:val="top"/>
          </w:tcPr>
          <w:p>
            <w:pPr>
              <w:spacing w:after="20" w:line="252" w:lineRule="auto"/>
            </w:pPr>
            <w:r>
              <w:rPr>
                <w:b/>
                <w:i w:val="0"/>
                <w:sz w:val="17"/>
              </w:rPr>
              <w:t>Security</w:t>
            </w:r>
          </w:p>
        </w:tc>
        <w:tc>
          <w:tcPr>
            <w:tcW w:type="dxa" w:w="7257"/>
            <w:vAlign w:val="top"/>
          </w:tcPr>
          <w:p>
            <w:pPr>
              <w:spacing w:after="20" w:line="252" w:lineRule="auto"/>
            </w:pPr>
            <w:r>
              <w:rPr>
                <w:b w:val="0"/>
                <w:i w:val="0"/>
                <w:sz w:val="17"/>
              </w:rPr>
              <w:t>WAF blocks, threat findings and their status, scan results, open vulnerabilities by severity</w:t>
            </w:r>
          </w:p>
        </w:tc>
      </w:tr>
      <w:tr>
        <w:trPr>
          <w:cantSplit/>
        </w:trPr>
        <w:tc>
          <w:tcPr>
            <w:tcW w:type="dxa" w:w="2381"/>
            <w:vAlign w:val="top"/>
            <w:shd w:val="clear" w:color="auto" w:fill="FDF0F7"/>
          </w:tcPr>
          <w:p>
            <w:pPr>
              <w:spacing w:after="20" w:line="252" w:lineRule="auto"/>
            </w:pPr>
            <w:r>
              <w:rPr>
                <w:b/>
                <w:i w:val="0"/>
                <w:sz w:val="17"/>
              </w:rPr>
              <w:t>Capacity and cost</w:t>
            </w:r>
          </w:p>
        </w:tc>
        <w:tc>
          <w:tcPr>
            <w:tcW w:type="dxa" w:w="7257"/>
            <w:vAlign w:val="top"/>
            <w:shd w:val="clear" w:color="auto" w:fill="FDF0F7"/>
          </w:tcPr>
          <w:p>
            <w:pPr>
              <w:spacing w:after="20" w:line="252" w:lineRule="auto"/>
            </w:pPr>
            <w:r>
              <w:rPr>
                <w:b w:val="0"/>
                <w:i w:val="0"/>
                <w:sz w:val="17"/>
              </w:rPr>
              <w:t>CPU, memory, storage and connection trends; cloud charges by service against the estimate; budget alert history; right-sizing actions and savings</w:t>
            </w:r>
          </w:p>
        </w:tc>
      </w:tr>
    </w:tbl>
    <w:p>
      <w:pPr>
        <w:pStyle w:val="Caption"/>
        <w:jc w:val="center"/>
      </w:pPr>
      <w:r>
        <w:rPr>
          <w:b w:val="0"/>
          <w:i w:val="0"/>
        </w:rPr>
        <w:t>Table 17: Managed services section of the monthly report</w:t>
      </w:r>
    </w:p>
    <w:p>
      <w:pPr>
        <w:keepNext w:val="0"/>
      </w:pPr>
      <w:r>
        <w:rPr>
          <w:b w:val="0"/>
          <w:i w:val="0"/>
        </w:rPr>
        <w:t>Availability is measured at the load balancer and excludes approved maintenance windows. Provider service events are reported with the provider's incident reference; the application SLA clock pauses for them as it does for IITH infrastructure under Option A, and iorta pursues service credits with the provider on IIFT's behalf.</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13. Configuration Reference</w:t>
      </w:r>
    </w:p>
    <w:p>
      <w:pPr>
        <w:keepNext w:val="0"/>
      </w:pPr>
      <w:r>
        <w:rPr>
          <w:b w:val="0"/>
          <w:i w:val="0"/>
        </w:rPr>
        <w:t>Every environment variable read by the API (apps/api/src/config/app-config.ts), as of this release. The API validates them at start-up and refuses to start with a missing or invalid value; in production it also refuses insecure combinations. Secrets come from the vault, never from files in the repository.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948"/>
        <w:gridCol w:w="1360"/>
        <w:gridCol w:w="2494"/>
        <w:gridCol w:w="4876"/>
        <w:gridCol w:w="2891"/>
      </w:tblGrid>
      <w:tr>
        <w:trPr>
          <w:cantSplit/>
          <w:tblHeader/>
        </w:trPr>
        <w:tc>
          <w:tcPr>
            <w:tcW w:type="dxa" w:w="2948"/>
            <w:shd w:val="clear" w:color="auto" w:fill="E1058C"/>
            <w:vAlign w:val="center"/>
          </w:tcPr>
          <w:p>
            <w:pPr>
              <w:spacing w:after="0"/>
            </w:pPr>
            <w:r>
              <w:rPr>
                <w:b/>
                <w:i w:val="0"/>
                <w:color w:val="FFFFFF"/>
                <w:sz w:val="15"/>
              </w:rPr>
              <w:t>Variable</w:t>
            </w:r>
          </w:p>
        </w:tc>
        <w:tc>
          <w:tcPr>
            <w:tcW w:type="dxa" w:w="1361"/>
            <w:shd w:val="clear" w:color="auto" w:fill="E1058C"/>
            <w:vAlign w:val="center"/>
          </w:tcPr>
          <w:p>
            <w:pPr>
              <w:spacing w:after="0"/>
            </w:pPr>
            <w:r>
              <w:rPr>
                <w:b/>
                <w:i w:val="0"/>
                <w:color w:val="FFFFFF"/>
                <w:sz w:val="15"/>
              </w:rPr>
              <w:t>Group</w:t>
            </w:r>
          </w:p>
        </w:tc>
        <w:tc>
          <w:tcPr>
            <w:tcW w:type="dxa" w:w="2494"/>
            <w:shd w:val="clear" w:color="auto" w:fill="E1058C"/>
            <w:vAlign w:val="center"/>
          </w:tcPr>
          <w:p>
            <w:pPr>
              <w:spacing w:after="0"/>
            </w:pPr>
            <w:r>
              <w:rPr>
                <w:b/>
                <w:i w:val="0"/>
                <w:color w:val="FFFFFF"/>
                <w:sz w:val="15"/>
              </w:rPr>
              <w:t>Required / default</w:t>
            </w:r>
          </w:p>
        </w:tc>
        <w:tc>
          <w:tcPr>
            <w:tcW w:type="dxa" w:w="4876"/>
            <w:shd w:val="clear" w:color="auto" w:fill="E1058C"/>
            <w:vAlign w:val="center"/>
          </w:tcPr>
          <w:p>
            <w:pPr>
              <w:spacing w:after="0"/>
            </w:pPr>
            <w:r>
              <w:rPr>
                <w:b/>
                <w:i w:val="0"/>
                <w:color w:val="FFFFFF"/>
                <w:sz w:val="15"/>
              </w:rPr>
              <w:t>Purpose</w:t>
            </w:r>
          </w:p>
        </w:tc>
        <w:tc>
          <w:tcPr>
            <w:tcW w:type="dxa" w:w="2891"/>
            <w:shd w:val="clear" w:color="auto" w:fill="E1058C"/>
            <w:vAlign w:val="center"/>
          </w:tcPr>
          <w:p>
            <w:pPr>
              <w:spacing w:after="0"/>
            </w:pPr>
            <w:r>
              <w:rPr>
                <w:b/>
                <w:i w:val="0"/>
                <w:color w:val="FFFFFF"/>
                <w:sz w:val="15"/>
              </w:rPr>
              <w:t>Example</w:t>
            </w:r>
          </w:p>
        </w:tc>
      </w:tr>
      <w:tr>
        <w:trPr>
          <w:cantSplit/>
        </w:trPr>
        <w:tc>
          <w:tcPr>
            <w:tcW w:type="dxa" w:w="2948"/>
            <w:vAlign w:val="top"/>
          </w:tcPr>
          <w:p>
            <w:pPr>
              <w:spacing w:after="20" w:line="252" w:lineRule="auto"/>
            </w:pPr>
            <w:r>
              <w:rPr>
                <w:b w:val="0"/>
                <w:i w:val="0"/>
                <w:sz w:val="15"/>
              </w:rPr>
              <w:t>NODE_ENV</w:t>
            </w:r>
          </w:p>
        </w:tc>
        <w:tc>
          <w:tcPr>
            <w:tcW w:type="dxa" w:w="1361"/>
            <w:vAlign w:val="top"/>
          </w:tcPr>
          <w:p>
            <w:pPr>
              <w:spacing w:after="20" w:line="252" w:lineRule="auto"/>
            </w:pPr>
            <w:r>
              <w:rPr>
                <w:b w:val="0"/>
                <w:i w:val="0"/>
                <w:sz w:val="15"/>
              </w:rPr>
              <w:t>Runtime</w:t>
            </w:r>
          </w:p>
        </w:tc>
        <w:tc>
          <w:tcPr>
            <w:tcW w:type="dxa" w:w="2494"/>
            <w:vAlign w:val="top"/>
          </w:tcPr>
          <w:p>
            <w:pPr>
              <w:spacing w:after="20" w:line="252" w:lineRule="auto"/>
            </w:pPr>
            <w:r>
              <w:rPr>
                <w:b w:val="0"/>
                <w:i w:val="0"/>
                <w:sz w:val="15"/>
              </w:rPr>
              <w:t>Default development</w:t>
            </w:r>
          </w:p>
        </w:tc>
        <w:tc>
          <w:tcPr>
            <w:tcW w:type="dxa" w:w="4876"/>
            <w:vAlign w:val="top"/>
          </w:tcPr>
          <w:p>
            <w:pPr>
              <w:spacing w:after="20" w:line="252" w:lineRule="auto"/>
            </w:pPr>
            <w:r>
              <w:rPr>
                <w:b w:val="0"/>
                <w:i w:val="0"/>
                <w:sz w:val="15"/>
              </w:rPr>
              <w:t>production enables the production safety checks and secure defaults.</w:t>
            </w:r>
          </w:p>
        </w:tc>
        <w:tc>
          <w:tcPr>
            <w:tcW w:type="dxa" w:w="2891"/>
            <w:vAlign w:val="top"/>
          </w:tcPr>
          <w:p>
            <w:pPr>
              <w:spacing w:after="20" w:line="252" w:lineRule="auto"/>
            </w:pPr>
            <w:r>
              <w:rPr>
                <w:b w:val="0"/>
                <w:i w:val="0"/>
                <w:sz w:val="15"/>
              </w:rPr>
              <w:t>production</w:t>
            </w:r>
          </w:p>
        </w:tc>
      </w:tr>
      <w:tr>
        <w:trPr>
          <w:cantSplit/>
        </w:trPr>
        <w:tc>
          <w:tcPr>
            <w:tcW w:type="dxa" w:w="2948"/>
            <w:vAlign w:val="top"/>
            <w:shd w:val="clear" w:color="auto" w:fill="FDF0F7"/>
          </w:tcPr>
          <w:p>
            <w:pPr>
              <w:spacing w:after="20" w:line="252" w:lineRule="auto"/>
            </w:pPr>
            <w:r>
              <w:rPr>
                <w:b w:val="0"/>
                <w:i w:val="0"/>
                <w:sz w:val="15"/>
              </w:rPr>
              <w:t>PORT</w:t>
            </w:r>
          </w:p>
        </w:tc>
        <w:tc>
          <w:tcPr>
            <w:tcW w:type="dxa" w:w="1361"/>
            <w:vAlign w:val="top"/>
            <w:shd w:val="clear" w:color="auto" w:fill="FDF0F7"/>
          </w:tcPr>
          <w:p>
            <w:pPr>
              <w:spacing w:after="20" w:line="252" w:lineRule="auto"/>
            </w:pPr>
            <w:r>
              <w:rPr>
                <w:b w:val="0"/>
                <w:i w:val="0"/>
                <w:sz w:val="15"/>
              </w:rPr>
              <w:t>Runtime</w:t>
            </w:r>
          </w:p>
        </w:tc>
        <w:tc>
          <w:tcPr>
            <w:tcW w:type="dxa" w:w="2494"/>
            <w:vAlign w:val="top"/>
            <w:shd w:val="clear" w:color="auto" w:fill="FDF0F7"/>
          </w:tcPr>
          <w:p>
            <w:pPr>
              <w:spacing w:after="20" w:line="252" w:lineRule="auto"/>
            </w:pPr>
            <w:r>
              <w:rPr>
                <w:b w:val="0"/>
                <w:i w:val="0"/>
                <w:sz w:val="15"/>
              </w:rPr>
              <w:t>Default 3000</w:t>
            </w:r>
          </w:p>
        </w:tc>
        <w:tc>
          <w:tcPr>
            <w:tcW w:type="dxa" w:w="4876"/>
            <w:vAlign w:val="top"/>
            <w:shd w:val="clear" w:color="auto" w:fill="FDF0F7"/>
          </w:tcPr>
          <w:p>
            <w:pPr>
              <w:spacing w:after="20" w:line="252" w:lineRule="auto"/>
            </w:pPr>
            <w:r>
              <w:rPr>
                <w:b w:val="0"/>
                <w:i w:val="0"/>
                <w:sz w:val="15"/>
              </w:rPr>
              <w:t>HTTP port the API listens on inside the container.</w:t>
            </w:r>
          </w:p>
        </w:tc>
        <w:tc>
          <w:tcPr>
            <w:tcW w:type="dxa" w:w="2891"/>
            <w:vAlign w:val="top"/>
            <w:shd w:val="clear" w:color="auto" w:fill="FDF0F7"/>
          </w:tcPr>
          <w:p>
            <w:pPr>
              <w:spacing w:after="20" w:line="252" w:lineRule="auto"/>
            </w:pPr>
            <w:r>
              <w:rPr>
                <w:b w:val="0"/>
                <w:i w:val="0"/>
                <w:sz w:val="15"/>
              </w:rPr>
              <w:t>3000</w:t>
            </w:r>
          </w:p>
        </w:tc>
      </w:tr>
      <w:tr>
        <w:trPr>
          <w:cantSplit/>
        </w:trPr>
        <w:tc>
          <w:tcPr>
            <w:tcW w:type="dxa" w:w="2948"/>
            <w:vAlign w:val="top"/>
          </w:tcPr>
          <w:p>
            <w:pPr>
              <w:spacing w:after="20" w:line="252" w:lineRule="auto"/>
            </w:pPr>
            <w:r>
              <w:rPr>
                <w:b w:val="0"/>
                <w:i w:val="0"/>
                <w:sz w:val="15"/>
              </w:rPr>
              <w:t>TRUST_PROXY_HOPS</w:t>
            </w:r>
          </w:p>
        </w:tc>
        <w:tc>
          <w:tcPr>
            <w:tcW w:type="dxa" w:w="1361"/>
            <w:vAlign w:val="top"/>
          </w:tcPr>
          <w:p>
            <w:pPr>
              <w:spacing w:after="20" w:line="252" w:lineRule="auto"/>
            </w:pPr>
            <w:r>
              <w:rPr>
                <w:b w:val="0"/>
                <w:i w:val="0"/>
                <w:sz w:val="15"/>
              </w:rPr>
              <w:t>Runtime</w:t>
            </w:r>
          </w:p>
        </w:tc>
        <w:tc>
          <w:tcPr>
            <w:tcW w:type="dxa" w:w="2494"/>
            <w:vAlign w:val="top"/>
          </w:tcPr>
          <w:p>
            <w:pPr>
              <w:spacing w:after="20" w:line="252" w:lineRule="auto"/>
            </w:pPr>
            <w:r>
              <w:rPr>
                <w:b w:val="0"/>
                <w:i w:val="0"/>
                <w:sz w:val="15"/>
              </w:rPr>
              <w:t>Default 1</w:t>
            </w:r>
          </w:p>
        </w:tc>
        <w:tc>
          <w:tcPr>
            <w:tcW w:type="dxa" w:w="4876"/>
            <w:vAlign w:val="top"/>
          </w:tcPr>
          <w:p>
            <w:pPr>
              <w:spacing w:after="20" w:line="252" w:lineRule="auto"/>
            </w:pPr>
            <w:r>
              <w:rPr>
                <w:b w:val="0"/>
                <w:i w:val="0"/>
                <w:sz w:val="15"/>
              </w:rPr>
              <w:t>Number of reverse proxies in front of the API, so client IPs in logs and audit are correct.</w:t>
            </w:r>
          </w:p>
        </w:tc>
        <w:tc>
          <w:tcPr>
            <w:tcW w:type="dxa" w:w="2891"/>
            <w:vAlign w:val="top"/>
          </w:tcPr>
          <w:p>
            <w:pPr>
              <w:spacing w:after="20" w:line="252" w:lineRule="auto"/>
            </w:pPr>
            <w:r>
              <w:rPr>
                <w:b w:val="0"/>
                <w:i w:val="0"/>
                <w:sz w:val="15"/>
              </w:rPr>
              <w:t>1</w:t>
            </w:r>
          </w:p>
        </w:tc>
      </w:tr>
      <w:tr>
        <w:trPr>
          <w:cantSplit/>
        </w:trPr>
        <w:tc>
          <w:tcPr>
            <w:tcW w:type="dxa" w:w="2948"/>
            <w:vAlign w:val="top"/>
            <w:shd w:val="clear" w:color="auto" w:fill="FDF0F7"/>
          </w:tcPr>
          <w:p>
            <w:pPr>
              <w:spacing w:after="20" w:line="252" w:lineRule="auto"/>
            </w:pPr>
            <w:r>
              <w:rPr>
                <w:b w:val="0"/>
                <w:i w:val="0"/>
                <w:sz w:val="15"/>
              </w:rPr>
              <w:t>DATABASE_URL</w:t>
            </w:r>
          </w:p>
        </w:tc>
        <w:tc>
          <w:tcPr>
            <w:tcW w:type="dxa" w:w="1361"/>
            <w:vAlign w:val="top"/>
            <w:shd w:val="clear" w:color="auto" w:fill="FDF0F7"/>
          </w:tcPr>
          <w:p>
            <w:pPr>
              <w:spacing w:after="20" w:line="252" w:lineRule="auto"/>
            </w:pPr>
            <w:r>
              <w:rPr>
                <w:b w:val="0"/>
                <w:i w:val="0"/>
                <w:sz w:val="15"/>
              </w:rPr>
              <w:t>Database</w:t>
            </w:r>
          </w:p>
        </w:tc>
        <w:tc>
          <w:tcPr>
            <w:tcW w:type="dxa" w:w="2494"/>
            <w:vAlign w:val="top"/>
            <w:shd w:val="clear" w:color="auto" w:fill="FDF0F7"/>
          </w:tcPr>
          <w:p>
            <w:pPr>
              <w:spacing w:after="20" w:line="252" w:lineRule="auto"/>
            </w:pPr>
            <w:r>
              <w:rPr>
                <w:b w:val="0"/>
                <w:i w:val="0"/>
                <w:sz w:val="15"/>
              </w:rPr>
              <w:t>Required</w:t>
            </w:r>
          </w:p>
        </w:tc>
        <w:tc>
          <w:tcPr>
            <w:tcW w:type="dxa" w:w="4876"/>
            <w:vAlign w:val="top"/>
            <w:shd w:val="clear" w:color="auto" w:fill="FDF0F7"/>
          </w:tcPr>
          <w:p>
            <w:pPr>
              <w:spacing w:after="20" w:line="252" w:lineRule="auto"/>
            </w:pPr>
            <w:r>
              <w:rPr>
                <w:b w:val="0"/>
                <w:i w:val="0"/>
                <w:sz w:val="15"/>
              </w:rPr>
              <w:t>PostgreSQL connection string for the application role; use sslmode=require.</w:t>
            </w:r>
          </w:p>
        </w:tc>
        <w:tc>
          <w:tcPr>
            <w:tcW w:type="dxa" w:w="2891"/>
            <w:vAlign w:val="top"/>
            <w:shd w:val="clear" w:color="auto" w:fill="FDF0F7"/>
          </w:tcPr>
          <w:p>
            <w:pPr>
              <w:spacing w:after="20" w:line="252" w:lineRule="auto"/>
            </w:pPr>
            <w:r>
              <w:rPr>
                <w:b w:val="0"/>
                <w:i w:val="0"/>
                <w:sz w:val="15"/>
              </w:rPr>
              <w:t>postgresql://iift_app:***@db-vip:5432/iift?sslmode=require</w:t>
            </w:r>
          </w:p>
        </w:tc>
      </w:tr>
      <w:tr>
        <w:trPr>
          <w:cantSplit/>
        </w:trPr>
        <w:tc>
          <w:tcPr>
            <w:tcW w:type="dxa" w:w="2948"/>
            <w:vAlign w:val="top"/>
          </w:tcPr>
          <w:p>
            <w:pPr>
              <w:spacing w:after="20" w:line="252" w:lineRule="auto"/>
            </w:pPr>
            <w:r>
              <w:rPr>
                <w:b w:val="0"/>
                <w:i w:val="0"/>
                <w:sz w:val="15"/>
              </w:rPr>
              <w:t>DATABASE_POOL_SIZE</w:t>
            </w:r>
          </w:p>
        </w:tc>
        <w:tc>
          <w:tcPr>
            <w:tcW w:type="dxa" w:w="1361"/>
            <w:vAlign w:val="top"/>
          </w:tcPr>
          <w:p>
            <w:pPr>
              <w:spacing w:after="20" w:line="252" w:lineRule="auto"/>
            </w:pPr>
            <w:r>
              <w:rPr>
                <w:b w:val="0"/>
                <w:i w:val="0"/>
                <w:sz w:val="15"/>
              </w:rPr>
              <w:t>Database</w:t>
            </w:r>
          </w:p>
        </w:tc>
        <w:tc>
          <w:tcPr>
            <w:tcW w:type="dxa" w:w="2494"/>
            <w:vAlign w:val="top"/>
          </w:tcPr>
          <w:p>
            <w:pPr>
              <w:spacing w:after="20" w:line="252" w:lineRule="auto"/>
            </w:pPr>
            <w:r>
              <w:rPr>
                <w:b w:val="0"/>
                <w:i w:val="0"/>
                <w:sz w:val="15"/>
              </w:rPr>
              <w:t>Default 10</w:t>
            </w:r>
          </w:p>
        </w:tc>
        <w:tc>
          <w:tcPr>
            <w:tcW w:type="dxa" w:w="4876"/>
            <w:vAlign w:val="top"/>
          </w:tcPr>
          <w:p>
            <w:pPr>
              <w:spacing w:after="20" w:line="252" w:lineRule="auto"/>
            </w:pPr>
            <w:r>
              <w:rPr>
                <w:b w:val="0"/>
                <w:i w:val="0"/>
                <w:sz w:val="15"/>
              </w:rPr>
              <w:t>Maximum connections per API instance for business queries (the session store uses a separate pool of 5).</w:t>
            </w:r>
          </w:p>
        </w:tc>
        <w:tc>
          <w:tcPr>
            <w:tcW w:type="dxa" w:w="2891"/>
            <w:vAlign w:val="top"/>
          </w:tcPr>
          <w:p>
            <w:pPr>
              <w:spacing w:after="20" w:line="252" w:lineRule="auto"/>
            </w:pPr>
            <w:r>
              <w:rPr>
                <w:b w:val="0"/>
                <w:i w:val="0"/>
                <w:sz w:val="15"/>
              </w:rPr>
              <w:t>10</w:t>
            </w:r>
          </w:p>
        </w:tc>
      </w:tr>
      <w:tr>
        <w:trPr>
          <w:cantSplit/>
        </w:trPr>
        <w:tc>
          <w:tcPr>
            <w:tcW w:type="dxa" w:w="2948"/>
            <w:vAlign w:val="top"/>
            <w:shd w:val="clear" w:color="auto" w:fill="FDF0F7"/>
          </w:tcPr>
          <w:p>
            <w:pPr>
              <w:spacing w:after="20" w:line="252" w:lineRule="auto"/>
            </w:pPr>
            <w:r>
              <w:rPr>
                <w:b w:val="0"/>
                <w:i w:val="0"/>
                <w:sz w:val="15"/>
              </w:rPr>
              <w:t>CORS_ORIGINS</w:t>
            </w:r>
          </w:p>
        </w:tc>
        <w:tc>
          <w:tcPr>
            <w:tcW w:type="dxa" w:w="1361"/>
            <w:vAlign w:val="top"/>
            <w:shd w:val="clear" w:color="auto" w:fill="FDF0F7"/>
          </w:tcPr>
          <w:p>
            <w:pPr>
              <w:spacing w:after="20" w:line="252" w:lineRule="auto"/>
            </w:pPr>
            <w:r>
              <w:rPr>
                <w:b w:val="0"/>
                <w:i w:val="0"/>
                <w:sz w:val="15"/>
              </w:rPr>
              <w:t>HTTP</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Comma-separated origins allowed for cross-origin calls. Leave empty when the SPA and API share one origin behind the proxy.</w:t>
            </w:r>
          </w:p>
        </w:tc>
        <w:tc>
          <w:tcPr>
            <w:tcW w:type="dxa" w:w="2891"/>
            <w:vAlign w:val="top"/>
            <w:shd w:val="clear" w:color="auto" w:fill="FDF0F7"/>
          </w:tcPr>
          <w:p>
            <w:pPr>
              <w:spacing w:after="20" w:line="252" w:lineRule="auto"/>
            </w:pPr>
            <w:r>
              <w:rPr>
                <w:b w:val="0"/>
                <w:i w:val="0"/>
                <w:sz w:val="15"/>
              </w:rPr>
              <w:t>(empty)</w:t>
            </w:r>
          </w:p>
        </w:tc>
      </w:tr>
      <w:tr>
        <w:trPr>
          <w:cantSplit/>
        </w:trPr>
        <w:tc>
          <w:tcPr>
            <w:tcW w:type="dxa" w:w="2948"/>
            <w:vAlign w:val="top"/>
          </w:tcPr>
          <w:p>
            <w:pPr>
              <w:spacing w:after="20" w:line="252" w:lineRule="auto"/>
            </w:pPr>
            <w:r>
              <w:rPr>
                <w:b w:val="0"/>
                <w:i w:val="0"/>
                <w:sz w:val="15"/>
              </w:rPr>
              <w:t>PUBLIC_BASE_URL</w:t>
            </w:r>
          </w:p>
        </w:tc>
        <w:tc>
          <w:tcPr>
            <w:tcW w:type="dxa" w:w="1361"/>
            <w:vAlign w:val="top"/>
          </w:tcPr>
          <w:p>
            <w:pPr>
              <w:spacing w:after="20" w:line="252" w:lineRule="auto"/>
            </w:pPr>
            <w:r>
              <w:rPr>
                <w:b w:val="0"/>
                <w:i w:val="0"/>
                <w:sz w:val="15"/>
              </w:rPr>
              <w:t>HTTP</w:t>
            </w:r>
          </w:p>
        </w:tc>
        <w:tc>
          <w:tcPr>
            <w:tcW w:type="dxa" w:w="2494"/>
            <w:vAlign w:val="top"/>
          </w:tcPr>
          <w:p>
            <w:pPr>
              <w:spacing w:after="20" w:line="252" w:lineRule="auto"/>
            </w:pPr>
            <w:r>
              <w:rPr>
                <w:b w:val="0"/>
                <w:i w:val="0"/>
                <w:sz w:val="15"/>
              </w:rPr>
              <w:t>Default http://localhost:5173</w:t>
            </w:r>
          </w:p>
        </w:tc>
        <w:tc>
          <w:tcPr>
            <w:tcW w:type="dxa" w:w="4876"/>
            <w:vAlign w:val="top"/>
          </w:tcPr>
          <w:p>
            <w:pPr>
              <w:spacing w:after="20" w:line="252" w:lineRule="auto"/>
            </w:pPr>
            <w:r>
              <w:rPr>
                <w:b w:val="0"/>
                <w:i w:val="0"/>
                <w:sz w:val="15"/>
              </w:rPr>
              <w:t>External base URL used in links sent by e-mail (e-signature links).</w:t>
            </w:r>
          </w:p>
        </w:tc>
        <w:tc>
          <w:tcPr>
            <w:tcW w:type="dxa" w:w="2891"/>
            <w:vAlign w:val="top"/>
          </w:tcPr>
          <w:p>
            <w:pPr>
              <w:spacing w:after="20" w:line="252" w:lineRule="auto"/>
            </w:pPr>
            <w:r>
              <w:rPr>
                <w:b w:val="0"/>
                <w:i w:val="0"/>
                <w:sz w:val="15"/>
              </w:rPr>
              <w:t>https://portal.iift.com.bn</w:t>
            </w:r>
          </w:p>
        </w:tc>
      </w:tr>
      <w:tr>
        <w:trPr>
          <w:cantSplit/>
        </w:trPr>
        <w:tc>
          <w:tcPr>
            <w:tcW w:type="dxa" w:w="2948"/>
            <w:vAlign w:val="top"/>
            <w:shd w:val="clear" w:color="auto" w:fill="FDF0F7"/>
          </w:tcPr>
          <w:p>
            <w:pPr>
              <w:spacing w:after="20" w:line="252" w:lineRule="auto"/>
            </w:pPr>
            <w:r>
              <w:rPr>
                <w:b w:val="0"/>
                <w:i w:val="0"/>
                <w:sz w:val="15"/>
              </w:rPr>
              <w:t>API_DOCS_ENABLED</w:t>
            </w:r>
          </w:p>
        </w:tc>
        <w:tc>
          <w:tcPr>
            <w:tcW w:type="dxa" w:w="1361"/>
            <w:vAlign w:val="top"/>
            <w:shd w:val="clear" w:color="auto" w:fill="FDF0F7"/>
          </w:tcPr>
          <w:p>
            <w:pPr>
              <w:spacing w:after="20" w:line="252" w:lineRule="auto"/>
            </w:pPr>
            <w:r>
              <w:rPr>
                <w:b w:val="0"/>
                <w:i w:val="0"/>
                <w:sz w:val="15"/>
              </w:rPr>
              <w:t>HTTP</w:t>
            </w:r>
          </w:p>
        </w:tc>
        <w:tc>
          <w:tcPr>
            <w:tcW w:type="dxa" w:w="2494"/>
            <w:vAlign w:val="top"/>
            <w:shd w:val="clear" w:color="auto" w:fill="FDF0F7"/>
          </w:tcPr>
          <w:p>
            <w:pPr>
              <w:spacing w:after="20" w:line="252" w:lineRule="auto"/>
            </w:pPr>
            <w:r>
              <w:rPr>
                <w:b w:val="0"/>
                <w:i w:val="0"/>
                <w:sz w:val="15"/>
              </w:rPr>
              <w:t>Default false in production</w:t>
            </w:r>
          </w:p>
        </w:tc>
        <w:tc>
          <w:tcPr>
            <w:tcW w:type="dxa" w:w="4876"/>
            <w:vAlign w:val="top"/>
            <w:shd w:val="clear" w:color="auto" w:fill="FDF0F7"/>
          </w:tcPr>
          <w:p>
            <w:pPr>
              <w:spacing w:after="20" w:line="252" w:lineRule="auto"/>
            </w:pPr>
            <w:r>
              <w:rPr>
                <w:b w:val="0"/>
                <w:i w:val="0"/>
                <w:sz w:val="15"/>
              </w:rPr>
              <w:t>Serves Swagger UI at /api/docs. Must be false in production.</w:t>
            </w:r>
          </w:p>
        </w:tc>
        <w:tc>
          <w:tcPr>
            <w:tcW w:type="dxa" w:w="2891"/>
            <w:vAlign w:val="top"/>
            <w:shd w:val="clear" w:color="auto" w:fill="FDF0F7"/>
          </w:tcPr>
          <w:p>
            <w:pPr>
              <w:spacing w:after="20" w:line="252" w:lineRule="auto"/>
            </w:pPr>
            <w:r>
              <w:rPr>
                <w:b w:val="0"/>
                <w:i w:val="0"/>
                <w:sz w:val="15"/>
              </w:rPr>
              <w:t>false</w:t>
            </w:r>
          </w:p>
        </w:tc>
      </w:tr>
      <w:tr>
        <w:trPr>
          <w:cantSplit/>
        </w:trPr>
        <w:tc>
          <w:tcPr>
            <w:tcW w:type="dxa" w:w="2948"/>
            <w:vAlign w:val="top"/>
          </w:tcPr>
          <w:p>
            <w:pPr>
              <w:spacing w:after="20" w:line="252" w:lineRule="auto"/>
            </w:pPr>
            <w:r>
              <w:rPr>
                <w:b w:val="0"/>
                <w:i w:val="0"/>
                <w:sz w:val="15"/>
              </w:rPr>
              <w:t>SESSION_SECRET</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Required</w:t>
            </w:r>
          </w:p>
        </w:tc>
        <w:tc>
          <w:tcPr>
            <w:tcW w:type="dxa" w:w="4876"/>
            <w:vAlign w:val="top"/>
          </w:tcPr>
          <w:p>
            <w:pPr>
              <w:spacing w:after="20" w:line="252" w:lineRule="auto"/>
            </w:pPr>
            <w:r>
              <w:rPr>
                <w:b w:val="0"/>
                <w:i w:val="0"/>
                <w:sz w:val="15"/>
              </w:rPr>
              <w:t>Secret that signs the session cookie; at least 32 characters.</w:t>
            </w:r>
          </w:p>
        </w:tc>
        <w:tc>
          <w:tcPr>
            <w:tcW w:type="dxa" w:w="2891"/>
            <w:vAlign w:val="top"/>
          </w:tcPr>
          <w:p>
            <w:pPr>
              <w:spacing w:after="20" w:line="252" w:lineRule="auto"/>
            </w:pPr>
            <w:r>
              <w:rPr>
                <w:b w:val="0"/>
                <w:i w:val="0"/>
                <w:sz w:val="15"/>
              </w:rPr>
              <w:t>(64 random chars)</w:t>
            </w:r>
          </w:p>
        </w:tc>
      </w:tr>
      <w:tr>
        <w:trPr>
          <w:cantSplit/>
        </w:trPr>
        <w:tc>
          <w:tcPr>
            <w:tcW w:type="dxa" w:w="2948"/>
            <w:vAlign w:val="top"/>
            <w:shd w:val="clear" w:color="auto" w:fill="FDF0F7"/>
          </w:tcPr>
          <w:p>
            <w:pPr>
              <w:spacing w:after="20" w:line="252" w:lineRule="auto"/>
            </w:pPr>
            <w:r>
              <w:rPr>
                <w:b w:val="0"/>
                <w:i w:val="0"/>
                <w:sz w:val="15"/>
              </w:rPr>
              <w:t>SESSION_COOKIE_NAME</w:t>
            </w:r>
          </w:p>
        </w:tc>
        <w:tc>
          <w:tcPr>
            <w:tcW w:type="dxa" w:w="1361"/>
            <w:vAlign w:val="top"/>
            <w:shd w:val="clear" w:color="auto" w:fill="FDF0F7"/>
          </w:tcPr>
          <w:p>
            <w:pPr>
              <w:spacing w:after="20" w:line="252" w:lineRule="auto"/>
            </w:pPr>
            <w:r>
              <w:rPr>
                <w:b w:val="0"/>
                <w:i w:val="0"/>
                <w:sz w:val="15"/>
              </w:rPr>
              <w:t>Security</w:t>
            </w:r>
          </w:p>
        </w:tc>
        <w:tc>
          <w:tcPr>
            <w:tcW w:type="dxa" w:w="2494"/>
            <w:vAlign w:val="top"/>
            <w:shd w:val="clear" w:color="auto" w:fill="FDF0F7"/>
          </w:tcPr>
          <w:p>
            <w:pPr>
              <w:spacing w:after="20" w:line="252" w:lineRule="auto"/>
            </w:pPr>
            <w:r>
              <w:rPr>
                <w:b w:val="0"/>
                <w:i w:val="0"/>
                <w:sz w:val="15"/>
              </w:rPr>
              <w:t>Default iift.sid</w:t>
            </w:r>
          </w:p>
        </w:tc>
        <w:tc>
          <w:tcPr>
            <w:tcW w:type="dxa" w:w="4876"/>
            <w:vAlign w:val="top"/>
            <w:shd w:val="clear" w:color="auto" w:fill="FDF0F7"/>
          </w:tcPr>
          <w:p>
            <w:pPr>
              <w:spacing w:after="20" w:line="252" w:lineRule="auto"/>
            </w:pPr>
            <w:r>
              <w:rPr>
                <w:b w:val="0"/>
                <w:i w:val="0"/>
                <w:sz w:val="15"/>
              </w:rPr>
              <w:t>Name of the session cookie.</w:t>
            </w:r>
          </w:p>
        </w:tc>
        <w:tc>
          <w:tcPr>
            <w:tcW w:type="dxa" w:w="2891"/>
            <w:vAlign w:val="top"/>
            <w:shd w:val="clear" w:color="auto" w:fill="FDF0F7"/>
          </w:tcPr>
          <w:p>
            <w:pPr>
              <w:spacing w:after="20" w:line="252" w:lineRule="auto"/>
            </w:pPr>
            <w:r>
              <w:rPr>
                <w:b w:val="0"/>
                <w:i w:val="0"/>
                <w:sz w:val="15"/>
              </w:rPr>
              <w:t>iift.sid</w:t>
            </w:r>
          </w:p>
        </w:tc>
      </w:tr>
      <w:tr>
        <w:trPr>
          <w:cantSplit/>
        </w:trPr>
        <w:tc>
          <w:tcPr>
            <w:tcW w:type="dxa" w:w="2948"/>
            <w:vAlign w:val="top"/>
          </w:tcPr>
          <w:p>
            <w:pPr>
              <w:spacing w:after="20" w:line="252" w:lineRule="auto"/>
            </w:pPr>
            <w:r>
              <w:rPr>
                <w:b w:val="0"/>
                <w:i w:val="0"/>
                <w:sz w:val="15"/>
              </w:rPr>
              <w:t>SESSION_COOKIE_SECURE</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Default true in production</w:t>
            </w:r>
          </w:p>
        </w:tc>
        <w:tc>
          <w:tcPr>
            <w:tcW w:type="dxa" w:w="4876"/>
            <w:vAlign w:val="top"/>
          </w:tcPr>
          <w:p>
            <w:pPr>
              <w:spacing w:after="20" w:line="252" w:lineRule="auto"/>
            </w:pPr>
            <w:r>
              <w:rPr>
                <w:b w:val="0"/>
                <w:i w:val="0"/>
                <w:sz w:val="15"/>
              </w:rPr>
              <w:t>Sends the cookie over HTTPS only. Must be true in production.</w:t>
            </w:r>
          </w:p>
        </w:tc>
        <w:tc>
          <w:tcPr>
            <w:tcW w:type="dxa" w:w="2891"/>
            <w:vAlign w:val="top"/>
          </w:tcPr>
          <w:p>
            <w:pPr>
              <w:spacing w:after="20" w:line="252" w:lineRule="auto"/>
            </w:pPr>
            <w:r>
              <w:rPr>
                <w:b w:val="0"/>
                <w:i w:val="0"/>
                <w:sz w:val="15"/>
              </w:rPr>
              <w:t>true</w:t>
            </w:r>
          </w:p>
        </w:tc>
      </w:tr>
      <w:tr>
        <w:trPr>
          <w:cantSplit/>
        </w:trPr>
        <w:tc>
          <w:tcPr>
            <w:tcW w:type="dxa" w:w="2948"/>
            <w:vAlign w:val="top"/>
            <w:shd w:val="clear" w:color="auto" w:fill="FDF0F7"/>
          </w:tcPr>
          <w:p>
            <w:pPr>
              <w:spacing w:after="20" w:line="252" w:lineRule="auto"/>
            </w:pPr>
            <w:r>
              <w:rPr>
                <w:b w:val="0"/>
                <w:i w:val="0"/>
                <w:sz w:val="15"/>
              </w:rPr>
              <w:t>FIELD_ENCRYPTION_KEY</w:t>
            </w:r>
          </w:p>
        </w:tc>
        <w:tc>
          <w:tcPr>
            <w:tcW w:type="dxa" w:w="1361"/>
            <w:vAlign w:val="top"/>
            <w:shd w:val="clear" w:color="auto" w:fill="FDF0F7"/>
          </w:tcPr>
          <w:p>
            <w:pPr>
              <w:spacing w:after="20" w:line="252" w:lineRule="auto"/>
            </w:pPr>
            <w:r>
              <w:rPr>
                <w:b w:val="0"/>
                <w:i w:val="0"/>
                <w:sz w:val="15"/>
              </w:rPr>
              <w:t>Security</w:t>
            </w:r>
          </w:p>
        </w:tc>
        <w:tc>
          <w:tcPr>
            <w:tcW w:type="dxa" w:w="2494"/>
            <w:vAlign w:val="top"/>
            <w:shd w:val="clear" w:color="auto" w:fill="FDF0F7"/>
          </w:tcPr>
          <w:p>
            <w:pPr>
              <w:spacing w:after="20" w:line="252" w:lineRule="auto"/>
            </w:pPr>
            <w:r>
              <w:rPr>
                <w:b w:val="0"/>
                <w:i w:val="0"/>
                <w:sz w:val="15"/>
              </w:rPr>
              <w:t>Required</w:t>
            </w:r>
          </w:p>
        </w:tc>
        <w:tc>
          <w:tcPr>
            <w:tcW w:type="dxa" w:w="4876"/>
            <w:vAlign w:val="top"/>
            <w:shd w:val="clear" w:color="auto" w:fill="FDF0F7"/>
          </w:tcPr>
          <w:p>
            <w:pPr>
              <w:spacing w:after="20" w:line="252" w:lineRule="auto"/>
            </w:pPr>
            <w:r>
              <w:rPr>
                <w:b w:val="0"/>
                <w:i w:val="0"/>
                <w:sz w:val="15"/>
              </w:rPr>
              <w:t>Base64 256-bit key for AES-256-GCM encryption of IC/passport numbers.</w:t>
            </w:r>
          </w:p>
        </w:tc>
        <w:tc>
          <w:tcPr>
            <w:tcW w:type="dxa" w:w="2891"/>
            <w:vAlign w:val="top"/>
            <w:shd w:val="clear" w:color="auto" w:fill="FDF0F7"/>
          </w:tcPr>
          <w:p>
            <w:pPr>
              <w:spacing w:after="20" w:line="252" w:lineRule="auto"/>
            </w:pPr>
            <w:r>
              <w:rPr>
                <w:b w:val="0"/>
                <w:i w:val="0"/>
                <w:sz w:val="15"/>
              </w:rPr>
              <w:t>(base64, 32 bytes)</w:t>
            </w:r>
          </w:p>
        </w:tc>
      </w:tr>
      <w:tr>
        <w:trPr>
          <w:cantSplit/>
        </w:trPr>
        <w:tc>
          <w:tcPr>
            <w:tcW w:type="dxa" w:w="2948"/>
            <w:vAlign w:val="top"/>
          </w:tcPr>
          <w:p>
            <w:pPr>
              <w:spacing w:after="20" w:line="252" w:lineRule="auto"/>
            </w:pPr>
            <w:r>
              <w:rPr>
                <w:b w:val="0"/>
                <w:i w:val="0"/>
                <w:sz w:val="15"/>
              </w:rPr>
              <w:t>FIELD_HASH_KEY</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Required</w:t>
            </w:r>
          </w:p>
        </w:tc>
        <w:tc>
          <w:tcPr>
            <w:tcW w:type="dxa" w:w="4876"/>
            <w:vAlign w:val="top"/>
          </w:tcPr>
          <w:p>
            <w:pPr>
              <w:spacing w:after="20" w:line="252" w:lineRule="auto"/>
            </w:pPr>
            <w:r>
              <w:rPr>
                <w:b w:val="0"/>
                <w:i w:val="0"/>
                <w:sz w:val="15"/>
              </w:rPr>
              <w:t>Base64 256-bit key for the HMAC-SHA256 blind index of identification numbers.</w:t>
            </w:r>
          </w:p>
        </w:tc>
        <w:tc>
          <w:tcPr>
            <w:tcW w:type="dxa" w:w="2891"/>
            <w:vAlign w:val="top"/>
          </w:tcPr>
          <w:p>
            <w:pPr>
              <w:spacing w:after="20" w:line="252" w:lineRule="auto"/>
            </w:pPr>
            <w:r>
              <w:rPr>
                <w:b w:val="0"/>
                <w:i w:val="0"/>
                <w:sz w:val="15"/>
              </w:rPr>
              <w:t>(base64, 32 bytes)</w:t>
            </w:r>
          </w:p>
        </w:tc>
      </w:tr>
      <w:tr>
        <w:trPr>
          <w:cantSplit/>
        </w:trPr>
        <w:tc>
          <w:tcPr>
            <w:tcW w:type="dxa" w:w="2948"/>
            <w:vAlign w:val="top"/>
            <w:shd w:val="clear" w:color="auto" w:fill="FDF0F7"/>
          </w:tcPr>
          <w:p>
            <w:pPr>
              <w:spacing w:after="20" w:line="252" w:lineRule="auto"/>
            </w:pPr>
            <w:r>
              <w:rPr>
                <w:b w:val="0"/>
                <w:i w:val="0"/>
                <w:sz w:val="15"/>
              </w:rPr>
              <w:t>DOCUMENT_ENCRYPTION_KEY</w:t>
            </w:r>
          </w:p>
        </w:tc>
        <w:tc>
          <w:tcPr>
            <w:tcW w:type="dxa" w:w="1361"/>
            <w:vAlign w:val="top"/>
            <w:shd w:val="clear" w:color="auto" w:fill="FDF0F7"/>
          </w:tcPr>
          <w:p>
            <w:pPr>
              <w:spacing w:after="20" w:line="252" w:lineRule="auto"/>
            </w:pPr>
            <w:r>
              <w:rPr>
                <w:b w:val="0"/>
                <w:i w:val="0"/>
                <w:sz w:val="15"/>
              </w:rPr>
              <w:t>Security</w:t>
            </w:r>
          </w:p>
        </w:tc>
        <w:tc>
          <w:tcPr>
            <w:tcW w:type="dxa" w:w="2494"/>
            <w:vAlign w:val="top"/>
            <w:shd w:val="clear" w:color="auto" w:fill="FDF0F7"/>
          </w:tcPr>
          <w:p>
            <w:pPr>
              <w:spacing w:after="20" w:line="252" w:lineRule="auto"/>
            </w:pPr>
            <w:r>
              <w:rPr>
                <w:b w:val="0"/>
                <w:i w:val="0"/>
                <w:sz w:val="15"/>
              </w:rPr>
              <w:t>Required</w:t>
            </w:r>
          </w:p>
        </w:tc>
        <w:tc>
          <w:tcPr>
            <w:tcW w:type="dxa" w:w="4876"/>
            <w:vAlign w:val="top"/>
            <w:shd w:val="clear" w:color="auto" w:fill="FDF0F7"/>
          </w:tcPr>
          <w:p>
            <w:pPr>
              <w:spacing w:after="20" w:line="252" w:lineRule="auto"/>
            </w:pPr>
            <w:r>
              <w:rPr>
                <w:b w:val="0"/>
                <w:i w:val="0"/>
                <w:sz w:val="15"/>
              </w:rPr>
              <w:t>Base64 256-bit key for AES-256-GCM encryption of stored documents.</w:t>
            </w:r>
          </w:p>
        </w:tc>
        <w:tc>
          <w:tcPr>
            <w:tcW w:type="dxa" w:w="2891"/>
            <w:vAlign w:val="top"/>
            <w:shd w:val="clear" w:color="auto" w:fill="FDF0F7"/>
          </w:tcPr>
          <w:p>
            <w:pPr>
              <w:spacing w:after="20" w:line="252" w:lineRule="auto"/>
            </w:pPr>
            <w:r>
              <w:rPr>
                <w:b w:val="0"/>
                <w:i w:val="0"/>
                <w:sz w:val="15"/>
              </w:rPr>
              <w:t>(base64, 32 bytes)</w:t>
            </w:r>
          </w:p>
        </w:tc>
      </w:tr>
      <w:tr>
        <w:trPr>
          <w:cantSplit/>
        </w:trPr>
        <w:tc>
          <w:tcPr>
            <w:tcW w:type="dxa" w:w="2948"/>
            <w:vAlign w:val="top"/>
          </w:tcPr>
          <w:p>
            <w:pPr>
              <w:spacing w:after="20" w:line="252" w:lineRule="auto"/>
            </w:pPr>
            <w:r>
              <w:rPr>
                <w:b w:val="0"/>
                <w:i w:val="0"/>
                <w:sz w:val="15"/>
              </w:rPr>
              <w:t>DOCUMENT_STORAGE_PATH</w:t>
            </w:r>
          </w:p>
        </w:tc>
        <w:tc>
          <w:tcPr>
            <w:tcW w:type="dxa" w:w="1361"/>
            <w:vAlign w:val="top"/>
          </w:tcPr>
          <w:p>
            <w:pPr>
              <w:spacing w:after="20" w:line="252" w:lineRule="auto"/>
            </w:pPr>
            <w:r>
              <w:rPr>
                <w:b w:val="0"/>
                <w:i w:val="0"/>
                <w:sz w:val="15"/>
              </w:rPr>
              <w:t>Documents</w:t>
            </w:r>
          </w:p>
        </w:tc>
        <w:tc>
          <w:tcPr>
            <w:tcW w:type="dxa" w:w="2494"/>
            <w:vAlign w:val="top"/>
          </w:tcPr>
          <w:p>
            <w:pPr>
              <w:spacing w:after="20" w:line="252" w:lineRule="auto"/>
            </w:pPr>
            <w:r>
              <w:rPr>
                <w:b w:val="0"/>
                <w:i w:val="0"/>
                <w:sz w:val="15"/>
              </w:rPr>
              <w:t>Default ./storage/documents</w:t>
            </w:r>
          </w:p>
        </w:tc>
        <w:tc>
          <w:tcPr>
            <w:tcW w:type="dxa" w:w="4876"/>
            <w:vAlign w:val="top"/>
          </w:tcPr>
          <w:p>
            <w:pPr>
              <w:spacing w:after="20" w:line="252" w:lineRule="auto"/>
            </w:pPr>
            <w:r>
              <w:rPr>
                <w:b w:val="0"/>
                <w:i w:val="0"/>
                <w:sz w:val="15"/>
              </w:rPr>
              <w:t>Directory of the encrypted document store (NFS mount on-premise, EFS in the cloud).</w:t>
            </w:r>
          </w:p>
        </w:tc>
        <w:tc>
          <w:tcPr>
            <w:tcW w:type="dxa" w:w="2891"/>
            <w:vAlign w:val="top"/>
          </w:tcPr>
          <w:p>
            <w:pPr>
              <w:spacing w:after="20" w:line="252" w:lineRule="auto"/>
            </w:pPr>
            <w:r>
              <w:rPr>
                <w:b w:val="0"/>
                <w:i w:val="0"/>
                <w:sz w:val="15"/>
              </w:rPr>
              <w:t>/data/documents</w:t>
            </w:r>
          </w:p>
        </w:tc>
      </w:tr>
      <w:tr>
        <w:trPr>
          <w:cantSplit/>
        </w:trPr>
        <w:tc>
          <w:tcPr>
            <w:tcW w:type="dxa" w:w="2948"/>
            <w:vAlign w:val="top"/>
            <w:shd w:val="clear" w:color="auto" w:fill="FDF0F7"/>
          </w:tcPr>
          <w:p>
            <w:pPr>
              <w:spacing w:after="20" w:line="252" w:lineRule="auto"/>
            </w:pPr>
            <w:r>
              <w:rPr>
                <w:b w:val="0"/>
                <w:i w:val="0"/>
                <w:sz w:val="15"/>
              </w:rPr>
              <w:t>MAX_UPLOAD_MB</w:t>
            </w:r>
          </w:p>
        </w:tc>
        <w:tc>
          <w:tcPr>
            <w:tcW w:type="dxa" w:w="1361"/>
            <w:vAlign w:val="top"/>
            <w:shd w:val="clear" w:color="auto" w:fill="FDF0F7"/>
          </w:tcPr>
          <w:p>
            <w:pPr>
              <w:spacing w:after="20" w:line="252" w:lineRule="auto"/>
            </w:pPr>
            <w:r>
              <w:rPr>
                <w:b w:val="0"/>
                <w:i w:val="0"/>
                <w:sz w:val="15"/>
              </w:rPr>
              <w:t>Documents</w:t>
            </w:r>
          </w:p>
        </w:tc>
        <w:tc>
          <w:tcPr>
            <w:tcW w:type="dxa" w:w="2494"/>
            <w:vAlign w:val="top"/>
            <w:shd w:val="clear" w:color="auto" w:fill="FDF0F7"/>
          </w:tcPr>
          <w:p>
            <w:pPr>
              <w:spacing w:after="20" w:line="252" w:lineRule="auto"/>
            </w:pPr>
            <w:r>
              <w:rPr>
                <w:b w:val="0"/>
                <w:i w:val="0"/>
                <w:sz w:val="15"/>
              </w:rPr>
              <w:t>Default 10</w:t>
            </w:r>
          </w:p>
        </w:tc>
        <w:tc>
          <w:tcPr>
            <w:tcW w:type="dxa" w:w="4876"/>
            <w:vAlign w:val="top"/>
            <w:shd w:val="clear" w:color="auto" w:fill="FDF0F7"/>
          </w:tcPr>
          <w:p>
            <w:pPr>
              <w:spacing w:after="20" w:line="252" w:lineRule="auto"/>
            </w:pPr>
            <w:r>
              <w:rPr>
                <w:b w:val="0"/>
                <w:i w:val="0"/>
                <w:sz w:val="15"/>
              </w:rPr>
              <w:t>Largest accepted upload in MB (the HTTP layer also refuses bodies over 25 MB).</w:t>
            </w:r>
          </w:p>
        </w:tc>
        <w:tc>
          <w:tcPr>
            <w:tcW w:type="dxa" w:w="2891"/>
            <w:vAlign w:val="top"/>
            <w:shd w:val="clear" w:color="auto" w:fill="FDF0F7"/>
          </w:tcPr>
          <w:p>
            <w:pPr>
              <w:spacing w:after="20" w:line="252" w:lineRule="auto"/>
            </w:pPr>
            <w:r>
              <w:rPr>
                <w:b w:val="0"/>
                <w:i w:val="0"/>
                <w:sz w:val="15"/>
              </w:rPr>
              <w:t>10</w:t>
            </w:r>
          </w:p>
        </w:tc>
      </w:tr>
      <w:tr>
        <w:trPr>
          <w:cantSplit/>
        </w:trPr>
        <w:tc>
          <w:tcPr>
            <w:tcW w:type="dxa" w:w="2948"/>
            <w:vAlign w:val="top"/>
          </w:tcPr>
          <w:p>
            <w:pPr>
              <w:spacing w:after="20" w:line="252" w:lineRule="auto"/>
            </w:pPr>
            <w:r>
              <w:rPr>
                <w:b w:val="0"/>
                <w:i w:val="0"/>
                <w:sz w:val="15"/>
              </w:rPr>
              <w:t>CLAMAV_HOST</w:t>
            </w:r>
          </w:p>
        </w:tc>
        <w:tc>
          <w:tcPr>
            <w:tcW w:type="dxa" w:w="1361"/>
            <w:vAlign w:val="top"/>
          </w:tcPr>
          <w:p>
            <w:pPr>
              <w:spacing w:after="20" w:line="252" w:lineRule="auto"/>
            </w:pPr>
            <w:r>
              <w:rPr>
                <w:b w:val="0"/>
                <w:i w:val="0"/>
                <w:sz w:val="15"/>
              </w:rPr>
              <w:t>Documents</w:t>
            </w:r>
          </w:p>
        </w:tc>
        <w:tc>
          <w:tcPr>
            <w:tcW w:type="dxa" w:w="2494"/>
            <w:vAlign w:val="top"/>
          </w:tcPr>
          <w:p>
            <w:pPr>
              <w:spacing w:after="20" w:line="252" w:lineRule="auto"/>
            </w:pPr>
            <w:r>
              <w:rPr>
                <w:b w:val="0"/>
                <w:i w:val="0"/>
                <w:sz w:val="15"/>
              </w:rPr>
              <w:t>Required in production</w:t>
            </w:r>
          </w:p>
        </w:tc>
        <w:tc>
          <w:tcPr>
            <w:tcW w:type="dxa" w:w="4876"/>
            <w:vAlign w:val="top"/>
          </w:tcPr>
          <w:p>
            <w:pPr>
              <w:spacing w:after="20" w:line="252" w:lineRule="auto"/>
            </w:pPr>
            <w:r>
              <w:rPr>
                <w:b w:val="0"/>
                <w:i w:val="0"/>
                <w:sz w:val="15"/>
              </w:rPr>
              <w:t>clamd host for malware scanning of uploads. When it is empty outside production, uploads are not scanned.</w:t>
            </w:r>
          </w:p>
        </w:tc>
        <w:tc>
          <w:tcPr>
            <w:tcW w:type="dxa" w:w="2891"/>
            <w:vAlign w:val="top"/>
          </w:tcPr>
          <w:p>
            <w:pPr>
              <w:spacing w:after="20" w:line="252" w:lineRule="auto"/>
            </w:pPr>
            <w:r>
              <w:rPr>
                <w:b w:val="0"/>
                <w:i w:val="0"/>
                <w:sz w:val="15"/>
              </w:rPr>
              <w:t>clamav</w:t>
            </w:r>
          </w:p>
        </w:tc>
      </w:tr>
      <w:tr>
        <w:trPr>
          <w:cantSplit/>
        </w:trPr>
        <w:tc>
          <w:tcPr>
            <w:tcW w:type="dxa" w:w="2948"/>
            <w:vAlign w:val="top"/>
            <w:shd w:val="clear" w:color="auto" w:fill="FDF0F7"/>
          </w:tcPr>
          <w:p>
            <w:pPr>
              <w:spacing w:after="20" w:line="252" w:lineRule="auto"/>
            </w:pPr>
            <w:r>
              <w:rPr>
                <w:b w:val="0"/>
                <w:i w:val="0"/>
                <w:sz w:val="15"/>
              </w:rPr>
              <w:t>CLAMAV_PORT</w:t>
            </w:r>
          </w:p>
        </w:tc>
        <w:tc>
          <w:tcPr>
            <w:tcW w:type="dxa" w:w="1361"/>
            <w:vAlign w:val="top"/>
            <w:shd w:val="clear" w:color="auto" w:fill="FDF0F7"/>
          </w:tcPr>
          <w:p>
            <w:pPr>
              <w:spacing w:after="20" w:line="252" w:lineRule="auto"/>
            </w:pPr>
            <w:r>
              <w:rPr>
                <w:b w:val="0"/>
                <w:i w:val="0"/>
                <w:sz w:val="15"/>
              </w:rPr>
              <w:t>Documents</w:t>
            </w:r>
          </w:p>
        </w:tc>
        <w:tc>
          <w:tcPr>
            <w:tcW w:type="dxa" w:w="2494"/>
            <w:vAlign w:val="top"/>
            <w:shd w:val="clear" w:color="auto" w:fill="FDF0F7"/>
          </w:tcPr>
          <w:p>
            <w:pPr>
              <w:spacing w:after="20" w:line="252" w:lineRule="auto"/>
            </w:pPr>
            <w:r>
              <w:rPr>
                <w:b w:val="0"/>
                <w:i w:val="0"/>
                <w:sz w:val="15"/>
              </w:rPr>
              <w:t>Default 3310</w:t>
            </w:r>
          </w:p>
        </w:tc>
        <w:tc>
          <w:tcPr>
            <w:tcW w:type="dxa" w:w="4876"/>
            <w:vAlign w:val="top"/>
            <w:shd w:val="clear" w:color="auto" w:fill="FDF0F7"/>
          </w:tcPr>
          <w:p>
            <w:pPr>
              <w:spacing w:after="20" w:line="252" w:lineRule="auto"/>
            </w:pPr>
            <w:r>
              <w:rPr>
                <w:b w:val="0"/>
                <w:i w:val="0"/>
                <w:sz w:val="15"/>
              </w:rPr>
              <w:t>clamd TCP port.</w:t>
            </w:r>
          </w:p>
        </w:tc>
        <w:tc>
          <w:tcPr>
            <w:tcW w:type="dxa" w:w="2891"/>
            <w:vAlign w:val="top"/>
            <w:shd w:val="clear" w:color="auto" w:fill="FDF0F7"/>
          </w:tcPr>
          <w:p>
            <w:pPr>
              <w:spacing w:after="20" w:line="252" w:lineRule="auto"/>
            </w:pPr>
            <w:r>
              <w:rPr>
                <w:b w:val="0"/>
                <w:i w:val="0"/>
                <w:sz w:val="15"/>
              </w:rPr>
              <w:t>3310</w:t>
            </w:r>
          </w:p>
        </w:tc>
      </w:tr>
      <w:tr>
        <w:trPr>
          <w:cantSplit/>
        </w:trPr>
        <w:tc>
          <w:tcPr>
            <w:tcW w:type="dxa" w:w="2948"/>
            <w:vAlign w:val="top"/>
          </w:tcPr>
          <w:p>
            <w:pPr>
              <w:spacing w:after="20" w:line="252" w:lineRule="auto"/>
            </w:pPr>
            <w:r>
              <w:rPr>
                <w:b w:val="0"/>
                <w:i w:val="0"/>
                <w:sz w:val="15"/>
              </w:rPr>
              <w:t>JOBS_ENABLED</w:t>
            </w:r>
          </w:p>
        </w:tc>
        <w:tc>
          <w:tcPr>
            <w:tcW w:type="dxa" w:w="1361"/>
            <w:vAlign w:val="top"/>
          </w:tcPr>
          <w:p>
            <w:pPr>
              <w:spacing w:after="20" w:line="252" w:lineRule="auto"/>
            </w:pPr>
            <w:r>
              <w:rPr>
                <w:b w:val="0"/>
                <w:i w:val="0"/>
                <w:sz w:val="15"/>
              </w:rPr>
              <w:t>Jobs</w:t>
            </w:r>
          </w:p>
        </w:tc>
        <w:tc>
          <w:tcPr>
            <w:tcW w:type="dxa" w:w="2494"/>
            <w:vAlign w:val="top"/>
          </w:tcPr>
          <w:p>
            <w:pPr>
              <w:spacing w:after="20" w:line="252" w:lineRule="auto"/>
            </w:pPr>
            <w:r>
              <w:rPr>
                <w:b w:val="0"/>
                <w:i w:val="0"/>
                <w:sz w:val="15"/>
              </w:rPr>
              <w:t>Default true</w:t>
            </w:r>
          </w:p>
        </w:tc>
        <w:tc>
          <w:tcPr>
            <w:tcW w:type="dxa" w:w="4876"/>
            <w:vAlign w:val="top"/>
          </w:tcPr>
          <w:p>
            <w:pPr>
              <w:spacing w:after="20" w:line="252" w:lineRule="auto"/>
            </w:pPr>
            <w:r>
              <w:rPr>
                <w:b w:val="0"/>
                <w:i w:val="0"/>
                <w:sz w:val="15"/>
              </w:rPr>
              <w:t>Runs scheduled jobs in this instance. Locks prevent double runs, so it can stay true on every replica.</w:t>
            </w:r>
          </w:p>
        </w:tc>
        <w:tc>
          <w:tcPr>
            <w:tcW w:type="dxa" w:w="2891"/>
            <w:vAlign w:val="top"/>
          </w:tcPr>
          <w:p>
            <w:pPr>
              <w:spacing w:after="20" w:line="252" w:lineRule="auto"/>
            </w:pPr>
            <w:r>
              <w:rPr>
                <w:b w:val="0"/>
                <w:i w:val="0"/>
                <w:sz w:val="15"/>
              </w:rPr>
              <w:t>true</w:t>
            </w:r>
          </w:p>
        </w:tc>
      </w:tr>
      <w:tr>
        <w:trPr>
          <w:cantSplit/>
        </w:trPr>
        <w:tc>
          <w:tcPr>
            <w:tcW w:type="dxa" w:w="2948"/>
            <w:vAlign w:val="top"/>
            <w:shd w:val="clear" w:color="auto" w:fill="FDF0F7"/>
          </w:tcPr>
          <w:p>
            <w:pPr>
              <w:spacing w:after="20" w:line="252" w:lineRule="auto"/>
            </w:pPr>
            <w:r>
              <w:rPr>
                <w:b w:val="0"/>
                <w:i w:val="0"/>
                <w:sz w:val="15"/>
              </w:rPr>
              <w:t>JOBS_TIMEZONE</w:t>
            </w:r>
          </w:p>
        </w:tc>
        <w:tc>
          <w:tcPr>
            <w:tcW w:type="dxa" w:w="1361"/>
            <w:vAlign w:val="top"/>
            <w:shd w:val="clear" w:color="auto" w:fill="FDF0F7"/>
          </w:tcPr>
          <w:p>
            <w:pPr>
              <w:spacing w:after="20" w:line="252" w:lineRule="auto"/>
            </w:pPr>
            <w:r>
              <w:rPr>
                <w:b w:val="0"/>
                <w:i w:val="0"/>
                <w:sz w:val="15"/>
              </w:rPr>
              <w:t>Jobs</w:t>
            </w:r>
          </w:p>
        </w:tc>
        <w:tc>
          <w:tcPr>
            <w:tcW w:type="dxa" w:w="2494"/>
            <w:vAlign w:val="top"/>
            <w:shd w:val="clear" w:color="auto" w:fill="FDF0F7"/>
          </w:tcPr>
          <w:p>
            <w:pPr>
              <w:spacing w:after="20" w:line="252" w:lineRule="auto"/>
            </w:pPr>
            <w:r>
              <w:rPr>
                <w:b w:val="0"/>
                <w:i w:val="0"/>
                <w:sz w:val="15"/>
              </w:rPr>
              <w:t>Default Asia/Brunei</w:t>
            </w:r>
          </w:p>
        </w:tc>
        <w:tc>
          <w:tcPr>
            <w:tcW w:type="dxa" w:w="4876"/>
            <w:vAlign w:val="top"/>
            <w:shd w:val="clear" w:color="auto" w:fill="FDF0F7"/>
          </w:tcPr>
          <w:p>
            <w:pPr>
              <w:spacing w:after="20" w:line="252" w:lineRule="auto"/>
            </w:pPr>
            <w:r>
              <w:rPr>
                <w:b w:val="0"/>
                <w:i w:val="0"/>
                <w:sz w:val="15"/>
              </w:rPr>
              <w:t>Time zone of EOD_CRON.</w:t>
            </w:r>
          </w:p>
        </w:tc>
        <w:tc>
          <w:tcPr>
            <w:tcW w:type="dxa" w:w="2891"/>
            <w:vAlign w:val="top"/>
            <w:shd w:val="clear" w:color="auto" w:fill="FDF0F7"/>
          </w:tcPr>
          <w:p>
            <w:pPr>
              <w:spacing w:after="20" w:line="252" w:lineRule="auto"/>
            </w:pPr>
            <w:r>
              <w:rPr>
                <w:b w:val="0"/>
                <w:i w:val="0"/>
                <w:sz w:val="15"/>
              </w:rPr>
              <w:t>Asia/Brunei</w:t>
            </w:r>
          </w:p>
        </w:tc>
      </w:tr>
      <w:tr>
        <w:trPr>
          <w:cantSplit/>
        </w:trPr>
        <w:tc>
          <w:tcPr>
            <w:tcW w:type="dxa" w:w="2948"/>
            <w:vAlign w:val="top"/>
          </w:tcPr>
          <w:p>
            <w:pPr>
              <w:spacing w:after="20" w:line="252" w:lineRule="auto"/>
            </w:pPr>
            <w:r>
              <w:rPr>
                <w:b w:val="0"/>
                <w:i w:val="0"/>
                <w:sz w:val="15"/>
              </w:rPr>
              <w:t>EOD_CRON</w:t>
            </w:r>
          </w:p>
        </w:tc>
        <w:tc>
          <w:tcPr>
            <w:tcW w:type="dxa" w:w="1361"/>
            <w:vAlign w:val="top"/>
          </w:tcPr>
          <w:p>
            <w:pPr>
              <w:spacing w:after="20" w:line="252" w:lineRule="auto"/>
            </w:pPr>
            <w:r>
              <w:rPr>
                <w:b w:val="0"/>
                <w:i w:val="0"/>
                <w:sz w:val="15"/>
              </w:rPr>
              <w:t>Jobs</w:t>
            </w:r>
          </w:p>
        </w:tc>
        <w:tc>
          <w:tcPr>
            <w:tcW w:type="dxa" w:w="2494"/>
            <w:vAlign w:val="top"/>
          </w:tcPr>
          <w:p>
            <w:pPr>
              <w:spacing w:after="20" w:line="252" w:lineRule="auto"/>
            </w:pPr>
            <w:r>
              <w:rPr>
                <w:b w:val="0"/>
                <w:i w:val="0"/>
                <w:sz w:val="15"/>
              </w:rPr>
              <w:t>Default 0 30 23 * * *</w:t>
            </w:r>
          </w:p>
        </w:tc>
        <w:tc>
          <w:tcPr>
            <w:tcW w:type="dxa" w:w="4876"/>
            <w:vAlign w:val="top"/>
          </w:tcPr>
          <w:p>
            <w:pPr>
              <w:spacing w:after="20" w:line="252" w:lineRule="auto"/>
            </w:pPr>
            <w:r>
              <w:rPr>
                <w:b w:val="0"/>
                <w:i w:val="0"/>
                <w:sz w:val="15"/>
              </w:rPr>
              <w:t>Six-field cron expression (with seconds) for end-of-day processing.</w:t>
            </w:r>
          </w:p>
        </w:tc>
        <w:tc>
          <w:tcPr>
            <w:tcW w:type="dxa" w:w="2891"/>
            <w:vAlign w:val="top"/>
          </w:tcPr>
          <w:p>
            <w:pPr>
              <w:spacing w:after="20" w:line="252" w:lineRule="auto"/>
            </w:pPr>
            <w:r>
              <w:rPr>
                <w:b w:val="0"/>
                <w:i w:val="0"/>
                <w:sz w:val="15"/>
              </w:rPr>
              <w:t>0 30 23 * * *</w:t>
            </w:r>
          </w:p>
        </w:tc>
      </w:tr>
      <w:tr>
        <w:trPr>
          <w:cantSplit/>
        </w:trPr>
        <w:tc>
          <w:tcPr>
            <w:tcW w:type="dxa" w:w="2948"/>
            <w:vAlign w:val="top"/>
            <w:shd w:val="clear" w:color="auto" w:fill="FDF0F7"/>
          </w:tcPr>
          <w:p>
            <w:pPr>
              <w:spacing w:after="20" w:line="252" w:lineRule="auto"/>
            </w:pPr>
            <w:r>
              <w:rPr>
                <w:b w:val="0"/>
                <w:i w:val="0"/>
                <w:sz w:val="15"/>
              </w:rPr>
              <w:t>INTEGRATION_MODE</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Default simulated</w:t>
            </w:r>
          </w:p>
        </w:tc>
        <w:tc>
          <w:tcPr>
            <w:tcW w:type="dxa" w:w="4876"/>
            <w:vAlign w:val="top"/>
            <w:shd w:val="clear" w:color="auto" w:fill="FDF0F7"/>
          </w:tcPr>
          <w:p>
            <w:pPr>
              <w:spacing w:after="20" w:line="252" w:lineRule="auto"/>
            </w:pPr>
            <w:r>
              <w:rPr>
                <w:b w:val="0"/>
                <w:i w:val="0"/>
                <w:sz w:val="15"/>
              </w:rPr>
              <w:t>simulated records messages without calling external systems; live calls the configured endpoints.</w:t>
            </w:r>
          </w:p>
        </w:tc>
        <w:tc>
          <w:tcPr>
            <w:tcW w:type="dxa" w:w="2891"/>
            <w:vAlign w:val="top"/>
            <w:shd w:val="clear" w:color="auto" w:fill="FDF0F7"/>
          </w:tcPr>
          <w:p>
            <w:pPr>
              <w:spacing w:after="20" w:line="252" w:lineRule="auto"/>
            </w:pPr>
            <w:r>
              <w:rPr>
                <w:b w:val="0"/>
                <w:i w:val="0"/>
                <w:sz w:val="15"/>
              </w:rPr>
              <w:t>live</w:t>
            </w:r>
          </w:p>
        </w:tc>
      </w:tr>
      <w:tr>
        <w:trPr>
          <w:cantSplit/>
        </w:trPr>
        <w:tc>
          <w:tcPr>
            <w:tcW w:type="dxa" w:w="2948"/>
            <w:vAlign w:val="top"/>
          </w:tcPr>
          <w:p>
            <w:pPr>
              <w:spacing w:after="20" w:line="252" w:lineRule="auto"/>
            </w:pPr>
            <w:r>
              <w:rPr>
                <w:b w:val="0"/>
                <w:i w:val="0"/>
                <w:sz w:val="15"/>
              </w:rPr>
              <w:t>INBOUND_API_KEY_SHA256</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Required in production with live mode</w:t>
            </w:r>
          </w:p>
        </w:tc>
        <w:tc>
          <w:tcPr>
            <w:tcW w:type="dxa" w:w="4876"/>
            <w:vAlign w:val="top"/>
          </w:tcPr>
          <w:p>
            <w:pPr>
              <w:spacing w:after="20" w:line="252" w:lineRule="auto"/>
            </w:pPr>
            <w:r>
              <w:rPr>
                <w:b w:val="0"/>
                <w:i w:val="0"/>
                <w:sz w:val="15"/>
              </w:rPr>
              <w:t>Hex SHA-256 of the API key that Core and FIN present to /api/v1/integration. The key itself is not stored.</w:t>
            </w:r>
          </w:p>
        </w:tc>
        <w:tc>
          <w:tcPr>
            <w:tcW w:type="dxa" w:w="2891"/>
            <w:vAlign w:val="top"/>
          </w:tcPr>
          <w:p>
            <w:pPr>
              <w:spacing w:after="20" w:line="252" w:lineRule="auto"/>
            </w:pPr>
            <w:r>
              <w:rPr>
                <w:b w:val="0"/>
                <w:i w:val="0"/>
                <w:sz w:val="15"/>
              </w:rPr>
              <w:t>(64 hex chars)</w:t>
            </w:r>
          </w:p>
        </w:tc>
      </w:tr>
      <w:tr>
        <w:trPr>
          <w:cantSplit/>
        </w:trPr>
        <w:tc>
          <w:tcPr>
            <w:tcW w:type="dxa" w:w="2948"/>
            <w:vAlign w:val="top"/>
            <w:shd w:val="clear" w:color="auto" w:fill="FDF0F7"/>
          </w:tcPr>
          <w:p>
            <w:pPr>
              <w:spacing w:after="20" w:line="252" w:lineRule="auto"/>
            </w:pPr>
            <w:r>
              <w:rPr>
                <w:b w:val="0"/>
                <w:i w:val="0"/>
                <w:sz w:val="15"/>
              </w:rPr>
              <w:t>CORE_API_BASE_URL</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Required in production with live mode</w:t>
            </w:r>
          </w:p>
        </w:tc>
        <w:tc>
          <w:tcPr>
            <w:tcW w:type="dxa" w:w="4876"/>
            <w:vAlign w:val="top"/>
            <w:shd w:val="clear" w:color="auto" w:fill="FDF0F7"/>
          </w:tcPr>
          <w:p>
            <w:pPr>
              <w:spacing w:after="20" w:line="252" w:lineRule="auto"/>
            </w:pPr>
            <w:r>
              <w:rPr>
                <w:b w:val="0"/>
                <w:i w:val="0"/>
                <w:sz w:val="15"/>
              </w:rPr>
              <w:t>Base URL of the core system API.</w:t>
            </w:r>
          </w:p>
        </w:tc>
        <w:tc>
          <w:tcPr>
            <w:tcW w:type="dxa" w:w="2891"/>
            <w:vAlign w:val="top"/>
            <w:shd w:val="clear" w:color="auto" w:fill="FDF0F7"/>
          </w:tcPr>
          <w:p>
            <w:pPr>
              <w:spacing w:after="20" w:line="252" w:lineRule="auto"/>
            </w:pPr>
            <w:r>
              <w:rPr>
                <w:b w:val="0"/>
                <w:i w:val="0"/>
                <w:sz w:val="15"/>
              </w:rPr>
              <w:t>https://core.iith.local/api</w:t>
            </w:r>
          </w:p>
        </w:tc>
      </w:tr>
      <w:tr>
        <w:trPr>
          <w:cantSplit/>
        </w:trPr>
        <w:tc>
          <w:tcPr>
            <w:tcW w:type="dxa" w:w="2948"/>
            <w:vAlign w:val="top"/>
          </w:tcPr>
          <w:p>
            <w:pPr>
              <w:spacing w:after="20" w:line="252" w:lineRule="auto"/>
            </w:pPr>
            <w:r>
              <w:rPr>
                <w:b w:val="0"/>
                <w:i w:val="0"/>
                <w:sz w:val="15"/>
              </w:rPr>
              <w:t>CORE_API_API_KEY</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Optional (set together)</w:t>
            </w:r>
          </w:p>
        </w:tc>
        <w:tc>
          <w:tcPr>
            <w:tcW w:type="dxa" w:w="4876"/>
            <w:vAlign w:val="top"/>
          </w:tcPr>
          <w:p>
            <w:pPr>
              <w:spacing w:after="20" w:line="252" w:lineRule="auto"/>
            </w:pPr>
            <w:r>
              <w:rPr>
                <w:b w:val="0"/>
                <w:i w:val="0"/>
                <w:sz w:val="15"/>
              </w:rPr>
              <w:t>API key sent to the core system (x-api-key).</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CORE_API_TIMEOUT_MS</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Default 15000</w:t>
            </w:r>
          </w:p>
        </w:tc>
        <w:tc>
          <w:tcPr>
            <w:tcW w:type="dxa" w:w="4876"/>
            <w:vAlign w:val="top"/>
            <w:shd w:val="clear" w:color="auto" w:fill="FDF0F7"/>
          </w:tcPr>
          <w:p>
            <w:pPr>
              <w:spacing w:after="20" w:line="252" w:lineRule="auto"/>
            </w:pPr>
            <w:r>
              <w:rPr>
                <w:b w:val="0"/>
                <w:i w:val="0"/>
                <w:sz w:val="15"/>
              </w:rPr>
              <w:t>Timeout of a core system call.</w:t>
            </w:r>
          </w:p>
        </w:tc>
        <w:tc>
          <w:tcPr>
            <w:tcW w:type="dxa" w:w="2891"/>
            <w:vAlign w:val="top"/>
            <w:shd w:val="clear" w:color="auto" w:fill="FDF0F7"/>
          </w:tcPr>
          <w:p>
            <w:pPr>
              <w:spacing w:after="20" w:line="252" w:lineRule="auto"/>
            </w:pPr>
            <w:r>
              <w:rPr>
                <w:b w:val="0"/>
                <w:i w:val="0"/>
                <w:sz w:val="15"/>
              </w:rPr>
              <w:t>15000</w:t>
            </w:r>
          </w:p>
        </w:tc>
      </w:tr>
      <w:tr>
        <w:trPr>
          <w:cantSplit/>
        </w:trPr>
        <w:tc>
          <w:tcPr>
            <w:tcW w:type="dxa" w:w="2948"/>
            <w:vAlign w:val="top"/>
          </w:tcPr>
          <w:p>
            <w:pPr>
              <w:spacing w:after="20" w:line="252" w:lineRule="auto"/>
            </w:pPr>
            <w:r>
              <w:rPr>
                <w:b w:val="0"/>
                <w:i w:val="0"/>
                <w:sz w:val="15"/>
              </w:rPr>
              <w:t>FINANCE_API_BASE_URL</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Required in production with live mode</w:t>
            </w:r>
          </w:p>
        </w:tc>
        <w:tc>
          <w:tcPr>
            <w:tcW w:type="dxa" w:w="4876"/>
            <w:vAlign w:val="top"/>
          </w:tcPr>
          <w:p>
            <w:pPr>
              <w:spacing w:after="20" w:line="252" w:lineRule="auto"/>
            </w:pPr>
            <w:r>
              <w:rPr>
                <w:b w:val="0"/>
                <w:i w:val="0"/>
                <w:sz w:val="15"/>
              </w:rPr>
              <w:t>Base URL of the financial system (FIN) API.</w:t>
            </w:r>
          </w:p>
        </w:tc>
        <w:tc>
          <w:tcPr>
            <w:tcW w:type="dxa" w:w="2891"/>
            <w:vAlign w:val="top"/>
          </w:tcPr>
          <w:p>
            <w:pPr>
              <w:spacing w:after="20" w:line="252" w:lineRule="auto"/>
            </w:pPr>
            <w:r>
              <w:rPr>
                <w:b w:val="0"/>
                <w:i w:val="0"/>
                <w:sz w:val="15"/>
              </w:rPr>
              <w:t>https://fin.iith.local/api</w:t>
            </w:r>
          </w:p>
        </w:tc>
      </w:tr>
      <w:tr>
        <w:trPr>
          <w:cantSplit/>
        </w:trPr>
        <w:tc>
          <w:tcPr>
            <w:tcW w:type="dxa" w:w="2948"/>
            <w:vAlign w:val="top"/>
            <w:shd w:val="clear" w:color="auto" w:fill="FDF0F7"/>
          </w:tcPr>
          <w:p>
            <w:pPr>
              <w:spacing w:after="20" w:line="252" w:lineRule="auto"/>
            </w:pPr>
            <w:r>
              <w:rPr>
                <w:b w:val="0"/>
                <w:i w:val="0"/>
                <w:sz w:val="15"/>
              </w:rPr>
              <w:t>FINANCE_API_API_KEY</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Optional (set together)</w:t>
            </w:r>
          </w:p>
        </w:tc>
        <w:tc>
          <w:tcPr>
            <w:tcW w:type="dxa" w:w="4876"/>
            <w:vAlign w:val="top"/>
            <w:shd w:val="clear" w:color="auto" w:fill="FDF0F7"/>
          </w:tcPr>
          <w:p>
            <w:pPr>
              <w:spacing w:after="20" w:line="252" w:lineRule="auto"/>
            </w:pPr>
            <w:r>
              <w:rPr>
                <w:b w:val="0"/>
                <w:i w:val="0"/>
                <w:sz w:val="15"/>
              </w:rPr>
              <w:t>API key sent to FIN.</w:t>
            </w:r>
          </w:p>
        </w:tc>
        <w:tc>
          <w:tcPr>
            <w:tcW w:type="dxa" w:w="2891"/>
            <w:vAlign w:val="top"/>
            <w:shd w:val="clear" w:color="auto" w:fill="FDF0F7"/>
          </w:tcPr>
          <w:p>
            <w:pPr>
              <w:spacing w:after="20" w:line="252" w:lineRule="auto"/>
            </w:pPr>
            <w:r>
              <w:rPr>
                <w:b w:val="0"/>
                <w:i w:val="0"/>
                <w:sz w:val="15"/>
              </w:rPr>
              <w:t>(secret)</w:t>
            </w:r>
          </w:p>
        </w:tc>
      </w:tr>
      <w:tr>
        <w:trPr>
          <w:cantSplit/>
        </w:trPr>
        <w:tc>
          <w:tcPr>
            <w:tcW w:type="dxa" w:w="2948"/>
            <w:vAlign w:val="top"/>
          </w:tcPr>
          <w:p>
            <w:pPr>
              <w:spacing w:after="20" w:line="252" w:lineRule="auto"/>
            </w:pPr>
            <w:r>
              <w:rPr>
                <w:b w:val="0"/>
                <w:i w:val="0"/>
                <w:sz w:val="15"/>
              </w:rPr>
              <w:t>FINANCE_API_TIMEOUT_MS</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Default 15000</w:t>
            </w:r>
          </w:p>
        </w:tc>
        <w:tc>
          <w:tcPr>
            <w:tcW w:type="dxa" w:w="4876"/>
            <w:vAlign w:val="top"/>
          </w:tcPr>
          <w:p>
            <w:pPr>
              <w:spacing w:after="20" w:line="252" w:lineRule="auto"/>
            </w:pPr>
            <w:r>
              <w:rPr>
                <w:b w:val="0"/>
                <w:i w:val="0"/>
                <w:sz w:val="15"/>
              </w:rPr>
              <w:t>Timeout of a FIN call.</w:t>
            </w:r>
          </w:p>
        </w:tc>
        <w:tc>
          <w:tcPr>
            <w:tcW w:type="dxa" w:w="2891"/>
            <w:vAlign w:val="top"/>
          </w:tcPr>
          <w:p>
            <w:pPr>
              <w:spacing w:after="20" w:line="252" w:lineRule="auto"/>
            </w:pPr>
            <w:r>
              <w:rPr>
                <w:b w:val="0"/>
                <w:i w:val="0"/>
                <w:sz w:val="15"/>
              </w:rPr>
              <w:t>15000</w:t>
            </w:r>
          </w:p>
        </w:tc>
      </w:tr>
      <w:tr>
        <w:trPr>
          <w:cantSplit/>
        </w:trPr>
        <w:tc>
          <w:tcPr>
            <w:tcW w:type="dxa" w:w="2948"/>
            <w:vAlign w:val="top"/>
            <w:shd w:val="clear" w:color="auto" w:fill="FDF0F7"/>
          </w:tcPr>
          <w:p>
            <w:pPr>
              <w:spacing w:after="20" w:line="252" w:lineRule="auto"/>
            </w:pPr>
            <w:r>
              <w:rPr>
                <w:b w:val="0"/>
                <w:i w:val="0"/>
                <w:sz w:val="15"/>
              </w:rPr>
              <w:t>AML_API_BASE_URL</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Optional (set together)</w:t>
            </w:r>
          </w:p>
        </w:tc>
        <w:tc>
          <w:tcPr>
            <w:tcW w:type="dxa" w:w="4876"/>
            <w:vAlign w:val="top"/>
            <w:shd w:val="clear" w:color="auto" w:fill="FDF0F7"/>
          </w:tcPr>
          <w:p>
            <w:pPr>
              <w:spacing w:after="20" w:line="252" w:lineRule="auto"/>
            </w:pPr>
            <w:r>
              <w:rPr>
                <w:b w:val="0"/>
                <w:i w:val="0"/>
                <w:sz w:val="15"/>
              </w:rPr>
              <w:t>Base URL of the external AML screening service (optional).</w:t>
            </w:r>
          </w:p>
        </w:tc>
        <w:tc>
          <w:tcPr>
            <w:tcW w:type="dxa" w:w="2891"/>
            <w:vAlign w:val="top"/>
            <w:shd w:val="clear" w:color="auto" w:fill="FDF0F7"/>
          </w:tcPr>
          <w:p>
            <w:pPr>
              <w:spacing w:after="20" w:line="252" w:lineRule="auto"/>
            </w:pPr>
            <w:r>
              <w:rPr>
                <w:b w:val="0"/>
                <w:i w:val="0"/>
                <w:sz w:val="15"/>
              </w:rPr>
              <w:t>https://aml.provider.example/v1</w:t>
            </w:r>
          </w:p>
        </w:tc>
      </w:tr>
      <w:tr>
        <w:trPr>
          <w:cantSplit/>
        </w:trPr>
        <w:tc>
          <w:tcPr>
            <w:tcW w:type="dxa" w:w="2948"/>
            <w:vAlign w:val="top"/>
          </w:tcPr>
          <w:p>
            <w:pPr>
              <w:spacing w:after="20" w:line="252" w:lineRule="auto"/>
            </w:pPr>
            <w:r>
              <w:rPr>
                <w:b w:val="0"/>
                <w:i w:val="0"/>
                <w:sz w:val="15"/>
              </w:rPr>
              <w:t>AML_API_API_KEY</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Optional (set together)</w:t>
            </w:r>
          </w:p>
        </w:tc>
        <w:tc>
          <w:tcPr>
            <w:tcW w:type="dxa" w:w="4876"/>
            <w:vAlign w:val="top"/>
          </w:tcPr>
          <w:p>
            <w:pPr>
              <w:spacing w:after="20" w:line="252" w:lineRule="auto"/>
            </w:pPr>
            <w:r>
              <w:rPr>
                <w:b w:val="0"/>
                <w:i w:val="0"/>
                <w:sz w:val="15"/>
              </w:rPr>
              <w:t>API key of the AML service.</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AML_API_TIMEOUT_MS</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Default 15000</w:t>
            </w:r>
          </w:p>
        </w:tc>
        <w:tc>
          <w:tcPr>
            <w:tcW w:type="dxa" w:w="4876"/>
            <w:vAlign w:val="top"/>
            <w:shd w:val="clear" w:color="auto" w:fill="FDF0F7"/>
          </w:tcPr>
          <w:p>
            <w:pPr>
              <w:spacing w:after="20" w:line="252" w:lineRule="auto"/>
            </w:pPr>
            <w:r>
              <w:rPr>
                <w:b w:val="0"/>
                <w:i w:val="0"/>
                <w:sz w:val="15"/>
              </w:rPr>
              <w:t>Timeout of an AML call.</w:t>
            </w:r>
          </w:p>
        </w:tc>
        <w:tc>
          <w:tcPr>
            <w:tcW w:type="dxa" w:w="2891"/>
            <w:vAlign w:val="top"/>
            <w:shd w:val="clear" w:color="auto" w:fill="FDF0F7"/>
          </w:tcPr>
          <w:p>
            <w:pPr>
              <w:spacing w:after="20" w:line="252" w:lineRule="auto"/>
            </w:pPr>
            <w:r>
              <w:rPr>
                <w:b w:val="0"/>
                <w:i w:val="0"/>
                <w:sz w:val="15"/>
              </w:rPr>
              <w:t>15000</w:t>
            </w:r>
          </w:p>
        </w:tc>
      </w:tr>
      <w:tr>
        <w:trPr>
          <w:cantSplit/>
        </w:trPr>
        <w:tc>
          <w:tcPr>
            <w:tcW w:type="dxa" w:w="2948"/>
            <w:vAlign w:val="top"/>
          </w:tcPr>
          <w:p>
            <w:pPr>
              <w:spacing w:after="20" w:line="252" w:lineRule="auto"/>
            </w:pPr>
            <w:r>
              <w:rPr>
                <w:b w:val="0"/>
                <w:i w:val="0"/>
                <w:sz w:val="15"/>
              </w:rPr>
              <w:t>SMS_API_BASE_URL</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Optional (set together)</w:t>
            </w:r>
          </w:p>
        </w:tc>
        <w:tc>
          <w:tcPr>
            <w:tcW w:type="dxa" w:w="4876"/>
            <w:vAlign w:val="top"/>
          </w:tcPr>
          <w:p>
            <w:pPr>
              <w:spacing w:after="20" w:line="252" w:lineRule="auto"/>
            </w:pPr>
            <w:r>
              <w:rPr>
                <w:b w:val="0"/>
                <w:i w:val="0"/>
                <w:sz w:val="15"/>
              </w:rPr>
              <w:t>Base URL of the SMS gateway HTTP API.</w:t>
            </w:r>
          </w:p>
        </w:tc>
        <w:tc>
          <w:tcPr>
            <w:tcW w:type="dxa" w:w="2891"/>
            <w:vAlign w:val="top"/>
          </w:tcPr>
          <w:p>
            <w:pPr>
              <w:spacing w:after="20" w:line="252" w:lineRule="auto"/>
            </w:pPr>
            <w:r>
              <w:rPr>
                <w:b w:val="0"/>
                <w:i w:val="0"/>
                <w:sz w:val="15"/>
              </w:rPr>
              <w:t>https://sms.provider.example/v1</w:t>
            </w:r>
          </w:p>
        </w:tc>
      </w:tr>
      <w:tr>
        <w:trPr>
          <w:cantSplit/>
        </w:trPr>
        <w:tc>
          <w:tcPr>
            <w:tcW w:type="dxa" w:w="2948"/>
            <w:vAlign w:val="top"/>
            <w:shd w:val="clear" w:color="auto" w:fill="FDF0F7"/>
          </w:tcPr>
          <w:p>
            <w:pPr>
              <w:spacing w:after="20" w:line="252" w:lineRule="auto"/>
            </w:pPr>
            <w:r>
              <w:rPr>
                <w:b w:val="0"/>
                <w:i w:val="0"/>
                <w:sz w:val="15"/>
              </w:rPr>
              <w:t>SMS_API_API_KEY</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Optional (set together)</w:t>
            </w:r>
          </w:p>
        </w:tc>
        <w:tc>
          <w:tcPr>
            <w:tcW w:type="dxa" w:w="4876"/>
            <w:vAlign w:val="top"/>
            <w:shd w:val="clear" w:color="auto" w:fill="FDF0F7"/>
          </w:tcPr>
          <w:p>
            <w:pPr>
              <w:spacing w:after="20" w:line="252" w:lineRule="auto"/>
            </w:pPr>
            <w:r>
              <w:rPr>
                <w:b w:val="0"/>
                <w:i w:val="0"/>
                <w:sz w:val="15"/>
              </w:rPr>
              <w:t>Bearer token of the SMS gateway.</w:t>
            </w:r>
          </w:p>
        </w:tc>
        <w:tc>
          <w:tcPr>
            <w:tcW w:type="dxa" w:w="2891"/>
            <w:vAlign w:val="top"/>
            <w:shd w:val="clear" w:color="auto" w:fill="FDF0F7"/>
          </w:tcPr>
          <w:p>
            <w:pPr>
              <w:spacing w:after="20" w:line="252" w:lineRule="auto"/>
            </w:pPr>
            <w:r>
              <w:rPr>
                <w:b w:val="0"/>
                <w:i w:val="0"/>
                <w:sz w:val="15"/>
              </w:rPr>
              <w:t>(secret)</w:t>
            </w:r>
          </w:p>
        </w:tc>
      </w:tr>
      <w:tr>
        <w:trPr>
          <w:cantSplit/>
        </w:trPr>
        <w:tc>
          <w:tcPr>
            <w:tcW w:type="dxa" w:w="2948"/>
            <w:vAlign w:val="top"/>
          </w:tcPr>
          <w:p>
            <w:pPr>
              <w:spacing w:after="20" w:line="252" w:lineRule="auto"/>
            </w:pPr>
            <w:r>
              <w:rPr>
                <w:b w:val="0"/>
                <w:i w:val="0"/>
                <w:sz w:val="15"/>
              </w:rPr>
              <w:t>SMS_API_TIMEOUT_MS</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Default 15000</w:t>
            </w:r>
          </w:p>
        </w:tc>
        <w:tc>
          <w:tcPr>
            <w:tcW w:type="dxa" w:w="4876"/>
            <w:vAlign w:val="top"/>
          </w:tcPr>
          <w:p>
            <w:pPr>
              <w:spacing w:after="20" w:line="252" w:lineRule="auto"/>
            </w:pPr>
            <w:r>
              <w:rPr>
                <w:b w:val="0"/>
                <w:i w:val="0"/>
                <w:sz w:val="15"/>
              </w:rPr>
              <w:t>Timeout of an SMS call.</w:t>
            </w:r>
          </w:p>
        </w:tc>
        <w:tc>
          <w:tcPr>
            <w:tcW w:type="dxa" w:w="2891"/>
            <w:vAlign w:val="top"/>
          </w:tcPr>
          <w:p>
            <w:pPr>
              <w:spacing w:after="20" w:line="252" w:lineRule="auto"/>
            </w:pPr>
            <w:r>
              <w:rPr>
                <w:b w:val="0"/>
                <w:i w:val="0"/>
                <w:sz w:val="15"/>
              </w:rPr>
              <w:t>15000</w:t>
            </w:r>
          </w:p>
        </w:tc>
      </w:tr>
      <w:tr>
        <w:trPr>
          <w:cantSplit/>
        </w:trPr>
        <w:tc>
          <w:tcPr>
            <w:tcW w:type="dxa" w:w="2948"/>
            <w:vAlign w:val="top"/>
            <w:shd w:val="clear" w:color="auto" w:fill="FDF0F7"/>
          </w:tcPr>
          <w:p>
            <w:pPr>
              <w:spacing w:after="20" w:line="252" w:lineRule="auto"/>
            </w:pPr>
            <w:r>
              <w:rPr>
                <w:b w:val="0"/>
                <w:i w:val="0"/>
                <w:sz w:val="15"/>
              </w:rPr>
              <w:t>SMS_SENDER_ID</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Default IIFT</w:t>
            </w:r>
          </w:p>
        </w:tc>
        <w:tc>
          <w:tcPr>
            <w:tcW w:type="dxa" w:w="4876"/>
            <w:vAlign w:val="top"/>
            <w:shd w:val="clear" w:color="auto" w:fill="FDF0F7"/>
          </w:tcPr>
          <w:p>
            <w:pPr>
              <w:spacing w:after="20" w:line="252" w:lineRule="auto"/>
            </w:pPr>
            <w:r>
              <w:rPr>
                <w:b w:val="0"/>
                <w:i w:val="0"/>
                <w:sz w:val="15"/>
              </w:rPr>
              <w:t>Sender name shown on SMS messages.</w:t>
            </w:r>
          </w:p>
        </w:tc>
        <w:tc>
          <w:tcPr>
            <w:tcW w:type="dxa" w:w="2891"/>
            <w:vAlign w:val="top"/>
            <w:shd w:val="clear" w:color="auto" w:fill="FDF0F7"/>
          </w:tcPr>
          <w:p>
            <w:pPr>
              <w:spacing w:after="20" w:line="252" w:lineRule="auto"/>
            </w:pPr>
            <w:r>
              <w:rPr>
                <w:b w:val="0"/>
                <w:i w:val="0"/>
                <w:sz w:val="15"/>
              </w:rPr>
              <w:t>IIFT</w:t>
            </w:r>
          </w:p>
        </w:tc>
      </w:tr>
      <w:tr>
        <w:trPr>
          <w:cantSplit/>
        </w:trPr>
        <w:tc>
          <w:tcPr>
            <w:tcW w:type="dxa" w:w="2948"/>
            <w:vAlign w:val="top"/>
          </w:tcPr>
          <w:p>
            <w:pPr>
              <w:spacing w:after="20" w:line="252" w:lineRule="auto"/>
            </w:pPr>
            <w:r>
              <w:rPr>
                <w:b w:val="0"/>
                <w:i w:val="0"/>
                <w:sz w:val="15"/>
              </w:rPr>
              <w:t>SMTP_HOST</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Required in production with live mode</w:t>
            </w:r>
          </w:p>
        </w:tc>
        <w:tc>
          <w:tcPr>
            <w:tcW w:type="dxa" w:w="4876"/>
            <w:vAlign w:val="top"/>
          </w:tcPr>
          <w:p>
            <w:pPr>
              <w:spacing w:after="20" w:line="252" w:lineRule="auto"/>
            </w:pPr>
            <w:r>
              <w:rPr>
                <w:b w:val="0"/>
                <w:i w:val="0"/>
                <w:sz w:val="15"/>
              </w:rPr>
              <w:t>SMTP relay host; e-mail is recorded but not sent when empty.</w:t>
            </w:r>
          </w:p>
        </w:tc>
        <w:tc>
          <w:tcPr>
            <w:tcW w:type="dxa" w:w="2891"/>
            <w:vAlign w:val="top"/>
          </w:tcPr>
          <w:p>
            <w:pPr>
              <w:spacing w:after="20" w:line="252" w:lineRule="auto"/>
            </w:pPr>
            <w:r>
              <w:rPr>
                <w:b w:val="0"/>
                <w:i w:val="0"/>
                <w:sz w:val="15"/>
              </w:rPr>
              <w:t>smtp.iith.local</w:t>
            </w:r>
          </w:p>
        </w:tc>
      </w:tr>
      <w:tr>
        <w:trPr>
          <w:cantSplit/>
        </w:trPr>
        <w:tc>
          <w:tcPr>
            <w:tcW w:type="dxa" w:w="2948"/>
            <w:vAlign w:val="top"/>
            <w:shd w:val="clear" w:color="auto" w:fill="FDF0F7"/>
          </w:tcPr>
          <w:p>
            <w:pPr>
              <w:spacing w:after="20" w:line="252" w:lineRule="auto"/>
            </w:pPr>
            <w:r>
              <w:rPr>
                <w:b w:val="0"/>
                <w:i w:val="0"/>
                <w:sz w:val="15"/>
              </w:rPr>
              <w:t>SMTP_PORT</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Default 587</w:t>
            </w:r>
          </w:p>
        </w:tc>
        <w:tc>
          <w:tcPr>
            <w:tcW w:type="dxa" w:w="4876"/>
            <w:vAlign w:val="top"/>
            <w:shd w:val="clear" w:color="auto" w:fill="FDF0F7"/>
          </w:tcPr>
          <w:p>
            <w:pPr>
              <w:spacing w:after="20" w:line="252" w:lineRule="auto"/>
            </w:pPr>
            <w:r>
              <w:rPr>
                <w:b w:val="0"/>
                <w:i w:val="0"/>
                <w:sz w:val="15"/>
              </w:rPr>
              <w:t>SMTP port.</w:t>
            </w:r>
          </w:p>
        </w:tc>
        <w:tc>
          <w:tcPr>
            <w:tcW w:type="dxa" w:w="2891"/>
            <w:vAlign w:val="top"/>
            <w:shd w:val="clear" w:color="auto" w:fill="FDF0F7"/>
          </w:tcPr>
          <w:p>
            <w:pPr>
              <w:spacing w:after="20" w:line="252" w:lineRule="auto"/>
            </w:pPr>
            <w:r>
              <w:rPr>
                <w:b w:val="0"/>
                <w:i w:val="0"/>
                <w:sz w:val="15"/>
              </w:rPr>
              <w:t>587</w:t>
            </w:r>
          </w:p>
        </w:tc>
      </w:tr>
      <w:tr>
        <w:trPr>
          <w:cantSplit/>
        </w:trPr>
        <w:tc>
          <w:tcPr>
            <w:tcW w:type="dxa" w:w="2948"/>
            <w:vAlign w:val="top"/>
          </w:tcPr>
          <w:p>
            <w:pPr>
              <w:spacing w:after="20" w:line="252" w:lineRule="auto"/>
            </w:pPr>
            <w:r>
              <w:rPr>
                <w:b w:val="0"/>
                <w:i w:val="0"/>
                <w:sz w:val="15"/>
              </w:rPr>
              <w:t>SMTP_SECURE</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Default false</w:t>
            </w:r>
          </w:p>
        </w:tc>
        <w:tc>
          <w:tcPr>
            <w:tcW w:type="dxa" w:w="4876"/>
            <w:vAlign w:val="top"/>
          </w:tcPr>
          <w:p>
            <w:pPr>
              <w:spacing w:after="20" w:line="252" w:lineRule="auto"/>
            </w:pPr>
            <w:r>
              <w:rPr>
                <w:b w:val="0"/>
                <w:i w:val="0"/>
                <w:sz w:val="15"/>
              </w:rPr>
              <w:t>true for implicit TLS (465); false uses STARTTLS, which is then required.</w:t>
            </w:r>
          </w:p>
        </w:tc>
        <w:tc>
          <w:tcPr>
            <w:tcW w:type="dxa" w:w="2891"/>
            <w:vAlign w:val="top"/>
          </w:tcPr>
          <w:p>
            <w:pPr>
              <w:spacing w:after="20" w:line="252" w:lineRule="auto"/>
            </w:pPr>
            <w:r>
              <w:rPr>
                <w:b w:val="0"/>
                <w:i w:val="0"/>
                <w:sz w:val="15"/>
              </w:rPr>
              <w:t>false</w:t>
            </w:r>
          </w:p>
        </w:tc>
      </w:tr>
      <w:tr>
        <w:trPr>
          <w:cantSplit/>
        </w:trPr>
        <w:tc>
          <w:tcPr>
            <w:tcW w:type="dxa" w:w="2948"/>
            <w:vAlign w:val="top"/>
            <w:shd w:val="clear" w:color="auto" w:fill="FDF0F7"/>
          </w:tcPr>
          <w:p>
            <w:pPr>
              <w:spacing w:after="20" w:line="252" w:lineRule="auto"/>
            </w:pPr>
            <w:r>
              <w:rPr>
                <w:b w:val="0"/>
                <w:i w:val="0"/>
                <w:sz w:val="15"/>
              </w:rPr>
              <w:t>SMTP_USER</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SMTP user name, if the relay requires authentication.</w:t>
            </w:r>
          </w:p>
        </w:tc>
        <w:tc>
          <w:tcPr>
            <w:tcW w:type="dxa" w:w="2891"/>
            <w:vAlign w:val="top"/>
            <w:shd w:val="clear" w:color="auto" w:fill="FDF0F7"/>
          </w:tcPr>
          <w:p>
            <w:pPr>
              <w:spacing w:after="20" w:line="252" w:lineRule="auto"/>
            </w:pPr>
            <w:r>
              <w:rPr>
                <w:b w:val="0"/>
                <w:i w:val="0"/>
                <w:sz w:val="15"/>
              </w:rPr>
              <w:t>portal-mailer</w:t>
            </w:r>
          </w:p>
        </w:tc>
      </w:tr>
      <w:tr>
        <w:trPr>
          <w:cantSplit/>
        </w:trPr>
        <w:tc>
          <w:tcPr>
            <w:tcW w:type="dxa" w:w="2948"/>
            <w:vAlign w:val="top"/>
          </w:tcPr>
          <w:p>
            <w:pPr>
              <w:spacing w:after="20" w:line="252" w:lineRule="auto"/>
            </w:pPr>
            <w:r>
              <w:rPr>
                <w:b w:val="0"/>
                <w:i w:val="0"/>
                <w:sz w:val="15"/>
              </w:rPr>
              <w:t>SMTP_PASSWORD</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SMTP password.</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SMTP_FROM</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Required when SMTP_HOST is set</w:t>
            </w:r>
          </w:p>
        </w:tc>
        <w:tc>
          <w:tcPr>
            <w:tcW w:type="dxa" w:w="4876"/>
            <w:vAlign w:val="top"/>
            <w:shd w:val="clear" w:color="auto" w:fill="FDF0F7"/>
          </w:tcPr>
          <w:p>
            <w:pPr>
              <w:spacing w:after="20" w:line="252" w:lineRule="auto"/>
            </w:pPr>
            <w:r>
              <w:rPr>
                <w:b w:val="0"/>
                <w:i w:val="0"/>
                <w:sz w:val="15"/>
              </w:rPr>
              <w:t>Sender address (required when SMTP_HOST is set).</w:t>
            </w:r>
          </w:p>
        </w:tc>
        <w:tc>
          <w:tcPr>
            <w:tcW w:type="dxa" w:w="2891"/>
            <w:vAlign w:val="top"/>
            <w:shd w:val="clear" w:color="auto" w:fill="FDF0F7"/>
          </w:tcPr>
          <w:p>
            <w:pPr>
              <w:spacing w:after="20" w:line="252" w:lineRule="auto"/>
            </w:pPr>
            <w:r>
              <w:rPr>
                <w:b w:val="0"/>
                <w:i w:val="0"/>
                <w:sz w:val="15"/>
              </w:rPr>
              <w:t>no-reply@iift.com.bn</w:t>
            </w:r>
          </w:p>
        </w:tc>
      </w:tr>
      <w:tr>
        <w:trPr>
          <w:cantSplit/>
        </w:trPr>
        <w:tc>
          <w:tcPr>
            <w:tcW w:type="dxa" w:w="2948"/>
            <w:vAlign w:val="top"/>
          </w:tcPr>
          <w:p>
            <w:pPr>
              <w:spacing w:after="20" w:line="252" w:lineRule="auto"/>
            </w:pPr>
            <w:r>
              <w:rPr>
                <w:b w:val="0"/>
                <w:i w:val="0"/>
                <w:sz w:val="15"/>
              </w:rPr>
              <w:t>LDAP_URL</w:t>
            </w:r>
          </w:p>
        </w:tc>
        <w:tc>
          <w:tcPr>
            <w:tcW w:type="dxa" w:w="1361"/>
            <w:vAlign w:val="top"/>
          </w:tcPr>
          <w:p>
            <w:pPr>
              <w:spacing w:after="20" w:line="252" w:lineRule="auto"/>
            </w:pPr>
            <w:r>
              <w:rPr>
                <w:b w:val="0"/>
                <w:i w:val="0"/>
                <w:sz w:val="15"/>
              </w:rPr>
              <w:t>Directory</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Directory URL for back-office sign-in; use ldaps://.</w:t>
            </w:r>
          </w:p>
        </w:tc>
        <w:tc>
          <w:tcPr>
            <w:tcW w:type="dxa" w:w="2891"/>
            <w:vAlign w:val="top"/>
          </w:tcPr>
          <w:p>
            <w:pPr>
              <w:spacing w:after="20" w:line="252" w:lineRule="auto"/>
            </w:pPr>
            <w:r>
              <w:rPr>
                <w:b w:val="0"/>
                <w:i w:val="0"/>
                <w:sz w:val="15"/>
              </w:rPr>
              <w:t>ldaps://ad.iith.local:636</w:t>
            </w:r>
          </w:p>
        </w:tc>
      </w:tr>
      <w:tr>
        <w:trPr>
          <w:cantSplit/>
        </w:trPr>
        <w:tc>
          <w:tcPr>
            <w:tcW w:type="dxa" w:w="2948"/>
            <w:vAlign w:val="top"/>
            <w:shd w:val="clear" w:color="auto" w:fill="FDF0F7"/>
          </w:tcPr>
          <w:p>
            <w:pPr>
              <w:spacing w:after="20" w:line="252" w:lineRule="auto"/>
            </w:pPr>
            <w:r>
              <w:rPr>
                <w:b w:val="0"/>
                <w:i w:val="0"/>
                <w:sz w:val="15"/>
              </w:rPr>
              <w:t>LDAP_BIND_DN</w:t>
            </w:r>
          </w:p>
        </w:tc>
        <w:tc>
          <w:tcPr>
            <w:tcW w:type="dxa" w:w="1361"/>
            <w:vAlign w:val="top"/>
            <w:shd w:val="clear" w:color="auto" w:fill="FDF0F7"/>
          </w:tcPr>
          <w:p>
            <w:pPr>
              <w:spacing w:after="20" w:line="252" w:lineRule="auto"/>
            </w:pPr>
            <w:r>
              <w:rPr>
                <w:b w:val="0"/>
                <w:i w:val="0"/>
                <w:sz w:val="15"/>
              </w:rPr>
              <w:t>Directory</w:t>
            </w:r>
          </w:p>
        </w:tc>
        <w:tc>
          <w:tcPr>
            <w:tcW w:type="dxa" w:w="2494"/>
            <w:vAlign w:val="top"/>
            <w:shd w:val="clear" w:color="auto" w:fill="FDF0F7"/>
          </w:tcPr>
          <w:p>
            <w:pPr>
              <w:spacing w:after="20" w:line="252" w:lineRule="auto"/>
            </w:pPr>
            <w:r>
              <w:rPr>
                <w:b w:val="0"/>
                <w:i w:val="0"/>
                <w:sz w:val="15"/>
              </w:rPr>
              <w:t>Required when LDAP_URL is set</w:t>
            </w:r>
          </w:p>
        </w:tc>
        <w:tc>
          <w:tcPr>
            <w:tcW w:type="dxa" w:w="4876"/>
            <w:vAlign w:val="top"/>
            <w:shd w:val="clear" w:color="auto" w:fill="FDF0F7"/>
          </w:tcPr>
          <w:p>
            <w:pPr>
              <w:spacing w:after="20" w:line="252" w:lineRule="auto"/>
            </w:pPr>
            <w:r>
              <w:rPr>
                <w:b w:val="0"/>
                <w:i w:val="0"/>
                <w:sz w:val="15"/>
              </w:rPr>
              <w:t>Service account used to look up users.</w:t>
            </w:r>
          </w:p>
        </w:tc>
        <w:tc>
          <w:tcPr>
            <w:tcW w:type="dxa" w:w="2891"/>
            <w:vAlign w:val="top"/>
            <w:shd w:val="clear" w:color="auto" w:fill="FDF0F7"/>
          </w:tcPr>
          <w:p>
            <w:pPr>
              <w:spacing w:after="20" w:line="252" w:lineRule="auto"/>
            </w:pPr>
            <w:r>
              <w:rPr>
                <w:b w:val="0"/>
                <w:i w:val="0"/>
                <w:sz w:val="15"/>
              </w:rPr>
              <w:t>CN=svc-portal,OU=Service,DC=iith,DC=local</w:t>
            </w:r>
          </w:p>
        </w:tc>
      </w:tr>
      <w:tr>
        <w:trPr>
          <w:cantSplit/>
        </w:trPr>
        <w:tc>
          <w:tcPr>
            <w:tcW w:type="dxa" w:w="2948"/>
            <w:vAlign w:val="top"/>
          </w:tcPr>
          <w:p>
            <w:pPr>
              <w:spacing w:after="20" w:line="252" w:lineRule="auto"/>
            </w:pPr>
            <w:r>
              <w:rPr>
                <w:b w:val="0"/>
                <w:i w:val="0"/>
                <w:sz w:val="15"/>
              </w:rPr>
              <w:t>LDAP_BIND_PASSWORD</w:t>
            </w:r>
          </w:p>
        </w:tc>
        <w:tc>
          <w:tcPr>
            <w:tcW w:type="dxa" w:w="1361"/>
            <w:vAlign w:val="top"/>
          </w:tcPr>
          <w:p>
            <w:pPr>
              <w:spacing w:after="20" w:line="252" w:lineRule="auto"/>
            </w:pPr>
            <w:r>
              <w:rPr>
                <w:b w:val="0"/>
                <w:i w:val="0"/>
                <w:sz w:val="15"/>
              </w:rPr>
              <w:t>Directory</w:t>
            </w:r>
          </w:p>
        </w:tc>
        <w:tc>
          <w:tcPr>
            <w:tcW w:type="dxa" w:w="2494"/>
            <w:vAlign w:val="top"/>
          </w:tcPr>
          <w:p>
            <w:pPr>
              <w:spacing w:after="20" w:line="252" w:lineRule="auto"/>
            </w:pPr>
            <w:r>
              <w:rPr>
                <w:b w:val="0"/>
                <w:i w:val="0"/>
                <w:sz w:val="15"/>
              </w:rPr>
              <w:t>Required when LDAP_URL is set</w:t>
            </w:r>
          </w:p>
        </w:tc>
        <w:tc>
          <w:tcPr>
            <w:tcW w:type="dxa" w:w="4876"/>
            <w:vAlign w:val="top"/>
          </w:tcPr>
          <w:p>
            <w:pPr>
              <w:spacing w:after="20" w:line="252" w:lineRule="auto"/>
            </w:pPr>
            <w:r>
              <w:rPr>
                <w:b w:val="0"/>
                <w:i w:val="0"/>
                <w:sz w:val="15"/>
              </w:rPr>
              <w:t>Service account password.</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LDAP_BASE_DN</w:t>
            </w:r>
          </w:p>
        </w:tc>
        <w:tc>
          <w:tcPr>
            <w:tcW w:type="dxa" w:w="1361"/>
            <w:vAlign w:val="top"/>
            <w:shd w:val="clear" w:color="auto" w:fill="FDF0F7"/>
          </w:tcPr>
          <w:p>
            <w:pPr>
              <w:spacing w:after="20" w:line="252" w:lineRule="auto"/>
            </w:pPr>
            <w:r>
              <w:rPr>
                <w:b w:val="0"/>
                <w:i w:val="0"/>
                <w:sz w:val="15"/>
              </w:rPr>
              <w:t>Directory</w:t>
            </w:r>
          </w:p>
        </w:tc>
        <w:tc>
          <w:tcPr>
            <w:tcW w:type="dxa" w:w="2494"/>
            <w:vAlign w:val="top"/>
            <w:shd w:val="clear" w:color="auto" w:fill="FDF0F7"/>
          </w:tcPr>
          <w:p>
            <w:pPr>
              <w:spacing w:after="20" w:line="252" w:lineRule="auto"/>
            </w:pPr>
            <w:r>
              <w:rPr>
                <w:b w:val="0"/>
                <w:i w:val="0"/>
                <w:sz w:val="15"/>
              </w:rPr>
              <w:t>Required when LDAP_URL is set</w:t>
            </w:r>
          </w:p>
        </w:tc>
        <w:tc>
          <w:tcPr>
            <w:tcW w:type="dxa" w:w="4876"/>
            <w:vAlign w:val="top"/>
            <w:shd w:val="clear" w:color="auto" w:fill="FDF0F7"/>
          </w:tcPr>
          <w:p>
            <w:pPr>
              <w:spacing w:after="20" w:line="252" w:lineRule="auto"/>
            </w:pPr>
            <w:r>
              <w:rPr>
                <w:b w:val="0"/>
                <w:i w:val="0"/>
                <w:sz w:val="15"/>
              </w:rPr>
              <w:t>Search base for users.</w:t>
            </w:r>
          </w:p>
        </w:tc>
        <w:tc>
          <w:tcPr>
            <w:tcW w:type="dxa" w:w="2891"/>
            <w:vAlign w:val="top"/>
            <w:shd w:val="clear" w:color="auto" w:fill="FDF0F7"/>
          </w:tcPr>
          <w:p>
            <w:pPr>
              <w:spacing w:after="20" w:line="252" w:lineRule="auto"/>
            </w:pPr>
            <w:r>
              <w:rPr>
                <w:b w:val="0"/>
                <w:i w:val="0"/>
                <w:sz w:val="15"/>
              </w:rPr>
              <w:t>OU=Staff,DC=iith,DC=local</w:t>
            </w:r>
          </w:p>
        </w:tc>
      </w:tr>
      <w:tr>
        <w:trPr>
          <w:cantSplit/>
        </w:trPr>
        <w:tc>
          <w:tcPr>
            <w:tcW w:type="dxa" w:w="2948"/>
            <w:vAlign w:val="top"/>
          </w:tcPr>
          <w:p>
            <w:pPr>
              <w:spacing w:after="20" w:line="252" w:lineRule="auto"/>
            </w:pPr>
            <w:r>
              <w:rPr>
                <w:b w:val="0"/>
                <w:i w:val="0"/>
                <w:sz w:val="15"/>
              </w:rPr>
              <w:t>LDAP_USER_FILTER</w:t>
            </w:r>
          </w:p>
        </w:tc>
        <w:tc>
          <w:tcPr>
            <w:tcW w:type="dxa" w:w="1361"/>
            <w:vAlign w:val="top"/>
          </w:tcPr>
          <w:p>
            <w:pPr>
              <w:spacing w:after="20" w:line="252" w:lineRule="auto"/>
            </w:pPr>
            <w:r>
              <w:rPr>
                <w:b w:val="0"/>
                <w:i w:val="0"/>
                <w:sz w:val="15"/>
              </w:rPr>
              <w:t>Directory</w:t>
            </w:r>
          </w:p>
        </w:tc>
        <w:tc>
          <w:tcPr>
            <w:tcW w:type="dxa" w:w="2494"/>
            <w:vAlign w:val="top"/>
          </w:tcPr>
          <w:p>
            <w:pPr>
              <w:spacing w:after="20" w:line="252" w:lineRule="auto"/>
            </w:pPr>
            <w:r>
              <w:rPr>
                <w:b w:val="0"/>
                <w:i w:val="0"/>
                <w:sz w:val="15"/>
              </w:rPr>
              <w:t>Default (sAMAccountName={{username}})</w:t>
            </w:r>
          </w:p>
        </w:tc>
        <w:tc>
          <w:tcPr>
            <w:tcW w:type="dxa" w:w="4876"/>
            <w:vAlign w:val="top"/>
          </w:tcPr>
          <w:p>
            <w:pPr>
              <w:spacing w:after="20" w:line="252" w:lineRule="auto"/>
            </w:pPr>
            <w:r>
              <w:rPr>
                <w:b w:val="0"/>
                <w:i w:val="0"/>
                <w:sz w:val="15"/>
              </w:rPr>
              <w:t>Search filter; {{username}} is replaced with the escaped user name.</w:t>
            </w:r>
          </w:p>
        </w:tc>
        <w:tc>
          <w:tcPr>
            <w:tcW w:type="dxa" w:w="2891"/>
            <w:vAlign w:val="top"/>
          </w:tcPr>
          <w:p>
            <w:pPr>
              <w:spacing w:after="20" w:line="252" w:lineRule="auto"/>
            </w:pPr>
            <w:r>
              <w:rPr>
                <w:b w:val="0"/>
                <w:i w:val="0"/>
                <w:sz w:val="15"/>
              </w:rPr>
              <w:t>(sAMAccountName={{username}})</w:t>
            </w:r>
          </w:p>
        </w:tc>
      </w:tr>
      <w:tr>
        <w:trPr>
          <w:cantSplit/>
        </w:trPr>
        <w:tc>
          <w:tcPr>
            <w:tcW w:type="dxa" w:w="2948"/>
            <w:vAlign w:val="top"/>
            <w:shd w:val="clear" w:color="auto" w:fill="FDF0F7"/>
          </w:tcPr>
          <w:p>
            <w:pPr>
              <w:spacing w:after="20" w:line="252" w:lineRule="auto"/>
            </w:pPr>
            <w:r>
              <w:rPr>
                <w:b w:val="0"/>
                <w:i w:val="0"/>
                <w:sz w:val="15"/>
              </w:rPr>
              <w:t>METRICS_TOKEN</w:t>
            </w:r>
          </w:p>
        </w:tc>
        <w:tc>
          <w:tcPr>
            <w:tcW w:type="dxa" w:w="1361"/>
            <w:vAlign w:val="top"/>
            <w:shd w:val="clear" w:color="auto" w:fill="FDF0F7"/>
          </w:tcPr>
          <w:p>
            <w:pPr>
              <w:spacing w:after="20" w:line="252" w:lineRule="auto"/>
            </w:pPr>
            <w:r>
              <w:rPr>
                <w:b w:val="0"/>
                <w:i w:val="0"/>
                <w:sz w:val="15"/>
              </w:rPr>
              <w:t>Monitoring</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Bearer token required by /metrics when set.</w:t>
            </w:r>
          </w:p>
        </w:tc>
        <w:tc>
          <w:tcPr>
            <w:tcW w:type="dxa" w:w="2891"/>
            <w:vAlign w:val="top"/>
            <w:shd w:val="clear" w:color="auto" w:fill="FDF0F7"/>
          </w:tcPr>
          <w:p>
            <w:pPr>
              <w:spacing w:after="20" w:line="252" w:lineRule="auto"/>
            </w:pPr>
            <w:r>
              <w:rPr>
                <w:b w:val="0"/>
                <w:i w:val="0"/>
                <w:sz w:val="15"/>
              </w:rPr>
              <w:t>(secret)</w:t>
            </w:r>
          </w:p>
        </w:tc>
      </w:tr>
      <w:tr>
        <w:trPr>
          <w:cantSplit/>
        </w:trPr>
        <w:tc>
          <w:tcPr>
            <w:tcW w:type="dxa" w:w="2948"/>
            <w:vAlign w:val="top"/>
          </w:tcPr>
          <w:p>
            <w:pPr>
              <w:spacing w:after="20" w:line="252" w:lineRule="auto"/>
            </w:pPr>
            <w:r>
              <w:rPr>
                <w:b w:val="0"/>
                <w:i w:val="0"/>
                <w:sz w:val="15"/>
              </w:rPr>
              <w:t>LOGIN_RATE_LIMIT_PER_MINUTE</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Sign-in attempts allowed per client IP per minute and API instance.</w:t>
            </w:r>
          </w:p>
        </w:tc>
        <w:tc>
          <w:tcPr>
            <w:tcW w:type="dxa" w:w="2891"/>
            <w:vAlign w:val="top"/>
          </w:tcPr>
          <w:p>
            <w:pPr>
              <w:spacing w:after="20" w:line="252" w:lineRule="auto"/>
            </w:pPr>
            <w:r>
              <w:rPr>
                <w:b w:val="0"/>
                <w:i w:val="0"/>
                <w:sz w:val="15"/>
              </w:rPr>
              <w:t>10</w:t>
            </w:r>
          </w:p>
        </w:tc>
      </w:tr>
      <w:tr>
        <w:trPr>
          <w:cantSplit/>
        </w:trPr>
        <w:tc>
          <w:tcPr>
            <w:tcW w:type="dxa" w:w="2948"/>
            <w:vAlign w:val="top"/>
            <w:shd w:val="clear" w:color="auto" w:fill="FDF0F7"/>
          </w:tcPr>
          <w:p>
            <w:pPr>
              <w:spacing w:after="20" w:line="252" w:lineRule="auto"/>
            </w:pPr>
            <w:r>
              <w:rPr>
                <w:b w:val="0"/>
                <w:i w:val="0"/>
                <w:sz w:val="15"/>
              </w:rPr>
              <w:t>LOG_LEVEL</w:t>
            </w:r>
          </w:p>
        </w:tc>
        <w:tc>
          <w:tcPr>
            <w:tcW w:type="dxa" w:w="1361"/>
            <w:vAlign w:val="top"/>
            <w:shd w:val="clear" w:color="auto" w:fill="FDF0F7"/>
          </w:tcPr>
          <w:p>
            <w:pPr>
              <w:spacing w:after="20" w:line="252" w:lineRule="auto"/>
            </w:pPr>
            <w:r>
              <w:rPr>
                <w:b w:val="0"/>
                <w:i w:val="0"/>
                <w:sz w:val="15"/>
              </w:rPr>
              <w:t>Monitoring</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pino log level; defaults to info in production and debug otherwise.</w:t>
            </w:r>
          </w:p>
        </w:tc>
        <w:tc>
          <w:tcPr>
            <w:tcW w:type="dxa" w:w="2891"/>
            <w:vAlign w:val="top"/>
            <w:shd w:val="clear" w:color="auto" w:fill="FDF0F7"/>
          </w:tcPr>
          <w:p>
            <w:pPr>
              <w:spacing w:after="20" w:line="252" w:lineRule="auto"/>
            </w:pPr>
            <w:r>
              <w:rPr>
                <w:b w:val="0"/>
                <w:i w:val="0"/>
                <w:sz w:val="15"/>
              </w:rPr>
              <w:t>info</w:t>
            </w:r>
          </w:p>
        </w:tc>
      </w:tr>
      <w:tr>
        <w:trPr>
          <w:cantSplit/>
        </w:trPr>
        <w:tc>
          <w:tcPr>
            <w:tcW w:type="dxa" w:w="2948"/>
            <w:vAlign w:val="top"/>
          </w:tcPr>
          <w:p>
            <w:pPr>
              <w:spacing w:after="20" w:line="252" w:lineRule="auto"/>
            </w:pPr>
            <w:r>
              <w:rPr>
                <w:b w:val="0"/>
                <w:i w:val="0"/>
                <w:sz w:val="15"/>
              </w:rPr>
              <w:t>SEED_ADMIN_PASSWORD</w:t>
            </w:r>
          </w:p>
        </w:tc>
        <w:tc>
          <w:tcPr>
            <w:tcW w:type="dxa" w:w="1361"/>
            <w:vAlign w:val="top"/>
          </w:tcPr>
          <w:p>
            <w:pPr>
              <w:spacing w:after="20" w:line="252" w:lineRule="auto"/>
            </w:pPr>
            <w:r>
              <w:rPr>
                <w:b w:val="0"/>
                <w:i w:val="0"/>
                <w:sz w:val="15"/>
              </w:rPr>
              <w:t>Set-up</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Temporary password of the first administrator created by npm run db:seed (12+ characters, changed at first sign-in).</w:t>
            </w:r>
          </w:p>
        </w:tc>
        <w:tc>
          <w:tcPr>
            <w:tcW w:type="dxa" w:w="2891"/>
            <w:vAlign w:val="top"/>
          </w:tcPr>
          <w:p>
            <w:pPr>
              <w:spacing w:after="20" w:line="252" w:lineRule="auto"/>
            </w:pPr>
            <w:r>
              <w:rPr>
                <w:b w:val="0"/>
                <w:i w:val="0"/>
                <w:sz w:val="15"/>
              </w:rPr>
              <w:t>(one-off secret)</w:t>
            </w:r>
          </w:p>
        </w:tc>
      </w:tr>
      <w:tr>
        <w:trPr>
          <w:cantSplit/>
        </w:trPr>
        <w:tc>
          <w:tcPr>
            <w:tcW w:type="dxa" w:w="2948"/>
            <w:vAlign w:val="top"/>
            <w:shd w:val="clear" w:color="auto" w:fill="FDF0F7"/>
          </w:tcPr>
          <w:p>
            <w:pPr>
              <w:spacing w:after="20" w:line="252" w:lineRule="auto"/>
            </w:pPr>
            <w:r>
              <w:rPr>
                <w:b w:val="0"/>
                <w:i w:val="0"/>
                <w:sz w:val="15"/>
              </w:rPr>
              <w:t>SEED_ADMIN_EMAIL</w:t>
            </w:r>
          </w:p>
        </w:tc>
        <w:tc>
          <w:tcPr>
            <w:tcW w:type="dxa" w:w="1361"/>
            <w:vAlign w:val="top"/>
            <w:shd w:val="clear" w:color="auto" w:fill="FDF0F7"/>
          </w:tcPr>
          <w:p>
            <w:pPr>
              <w:spacing w:after="20" w:line="252" w:lineRule="auto"/>
            </w:pPr>
            <w:r>
              <w:rPr>
                <w:b w:val="0"/>
                <w:i w:val="0"/>
                <w:sz w:val="15"/>
              </w:rPr>
              <w:t>Set-up</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E-mail of the first administrator.</w:t>
            </w:r>
          </w:p>
        </w:tc>
        <w:tc>
          <w:tcPr>
            <w:tcW w:type="dxa" w:w="2891"/>
            <w:vAlign w:val="top"/>
            <w:shd w:val="clear" w:color="auto" w:fill="FDF0F7"/>
          </w:tcPr>
          <w:p>
            <w:pPr>
              <w:spacing w:after="20" w:line="252" w:lineRule="auto"/>
            </w:pPr>
            <w:r>
              <w:rPr>
                <w:b w:val="0"/>
                <w:i w:val="0"/>
                <w:sz w:val="15"/>
              </w:rPr>
              <w:t>it.admin@iift.com.bn</w:t>
            </w:r>
          </w:p>
        </w:tc>
      </w:tr>
      <w:tr>
        <w:trPr>
          <w:cantSplit/>
        </w:trPr>
        <w:tc>
          <w:tcPr>
            <w:tcW w:type="dxa" w:w="2948"/>
            <w:vAlign w:val="top"/>
          </w:tcPr>
          <w:p>
            <w:pPr>
              <w:spacing w:after="20" w:line="252" w:lineRule="auto"/>
            </w:pPr>
            <w:r>
              <w:rPr>
                <w:b w:val="0"/>
                <w:i w:val="0"/>
                <w:sz w:val="15"/>
              </w:rPr>
              <w:t>DEMO_PASSWORD</w:t>
            </w:r>
          </w:p>
        </w:tc>
        <w:tc>
          <w:tcPr>
            <w:tcW w:type="dxa" w:w="1361"/>
            <w:vAlign w:val="top"/>
          </w:tcPr>
          <w:p>
            <w:pPr>
              <w:spacing w:after="20" w:line="252" w:lineRule="auto"/>
            </w:pPr>
            <w:r>
              <w:rPr>
                <w:b w:val="0"/>
                <w:i w:val="0"/>
                <w:sz w:val="15"/>
              </w:rPr>
              <w:t>Set-up</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Password of demonstration users loaded by npm run db:seed:demo; refused in production.</w:t>
            </w:r>
          </w:p>
        </w:tc>
        <w:tc>
          <w:tcPr>
            <w:tcW w:type="dxa" w:w="2891"/>
            <w:vAlign w:val="top"/>
          </w:tcPr>
          <w:p>
            <w:pPr>
              <w:spacing w:after="20" w:line="252" w:lineRule="auto"/>
            </w:pPr>
            <w:r>
              <w:rPr>
                <w:b w:val="0"/>
                <w:i w:val="0"/>
                <w:sz w:val="15"/>
              </w:rPr>
              <w:t>(non-production only)</w:t>
            </w:r>
          </w:p>
        </w:tc>
      </w:tr>
    </w:tbl>
    <w:p>
      <w:pPr>
        <w:pStyle w:val="Caption"/>
        <w:jc w:val="center"/>
      </w:pPr>
      <w:r>
        <w:rPr>
          <w:b w:val="0"/>
          <w:i w:val="0"/>
        </w:rPr>
        <w:t>Table 18: Environment variables</w:t>
      </w:r>
    </w:p>
    <w:p>
      <w:pPr>
        <w:pStyle w:val="Heading2"/>
      </w:pPr>
      <w:r>
        <w:t>13.1 Business parameters</w:t>
      </w:r>
    </w:p>
    <w:p>
      <w:pPr>
        <w:keepNext w:val="0"/>
      </w:pPr>
      <w:r>
        <w:rPr>
          <w:b w:val="0"/>
          <w:i w:val="0"/>
        </w:rPr>
        <w:t>Maintained in Back-office &gt; Parameters by holders of bo.config.manage; each change is audited and takes effect within a minute.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3515"/>
        <w:gridCol w:w="1474"/>
        <w:gridCol w:w="1020"/>
        <w:gridCol w:w="1247"/>
        <w:gridCol w:w="7314"/>
      </w:tblGrid>
      <w:tr>
        <w:trPr>
          <w:cantSplit/>
          <w:tblHeader/>
        </w:trPr>
        <w:tc>
          <w:tcPr>
            <w:tcW w:type="dxa" w:w="3515"/>
            <w:shd w:val="clear" w:color="auto" w:fill="E1058C"/>
            <w:vAlign w:val="center"/>
          </w:tcPr>
          <w:p>
            <w:pPr>
              <w:spacing w:after="0"/>
            </w:pPr>
            <w:r>
              <w:rPr>
                <w:b/>
                <w:i w:val="0"/>
                <w:color w:val="FFFFFF"/>
                <w:sz w:val="15"/>
              </w:rPr>
              <w:t>Key</w:t>
            </w:r>
          </w:p>
        </w:tc>
        <w:tc>
          <w:tcPr>
            <w:tcW w:type="dxa" w:w="1474"/>
            <w:shd w:val="clear" w:color="auto" w:fill="E1058C"/>
            <w:vAlign w:val="center"/>
          </w:tcPr>
          <w:p>
            <w:pPr>
              <w:spacing w:after="0"/>
            </w:pPr>
            <w:r>
              <w:rPr>
                <w:b/>
                <w:i w:val="0"/>
                <w:color w:val="FFFFFF"/>
                <w:sz w:val="15"/>
              </w:rPr>
              <w:t>Category</w:t>
            </w:r>
          </w:p>
        </w:tc>
        <w:tc>
          <w:tcPr>
            <w:tcW w:type="dxa" w:w="1020"/>
            <w:shd w:val="clear" w:color="auto" w:fill="E1058C"/>
            <w:vAlign w:val="center"/>
          </w:tcPr>
          <w:p>
            <w:pPr>
              <w:spacing w:after="0"/>
            </w:pPr>
            <w:r>
              <w:rPr>
                <w:b/>
                <w:i w:val="0"/>
                <w:color w:val="FFFFFF"/>
                <w:sz w:val="15"/>
              </w:rPr>
              <w:t>Default</w:t>
            </w:r>
          </w:p>
        </w:tc>
        <w:tc>
          <w:tcPr>
            <w:tcW w:type="dxa" w:w="1247"/>
            <w:shd w:val="clear" w:color="auto" w:fill="E1058C"/>
            <w:vAlign w:val="center"/>
          </w:tcPr>
          <w:p>
            <w:pPr>
              <w:spacing w:after="0"/>
            </w:pPr>
            <w:r>
              <w:rPr>
                <w:b/>
                <w:i w:val="0"/>
                <w:color w:val="FFFFFF"/>
                <w:sz w:val="15"/>
              </w:rPr>
              <w:t>Range</w:t>
            </w:r>
          </w:p>
        </w:tc>
        <w:tc>
          <w:tcPr>
            <w:tcW w:type="dxa" w:w="7313"/>
            <w:shd w:val="clear" w:color="auto" w:fill="E1058C"/>
            <w:vAlign w:val="center"/>
          </w:tcPr>
          <w:p>
            <w:pPr>
              <w:spacing w:after="0"/>
            </w:pPr>
            <w:r>
              <w:rPr>
                <w:b/>
                <w:i w:val="0"/>
                <w:color w:val="FFFFFF"/>
                <w:sz w:val="15"/>
              </w:rPr>
              <w:t>Meaning</w:t>
            </w:r>
          </w:p>
        </w:tc>
      </w:tr>
      <w:tr>
        <w:trPr>
          <w:cantSplit/>
        </w:trPr>
        <w:tc>
          <w:tcPr>
            <w:tcW w:type="dxa" w:w="3515"/>
            <w:vAlign w:val="top"/>
          </w:tcPr>
          <w:p>
            <w:pPr>
              <w:spacing w:after="20" w:line="252" w:lineRule="auto"/>
            </w:pPr>
            <w:r>
              <w:rPr>
                <w:b w:val="0"/>
                <w:i w:val="0"/>
                <w:sz w:val="15"/>
              </w:rPr>
              <w:t>security.password.min_length</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12</w:t>
            </w:r>
          </w:p>
        </w:tc>
        <w:tc>
          <w:tcPr>
            <w:tcW w:type="dxa" w:w="1247"/>
            <w:vAlign w:val="top"/>
          </w:tcPr>
          <w:p>
            <w:pPr>
              <w:spacing w:after="20" w:line="252" w:lineRule="auto"/>
            </w:pPr>
            <w:r>
              <w:rPr>
                <w:b w:val="0"/>
                <w:i w:val="0"/>
                <w:sz w:val="15"/>
              </w:rPr>
              <w:t>8 to 64</w:t>
            </w:r>
          </w:p>
        </w:tc>
        <w:tc>
          <w:tcPr>
            <w:tcW w:type="dxa" w:w="7313"/>
            <w:vAlign w:val="top"/>
          </w:tcPr>
          <w:p>
            <w:pPr>
              <w:spacing w:after="20" w:line="252" w:lineRule="auto"/>
            </w:pPr>
            <w:r>
              <w:rPr>
                <w:b w:val="0"/>
                <w:i w:val="0"/>
                <w:sz w:val="15"/>
              </w:rPr>
              <w:t>Minimum password length</w:t>
            </w:r>
          </w:p>
        </w:tc>
      </w:tr>
      <w:tr>
        <w:trPr>
          <w:cantSplit/>
        </w:trPr>
        <w:tc>
          <w:tcPr>
            <w:tcW w:type="dxa" w:w="3515"/>
            <w:vAlign w:val="top"/>
            <w:shd w:val="clear" w:color="auto" w:fill="FDF0F7"/>
          </w:tcPr>
          <w:p>
            <w:pPr>
              <w:spacing w:after="20" w:line="252" w:lineRule="auto"/>
            </w:pPr>
            <w:r>
              <w:rPr>
                <w:b w:val="0"/>
                <w:i w:val="0"/>
                <w:sz w:val="15"/>
              </w:rPr>
              <w:t>security.password.require_upper</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Password must contain an upper-case letter</w:t>
            </w:r>
          </w:p>
        </w:tc>
      </w:tr>
      <w:tr>
        <w:trPr>
          <w:cantSplit/>
        </w:trPr>
        <w:tc>
          <w:tcPr>
            <w:tcW w:type="dxa" w:w="3515"/>
            <w:vAlign w:val="top"/>
          </w:tcPr>
          <w:p>
            <w:pPr>
              <w:spacing w:after="20" w:line="252" w:lineRule="auto"/>
            </w:pPr>
            <w:r>
              <w:rPr>
                <w:b w:val="0"/>
                <w:i w:val="0"/>
                <w:sz w:val="15"/>
              </w:rPr>
              <w:t>security.password.require_lower</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true</w:t>
            </w:r>
          </w:p>
        </w:tc>
        <w:tc>
          <w:tcPr>
            <w:tcW w:type="dxa" w:w="1247"/>
            <w:vAlign w:val="top"/>
          </w:tcPr>
          <w:p>
            <w:pPr>
              <w:spacing w:after="20" w:line="252" w:lineRule="auto"/>
            </w:pPr>
            <w:r>
              <w:rPr>
                <w:b w:val="0"/>
                <w:i w:val="0"/>
                <w:sz w:val="15"/>
              </w:rPr>
              <w:t>–</w:t>
            </w:r>
          </w:p>
        </w:tc>
        <w:tc>
          <w:tcPr>
            <w:tcW w:type="dxa" w:w="7313"/>
            <w:vAlign w:val="top"/>
          </w:tcPr>
          <w:p>
            <w:pPr>
              <w:spacing w:after="20" w:line="252" w:lineRule="auto"/>
            </w:pPr>
            <w:r>
              <w:rPr>
                <w:b w:val="0"/>
                <w:i w:val="0"/>
                <w:sz w:val="15"/>
              </w:rPr>
              <w:t>Password must contain a lower-case letter</w:t>
            </w:r>
          </w:p>
        </w:tc>
      </w:tr>
      <w:tr>
        <w:trPr>
          <w:cantSplit/>
        </w:trPr>
        <w:tc>
          <w:tcPr>
            <w:tcW w:type="dxa" w:w="3515"/>
            <w:vAlign w:val="top"/>
            <w:shd w:val="clear" w:color="auto" w:fill="FDF0F7"/>
          </w:tcPr>
          <w:p>
            <w:pPr>
              <w:spacing w:after="20" w:line="252" w:lineRule="auto"/>
            </w:pPr>
            <w:r>
              <w:rPr>
                <w:b w:val="0"/>
                <w:i w:val="0"/>
                <w:sz w:val="15"/>
              </w:rPr>
              <w:t>security.password.require_digit</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Password must contain a digit</w:t>
            </w:r>
          </w:p>
        </w:tc>
      </w:tr>
      <w:tr>
        <w:trPr>
          <w:cantSplit/>
        </w:trPr>
        <w:tc>
          <w:tcPr>
            <w:tcW w:type="dxa" w:w="3515"/>
            <w:vAlign w:val="top"/>
          </w:tcPr>
          <w:p>
            <w:pPr>
              <w:spacing w:after="20" w:line="252" w:lineRule="auto"/>
            </w:pPr>
            <w:r>
              <w:rPr>
                <w:b w:val="0"/>
                <w:i w:val="0"/>
                <w:sz w:val="15"/>
              </w:rPr>
              <w:t>security.password.require_symbol</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true</w:t>
            </w:r>
          </w:p>
        </w:tc>
        <w:tc>
          <w:tcPr>
            <w:tcW w:type="dxa" w:w="1247"/>
            <w:vAlign w:val="top"/>
          </w:tcPr>
          <w:p>
            <w:pPr>
              <w:spacing w:after="20" w:line="252" w:lineRule="auto"/>
            </w:pPr>
            <w:r>
              <w:rPr>
                <w:b w:val="0"/>
                <w:i w:val="0"/>
                <w:sz w:val="15"/>
              </w:rPr>
              <w:t>–</w:t>
            </w:r>
          </w:p>
        </w:tc>
        <w:tc>
          <w:tcPr>
            <w:tcW w:type="dxa" w:w="7313"/>
            <w:vAlign w:val="top"/>
          </w:tcPr>
          <w:p>
            <w:pPr>
              <w:spacing w:after="20" w:line="252" w:lineRule="auto"/>
            </w:pPr>
            <w:r>
              <w:rPr>
                <w:b w:val="0"/>
                <w:i w:val="0"/>
                <w:sz w:val="15"/>
              </w:rPr>
              <w:t>Password must contain a symbol</w:t>
            </w:r>
          </w:p>
        </w:tc>
      </w:tr>
      <w:tr>
        <w:trPr>
          <w:cantSplit/>
        </w:trPr>
        <w:tc>
          <w:tcPr>
            <w:tcW w:type="dxa" w:w="3515"/>
            <w:vAlign w:val="top"/>
            <w:shd w:val="clear" w:color="auto" w:fill="FDF0F7"/>
          </w:tcPr>
          <w:p>
            <w:pPr>
              <w:spacing w:after="20" w:line="252" w:lineRule="auto"/>
            </w:pPr>
            <w:r>
              <w:rPr>
                <w:b w:val="0"/>
                <w:i w:val="0"/>
                <w:sz w:val="15"/>
              </w:rPr>
              <w:t>security.password.history_count</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5</w:t>
            </w:r>
          </w:p>
        </w:tc>
        <w:tc>
          <w:tcPr>
            <w:tcW w:type="dxa" w:w="1247"/>
            <w:vAlign w:val="top"/>
            <w:shd w:val="clear" w:color="auto" w:fill="FDF0F7"/>
          </w:tcPr>
          <w:p>
            <w:pPr>
              <w:spacing w:after="20" w:line="252" w:lineRule="auto"/>
            </w:pPr>
            <w:r>
              <w:rPr>
                <w:b w:val="0"/>
                <w:i w:val="0"/>
                <w:sz w:val="15"/>
              </w:rPr>
              <w:t>0 to 24</w:t>
            </w:r>
          </w:p>
        </w:tc>
        <w:tc>
          <w:tcPr>
            <w:tcW w:type="dxa" w:w="7313"/>
            <w:vAlign w:val="top"/>
            <w:shd w:val="clear" w:color="auto" w:fill="FDF0F7"/>
          </w:tcPr>
          <w:p>
            <w:pPr>
              <w:spacing w:after="20" w:line="252" w:lineRule="auto"/>
            </w:pPr>
            <w:r>
              <w:rPr>
                <w:b w:val="0"/>
                <w:i w:val="0"/>
                <w:sz w:val="15"/>
              </w:rPr>
              <w:t>Number of previous passwords that cannot be reused</w:t>
            </w:r>
          </w:p>
        </w:tc>
      </w:tr>
      <w:tr>
        <w:trPr>
          <w:cantSplit/>
        </w:trPr>
        <w:tc>
          <w:tcPr>
            <w:tcW w:type="dxa" w:w="3515"/>
            <w:vAlign w:val="top"/>
          </w:tcPr>
          <w:p>
            <w:pPr>
              <w:spacing w:after="20" w:line="252" w:lineRule="auto"/>
            </w:pPr>
            <w:r>
              <w:rPr>
                <w:b w:val="0"/>
                <w:i w:val="0"/>
                <w:sz w:val="15"/>
              </w:rPr>
              <w:t>security.password.expiry_days</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90</w:t>
            </w:r>
          </w:p>
        </w:tc>
        <w:tc>
          <w:tcPr>
            <w:tcW w:type="dxa" w:w="1247"/>
            <w:vAlign w:val="top"/>
          </w:tcPr>
          <w:p>
            <w:pPr>
              <w:spacing w:after="20" w:line="252" w:lineRule="auto"/>
            </w:pPr>
            <w:r>
              <w:rPr>
                <w:b w:val="0"/>
                <w:i w:val="0"/>
                <w:sz w:val="15"/>
              </w:rPr>
              <w:t>0 to 365</w:t>
            </w:r>
          </w:p>
        </w:tc>
        <w:tc>
          <w:tcPr>
            <w:tcW w:type="dxa" w:w="7313"/>
            <w:vAlign w:val="top"/>
          </w:tcPr>
          <w:p>
            <w:pPr>
              <w:spacing w:after="20" w:line="252" w:lineRule="auto"/>
            </w:pPr>
            <w:r>
              <w:rPr>
                <w:b w:val="0"/>
                <w:i w:val="0"/>
                <w:sz w:val="15"/>
              </w:rPr>
              <w:t>Days before a password must be changed (0 = never)</w:t>
            </w:r>
          </w:p>
        </w:tc>
      </w:tr>
      <w:tr>
        <w:trPr>
          <w:cantSplit/>
        </w:trPr>
        <w:tc>
          <w:tcPr>
            <w:tcW w:type="dxa" w:w="3515"/>
            <w:vAlign w:val="top"/>
            <w:shd w:val="clear" w:color="auto" w:fill="FDF0F7"/>
          </w:tcPr>
          <w:p>
            <w:pPr>
              <w:spacing w:after="20" w:line="252" w:lineRule="auto"/>
            </w:pPr>
            <w:r>
              <w:rPr>
                <w:b w:val="0"/>
                <w:i w:val="0"/>
                <w:sz w:val="15"/>
              </w:rPr>
              <w:t>security.lockout.max_attempts</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5</w:t>
            </w:r>
          </w:p>
        </w:tc>
        <w:tc>
          <w:tcPr>
            <w:tcW w:type="dxa" w:w="1247"/>
            <w:vAlign w:val="top"/>
            <w:shd w:val="clear" w:color="auto" w:fill="FDF0F7"/>
          </w:tcPr>
          <w:p>
            <w:pPr>
              <w:spacing w:after="20" w:line="252" w:lineRule="auto"/>
            </w:pPr>
            <w:r>
              <w:rPr>
                <w:b w:val="0"/>
                <w:i w:val="0"/>
                <w:sz w:val="15"/>
              </w:rPr>
              <w:t>3 to 20</w:t>
            </w:r>
          </w:p>
        </w:tc>
        <w:tc>
          <w:tcPr>
            <w:tcW w:type="dxa" w:w="7313"/>
            <w:vAlign w:val="top"/>
            <w:shd w:val="clear" w:color="auto" w:fill="FDF0F7"/>
          </w:tcPr>
          <w:p>
            <w:pPr>
              <w:spacing w:after="20" w:line="252" w:lineRule="auto"/>
            </w:pPr>
            <w:r>
              <w:rPr>
                <w:b w:val="0"/>
                <w:i w:val="0"/>
                <w:sz w:val="15"/>
              </w:rPr>
              <w:t>Failed login attempts before the account is locked</w:t>
            </w:r>
          </w:p>
        </w:tc>
      </w:tr>
      <w:tr>
        <w:trPr>
          <w:cantSplit/>
        </w:trPr>
        <w:tc>
          <w:tcPr>
            <w:tcW w:type="dxa" w:w="3515"/>
            <w:vAlign w:val="top"/>
          </w:tcPr>
          <w:p>
            <w:pPr>
              <w:spacing w:after="20" w:line="252" w:lineRule="auto"/>
            </w:pPr>
            <w:r>
              <w:rPr>
                <w:b w:val="0"/>
                <w:i w:val="0"/>
                <w:sz w:val="15"/>
              </w:rPr>
              <w:t>security.lockout.minutes</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30</w:t>
            </w:r>
          </w:p>
        </w:tc>
        <w:tc>
          <w:tcPr>
            <w:tcW w:type="dxa" w:w="1247"/>
            <w:vAlign w:val="top"/>
          </w:tcPr>
          <w:p>
            <w:pPr>
              <w:spacing w:after="20" w:line="252" w:lineRule="auto"/>
            </w:pPr>
            <w:r>
              <w:rPr>
                <w:b w:val="0"/>
                <w:i w:val="0"/>
                <w:sz w:val="15"/>
              </w:rPr>
              <w:t>1 to 1440</w:t>
            </w:r>
          </w:p>
        </w:tc>
        <w:tc>
          <w:tcPr>
            <w:tcW w:type="dxa" w:w="7313"/>
            <w:vAlign w:val="top"/>
          </w:tcPr>
          <w:p>
            <w:pPr>
              <w:spacing w:after="20" w:line="252" w:lineRule="auto"/>
            </w:pPr>
            <w:r>
              <w:rPr>
                <w:b w:val="0"/>
                <w:i w:val="0"/>
                <w:sz w:val="15"/>
              </w:rPr>
              <w:t>Lock duration in minutes (administrator can unlock earlier)</w:t>
            </w:r>
          </w:p>
        </w:tc>
      </w:tr>
      <w:tr>
        <w:trPr>
          <w:cantSplit/>
        </w:trPr>
        <w:tc>
          <w:tcPr>
            <w:tcW w:type="dxa" w:w="3515"/>
            <w:vAlign w:val="top"/>
            <w:shd w:val="clear" w:color="auto" w:fill="FDF0F7"/>
          </w:tcPr>
          <w:p>
            <w:pPr>
              <w:spacing w:after="20" w:line="252" w:lineRule="auto"/>
            </w:pPr>
            <w:r>
              <w:rPr>
                <w:b w:val="0"/>
                <w:i w:val="0"/>
                <w:sz w:val="15"/>
              </w:rPr>
              <w:t>security.session.idle_minutes</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15</w:t>
            </w:r>
          </w:p>
        </w:tc>
        <w:tc>
          <w:tcPr>
            <w:tcW w:type="dxa" w:w="1247"/>
            <w:vAlign w:val="top"/>
            <w:shd w:val="clear" w:color="auto" w:fill="FDF0F7"/>
          </w:tcPr>
          <w:p>
            <w:pPr>
              <w:spacing w:after="20" w:line="252" w:lineRule="auto"/>
            </w:pPr>
            <w:r>
              <w:rPr>
                <w:b w:val="0"/>
                <w:i w:val="0"/>
                <w:sz w:val="15"/>
              </w:rPr>
              <w:t>5 to 120</w:t>
            </w:r>
          </w:p>
        </w:tc>
        <w:tc>
          <w:tcPr>
            <w:tcW w:type="dxa" w:w="7313"/>
            <w:vAlign w:val="top"/>
            <w:shd w:val="clear" w:color="auto" w:fill="FDF0F7"/>
          </w:tcPr>
          <w:p>
            <w:pPr>
              <w:spacing w:after="20" w:line="252" w:lineRule="auto"/>
            </w:pPr>
            <w:r>
              <w:rPr>
                <w:b w:val="0"/>
                <w:i w:val="0"/>
                <w:sz w:val="15"/>
              </w:rPr>
              <w:t>Session idle timeout in minutes</w:t>
            </w:r>
          </w:p>
        </w:tc>
      </w:tr>
      <w:tr>
        <w:trPr>
          <w:cantSplit/>
        </w:trPr>
        <w:tc>
          <w:tcPr>
            <w:tcW w:type="dxa" w:w="3515"/>
            <w:vAlign w:val="top"/>
          </w:tcPr>
          <w:p>
            <w:pPr>
              <w:spacing w:after="20" w:line="252" w:lineRule="auto"/>
            </w:pPr>
            <w:r>
              <w:rPr>
                <w:b w:val="0"/>
                <w:i w:val="0"/>
                <w:sz w:val="15"/>
              </w:rPr>
              <w:t>security.session.absolute_hours</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8</w:t>
            </w:r>
          </w:p>
        </w:tc>
        <w:tc>
          <w:tcPr>
            <w:tcW w:type="dxa" w:w="1247"/>
            <w:vAlign w:val="top"/>
          </w:tcPr>
          <w:p>
            <w:pPr>
              <w:spacing w:after="20" w:line="252" w:lineRule="auto"/>
            </w:pPr>
            <w:r>
              <w:rPr>
                <w:b w:val="0"/>
                <w:i w:val="0"/>
                <w:sz w:val="15"/>
              </w:rPr>
              <w:t>1 to 24</w:t>
            </w:r>
          </w:p>
        </w:tc>
        <w:tc>
          <w:tcPr>
            <w:tcW w:type="dxa" w:w="7313"/>
            <w:vAlign w:val="top"/>
          </w:tcPr>
          <w:p>
            <w:pPr>
              <w:spacing w:after="20" w:line="252" w:lineRule="auto"/>
            </w:pPr>
            <w:r>
              <w:rPr>
                <w:b w:val="0"/>
                <w:i w:val="0"/>
                <w:sz w:val="15"/>
              </w:rPr>
              <w:t>Maximum session lifetime in hours</w:t>
            </w:r>
          </w:p>
        </w:tc>
      </w:tr>
      <w:tr>
        <w:trPr>
          <w:cantSplit/>
        </w:trPr>
        <w:tc>
          <w:tcPr>
            <w:tcW w:type="dxa" w:w="3515"/>
            <w:vAlign w:val="top"/>
            <w:shd w:val="clear" w:color="auto" w:fill="FDF0F7"/>
          </w:tcPr>
          <w:p>
            <w:pPr>
              <w:spacing w:after="20" w:line="252" w:lineRule="auto"/>
            </w:pPr>
            <w:r>
              <w:rPr>
                <w:b w:val="0"/>
                <w:i w:val="0"/>
                <w:sz w:val="15"/>
              </w:rPr>
              <w:t>security.session.single_active</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Signing in ends the user's other sessions</w:t>
            </w:r>
          </w:p>
        </w:tc>
      </w:tr>
      <w:tr>
        <w:trPr>
          <w:cantSplit/>
        </w:trPr>
        <w:tc>
          <w:tcPr>
            <w:tcW w:type="dxa" w:w="3515"/>
            <w:vAlign w:val="top"/>
          </w:tcPr>
          <w:p>
            <w:pPr>
              <w:spacing w:after="20" w:line="252" w:lineRule="auto"/>
            </w:pPr>
            <w:r>
              <w:rPr>
                <w:b w:val="0"/>
                <w:i w:val="0"/>
                <w:sz w:val="15"/>
              </w:rPr>
              <w:t>billing.payment_grace_days</w:t>
            </w:r>
          </w:p>
        </w:tc>
        <w:tc>
          <w:tcPr>
            <w:tcW w:type="dxa" w:w="1474"/>
            <w:vAlign w:val="top"/>
          </w:tcPr>
          <w:p>
            <w:pPr>
              <w:spacing w:after="20" w:line="252" w:lineRule="auto"/>
            </w:pPr>
            <w:r>
              <w:rPr>
                <w:b w:val="0"/>
                <w:i w:val="0"/>
                <w:sz w:val="15"/>
              </w:rPr>
              <w:t>Billing</w:t>
            </w:r>
          </w:p>
        </w:tc>
        <w:tc>
          <w:tcPr>
            <w:tcW w:type="dxa" w:w="1020"/>
            <w:vAlign w:val="top"/>
          </w:tcPr>
          <w:p>
            <w:pPr>
              <w:spacing w:after="20" w:line="252" w:lineRule="auto"/>
            </w:pPr>
            <w:r>
              <w:rPr>
                <w:b w:val="0"/>
                <w:i w:val="0"/>
                <w:sz w:val="15"/>
              </w:rPr>
              <w:t>7</w:t>
            </w:r>
          </w:p>
        </w:tc>
        <w:tc>
          <w:tcPr>
            <w:tcW w:type="dxa" w:w="1247"/>
            <w:vAlign w:val="top"/>
          </w:tcPr>
          <w:p>
            <w:pPr>
              <w:spacing w:after="20" w:line="252" w:lineRule="auto"/>
            </w:pPr>
            <w:r>
              <w:rPr>
                <w:b w:val="0"/>
                <w:i w:val="0"/>
                <w:sz w:val="15"/>
              </w:rPr>
              <w:t>1 to 60</w:t>
            </w:r>
          </w:p>
        </w:tc>
        <w:tc>
          <w:tcPr>
            <w:tcW w:type="dxa" w:w="7313"/>
            <w:vAlign w:val="top"/>
          </w:tcPr>
          <w:p>
            <w:pPr>
              <w:spacing w:after="20" w:line="252" w:lineRule="auto"/>
            </w:pPr>
            <w:r>
              <w:rPr>
                <w:b w:val="0"/>
                <w:i w:val="0"/>
                <w:sz w:val="15"/>
              </w:rPr>
              <w:t>Days after issuance within which contribution must be submitted before the agency is blocked</w:t>
            </w:r>
          </w:p>
        </w:tc>
      </w:tr>
      <w:tr>
        <w:trPr>
          <w:cantSplit/>
        </w:trPr>
        <w:tc>
          <w:tcPr>
            <w:tcW w:type="dxa" w:w="3515"/>
            <w:vAlign w:val="top"/>
            <w:shd w:val="clear" w:color="auto" w:fill="FDF0F7"/>
          </w:tcPr>
          <w:p>
            <w:pPr>
              <w:spacing w:after="20" w:line="252" w:lineRule="auto"/>
            </w:pPr>
            <w:r>
              <w:rPr>
                <w:b w:val="0"/>
                <w:i w:val="0"/>
                <w:sz w:val="15"/>
              </w:rPr>
              <w:t>policy.quotation_validity_days</w:t>
            </w:r>
          </w:p>
        </w:tc>
        <w:tc>
          <w:tcPr>
            <w:tcW w:type="dxa" w:w="1474"/>
            <w:vAlign w:val="top"/>
            <w:shd w:val="clear" w:color="auto" w:fill="FDF0F7"/>
          </w:tcPr>
          <w:p>
            <w:pPr>
              <w:spacing w:after="20" w:line="252" w:lineRule="auto"/>
            </w:pPr>
            <w:r>
              <w:rPr>
                <w:b w:val="0"/>
                <w:i w:val="0"/>
                <w:sz w:val="15"/>
              </w:rPr>
              <w:t>Policy</w:t>
            </w:r>
          </w:p>
        </w:tc>
        <w:tc>
          <w:tcPr>
            <w:tcW w:type="dxa" w:w="1020"/>
            <w:vAlign w:val="top"/>
            <w:shd w:val="clear" w:color="auto" w:fill="FDF0F7"/>
          </w:tcPr>
          <w:p>
            <w:pPr>
              <w:spacing w:after="20" w:line="252" w:lineRule="auto"/>
            </w:pPr>
            <w:r>
              <w:rPr>
                <w:b w:val="0"/>
                <w:i w:val="0"/>
                <w:sz w:val="15"/>
              </w:rPr>
              <w:t>30</w:t>
            </w:r>
          </w:p>
        </w:tc>
        <w:tc>
          <w:tcPr>
            <w:tcW w:type="dxa" w:w="1247"/>
            <w:vAlign w:val="top"/>
            <w:shd w:val="clear" w:color="auto" w:fill="FDF0F7"/>
          </w:tcPr>
          <w:p>
            <w:pPr>
              <w:spacing w:after="20" w:line="252" w:lineRule="auto"/>
            </w:pPr>
            <w:r>
              <w:rPr>
                <w:b w:val="0"/>
                <w:i w:val="0"/>
                <w:sz w:val="15"/>
              </w:rPr>
              <w:t>1 to 180</w:t>
            </w:r>
          </w:p>
        </w:tc>
        <w:tc>
          <w:tcPr>
            <w:tcW w:type="dxa" w:w="7313"/>
            <w:vAlign w:val="top"/>
            <w:shd w:val="clear" w:color="auto" w:fill="FDF0F7"/>
          </w:tcPr>
          <w:p>
            <w:pPr>
              <w:spacing w:after="20" w:line="252" w:lineRule="auto"/>
            </w:pPr>
            <w:r>
              <w:rPr>
                <w:b w:val="0"/>
                <w:i w:val="0"/>
                <w:sz w:val="15"/>
              </w:rPr>
              <w:t>Days a draft quotation remains valid</w:t>
            </w:r>
          </w:p>
        </w:tc>
      </w:tr>
      <w:tr>
        <w:trPr>
          <w:cantSplit/>
        </w:trPr>
        <w:tc>
          <w:tcPr>
            <w:tcW w:type="dxa" w:w="3515"/>
            <w:vAlign w:val="top"/>
          </w:tcPr>
          <w:p>
            <w:pPr>
              <w:spacing w:after="20" w:line="252" w:lineRule="auto"/>
            </w:pPr>
            <w:r>
              <w:rPr>
                <w:b w:val="0"/>
                <w:i w:val="0"/>
                <w:sz w:val="15"/>
              </w:rPr>
              <w:t>policy.renewal_notice_days</w:t>
            </w:r>
          </w:p>
        </w:tc>
        <w:tc>
          <w:tcPr>
            <w:tcW w:type="dxa" w:w="1474"/>
            <w:vAlign w:val="top"/>
          </w:tcPr>
          <w:p>
            <w:pPr>
              <w:spacing w:after="20" w:line="252" w:lineRule="auto"/>
            </w:pPr>
            <w:r>
              <w:rPr>
                <w:b w:val="0"/>
                <w:i w:val="0"/>
                <w:sz w:val="15"/>
              </w:rPr>
              <w:t>Policy</w:t>
            </w:r>
          </w:p>
        </w:tc>
        <w:tc>
          <w:tcPr>
            <w:tcW w:type="dxa" w:w="1020"/>
            <w:vAlign w:val="top"/>
          </w:tcPr>
          <w:p>
            <w:pPr>
              <w:spacing w:after="20" w:line="252" w:lineRule="auto"/>
            </w:pPr>
            <w:r>
              <w:rPr>
                <w:b w:val="0"/>
                <w:i w:val="0"/>
                <w:sz w:val="15"/>
              </w:rPr>
              <w:t>45</w:t>
            </w:r>
          </w:p>
        </w:tc>
        <w:tc>
          <w:tcPr>
            <w:tcW w:type="dxa" w:w="1247"/>
            <w:vAlign w:val="top"/>
          </w:tcPr>
          <w:p>
            <w:pPr>
              <w:spacing w:after="20" w:line="252" w:lineRule="auto"/>
            </w:pPr>
            <w:r>
              <w:rPr>
                <w:b w:val="0"/>
                <w:i w:val="0"/>
                <w:sz w:val="15"/>
              </w:rPr>
              <w:t>7 to 120</w:t>
            </w:r>
          </w:p>
        </w:tc>
        <w:tc>
          <w:tcPr>
            <w:tcW w:type="dxa" w:w="7313"/>
            <w:vAlign w:val="top"/>
          </w:tcPr>
          <w:p>
            <w:pPr>
              <w:spacing w:after="20" w:line="252" w:lineRule="auto"/>
            </w:pPr>
            <w:r>
              <w:rPr>
                <w:b w:val="0"/>
                <w:i w:val="0"/>
                <w:sz w:val="15"/>
              </w:rPr>
              <w:t>Days before expiry that a policy is listed as due for renewal</w:t>
            </w:r>
          </w:p>
        </w:tc>
      </w:tr>
      <w:tr>
        <w:trPr>
          <w:cantSplit/>
        </w:trPr>
        <w:tc>
          <w:tcPr>
            <w:tcW w:type="dxa" w:w="3515"/>
            <w:vAlign w:val="top"/>
            <w:shd w:val="clear" w:color="auto" w:fill="FDF0F7"/>
          </w:tcPr>
          <w:p>
            <w:pPr>
              <w:spacing w:after="20" w:line="252" w:lineRule="auto"/>
            </w:pPr>
            <w:r>
              <w:rPr>
                <w:b w:val="0"/>
                <w:i w:val="0"/>
                <w:sz w:val="15"/>
              </w:rPr>
              <w:t>policy.require_participant_signature</w:t>
            </w:r>
          </w:p>
        </w:tc>
        <w:tc>
          <w:tcPr>
            <w:tcW w:type="dxa" w:w="1474"/>
            <w:vAlign w:val="top"/>
            <w:shd w:val="clear" w:color="auto" w:fill="FDF0F7"/>
          </w:tcPr>
          <w:p>
            <w:pPr>
              <w:spacing w:after="20" w:line="252" w:lineRule="auto"/>
            </w:pPr>
            <w:r>
              <w:rPr>
                <w:b w:val="0"/>
                <w:i w:val="0"/>
                <w:sz w:val="15"/>
              </w:rPr>
              <w:t>Policy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Participant signature is mandatory before submission</w:t>
            </w:r>
          </w:p>
        </w:tc>
      </w:tr>
      <w:tr>
        <w:trPr>
          <w:cantSplit/>
        </w:trPr>
        <w:tc>
          <w:tcPr>
            <w:tcW w:type="dxa" w:w="3515"/>
            <w:vAlign w:val="top"/>
          </w:tcPr>
          <w:p>
            <w:pPr>
              <w:spacing w:after="20" w:line="252" w:lineRule="auto"/>
            </w:pPr>
            <w:r>
              <w:rPr>
                <w:b w:val="0"/>
                <w:i w:val="0"/>
                <w:sz w:val="15"/>
              </w:rPr>
              <w:t>policy.esign_link_hours</w:t>
            </w:r>
          </w:p>
        </w:tc>
        <w:tc>
          <w:tcPr>
            <w:tcW w:type="dxa" w:w="1474"/>
            <w:vAlign w:val="top"/>
          </w:tcPr>
          <w:p>
            <w:pPr>
              <w:spacing w:after="20" w:line="252" w:lineRule="auto"/>
            </w:pPr>
            <w:r>
              <w:rPr>
                <w:b w:val="0"/>
                <w:i w:val="0"/>
                <w:sz w:val="15"/>
              </w:rPr>
              <w:t>Policy</w:t>
            </w:r>
          </w:p>
        </w:tc>
        <w:tc>
          <w:tcPr>
            <w:tcW w:type="dxa" w:w="1020"/>
            <w:vAlign w:val="top"/>
          </w:tcPr>
          <w:p>
            <w:pPr>
              <w:spacing w:after="20" w:line="252" w:lineRule="auto"/>
            </w:pPr>
            <w:r>
              <w:rPr>
                <w:b w:val="0"/>
                <w:i w:val="0"/>
                <w:sz w:val="15"/>
              </w:rPr>
              <w:t>72</w:t>
            </w:r>
          </w:p>
        </w:tc>
        <w:tc>
          <w:tcPr>
            <w:tcW w:type="dxa" w:w="1247"/>
            <w:vAlign w:val="top"/>
          </w:tcPr>
          <w:p>
            <w:pPr>
              <w:spacing w:after="20" w:line="252" w:lineRule="auto"/>
            </w:pPr>
            <w:r>
              <w:rPr>
                <w:b w:val="0"/>
                <w:i w:val="0"/>
                <w:sz w:val="15"/>
              </w:rPr>
              <w:t>1 to 336</w:t>
            </w:r>
          </w:p>
        </w:tc>
        <w:tc>
          <w:tcPr>
            <w:tcW w:type="dxa" w:w="7313"/>
            <w:vAlign w:val="top"/>
          </w:tcPr>
          <w:p>
            <w:pPr>
              <w:spacing w:after="20" w:line="252" w:lineRule="auto"/>
            </w:pPr>
            <w:r>
              <w:rPr>
                <w:b w:val="0"/>
                <w:i w:val="0"/>
                <w:sz w:val="15"/>
              </w:rPr>
              <w:t>Validity of e-signature links sent by email (hours)</w:t>
            </w:r>
          </w:p>
        </w:tc>
      </w:tr>
      <w:tr>
        <w:trPr>
          <w:cantSplit/>
        </w:trPr>
        <w:tc>
          <w:tcPr>
            <w:tcW w:type="dxa" w:w="3515"/>
            <w:vAlign w:val="top"/>
            <w:shd w:val="clear" w:color="auto" w:fill="FDF0F7"/>
          </w:tcPr>
          <w:p>
            <w:pPr>
              <w:spacing w:after="20" w:line="252" w:lineRule="auto"/>
            </w:pPr>
            <w:r>
              <w:rPr>
                <w:b w:val="0"/>
                <w:i w:val="0"/>
                <w:sz w:val="15"/>
              </w:rPr>
              <w:t>aml.match_threshold</w:t>
            </w:r>
          </w:p>
        </w:tc>
        <w:tc>
          <w:tcPr>
            <w:tcW w:type="dxa" w:w="1474"/>
            <w:vAlign w:val="top"/>
            <w:shd w:val="clear" w:color="auto" w:fill="FDF0F7"/>
          </w:tcPr>
          <w:p>
            <w:pPr>
              <w:spacing w:after="20" w:line="252" w:lineRule="auto"/>
            </w:pPr>
            <w:r>
              <w:rPr>
                <w:b w:val="0"/>
                <w:i w:val="0"/>
                <w:sz w:val="15"/>
              </w:rPr>
              <w:t>Compliance</w:t>
            </w:r>
          </w:p>
        </w:tc>
        <w:tc>
          <w:tcPr>
            <w:tcW w:type="dxa" w:w="1020"/>
            <w:vAlign w:val="top"/>
            <w:shd w:val="clear" w:color="auto" w:fill="FDF0F7"/>
          </w:tcPr>
          <w:p>
            <w:pPr>
              <w:spacing w:after="20" w:line="252" w:lineRule="auto"/>
            </w:pPr>
            <w:r>
              <w:rPr>
                <w:b w:val="0"/>
                <w:i w:val="0"/>
                <w:sz w:val="15"/>
              </w:rPr>
              <w:t>85</w:t>
            </w:r>
          </w:p>
        </w:tc>
        <w:tc>
          <w:tcPr>
            <w:tcW w:type="dxa" w:w="1247"/>
            <w:vAlign w:val="top"/>
            <w:shd w:val="clear" w:color="auto" w:fill="FDF0F7"/>
          </w:tcPr>
          <w:p>
            <w:pPr>
              <w:spacing w:after="20" w:line="252" w:lineRule="auto"/>
            </w:pPr>
            <w:r>
              <w:rPr>
                <w:b w:val="0"/>
                <w:i w:val="0"/>
                <w:sz w:val="15"/>
              </w:rPr>
              <w:t>50 to 100</w:t>
            </w:r>
          </w:p>
        </w:tc>
        <w:tc>
          <w:tcPr>
            <w:tcW w:type="dxa" w:w="7313"/>
            <w:vAlign w:val="top"/>
            <w:shd w:val="clear" w:color="auto" w:fill="FDF0F7"/>
          </w:tcPr>
          <w:p>
            <w:pPr>
              <w:spacing w:after="20" w:line="252" w:lineRule="auto"/>
            </w:pPr>
            <w:r>
              <w:rPr>
                <w:b w:val="0"/>
                <w:i w:val="0"/>
                <w:sz w:val="15"/>
              </w:rPr>
              <w:t>Name-match score (0-100) at or above which a screening is flagged for review</w:t>
            </w:r>
          </w:p>
        </w:tc>
      </w:tr>
      <w:tr>
        <w:trPr>
          <w:cantSplit/>
        </w:trPr>
        <w:tc>
          <w:tcPr>
            <w:tcW w:type="dxa" w:w="3515"/>
            <w:vAlign w:val="top"/>
          </w:tcPr>
          <w:p>
            <w:pPr>
              <w:spacing w:after="20" w:line="252" w:lineRule="auto"/>
            </w:pPr>
            <w:r>
              <w:rPr>
                <w:b w:val="0"/>
                <w:i w:val="0"/>
                <w:sz w:val="15"/>
              </w:rPr>
              <w:t>commission.default_rate</w:t>
            </w:r>
          </w:p>
        </w:tc>
        <w:tc>
          <w:tcPr>
            <w:tcW w:type="dxa" w:w="1474"/>
            <w:vAlign w:val="top"/>
          </w:tcPr>
          <w:p>
            <w:pPr>
              <w:spacing w:after="20" w:line="252" w:lineRule="auto"/>
            </w:pPr>
            <w:r>
              <w:rPr>
                <w:b w:val="0"/>
                <w:i w:val="0"/>
                <w:sz w:val="15"/>
              </w:rPr>
              <w:t>Commission</w:t>
            </w:r>
          </w:p>
        </w:tc>
        <w:tc>
          <w:tcPr>
            <w:tcW w:type="dxa" w:w="1020"/>
            <w:vAlign w:val="top"/>
          </w:tcPr>
          <w:p>
            <w:pPr>
              <w:spacing w:after="20" w:line="252" w:lineRule="auto"/>
            </w:pPr>
            <w:r>
              <w:rPr>
                <w:b w:val="0"/>
                <w:i w:val="0"/>
                <w:sz w:val="15"/>
              </w:rPr>
              <w:t>0.10</w:t>
            </w:r>
          </w:p>
        </w:tc>
        <w:tc>
          <w:tcPr>
            <w:tcW w:type="dxa" w:w="1247"/>
            <w:vAlign w:val="top"/>
          </w:tcPr>
          <w:p>
            <w:pPr>
              <w:spacing w:after="20" w:line="252" w:lineRule="auto"/>
            </w:pPr>
            <w:r>
              <w:rPr>
                <w:b w:val="0"/>
                <w:i w:val="0"/>
                <w:sz w:val="15"/>
              </w:rPr>
              <w:t>0 to 1</w:t>
            </w:r>
          </w:p>
        </w:tc>
        <w:tc>
          <w:tcPr>
            <w:tcW w:type="dxa" w:w="7313"/>
            <w:vAlign w:val="top"/>
          </w:tcPr>
          <w:p>
            <w:pPr>
              <w:spacing w:after="20" w:line="252" w:lineRule="auto"/>
            </w:pPr>
            <w:r>
              <w:rPr>
                <w:b w:val="0"/>
                <w:i w:val="0"/>
                <w:sz w:val="15"/>
              </w:rPr>
              <w:t>Default commission / referral fee rate when the product does not define one</w:t>
            </w:r>
          </w:p>
        </w:tc>
      </w:tr>
      <w:tr>
        <w:trPr>
          <w:cantSplit/>
        </w:trPr>
        <w:tc>
          <w:tcPr>
            <w:tcW w:type="dxa" w:w="3515"/>
            <w:vAlign w:val="top"/>
            <w:shd w:val="clear" w:color="auto" w:fill="FDF0F7"/>
          </w:tcPr>
          <w:p>
            <w:pPr>
              <w:spacing w:after="20" w:line="252" w:lineRule="auto"/>
            </w:pPr>
            <w:r>
              <w:rPr>
                <w:b w:val="0"/>
                <w:i w:val="0"/>
                <w:sz w:val="15"/>
              </w:rPr>
              <w:t>sla.critical.response_hours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1</w:t>
            </w:r>
          </w:p>
        </w:tc>
        <w:tc>
          <w:tcPr>
            <w:tcW w:type="dxa" w:w="1247"/>
            <w:vAlign w:val="top"/>
            <w:shd w:val="clear" w:color="auto" w:fill="FDF0F7"/>
          </w:tcPr>
          <w:p>
            <w:pPr>
              <w:spacing w:after="20" w:line="252" w:lineRule="auto"/>
            </w:pPr>
            <w:r>
              <w:rPr>
                <w:b w:val="0"/>
                <w:i w:val="0"/>
                <w:sz w:val="15"/>
              </w:rPr>
              <w:t>1 to 72</w:t>
            </w:r>
          </w:p>
        </w:tc>
        <w:tc>
          <w:tcPr>
            <w:tcW w:type="dxa" w:w="7313"/>
            <w:vAlign w:val="top"/>
            <w:shd w:val="clear" w:color="auto" w:fill="FDF0F7"/>
          </w:tcPr>
          <w:p>
            <w:pPr>
              <w:spacing w:after="20" w:line="252" w:lineRule="auto"/>
            </w:pPr>
            <w:r>
              <w:rPr>
                <w:b w:val="0"/>
                <w:i w:val="0"/>
                <w:sz w:val="15"/>
              </w:rPr>
              <w:t>Critical issue response target (hours)</w:t>
            </w:r>
          </w:p>
        </w:tc>
      </w:tr>
      <w:tr>
        <w:trPr>
          <w:cantSplit/>
        </w:trPr>
        <w:tc>
          <w:tcPr>
            <w:tcW w:type="dxa" w:w="3515"/>
            <w:vAlign w:val="top"/>
          </w:tcPr>
          <w:p>
            <w:pPr>
              <w:spacing w:after="20" w:line="252" w:lineRule="auto"/>
            </w:pPr>
            <w:r>
              <w:rPr>
                <w:b w:val="0"/>
                <w:i w:val="0"/>
                <w:sz w:val="15"/>
              </w:rPr>
              <w:t>sla.critical.resolution_hours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4</w:t>
            </w:r>
          </w:p>
        </w:tc>
        <w:tc>
          <w:tcPr>
            <w:tcW w:type="dxa" w:w="1247"/>
            <w:vAlign w:val="top"/>
          </w:tcPr>
          <w:p>
            <w:pPr>
              <w:spacing w:after="20" w:line="252" w:lineRule="auto"/>
            </w:pPr>
            <w:r>
              <w:rPr>
                <w:b w:val="0"/>
                <w:i w:val="0"/>
                <w:sz w:val="15"/>
              </w:rPr>
              <w:t>1 to 168</w:t>
            </w:r>
          </w:p>
        </w:tc>
        <w:tc>
          <w:tcPr>
            <w:tcW w:type="dxa" w:w="7313"/>
            <w:vAlign w:val="top"/>
          </w:tcPr>
          <w:p>
            <w:pPr>
              <w:spacing w:after="20" w:line="252" w:lineRule="auto"/>
            </w:pPr>
            <w:r>
              <w:rPr>
                <w:b w:val="0"/>
                <w:i w:val="0"/>
                <w:sz w:val="15"/>
              </w:rPr>
              <w:t>Critical issue resolution target (hours)</w:t>
            </w:r>
          </w:p>
        </w:tc>
      </w:tr>
      <w:tr>
        <w:trPr>
          <w:cantSplit/>
        </w:trPr>
        <w:tc>
          <w:tcPr>
            <w:tcW w:type="dxa" w:w="3515"/>
            <w:vAlign w:val="top"/>
            <w:shd w:val="clear" w:color="auto" w:fill="FDF0F7"/>
          </w:tcPr>
          <w:p>
            <w:pPr>
              <w:spacing w:after="20" w:line="252" w:lineRule="auto"/>
            </w:pPr>
            <w:r>
              <w:rPr>
                <w:b w:val="0"/>
                <w:i w:val="0"/>
                <w:sz w:val="15"/>
              </w:rPr>
              <w:t>sla.high.response_hours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2</w:t>
            </w:r>
          </w:p>
        </w:tc>
        <w:tc>
          <w:tcPr>
            <w:tcW w:type="dxa" w:w="1247"/>
            <w:vAlign w:val="top"/>
            <w:shd w:val="clear" w:color="auto" w:fill="FDF0F7"/>
          </w:tcPr>
          <w:p>
            <w:pPr>
              <w:spacing w:after="20" w:line="252" w:lineRule="auto"/>
            </w:pPr>
            <w:r>
              <w:rPr>
                <w:b w:val="0"/>
                <w:i w:val="0"/>
                <w:sz w:val="15"/>
              </w:rPr>
              <w:t>1 to 72</w:t>
            </w:r>
          </w:p>
        </w:tc>
        <w:tc>
          <w:tcPr>
            <w:tcW w:type="dxa" w:w="7313"/>
            <w:vAlign w:val="top"/>
            <w:shd w:val="clear" w:color="auto" w:fill="FDF0F7"/>
          </w:tcPr>
          <w:p>
            <w:pPr>
              <w:spacing w:after="20" w:line="252" w:lineRule="auto"/>
            </w:pPr>
            <w:r>
              <w:rPr>
                <w:b w:val="0"/>
                <w:i w:val="0"/>
                <w:sz w:val="15"/>
              </w:rPr>
              <w:t>High issue response target (hours)</w:t>
            </w:r>
          </w:p>
        </w:tc>
      </w:tr>
      <w:tr>
        <w:trPr>
          <w:cantSplit/>
        </w:trPr>
        <w:tc>
          <w:tcPr>
            <w:tcW w:type="dxa" w:w="3515"/>
            <w:vAlign w:val="top"/>
          </w:tcPr>
          <w:p>
            <w:pPr>
              <w:spacing w:after="20" w:line="252" w:lineRule="auto"/>
            </w:pPr>
            <w:r>
              <w:rPr>
                <w:b w:val="0"/>
                <w:i w:val="0"/>
                <w:sz w:val="15"/>
              </w:rPr>
              <w:t>sla.high.resolution_hours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24</w:t>
            </w:r>
          </w:p>
        </w:tc>
        <w:tc>
          <w:tcPr>
            <w:tcW w:type="dxa" w:w="1247"/>
            <w:vAlign w:val="top"/>
          </w:tcPr>
          <w:p>
            <w:pPr>
              <w:spacing w:after="20" w:line="252" w:lineRule="auto"/>
            </w:pPr>
            <w:r>
              <w:rPr>
                <w:b w:val="0"/>
                <w:i w:val="0"/>
                <w:sz w:val="15"/>
              </w:rPr>
              <w:t>1 to 336</w:t>
            </w:r>
          </w:p>
        </w:tc>
        <w:tc>
          <w:tcPr>
            <w:tcW w:type="dxa" w:w="7313"/>
            <w:vAlign w:val="top"/>
          </w:tcPr>
          <w:p>
            <w:pPr>
              <w:spacing w:after="20" w:line="252" w:lineRule="auto"/>
            </w:pPr>
            <w:r>
              <w:rPr>
                <w:b w:val="0"/>
                <w:i w:val="0"/>
                <w:sz w:val="15"/>
              </w:rPr>
              <w:t>High issue resolution target (hours)</w:t>
            </w:r>
          </w:p>
        </w:tc>
      </w:tr>
      <w:tr>
        <w:trPr>
          <w:cantSplit/>
        </w:trPr>
        <w:tc>
          <w:tcPr>
            <w:tcW w:type="dxa" w:w="3515"/>
            <w:vAlign w:val="top"/>
            <w:shd w:val="clear" w:color="auto" w:fill="FDF0F7"/>
          </w:tcPr>
          <w:p>
            <w:pPr>
              <w:spacing w:after="20" w:line="252" w:lineRule="auto"/>
            </w:pPr>
            <w:r>
              <w:rPr>
                <w:b w:val="0"/>
                <w:i w:val="0"/>
                <w:sz w:val="15"/>
              </w:rPr>
              <w:t>sla.medium.response_hours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8</w:t>
            </w:r>
          </w:p>
        </w:tc>
        <w:tc>
          <w:tcPr>
            <w:tcW w:type="dxa" w:w="1247"/>
            <w:vAlign w:val="top"/>
            <w:shd w:val="clear" w:color="auto" w:fill="FDF0F7"/>
          </w:tcPr>
          <w:p>
            <w:pPr>
              <w:spacing w:after="20" w:line="252" w:lineRule="auto"/>
            </w:pPr>
            <w:r>
              <w:rPr>
                <w:b w:val="0"/>
                <w:i w:val="0"/>
                <w:sz w:val="15"/>
              </w:rPr>
              <w:t>1 to 168</w:t>
            </w:r>
          </w:p>
        </w:tc>
        <w:tc>
          <w:tcPr>
            <w:tcW w:type="dxa" w:w="7313"/>
            <w:vAlign w:val="top"/>
            <w:shd w:val="clear" w:color="auto" w:fill="FDF0F7"/>
          </w:tcPr>
          <w:p>
            <w:pPr>
              <w:spacing w:after="20" w:line="252" w:lineRule="auto"/>
            </w:pPr>
            <w:r>
              <w:rPr>
                <w:b w:val="0"/>
                <w:i w:val="0"/>
                <w:sz w:val="15"/>
              </w:rPr>
              <w:t>Medium issue response target (hours)</w:t>
            </w:r>
          </w:p>
        </w:tc>
      </w:tr>
      <w:tr>
        <w:trPr>
          <w:cantSplit/>
        </w:trPr>
        <w:tc>
          <w:tcPr>
            <w:tcW w:type="dxa" w:w="3515"/>
            <w:vAlign w:val="top"/>
          </w:tcPr>
          <w:p>
            <w:pPr>
              <w:spacing w:after="20" w:line="252" w:lineRule="auto"/>
            </w:pPr>
            <w:r>
              <w:rPr>
                <w:b w:val="0"/>
                <w:i w:val="0"/>
                <w:sz w:val="15"/>
              </w:rPr>
              <w:t>sla.medium.resolution_hours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72</w:t>
            </w:r>
          </w:p>
        </w:tc>
        <w:tc>
          <w:tcPr>
            <w:tcW w:type="dxa" w:w="1247"/>
            <w:vAlign w:val="top"/>
          </w:tcPr>
          <w:p>
            <w:pPr>
              <w:spacing w:after="20" w:line="252" w:lineRule="auto"/>
            </w:pPr>
            <w:r>
              <w:rPr>
                <w:b w:val="0"/>
                <w:i w:val="0"/>
                <w:sz w:val="15"/>
              </w:rPr>
              <w:t>1 to 720</w:t>
            </w:r>
          </w:p>
        </w:tc>
        <w:tc>
          <w:tcPr>
            <w:tcW w:type="dxa" w:w="7313"/>
            <w:vAlign w:val="top"/>
          </w:tcPr>
          <w:p>
            <w:pPr>
              <w:spacing w:after="20" w:line="252" w:lineRule="auto"/>
            </w:pPr>
            <w:r>
              <w:rPr>
                <w:b w:val="0"/>
                <w:i w:val="0"/>
                <w:sz w:val="15"/>
              </w:rPr>
              <w:t>Medium issue resolution target (hours)</w:t>
            </w:r>
          </w:p>
        </w:tc>
      </w:tr>
      <w:tr>
        <w:trPr>
          <w:cantSplit/>
        </w:trPr>
        <w:tc>
          <w:tcPr>
            <w:tcW w:type="dxa" w:w="3515"/>
            <w:vAlign w:val="top"/>
            <w:shd w:val="clear" w:color="auto" w:fill="FDF0F7"/>
          </w:tcPr>
          <w:p>
            <w:pPr>
              <w:spacing w:after="20" w:line="252" w:lineRule="auto"/>
            </w:pPr>
            <w:r>
              <w:rPr>
                <w:b w:val="0"/>
                <w:i w:val="0"/>
                <w:sz w:val="15"/>
              </w:rPr>
              <w:t>sla.low.response_hours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24</w:t>
            </w:r>
          </w:p>
        </w:tc>
        <w:tc>
          <w:tcPr>
            <w:tcW w:type="dxa" w:w="1247"/>
            <w:vAlign w:val="top"/>
            <w:shd w:val="clear" w:color="auto" w:fill="FDF0F7"/>
          </w:tcPr>
          <w:p>
            <w:pPr>
              <w:spacing w:after="20" w:line="252" w:lineRule="auto"/>
            </w:pPr>
            <w:r>
              <w:rPr>
                <w:b w:val="0"/>
                <w:i w:val="0"/>
                <w:sz w:val="15"/>
              </w:rPr>
              <w:t>1 to 336</w:t>
            </w:r>
          </w:p>
        </w:tc>
        <w:tc>
          <w:tcPr>
            <w:tcW w:type="dxa" w:w="7313"/>
            <w:vAlign w:val="top"/>
            <w:shd w:val="clear" w:color="auto" w:fill="FDF0F7"/>
          </w:tcPr>
          <w:p>
            <w:pPr>
              <w:spacing w:after="20" w:line="252" w:lineRule="auto"/>
            </w:pPr>
            <w:r>
              <w:rPr>
                <w:b w:val="0"/>
                <w:i w:val="0"/>
                <w:sz w:val="15"/>
              </w:rPr>
              <w:t>Low issue response target (hours)</w:t>
            </w:r>
          </w:p>
        </w:tc>
      </w:tr>
      <w:tr>
        <w:trPr>
          <w:cantSplit/>
        </w:trPr>
        <w:tc>
          <w:tcPr>
            <w:tcW w:type="dxa" w:w="3515"/>
            <w:vAlign w:val="top"/>
          </w:tcPr>
          <w:p>
            <w:pPr>
              <w:spacing w:after="20" w:line="252" w:lineRule="auto"/>
            </w:pPr>
            <w:r>
              <w:rPr>
                <w:b w:val="0"/>
                <w:i w:val="0"/>
                <w:sz w:val="15"/>
              </w:rPr>
              <w:t>sla.low.resolution_hours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168</w:t>
            </w:r>
          </w:p>
        </w:tc>
        <w:tc>
          <w:tcPr>
            <w:tcW w:type="dxa" w:w="1247"/>
            <w:vAlign w:val="top"/>
          </w:tcPr>
          <w:p>
            <w:pPr>
              <w:spacing w:after="20" w:line="252" w:lineRule="auto"/>
            </w:pPr>
            <w:r>
              <w:rPr>
                <w:b w:val="0"/>
                <w:i w:val="0"/>
                <w:sz w:val="15"/>
              </w:rPr>
              <w:t>1 to 2160</w:t>
            </w:r>
          </w:p>
        </w:tc>
        <w:tc>
          <w:tcPr>
            <w:tcW w:type="dxa" w:w="7313"/>
            <w:vAlign w:val="top"/>
          </w:tcPr>
          <w:p>
            <w:pPr>
              <w:spacing w:after="20" w:line="252" w:lineRule="auto"/>
            </w:pPr>
            <w:r>
              <w:rPr>
                <w:b w:val="0"/>
                <w:i w:val="0"/>
                <w:sz w:val="15"/>
              </w:rPr>
              <w:t>Low issue resolution target (hours)</w:t>
            </w:r>
          </w:p>
        </w:tc>
      </w:tr>
      <w:tr>
        <w:trPr>
          <w:cantSplit/>
        </w:trPr>
        <w:tc>
          <w:tcPr>
            <w:tcW w:type="dxa" w:w="3515"/>
            <w:vAlign w:val="top"/>
            <w:shd w:val="clear" w:color="auto" w:fill="FDF0F7"/>
          </w:tcPr>
          <w:p>
            <w:pPr>
              <w:spacing w:after="20" w:line="252" w:lineRule="auto"/>
            </w:pPr>
            <w:r>
              <w:rPr>
                <w:b w:val="0"/>
                <w:i w:val="0"/>
                <w:sz w:val="15"/>
              </w:rPr>
              <w:t>integration.max_attempts</w:t>
            </w:r>
          </w:p>
        </w:tc>
        <w:tc>
          <w:tcPr>
            <w:tcW w:type="dxa" w:w="1474"/>
            <w:vAlign w:val="top"/>
            <w:shd w:val="clear" w:color="auto" w:fill="FDF0F7"/>
          </w:tcPr>
          <w:p>
            <w:pPr>
              <w:spacing w:after="20" w:line="252" w:lineRule="auto"/>
            </w:pPr>
            <w:r>
              <w:rPr>
                <w:b w:val="0"/>
                <w:i w:val="0"/>
                <w:sz w:val="15"/>
              </w:rPr>
              <w:t>Integration</w:t>
            </w:r>
          </w:p>
        </w:tc>
        <w:tc>
          <w:tcPr>
            <w:tcW w:type="dxa" w:w="1020"/>
            <w:vAlign w:val="top"/>
            <w:shd w:val="clear" w:color="auto" w:fill="FDF0F7"/>
          </w:tcPr>
          <w:p>
            <w:pPr>
              <w:spacing w:after="20" w:line="252" w:lineRule="auto"/>
            </w:pPr>
            <w:r>
              <w:rPr>
                <w:b w:val="0"/>
                <w:i w:val="0"/>
                <w:sz w:val="15"/>
              </w:rPr>
              <w:t>6</w:t>
            </w:r>
          </w:p>
        </w:tc>
        <w:tc>
          <w:tcPr>
            <w:tcW w:type="dxa" w:w="1247"/>
            <w:vAlign w:val="top"/>
            <w:shd w:val="clear" w:color="auto" w:fill="FDF0F7"/>
          </w:tcPr>
          <w:p>
            <w:pPr>
              <w:spacing w:after="20" w:line="252" w:lineRule="auto"/>
            </w:pPr>
            <w:r>
              <w:rPr>
                <w:b w:val="0"/>
                <w:i w:val="0"/>
                <w:sz w:val="15"/>
              </w:rPr>
              <w:t>1 to 20</w:t>
            </w:r>
          </w:p>
        </w:tc>
        <w:tc>
          <w:tcPr>
            <w:tcW w:type="dxa" w:w="7313"/>
            <w:vAlign w:val="top"/>
            <w:shd w:val="clear" w:color="auto" w:fill="FDF0F7"/>
          </w:tcPr>
          <w:p>
            <w:pPr>
              <w:spacing w:after="20" w:line="252" w:lineRule="auto"/>
            </w:pPr>
            <w:r>
              <w:rPr>
                <w:b w:val="0"/>
                <w:i w:val="0"/>
                <w:sz w:val="15"/>
              </w:rPr>
              <w:t>Delivery attempts before an integration message is moved to dead-letter</w:t>
            </w:r>
          </w:p>
        </w:tc>
      </w:tr>
      <w:tr>
        <w:trPr>
          <w:cantSplit/>
        </w:trPr>
        <w:tc>
          <w:tcPr>
            <w:tcW w:type="dxa" w:w="3515"/>
            <w:vAlign w:val="top"/>
          </w:tcPr>
          <w:p>
            <w:pPr>
              <w:spacing w:after="20" w:line="252" w:lineRule="auto"/>
            </w:pPr>
            <w:r>
              <w:rPr>
                <w:b w:val="0"/>
                <w:i w:val="0"/>
                <w:sz w:val="15"/>
              </w:rPr>
              <w:t>notification.max_attempts</w:t>
            </w:r>
          </w:p>
        </w:tc>
        <w:tc>
          <w:tcPr>
            <w:tcW w:type="dxa" w:w="1474"/>
            <w:vAlign w:val="top"/>
          </w:tcPr>
          <w:p>
            <w:pPr>
              <w:spacing w:after="20" w:line="252" w:lineRule="auto"/>
            </w:pPr>
            <w:r>
              <w:rPr>
                <w:b w:val="0"/>
                <w:i w:val="0"/>
                <w:sz w:val="15"/>
              </w:rPr>
              <w:t>Notification</w:t>
            </w:r>
          </w:p>
        </w:tc>
        <w:tc>
          <w:tcPr>
            <w:tcW w:type="dxa" w:w="1020"/>
            <w:vAlign w:val="top"/>
          </w:tcPr>
          <w:p>
            <w:pPr>
              <w:spacing w:after="20" w:line="252" w:lineRule="auto"/>
            </w:pPr>
            <w:r>
              <w:rPr>
                <w:b w:val="0"/>
                <w:i w:val="0"/>
                <w:sz w:val="15"/>
              </w:rPr>
              <w:t>5</w:t>
            </w:r>
          </w:p>
        </w:tc>
        <w:tc>
          <w:tcPr>
            <w:tcW w:type="dxa" w:w="1247"/>
            <w:vAlign w:val="top"/>
          </w:tcPr>
          <w:p>
            <w:pPr>
              <w:spacing w:after="20" w:line="252" w:lineRule="auto"/>
            </w:pPr>
            <w:r>
              <w:rPr>
                <w:b w:val="0"/>
                <w:i w:val="0"/>
                <w:sz w:val="15"/>
              </w:rPr>
              <w:t>1 to 20</w:t>
            </w:r>
          </w:p>
        </w:tc>
        <w:tc>
          <w:tcPr>
            <w:tcW w:type="dxa" w:w="7313"/>
            <w:vAlign w:val="top"/>
          </w:tcPr>
          <w:p>
            <w:pPr>
              <w:spacing w:after="20" w:line="252" w:lineRule="auto"/>
            </w:pPr>
            <w:r>
              <w:rPr>
                <w:b w:val="0"/>
                <w:i w:val="0"/>
                <w:sz w:val="15"/>
              </w:rPr>
              <w:t>Email/SMS delivery attempts before giving up</w:t>
            </w:r>
          </w:p>
        </w:tc>
      </w:tr>
      <w:tr>
        <w:trPr>
          <w:cantSplit/>
        </w:trPr>
        <w:tc>
          <w:tcPr>
            <w:tcW w:type="dxa" w:w="3515"/>
            <w:vAlign w:val="top"/>
            <w:shd w:val="clear" w:color="auto" w:fill="FDF0F7"/>
          </w:tcPr>
          <w:p>
            <w:pPr>
              <w:spacing w:after="20" w:line="252" w:lineRule="auto"/>
            </w:pPr>
            <w:r>
              <w:rPr>
                <w:b w:val="0"/>
                <w:i w:val="0"/>
                <w:sz w:val="15"/>
              </w:rPr>
              <w:t>document.expiry_warning_days</w:t>
            </w:r>
          </w:p>
        </w:tc>
        <w:tc>
          <w:tcPr>
            <w:tcW w:type="dxa" w:w="1474"/>
            <w:vAlign w:val="top"/>
            <w:shd w:val="clear" w:color="auto" w:fill="FDF0F7"/>
          </w:tcPr>
          <w:p>
            <w:pPr>
              <w:spacing w:after="20" w:line="252" w:lineRule="auto"/>
            </w:pPr>
            <w:r>
              <w:rPr>
                <w:b w:val="0"/>
                <w:i w:val="0"/>
                <w:sz w:val="15"/>
              </w:rPr>
              <w:t>Documents</w:t>
            </w:r>
          </w:p>
        </w:tc>
        <w:tc>
          <w:tcPr>
            <w:tcW w:type="dxa" w:w="1020"/>
            <w:vAlign w:val="top"/>
            <w:shd w:val="clear" w:color="auto" w:fill="FDF0F7"/>
          </w:tcPr>
          <w:p>
            <w:pPr>
              <w:spacing w:after="20" w:line="252" w:lineRule="auto"/>
            </w:pPr>
            <w:r>
              <w:rPr>
                <w:b w:val="0"/>
                <w:i w:val="0"/>
                <w:sz w:val="15"/>
              </w:rPr>
              <w:t>30</w:t>
            </w:r>
          </w:p>
        </w:tc>
        <w:tc>
          <w:tcPr>
            <w:tcW w:type="dxa" w:w="1247"/>
            <w:vAlign w:val="top"/>
            <w:shd w:val="clear" w:color="auto" w:fill="FDF0F7"/>
          </w:tcPr>
          <w:p>
            <w:pPr>
              <w:spacing w:after="20" w:line="252" w:lineRule="auto"/>
            </w:pPr>
            <w:r>
              <w:rPr>
                <w:b w:val="0"/>
                <w:i w:val="0"/>
                <w:sz w:val="15"/>
              </w:rPr>
              <w:t>1 to 180</w:t>
            </w:r>
          </w:p>
        </w:tc>
        <w:tc>
          <w:tcPr>
            <w:tcW w:type="dxa" w:w="7313"/>
            <w:vAlign w:val="top"/>
            <w:shd w:val="clear" w:color="auto" w:fill="FDF0F7"/>
          </w:tcPr>
          <w:p>
            <w:pPr>
              <w:spacing w:after="20" w:line="252" w:lineRule="auto"/>
            </w:pPr>
            <w:r>
              <w:rPr>
                <w:b w:val="0"/>
                <w:i w:val="0"/>
                <w:sz w:val="15"/>
              </w:rPr>
              <w:t>Days before expiry that documents are flagged</w:t>
            </w:r>
          </w:p>
        </w:tc>
      </w:tr>
    </w:tbl>
    <w:p>
      <w:pPr>
        <w:pStyle w:val="Caption"/>
        <w:jc w:val="center"/>
      </w:pPr>
      <w:r>
        <w:rPr>
          <w:b w:val="0"/>
          <w:i w:val="0"/>
        </w:rPr>
        <w:t>Table 19: Business parameters</w:t>
      </w:r>
    </w:p>
    <w:p>
      <w:pPr>
        <w:pStyle w:val="Heading1"/>
        <w:pageBreakBefore w:val="0"/>
        <w:pBdr>
          <w:bottom w:val="single" w:sz="12" w:space="4" w:color="F58220"/>
        </w:pBdr>
      </w:pPr>
      <w:r>
        <w:t>14. Scheduled Jobs</w:t>
      </w:r>
    </w:p>
    <w:p>
      <w:pPr>
        <w:keepNext w:val="0"/>
      </w:pPr>
      <w:r>
        <w:rPr>
          <w:b w:val="0"/>
          <w:i w:val="0"/>
        </w:rPr>
        <w:t>All jobs run inside the API containers. Each takes a PostgreSQL advisory lock named after the job, so only one instance runs it at a time. JOBS_ENABLED=false switches all jobs off in an instance.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2154"/>
        <w:gridCol w:w="1927"/>
        <w:gridCol w:w="3855"/>
        <w:gridCol w:w="2494"/>
        <w:gridCol w:w="2324"/>
      </w:tblGrid>
      <w:tr>
        <w:trPr>
          <w:cantSplit/>
          <w:tblHeader/>
        </w:trPr>
        <w:tc>
          <w:tcPr>
            <w:tcW w:type="dxa" w:w="1814"/>
            <w:shd w:val="clear" w:color="auto" w:fill="E1058C"/>
            <w:vAlign w:val="center"/>
          </w:tcPr>
          <w:p>
            <w:pPr>
              <w:spacing w:after="0"/>
            </w:pPr>
            <w:r>
              <w:rPr>
                <w:b/>
                <w:i w:val="0"/>
                <w:color w:val="FFFFFF"/>
                <w:sz w:val="15"/>
              </w:rPr>
              <w:t>Job</w:t>
            </w:r>
          </w:p>
        </w:tc>
        <w:tc>
          <w:tcPr>
            <w:tcW w:type="dxa" w:w="2154"/>
            <w:shd w:val="clear" w:color="auto" w:fill="E1058C"/>
            <w:vAlign w:val="center"/>
          </w:tcPr>
          <w:p>
            <w:pPr>
              <w:spacing w:after="0"/>
            </w:pPr>
            <w:r>
              <w:rPr>
                <w:b/>
                <w:i w:val="0"/>
                <w:color w:val="FFFFFF"/>
                <w:sz w:val="15"/>
              </w:rPr>
              <w:t>Schedule (Brunei time)</w:t>
            </w:r>
          </w:p>
        </w:tc>
        <w:tc>
          <w:tcPr>
            <w:tcW w:type="dxa" w:w="1928"/>
            <w:shd w:val="clear" w:color="auto" w:fill="E1058C"/>
            <w:vAlign w:val="center"/>
          </w:tcPr>
          <w:p>
            <w:pPr>
              <w:spacing w:after="0"/>
            </w:pPr>
            <w:r>
              <w:rPr>
                <w:b/>
                <w:i w:val="0"/>
                <w:color w:val="FFFFFF"/>
                <w:sz w:val="15"/>
              </w:rPr>
              <w:t>Lock name</w:t>
            </w:r>
          </w:p>
        </w:tc>
        <w:tc>
          <w:tcPr>
            <w:tcW w:type="dxa" w:w="3855"/>
            <w:shd w:val="clear" w:color="auto" w:fill="E1058C"/>
            <w:vAlign w:val="center"/>
          </w:tcPr>
          <w:p>
            <w:pPr>
              <w:spacing w:after="0"/>
            </w:pPr>
            <w:r>
              <w:rPr>
                <w:b/>
                <w:i w:val="0"/>
                <w:color w:val="FFFFFF"/>
                <w:sz w:val="15"/>
              </w:rPr>
              <w:t>Purpose</w:t>
            </w:r>
          </w:p>
        </w:tc>
        <w:tc>
          <w:tcPr>
            <w:tcW w:type="dxa" w:w="2494"/>
            <w:shd w:val="clear" w:color="auto" w:fill="E1058C"/>
            <w:vAlign w:val="center"/>
          </w:tcPr>
          <w:p>
            <w:pPr>
              <w:spacing w:after="0"/>
            </w:pPr>
            <w:r>
              <w:rPr>
                <w:b/>
                <w:i w:val="0"/>
                <w:color w:val="FFFFFF"/>
                <w:sz w:val="15"/>
              </w:rPr>
              <w:t>Source</w:t>
            </w:r>
          </w:p>
        </w:tc>
        <w:tc>
          <w:tcPr>
            <w:tcW w:type="dxa" w:w="2324"/>
            <w:shd w:val="clear" w:color="auto" w:fill="E1058C"/>
            <w:vAlign w:val="center"/>
          </w:tcPr>
          <w:p>
            <w:pPr>
              <w:spacing w:after="0"/>
            </w:pPr>
            <w:r>
              <w:rPr>
                <w:b/>
                <w:i w:val="0"/>
                <w:color w:val="FFFFFF"/>
                <w:sz w:val="15"/>
              </w:rPr>
              <w:t>If it fails</w:t>
            </w:r>
          </w:p>
        </w:tc>
      </w:tr>
      <w:tr>
        <w:trPr>
          <w:cantSplit/>
        </w:trPr>
        <w:tc>
          <w:tcPr>
            <w:tcW w:type="dxa" w:w="1814"/>
            <w:vAlign w:val="top"/>
          </w:tcPr>
          <w:p>
            <w:pPr>
              <w:spacing w:after="20" w:line="252" w:lineRule="auto"/>
            </w:pPr>
            <w:r>
              <w:rPr>
                <w:b w:val="0"/>
                <w:i w:val="0"/>
                <w:sz w:val="15"/>
              </w:rPr>
              <w:t>end-of-day</w:t>
            </w:r>
          </w:p>
        </w:tc>
        <w:tc>
          <w:tcPr>
            <w:tcW w:type="dxa" w:w="2154"/>
            <w:vAlign w:val="top"/>
          </w:tcPr>
          <w:p>
            <w:pPr>
              <w:spacing w:after="20" w:line="252" w:lineRule="auto"/>
            </w:pPr>
            <w:r>
              <w:rPr>
                <w:b w:val="0"/>
                <w:i w:val="0"/>
                <w:sz w:val="15"/>
              </w:rPr>
              <w:t>Daily 23:30 (EOD_CRON, JOBS_TIMEZONE)</w:t>
            </w:r>
          </w:p>
        </w:tc>
        <w:tc>
          <w:tcPr>
            <w:tcW w:type="dxa" w:w="1928"/>
            <w:vAlign w:val="top"/>
          </w:tcPr>
          <w:p>
            <w:pPr>
              <w:spacing w:after="20" w:line="252" w:lineRule="auto"/>
            </w:pPr>
            <w:r>
              <w:rPr>
                <w:b w:val="0"/>
                <w:i w:val="0"/>
                <w:sz w:val="15"/>
              </w:rPr>
              <w:t>end-of-day</w:t>
            </w:r>
          </w:p>
        </w:tc>
        <w:tc>
          <w:tcPr>
            <w:tcW w:type="dxa" w:w="3855"/>
            <w:vAlign w:val="top"/>
          </w:tcPr>
          <w:p>
            <w:pPr>
              <w:spacing w:after="20" w:line="252" w:lineRule="auto"/>
            </w:pPr>
            <w:r>
              <w:rPr>
                <w:b w:val="0"/>
                <w:i w:val="0"/>
                <w:sz w:val="15"/>
              </w:rPr>
              <w:t>EOD report, FIN file, EOD_POSTING message, receipt reconciliation</w:t>
            </w:r>
          </w:p>
        </w:tc>
        <w:tc>
          <w:tcPr>
            <w:tcW w:type="dxa" w:w="2494"/>
            <w:vAlign w:val="top"/>
          </w:tcPr>
          <w:p>
            <w:pPr>
              <w:spacing w:after="20" w:line="252" w:lineRule="auto"/>
            </w:pPr>
            <w:r>
              <w:rPr>
                <w:b w:val="0"/>
                <w:i w:val="0"/>
                <w:sz w:val="15"/>
              </w:rPr>
              <w:t>eod/eod.service.ts</w:t>
            </w:r>
          </w:p>
        </w:tc>
        <w:tc>
          <w:tcPr>
            <w:tcW w:type="dxa" w:w="2324"/>
            <w:vAlign w:val="top"/>
          </w:tcPr>
          <w:p>
            <w:pPr>
              <w:spacing w:after="20" w:line="252" w:lineRule="auto"/>
            </w:pPr>
            <w:r>
              <w:rPr>
                <w:b w:val="0"/>
                <w:i w:val="0"/>
                <w:sz w:val="15"/>
              </w:rPr>
              <w:t>Re-run from Back-office &gt; End of day (R6)</w:t>
            </w:r>
          </w:p>
        </w:tc>
      </w:tr>
      <w:tr>
        <w:trPr>
          <w:cantSplit/>
        </w:trPr>
        <w:tc>
          <w:tcPr>
            <w:tcW w:type="dxa" w:w="1814"/>
            <w:vAlign w:val="top"/>
            <w:shd w:val="clear" w:color="auto" w:fill="FDF0F7"/>
          </w:tcPr>
          <w:p>
            <w:pPr>
              <w:spacing w:after="20" w:line="252" w:lineRule="auto"/>
            </w:pPr>
            <w:r>
              <w:rPr>
                <w:b w:val="0"/>
                <w:i w:val="0"/>
                <w:sz w:val="15"/>
              </w:rPr>
              <w:t>policy-expiry</w:t>
            </w:r>
          </w:p>
        </w:tc>
        <w:tc>
          <w:tcPr>
            <w:tcW w:type="dxa" w:w="2154"/>
            <w:vAlign w:val="top"/>
            <w:shd w:val="clear" w:color="auto" w:fill="FDF0F7"/>
          </w:tcPr>
          <w:p>
            <w:pPr>
              <w:spacing w:after="20" w:line="252" w:lineRule="auto"/>
            </w:pPr>
            <w:r>
              <w:rPr>
                <w:b w:val="0"/>
                <w:i w:val="0"/>
                <w:sz w:val="15"/>
              </w:rPr>
              <w:t>Daily 00:05</w:t>
            </w:r>
          </w:p>
        </w:tc>
        <w:tc>
          <w:tcPr>
            <w:tcW w:type="dxa" w:w="1928"/>
            <w:vAlign w:val="top"/>
            <w:shd w:val="clear" w:color="auto" w:fill="FDF0F7"/>
          </w:tcPr>
          <w:p>
            <w:pPr>
              <w:spacing w:after="20" w:line="252" w:lineRule="auto"/>
            </w:pPr>
            <w:r>
              <w:rPr>
                <w:b w:val="0"/>
                <w:i w:val="0"/>
                <w:sz w:val="15"/>
              </w:rPr>
              <w:t>policy-expiry</w:t>
            </w:r>
          </w:p>
        </w:tc>
        <w:tc>
          <w:tcPr>
            <w:tcW w:type="dxa" w:w="3855"/>
            <w:vAlign w:val="top"/>
            <w:shd w:val="clear" w:color="auto" w:fill="FDF0F7"/>
          </w:tcPr>
          <w:p>
            <w:pPr>
              <w:spacing w:after="20" w:line="252" w:lineRule="auto"/>
            </w:pPr>
            <w:r>
              <w:rPr>
                <w:b w:val="0"/>
                <w:i w:val="0"/>
                <w:sz w:val="15"/>
              </w:rPr>
              <w:t>ACTIVE policies past end date become EXPIRED; agent notified</w:t>
            </w:r>
          </w:p>
        </w:tc>
        <w:tc>
          <w:tcPr>
            <w:tcW w:type="dxa" w:w="2494"/>
            <w:vAlign w:val="top"/>
            <w:shd w:val="clear" w:color="auto" w:fill="FDF0F7"/>
          </w:tcPr>
          <w:p>
            <w:pPr>
              <w:spacing w:after="20" w:line="252" w:lineRule="auto"/>
            </w:pPr>
            <w:r>
              <w:rPr>
                <w:b w:val="0"/>
                <w:i w:val="0"/>
                <w:sz w:val="15"/>
              </w:rPr>
              <w:t>policies/policy.jobs.ts</w:t>
            </w:r>
          </w:p>
        </w:tc>
        <w:tc>
          <w:tcPr>
            <w:tcW w:type="dxa" w:w="2324"/>
            <w:vAlign w:val="top"/>
            <w:shd w:val="clear" w:color="auto" w:fill="FDF0F7"/>
          </w:tcPr>
          <w:p>
            <w:pPr>
              <w:spacing w:after="20" w:line="252" w:lineRule="auto"/>
            </w:pPr>
            <w:r>
              <w:rPr>
                <w:b w:val="0"/>
                <w:i w:val="0"/>
                <w:sz w:val="15"/>
              </w:rPr>
              <w:t>Runs again at the next schedule; restart not needed</w:t>
            </w:r>
          </w:p>
        </w:tc>
      </w:tr>
      <w:tr>
        <w:trPr>
          <w:cantSplit/>
        </w:trPr>
        <w:tc>
          <w:tcPr>
            <w:tcW w:type="dxa" w:w="1814"/>
            <w:vAlign w:val="top"/>
          </w:tcPr>
          <w:p>
            <w:pPr>
              <w:spacing w:after="20" w:line="252" w:lineRule="auto"/>
            </w:pPr>
            <w:r>
              <w:rPr>
                <w:b w:val="0"/>
                <w:i w:val="0"/>
                <w:sz w:val="15"/>
              </w:rPr>
              <w:t>payment-grace-period</w:t>
            </w:r>
          </w:p>
        </w:tc>
        <w:tc>
          <w:tcPr>
            <w:tcW w:type="dxa" w:w="2154"/>
            <w:vAlign w:val="top"/>
          </w:tcPr>
          <w:p>
            <w:pPr>
              <w:spacing w:after="20" w:line="252" w:lineRule="auto"/>
            </w:pPr>
            <w:r>
              <w:rPr>
                <w:b w:val="0"/>
                <w:i w:val="0"/>
                <w:sz w:val="15"/>
              </w:rPr>
              <w:t>Daily 01:00</w:t>
            </w:r>
          </w:p>
        </w:tc>
        <w:tc>
          <w:tcPr>
            <w:tcW w:type="dxa" w:w="1928"/>
            <w:vAlign w:val="top"/>
          </w:tcPr>
          <w:p>
            <w:pPr>
              <w:spacing w:after="20" w:line="252" w:lineRule="auto"/>
            </w:pPr>
            <w:r>
              <w:rPr>
                <w:b w:val="0"/>
                <w:i w:val="0"/>
                <w:sz w:val="15"/>
              </w:rPr>
              <w:t>payment-grace-period</w:t>
            </w:r>
          </w:p>
        </w:tc>
        <w:tc>
          <w:tcPr>
            <w:tcW w:type="dxa" w:w="3855"/>
            <w:vAlign w:val="top"/>
          </w:tcPr>
          <w:p>
            <w:pPr>
              <w:spacing w:after="20" w:line="252" w:lineRule="auto"/>
            </w:pPr>
            <w:r>
              <w:rPr>
                <w:b w:val="0"/>
                <w:i w:val="0"/>
                <w:sz w:val="15"/>
              </w:rPr>
              <w:t>Blocks agencies with overdue issue-then-pay policies; lifts the block when settled</w:t>
            </w:r>
          </w:p>
        </w:tc>
        <w:tc>
          <w:tcPr>
            <w:tcW w:type="dxa" w:w="2494"/>
            <w:vAlign w:val="top"/>
          </w:tcPr>
          <w:p>
            <w:pPr>
              <w:spacing w:after="20" w:line="252" w:lineRule="auto"/>
            </w:pPr>
            <w:r>
              <w:rPr>
                <w:b w:val="0"/>
                <w:i w:val="0"/>
                <w:sz w:val="15"/>
              </w:rPr>
              <w:t>billing/grace-period.service.ts</w:t>
            </w:r>
          </w:p>
        </w:tc>
        <w:tc>
          <w:tcPr>
            <w:tcW w:type="dxa" w:w="2324"/>
            <w:vAlign w:val="top"/>
          </w:tcPr>
          <w:p>
            <w:pPr>
              <w:spacing w:after="20" w:line="252" w:lineRule="auto"/>
            </w:pPr>
            <w:r>
              <w:rPr>
                <w:b w:val="0"/>
                <w:i w:val="0"/>
                <w:sz w:val="15"/>
              </w:rPr>
              <w:t>Runs again at the next schedule; restart not needed</w:t>
            </w:r>
          </w:p>
        </w:tc>
      </w:tr>
      <w:tr>
        <w:trPr>
          <w:cantSplit/>
        </w:trPr>
        <w:tc>
          <w:tcPr>
            <w:tcW w:type="dxa" w:w="1814"/>
            <w:vAlign w:val="top"/>
            <w:shd w:val="clear" w:color="auto" w:fill="FDF0F7"/>
          </w:tcPr>
          <w:p>
            <w:pPr>
              <w:spacing w:after="20" w:line="252" w:lineRule="auto"/>
            </w:pPr>
            <w:r>
              <w:rPr>
                <w:b w:val="0"/>
                <w:i w:val="0"/>
                <w:sz w:val="15"/>
              </w:rPr>
              <w:t>outbox-dispatch</w:t>
            </w:r>
          </w:p>
        </w:tc>
        <w:tc>
          <w:tcPr>
            <w:tcW w:type="dxa" w:w="2154"/>
            <w:vAlign w:val="top"/>
            <w:shd w:val="clear" w:color="auto" w:fill="FDF0F7"/>
          </w:tcPr>
          <w:p>
            <w:pPr>
              <w:spacing w:after="20" w:line="252" w:lineRule="auto"/>
            </w:pPr>
            <w:r>
              <w:rPr>
                <w:b w:val="0"/>
                <w:i w:val="0"/>
                <w:sz w:val="15"/>
              </w:rPr>
              <w:t>Every 20 seconds</w:t>
            </w:r>
          </w:p>
        </w:tc>
        <w:tc>
          <w:tcPr>
            <w:tcW w:type="dxa" w:w="1928"/>
            <w:vAlign w:val="top"/>
            <w:shd w:val="clear" w:color="auto" w:fill="FDF0F7"/>
          </w:tcPr>
          <w:p>
            <w:pPr>
              <w:spacing w:after="20" w:line="252" w:lineRule="auto"/>
            </w:pPr>
            <w:r>
              <w:rPr>
                <w:b w:val="0"/>
                <w:i w:val="0"/>
                <w:sz w:val="15"/>
              </w:rPr>
              <w:t>outbox-dispatch</w:t>
            </w:r>
          </w:p>
        </w:tc>
        <w:tc>
          <w:tcPr>
            <w:tcW w:type="dxa" w:w="3855"/>
            <w:vAlign w:val="top"/>
            <w:shd w:val="clear" w:color="auto" w:fill="FDF0F7"/>
          </w:tcPr>
          <w:p>
            <w:pPr>
              <w:spacing w:after="20" w:line="252" w:lineRule="auto"/>
            </w:pPr>
            <w:r>
              <w:rPr>
                <w:b w:val="0"/>
                <w:i w:val="0"/>
                <w:sz w:val="15"/>
              </w:rPr>
              <w:t>Delivers up to 25 due outbox messages to Core and FIN</w:t>
            </w:r>
          </w:p>
        </w:tc>
        <w:tc>
          <w:tcPr>
            <w:tcW w:type="dxa" w:w="2494"/>
            <w:vAlign w:val="top"/>
            <w:shd w:val="clear" w:color="auto" w:fill="FDF0F7"/>
          </w:tcPr>
          <w:p>
            <w:pPr>
              <w:spacing w:after="20" w:line="252" w:lineRule="auto"/>
            </w:pPr>
            <w:r>
              <w:rPr>
                <w:b w:val="0"/>
                <w:i w:val="0"/>
                <w:sz w:val="15"/>
              </w:rPr>
              <w:t>integration/outbox.dispatcher.ts</w:t>
            </w:r>
          </w:p>
        </w:tc>
        <w:tc>
          <w:tcPr>
            <w:tcW w:type="dxa" w:w="2324"/>
            <w:vAlign w:val="top"/>
            <w:shd w:val="clear" w:color="auto" w:fill="FDF0F7"/>
          </w:tcPr>
          <w:p>
            <w:pPr>
              <w:spacing w:after="20" w:line="252" w:lineRule="auto"/>
            </w:pPr>
            <w:r>
              <w:rPr>
                <w:b w:val="0"/>
                <w:i w:val="0"/>
                <w:sz w:val="15"/>
              </w:rPr>
              <w:t>Runs again at the next schedule; restart not needed</w:t>
            </w:r>
          </w:p>
        </w:tc>
      </w:tr>
      <w:tr>
        <w:trPr>
          <w:cantSplit/>
        </w:trPr>
        <w:tc>
          <w:tcPr>
            <w:tcW w:type="dxa" w:w="1814"/>
            <w:vAlign w:val="top"/>
          </w:tcPr>
          <w:p>
            <w:pPr>
              <w:spacing w:after="20" w:line="252" w:lineRule="auto"/>
            </w:pPr>
            <w:r>
              <w:rPr>
                <w:b w:val="0"/>
                <w:i w:val="0"/>
                <w:sz w:val="15"/>
              </w:rPr>
              <w:t>notification-dispatch</w:t>
            </w:r>
          </w:p>
        </w:tc>
        <w:tc>
          <w:tcPr>
            <w:tcW w:type="dxa" w:w="2154"/>
            <w:vAlign w:val="top"/>
          </w:tcPr>
          <w:p>
            <w:pPr>
              <w:spacing w:after="20" w:line="252" w:lineRule="auto"/>
            </w:pPr>
            <w:r>
              <w:rPr>
                <w:b w:val="0"/>
                <w:i w:val="0"/>
                <w:sz w:val="15"/>
              </w:rPr>
              <w:t>Every 30 seconds</w:t>
            </w:r>
          </w:p>
        </w:tc>
        <w:tc>
          <w:tcPr>
            <w:tcW w:type="dxa" w:w="1928"/>
            <w:vAlign w:val="top"/>
          </w:tcPr>
          <w:p>
            <w:pPr>
              <w:spacing w:after="20" w:line="252" w:lineRule="auto"/>
            </w:pPr>
            <w:r>
              <w:rPr>
                <w:b w:val="0"/>
                <w:i w:val="0"/>
                <w:sz w:val="15"/>
              </w:rPr>
              <w:t>notification-dispatch</w:t>
            </w:r>
          </w:p>
        </w:tc>
        <w:tc>
          <w:tcPr>
            <w:tcW w:type="dxa" w:w="3855"/>
            <w:vAlign w:val="top"/>
          </w:tcPr>
          <w:p>
            <w:pPr>
              <w:spacing w:after="20" w:line="252" w:lineRule="auto"/>
            </w:pPr>
            <w:r>
              <w:rPr>
                <w:b w:val="0"/>
                <w:i w:val="0"/>
                <w:sz w:val="15"/>
              </w:rPr>
              <w:t>Sends up to 50 pending e-mail and SMS notifications</w:t>
            </w:r>
          </w:p>
        </w:tc>
        <w:tc>
          <w:tcPr>
            <w:tcW w:type="dxa" w:w="2494"/>
            <w:vAlign w:val="top"/>
          </w:tcPr>
          <w:p>
            <w:pPr>
              <w:spacing w:after="20" w:line="252" w:lineRule="auto"/>
            </w:pPr>
            <w:r>
              <w:rPr>
                <w:b w:val="0"/>
                <w:i w:val="0"/>
                <w:sz w:val="15"/>
              </w:rPr>
              <w:t>notifications/notification.dispatcher.ts</w:t>
            </w:r>
          </w:p>
        </w:tc>
        <w:tc>
          <w:tcPr>
            <w:tcW w:type="dxa" w:w="2324"/>
            <w:vAlign w:val="top"/>
          </w:tcPr>
          <w:p>
            <w:pPr>
              <w:spacing w:after="20" w:line="252" w:lineRule="auto"/>
            </w:pPr>
            <w:r>
              <w:rPr>
                <w:b w:val="0"/>
                <w:i w:val="0"/>
                <w:sz w:val="15"/>
              </w:rPr>
              <w:t>Runs again at the next schedule; restart not needed</w:t>
            </w:r>
          </w:p>
        </w:tc>
      </w:tr>
      <w:tr>
        <w:trPr>
          <w:cantSplit/>
        </w:trPr>
        <w:tc>
          <w:tcPr>
            <w:tcW w:type="dxa" w:w="1814"/>
            <w:vAlign w:val="top"/>
            <w:shd w:val="clear" w:color="auto" w:fill="FDF0F7"/>
          </w:tcPr>
          <w:p>
            <w:pPr>
              <w:spacing w:after="20" w:line="252" w:lineRule="auto"/>
            </w:pPr>
            <w:r>
              <w:rPr>
                <w:b w:val="0"/>
                <w:i w:val="0"/>
                <w:sz w:val="15"/>
              </w:rPr>
              <w:t>issue-sla-monitor</w:t>
            </w:r>
          </w:p>
        </w:tc>
        <w:tc>
          <w:tcPr>
            <w:tcW w:type="dxa" w:w="2154"/>
            <w:vAlign w:val="top"/>
            <w:shd w:val="clear" w:color="auto" w:fill="FDF0F7"/>
          </w:tcPr>
          <w:p>
            <w:pPr>
              <w:spacing w:after="20" w:line="252" w:lineRule="auto"/>
            </w:pPr>
            <w:r>
              <w:rPr>
                <w:b w:val="0"/>
                <w:i w:val="0"/>
                <w:sz w:val="15"/>
              </w:rPr>
              <w:t>Every 5 minutes</w:t>
            </w:r>
          </w:p>
        </w:tc>
        <w:tc>
          <w:tcPr>
            <w:tcW w:type="dxa" w:w="1928"/>
            <w:vAlign w:val="top"/>
            <w:shd w:val="clear" w:color="auto" w:fill="FDF0F7"/>
          </w:tcPr>
          <w:p>
            <w:pPr>
              <w:spacing w:after="20" w:line="252" w:lineRule="auto"/>
            </w:pPr>
            <w:r>
              <w:rPr>
                <w:b w:val="0"/>
                <w:i w:val="0"/>
                <w:sz w:val="15"/>
              </w:rPr>
              <w:t>issue-sla-monitor</w:t>
            </w:r>
          </w:p>
        </w:tc>
        <w:tc>
          <w:tcPr>
            <w:tcW w:type="dxa" w:w="3855"/>
            <w:vAlign w:val="top"/>
            <w:shd w:val="clear" w:color="auto" w:fill="FDF0F7"/>
          </w:tcPr>
          <w:p>
            <w:pPr>
              <w:spacing w:after="20" w:line="252" w:lineRule="auto"/>
            </w:pPr>
            <w:r>
              <w:rPr>
                <w:b w:val="0"/>
                <w:i w:val="0"/>
                <w:sz w:val="15"/>
              </w:rPr>
              <w:t>Flags issues past their response or resolution target and alerts support</w:t>
            </w:r>
          </w:p>
        </w:tc>
        <w:tc>
          <w:tcPr>
            <w:tcW w:type="dxa" w:w="2494"/>
            <w:vAlign w:val="top"/>
            <w:shd w:val="clear" w:color="auto" w:fill="FDF0F7"/>
          </w:tcPr>
          <w:p>
            <w:pPr>
              <w:spacing w:after="20" w:line="252" w:lineRule="auto"/>
            </w:pPr>
            <w:r>
              <w:rPr>
                <w:b w:val="0"/>
                <w:i w:val="0"/>
                <w:sz w:val="15"/>
              </w:rPr>
              <w:t>issues/issues.service.ts</w:t>
            </w:r>
          </w:p>
        </w:tc>
        <w:tc>
          <w:tcPr>
            <w:tcW w:type="dxa" w:w="2324"/>
            <w:vAlign w:val="top"/>
            <w:shd w:val="clear" w:color="auto" w:fill="FDF0F7"/>
          </w:tcPr>
          <w:p>
            <w:pPr>
              <w:spacing w:after="20" w:line="252" w:lineRule="auto"/>
            </w:pPr>
            <w:r>
              <w:rPr>
                <w:b w:val="0"/>
                <w:i w:val="0"/>
                <w:sz w:val="15"/>
              </w:rPr>
              <w:t>Runs again at the next schedule; restart not needed</w:t>
            </w:r>
          </w:p>
        </w:tc>
      </w:tr>
      <w:tr>
        <w:trPr>
          <w:cantSplit/>
        </w:trPr>
        <w:tc>
          <w:tcPr>
            <w:tcW w:type="dxa" w:w="1814"/>
            <w:vAlign w:val="top"/>
          </w:tcPr>
          <w:p>
            <w:pPr>
              <w:spacing w:after="20" w:line="252" w:lineRule="auto"/>
            </w:pPr>
            <w:r>
              <w:rPr>
                <w:b w:val="0"/>
                <w:i w:val="0"/>
                <w:sz w:val="15"/>
              </w:rPr>
              <w:t>scheduled-reports</w:t>
            </w:r>
          </w:p>
        </w:tc>
        <w:tc>
          <w:tcPr>
            <w:tcW w:type="dxa" w:w="2154"/>
            <w:vAlign w:val="top"/>
          </w:tcPr>
          <w:p>
            <w:pPr>
              <w:spacing w:after="20" w:line="252" w:lineRule="auto"/>
            </w:pPr>
            <w:r>
              <w:rPr>
                <w:b w:val="0"/>
                <w:i w:val="0"/>
                <w:sz w:val="15"/>
              </w:rPr>
              <w:t>Every 15 minutes</w:t>
            </w:r>
          </w:p>
        </w:tc>
        <w:tc>
          <w:tcPr>
            <w:tcW w:type="dxa" w:w="1928"/>
            <w:vAlign w:val="top"/>
          </w:tcPr>
          <w:p>
            <w:pPr>
              <w:spacing w:after="20" w:line="252" w:lineRule="auto"/>
            </w:pPr>
            <w:r>
              <w:rPr>
                <w:b w:val="0"/>
                <w:i w:val="0"/>
                <w:sz w:val="15"/>
              </w:rPr>
              <w:t>scheduled-reports</w:t>
            </w:r>
          </w:p>
        </w:tc>
        <w:tc>
          <w:tcPr>
            <w:tcW w:type="dxa" w:w="3855"/>
            <w:vAlign w:val="top"/>
          </w:tcPr>
          <w:p>
            <w:pPr>
              <w:spacing w:after="20" w:line="252" w:lineRule="auto"/>
            </w:pPr>
            <w:r>
              <w:rPr>
                <w:b w:val="0"/>
                <w:i w:val="0"/>
                <w:sz w:val="15"/>
              </w:rPr>
              <w:t>Runs due report schedules and e-mails the files</w:t>
            </w:r>
          </w:p>
        </w:tc>
        <w:tc>
          <w:tcPr>
            <w:tcW w:type="dxa" w:w="2494"/>
            <w:vAlign w:val="top"/>
          </w:tcPr>
          <w:p>
            <w:pPr>
              <w:spacing w:after="20" w:line="252" w:lineRule="auto"/>
            </w:pPr>
            <w:r>
              <w:rPr>
                <w:b w:val="0"/>
                <w:i w:val="0"/>
                <w:sz w:val="15"/>
              </w:rPr>
              <w:t>reports/reports.service.ts</w:t>
            </w:r>
          </w:p>
        </w:tc>
        <w:tc>
          <w:tcPr>
            <w:tcW w:type="dxa" w:w="2324"/>
            <w:vAlign w:val="top"/>
          </w:tcPr>
          <w:p>
            <w:pPr>
              <w:spacing w:after="20" w:line="252" w:lineRule="auto"/>
            </w:pPr>
            <w:r>
              <w:rPr>
                <w:b w:val="0"/>
                <w:i w:val="0"/>
                <w:sz w:val="15"/>
              </w:rPr>
              <w:t>Runs again at the next schedule; restart not needed</w:t>
            </w:r>
          </w:p>
        </w:tc>
      </w:tr>
      <w:tr>
        <w:trPr>
          <w:cantSplit/>
        </w:trPr>
        <w:tc>
          <w:tcPr>
            <w:tcW w:type="dxa" w:w="1814"/>
            <w:vAlign w:val="top"/>
            <w:shd w:val="clear" w:color="auto" w:fill="FDF0F7"/>
          </w:tcPr>
          <w:p>
            <w:pPr>
              <w:spacing w:after="20" w:line="252" w:lineRule="auto"/>
            </w:pPr>
            <w:r>
              <w:rPr>
                <w:b w:val="0"/>
                <w:i w:val="0"/>
                <w:sz w:val="15"/>
              </w:rPr>
              <w:t>session pruning</w:t>
            </w:r>
          </w:p>
        </w:tc>
        <w:tc>
          <w:tcPr>
            <w:tcW w:type="dxa" w:w="2154"/>
            <w:vAlign w:val="top"/>
            <w:shd w:val="clear" w:color="auto" w:fill="FDF0F7"/>
          </w:tcPr>
          <w:p>
            <w:pPr>
              <w:spacing w:after="20" w:line="252" w:lineRule="auto"/>
            </w:pPr>
            <w:r>
              <w:rPr>
                <w:b w:val="0"/>
                <w:i w:val="0"/>
                <w:sz w:val="15"/>
              </w:rPr>
              <w:t>Every 15 minutes</w:t>
            </w:r>
          </w:p>
        </w:tc>
        <w:tc>
          <w:tcPr>
            <w:tcW w:type="dxa" w:w="1928"/>
            <w:vAlign w:val="top"/>
            <w:shd w:val="clear" w:color="auto" w:fill="FDF0F7"/>
          </w:tcPr>
          <w:p>
            <w:pPr>
              <w:spacing w:after="20" w:line="252" w:lineRule="auto"/>
            </w:pPr>
            <w:r>
              <w:rPr>
                <w:b w:val="0"/>
                <w:i w:val="0"/>
                <w:sz w:val="15"/>
              </w:rPr>
              <w:t>none (idempotent)</w:t>
            </w:r>
          </w:p>
        </w:tc>
        <w:tc>
          <w:tcPr>
            <w:tcW w:type="dxa" w:w="3855"/>
            <w:vAlign w:val="top"/>
            <w:shd w:val="clear" w:color="auto" w:fill="FDF0F7"/>
          </w:tcPr>
          <w:p>
            <w:pPr>
              <w:spacing w:after="20" w:line="252" w:lineRule="auto"/>
            </w:pPr>
            <w:r>
              <w:rPr>
                <w:b w:val="0"/>
                <w:i w:val="0"/>
                <w:sz w:val="15"/>
              </w:rPr>
              <w:t>Deletes expired rows from user_session</w:t>
            </w:r>
          </w:p>
        </w:tc>
        <w:tc>
          <w:tcPr>
            <w:tcW w:type="dxa" w:w="2494"/>
            <w:vAlign w:val="top"/>
            <w:shd w:val="clear" w:color="auto" w:fill="FDF0F7"/>
          </w:tcPr>
          <w:p>
            <w:pPr>
              <w:spacing w:after="20" w:line="252" w:lineRule="auto"/>
            </w:pPr>
            <w:r>
              <w:rPr>
                <w:b w:val="0"/>
                <w:i w:val="0"/>
                <w:sz w:val="15"/>
              </w:rPr>
              <w:t>connect-pg-simple</w:t>
            </w:r>
          </w:p>
        </w:tc>
        <w:tc>
          <w:tcPr>
            <w:tcW w:type="dxa" w:w="2324"/>
            <w:vAlign w:val="top"/>
            <w:shd w:val="clear" w:color="auto" w:fill="FDF0F7"/>
          </w:tcPr>
          <w:p>
            <w:pPr>
              <w:spacing w:after="20" w:line="252" w:lineRule="auto"/>
            </w:pPr>
            <w:r>
              <w:rPr>
                <w:b w:val="0"/>
                <w:i w:val="0"/>
                <w:sz w:val="15"/>
              </w:rPr>
              <w:t>Runs again at the next schedule; restart not needed</w:t>
            </w:r>
          </w:p>
        </w:tc>
      </w:tr>
    </w:tbl>
    <w:p>
      <w:pPr>
        <w:pStyle w:val="Caption"/>
        <w:jc w:val="center"/>
      </w:pPr>
      <w:r>
        <w:rPr>
          <w:b w:val="0"/>
          <w:i w:val="0"/>
        </w:rPr>
        <w:t>Table 20: Scheduled jobs</w:t>
      </w:r>
    </w:p>
    <w:p>
      <w:pPr>
        <w:sectPr>
          <w:headerReference w:type="default" r:id="rId20"/>
          <w:footerReference w:type="default" r:id="rId21"/>
          <w:pgSz w:w="16838" w:h="11906" w:orient="landscape"/>
          <w:pgMar w:top="1247" w:right="1134" w:bottom="1134" w:left="1134" w:header="567" w:footer="567" w:gutter="0"/>
          <w:cols w:space="720"/>
          <w:docGrid w:linePitch="360"/>
        </w:sectPr>
      </w:pPr>
    </w:p>
    <w:p>
      <w:pPr>
        <w:pStyle w:val="Heading1"/>
        <w:pageBreakBefore w:val="0"/>
        <w:pBdr>
          <w:bottom w:val="single" w:sz="12" w:space="4" w:color="F58220"/>
        </w:pBdr>
      </w:pPr>
      <w:r>
        <w:t>15. Knowledge Transfer Plan</w:t>
      </w:r>
    </w:p>
    <w:p>
      <w:pPr>
        <w:keepNext w:val="0"/>
      </w:pPr>
      <w:r>
        <w:rPr>
          <w:b w:val="0"/>
          <w:i w:val="0"/>
        </w:rPr>
        <w:t>Knowledge transfer runs from UAT to hypercare exit and continues each year for new IIFT and IITH staff (MNT-28). Sessions are recorded and the recordings handed over with the materials.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3515"/>
        <w:gridCol w:w="2154"/>
        <w:gridCol w:w="907"/>
        <w:gridCol w:w="2608"/>
      </w:tblGrid>
      <w:tr>
        <w:trPr>
          <w:cantSplit/>
          <w:tblHeader/>
        </w:trPr>
        <w:tc>
          <w:tcPr>
            <w:tcW w:type="dxa" w:w="454"/>
            <w:shd w:val="clear" w:color="auto" w:fill="E1058C"/>
            <w:vAlign w:val="center"/>
          </w:tcPr>
          <w:p>
            <w:pPr>
              <w:spacing w:after="0"/>
            </w:pPr>
            <w:r>
              <w:rPr>
                <w:b/>
                <w:i w:val="0"/>
                <w:color w:val="FFFFFF"/>
                <w:sz w:val="16"/>
              </w:rPr>
              <w:t>#</w:t>
            </w:r>
          </w:p>
        </w:tc>
        <w:tc>
          <w:tcPr>
            <w:tcW w:type="dxa" w:w="3515"/>
            <w:shd w:val="clear" w:color="auto" w:fill="E1058C"/>
            <w:vAlign w:val="center"/>
          </w:tcPr>
          <w:p>
            <w:pPr>
              <w:spacing w:after="0"/>
            </w:pPr>
            <w:r>
              <w:rPr>
                <w:b/>
                <w:i w:val="0"/>
                <w:color w:val="FFFFFF"/>
                <w:sz w:val="16"/>
              </w:rPr>
              <w:t>Session</w:t>
            </w:r>
          </w:p>
        </w:tc>
        <w:tc>
          <w:tcPr>
            <w:tcW w:type="dxa" w:w="2154"/>
            <w:shd w:val="clear" w:color="auto" w:fill="E1058C"/>
            <w:vAlign w:val="center"/>
          </w:tcPr>
          <w:p>
            <w:pPr>
              <w:spacing w:after="0"/>
            </w:pPr>
            <w:r>
              <w:rPr>
                <w:b/>
                <w:i w:val="0"/>
                <w:color w:val="FFFFFF"/>
                <w:sz w:val="16"/>
              </w:rPr>
              <w:t>Audience</w:t>
            </w:r>
          </w:p>
        </w:tc>
        <w:tc>
          <w:tcPr>
            <w:tcW w:type="dxa" w:w="907"/>
            <w:shd w:val="clear" w:color="auto" w:fill="E1058C"/>
            <w:vAlign w:val="center"/>
          </w:tcPr>
          <w:p>
            <w:pPr>
              <w:spacing w:after="0"/>
            </w:pPr>
            <w:r>
              <w:rPr>
                <w:b/>
                <w:i w:val="0"/>
                <w:color w:val="FFFFFF"/>
                <w:sz w:val="16"/>
              </w:rPr>
              <w:t>Duration</w:t>
            </w:r>
          </w:p>
        </w:tc>
        <w:tc>
          <w:tcPr>
            <w:tcW w:type="dxa" w:w="2608"/>
            <w:shd w:val="clear" w:color="auto" w:fill="E1058C"/>
            <w:vAlign w:val="center"/>
          </w:tcPr>
          <w:p>
            <w:pPr>
              <w:spacing w:after="0"/>
            </w:pPr>
            <w:r>
              <w:rPr>
                <w:b/>
                <w:i w:val="0"/>
                <w:color w:val="FFFFFF"/>
                <w:sz w:val="16"/>
              </w:rPr>
              <w:t>Materials</w:t>
            </w:r>
          </w:p>
        </w:tc>
      </w:tr>
      <w:tr>
        <w:trPr>
          <w:cantSplit/>
        </w:trPr>
        <w:tc>
          <w:tcPr>
            <w:tcW w:type="dxa" w:w="454"/>
            <w:vAlign w:val="top"/>
          </w:tcPr>
          <w:p>
            <w:pPr>
              <w:spacing w:after="20" w:line="252" w:lineRule="auto"/>
              <w:jc w:val="center"/>
            </w:pPr>
            <w:r>
              <w:rPr>
                <w:b w:val="0"/>
                <w:i w:val="0"/>
                <w:sz w:val="16"/>
              </w:rPr>
              <w:t>1</w:t>
            </w:r>
          </w:p>
        </w:tc>
        <w:tc>
          <w:tcPr>
            <w:tcW w:type="dxa" w:w="3515"/>
            <w:vAlign w:val="top"/>
          </w:tcPr>
          <w:p>
            <w:pPr>
              <w:spacing w:after="20" w:line="252" w:lineRule="auto"/>
            </w:pPr>
            <w:r>
              <w:rPr>
                <w:b w:val="0"/>
                <w:i w:val="0"/>
                <w:sz w:val="16"/>
              </w:rPr>
              <w:t>Solution overview and architecture</w:t>
            </w:r>
          </w:p>
        </w:tc>
        <w:tc>
          <w:tcPr>
            <w:tcW w:type="dxa" w:w="2154"/>
            <w:vAlign w:val="top"/>
          </w:tcPr>
          <w:p>
            <w:pPr>
              <w:spacing w:after="20" w:line="252" w:lineRule="auto"/>
            </w:pPr>
            <w:r>
              <w:rPr>
                <w:b w:val="0"/>
                <w:i w:val="0"/>
                <w:sz w:val="16"/>
              </w:rPr>
              <w:t>IIFT IT, IITH infrastructure</w:t>
            </w:r>
          </w:p>
        </w:tc>
        <w:tc>
          <w:tcPr>
            <w:tcW w:type="dxa" w:w="907"/>
            <w:vAlign w:val="top"/>
          </w:tcPr>
          <w:p>
            <w:pPr>
              <w:spacing w:after="20" w:line="252" w:lineRule="auto"/>
            </w:pPr>
            <w:r>
              <w:rPr>
                <w:b w:val="0"/>
                <w:i w:val="0"/>
                <w:sz w:val="16"/>
              </w:rPr>
              <w:t>2 h</w:t>
            </w:r>
          </w:p>
        </w:tc>
        <w:tc>
          <w:tcPr>
            <w:tcW w:type="dxa" w:w="2608"/>
            <w:vAlign w:val="top"/>
          </w:tcPr>
          <w:p>
            <w:pPr>
              <w:spacing w:after="20" w:line="252" w:lineRule="auto"/>
            </w:pPr>
            <w:r>
              <w:rPr>
                <w:b w:val="0"/>
                <w:i w:val="0"/>
                <w:sz w:val="16"/>
              </w:rPr>
              <w:t>Solution Architecture, live demonstration</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3515"/>
            <w:vAlign w:val="top"/>
            <w:shd w:val="clear" w:color="auto" w:fill="FDF0F7"/>
          </w:tcPr>
          <w:p>
            <w:pPr>
              <w:spacing w:after="20" w:line="252" w:lineRule="auto"/>
            </w:pPr>
            <w:r>
              <w:rPr>
                <w:b w:val="0"/>
                <w:i w:val="0"/>
                <w:sz w:val="16"/>
              </w:rPr>
              <w:t>Back-office administration: users, roles, workflows, parameters, products, master data</w:t>
            </w:r>
          </w:p>
        </w:tc>
        <w:tc>
          <w:tcPr>
            <w:tcW w:type="dxa" w:w="2154"/>
            <w:vAlign w:val="top"/>
            <w:shd w:val="clear" w:color="auto" w:fill="FDF0F7"/>
          </w:tcPr>
          <w:p>
            <w:pPr>
              <w:spacing w:after="20" w:line="252" w:lineRule="auto"/>
            </w:pPr>
            <w:r>
              <w:rPr>
                <w:b w:val="0"/>
                <w:i w:val="0"/>
                <w:sz w:val="16"/>
              </w:rPr>
              <w:t>IIFT administrators</w:t>
            </w:r>
          </w:p>
        </w:tc>
        <w:tc>
          <w:tcPr>
            <w:tcW w:type="dxa" w:w="907"/>
            <w:vAlign w:val="top"/>
            <w:shd w:val="clear" w:color="auto" w:fill="FDF0F7"/>
          </w:tcPr>
          <w:p>
            <w:pPr>
              <w:spacing w:after="20" w:line="252" w:lineRule="auto"/>
            </w:pPr>
            <w:r>
              <w:rPr>
                <w:b w:val="0"/>
                <w:i w:val="0"/>
                <w:sz w:val="16"/>
              </w:rPr>
              <w:t>3 h</w:t>
            </w:r>
          </w:p>
        </w:tc>
        <w:tc>
          <w:tcPr>
            <w:tcW w:type="dxa" w:w="2608"/>
            <w:vAlign w:val="top"/>
            <w:shd w:val="clear" w:color="auto" w:fill="FDF0F7"/>
          </w:tcPr>
          <w:p>
            <w:pPr>
              <w:spacing w:after="20" w:line="252" w:lineRule="auto"/>
            </w:pPr>
            <w:r>
              <w:rPr>
                <w:b w:val="0"/>
                <w:i w:val="0"/>
                <w:sz w:val="16"/>
              </w:rPr>
              <w:t>Administrator manual, UAT environment</w:t>
            </w:r>
          </w:p>
        </w:tc>
      </w:tr>
      <w:tr>
        <w:trPr>
          <w:cantSplit/>
        </w:trPr>
        <w:tc>
          <w:tcPr>
            <w:tcW w:type="dxa" w:w="454"/>
            <w:vAlign w:val="top"/>
          </w:tcPr>
          <w:p>
            <w:pPr>
              <w:spacing w:after="20" w:line="252" w:lineRule="auto"/>
              <w:jc w:val="center"/>
            </w:pPr>
            <w:r>
              <w:rPr>
                <w:b w:val="0"/>
                <w:i w:val="0"/>
                <w:sz w:val="16"/>
              </w:rPr>
              <w:t>3</w:t>
            </w:r>
          </w:p>
        </w:tc>
        <w:tc>
          <w:tcPr>
            <w:tcW w:type="dxa" w:w="3515"/>
            <w:vAlign w:val="top"/>
          </w:tcPr>
          <w:p>
            <w:pPr>
              <w:spacing w:after="20" w:line="252" w:lineRule="auto"/>
            </w:pPr>
            <w:r>
              <w:rPr>
                <w:b w:val="0"/>
                <w:i w:val="0"/>
                <w:sz w:val="16"/>
              </w:rPr>
              <w:t>Operations: monitoring, EOD, integration monitor, reconciliation, daily checks</w:t>
            </w:r>
          </w:p>
        </w:tc>
        <w:tc>
          <w:tcPr>
            <w:tcW w:type="dxa" w:w="2154"/>
            <w:vAlign w:val="top"/>
          </w:tcPr>
          <w:p>
            <w:pPr>
              <w:spacing w:after="20" w:line="252" w:lineRule="auto"/>
            </w:pPr>
            <w:r>
              <w:rPr>
                <w:b w:val="0"/>
                <w:i w:val="0"/>
                <w:sz w:val="16"/>
              </w:rPr>
              <w:t>IIFT IT, Finance</w:t>
            </w:r>
          </w:p>
        </w:tc>
        <w:tc>
          <w:tcPr>
            <w:tcW w:type="dxa" w:w="907"/>
            <w:vAlign w:val="top"/>
          </w:tcPr>
          <w:p>
            <w:pPr>
              <w:spacing w:after="20" w:line="252" w:lineRule="auto"/>
            </w:pPr>
            <w:r>
              <w:rPr>
                <w:b w:val="0"/>
                <w:i w:val="0"/>
                <w:sz w:val="16"/>
              </w:rPr>
              <w:t>3 h</w:t>
            </w:r>
          </w:p>
        </w:tc>
        <w:tc>
          <w:tcPr>
            <w:tcW w:type="dxa" w:w="2608"/>
            <w:vAlign w:val="top"/>
          </w:tcPr>
          <w:p>
            <w:pPr>
              <w:spacing w:after="20" w:line="252" w:lineRule="auto"/>
            </w:pPr>
            <w:r>
              <w:rPr>
                <w:b w:val="0"/>
                <w:i w:val="0"/>
                <w:sz w:val="16"/>
              </w:rPr>
              <w:t>This document, dashboards</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3515"/>
            <w:vAlign w:val="top"/>
            <w:shd w:val="clear" w:color="auto" w:fill="FDF0F7"/>
          </w:tcPr>
          <w:p>
            <w:pPr>
              <w:spacing w:after="20" w:line="252" w:lineRule="auto"/>
            </w:pPr>
            <w:r>
              <w:rPr>
                <w:b w:val="0"/>
                <w:i w:val="0"/>
                <w:sz w:val="16"/>
              </w:rPr>
              <w:t>Runbooks hands-on: start/stop, deploy, rollback, restore, retries</w:t>
            </w:r>
          </w:p>
        </w:tc>
        <w:tc>
          <w:tcPr>
            <w:tcW w:type="dxa" w:w="2154"/>
            <w:vAlign w:val="top"/>
            <w:shd w:val="clear" w:color="auto" w:fill="FDF0F7"/>
          </w:tcPr>
          <w:p>
            <w:pPr>
              <w:spacing w:after="20" w:line="252" w:lineRule="auto"/>
            </w:pPr>
            <w:r>
              <w:rPr>
                <w:b w:val="0"/>
                <w:i w:val="0"/>
                <w:sz w:val="16"/>
              </w:rPr>
              <w:t>IIFT IT, IITH infrastructure</w:t>
            </w:r>
          </w:p>
        </w:tc>
        <w:tc>
          <w:tcPr>
            <w:tcW w:type="dxa" w:w="907"/>
            <w:vAlign w:val="top"/>
            <w:shd w:val="clear" w:color="auto" w:fill="FDF0F7"/>
          </w:tcPr>
          <w:p>
            <w:pPr>
              <w:spacing w:after="20" w:line="252" w:lineRule="auto"/>
            </w:pPr>
            <w:r>
              <w:rPr>
                <w:b w:val="0"/>
                <w:i w:val="0"/>
                <w:sz w:val="16"/>
              </w:rPr>
              <w:t>4 h</w:t>
            </w:r>
          </w:p>
        </w:tc>
        <w:tc>
          <w:tcPr>
            <w:tcW w:type="dxa" w:w="2608"/>
            <w:vAlign w:val="top"/>
            <w:shd w:val="clear" w:color="auto" w:fill="FDF0F7"/>
          </w:tcPr>
          <w:p>
            <w:pPr>
              <w:spacing w:after="20" w:line="252" w:lineRule="auto"/>
            </w:pPr>
            <w:r>
              <w:rPr>
                <w:b w:val="0"/>
                <w:i w:val="0"/>
                <w:sz w:val="16"/>
              </w:rPr>
              <w:t>UAT environment, runbooks</w:t>
            </w:r>
          </w:p>
        </w:tc>
      </w:tr>
      <w:tr>
        <w:trPr>
          <w:cantSplit/>
        </w:trPr>
        <w:tc>
          <w:tcPr>
            <w:tcW w:type="dxa" w:w="454"/>
            <w:vAlign w:val="top"/>
          </w:tcPr>
          <w:p>
            <w:pPr>
              <w:spacing w:after="20" w:line="252" w:lineRule="auto"/>
              <w:jc w:val="center"/>
            </w:pPr>
            <w:r>
              <w:rPr>
                <w:b w:val="0"/>
                <w:i w:val="0"/>
                <w:sz w:val="16"/>
              </w:rPr>
              <w:t>5</w:t>
            </w:r>
          </w:p>
        </w:tc>
        <w:tc>
          <w:tcPr>
            <w:tcW w:type="dxa" w:w="3515"/>
            <w:vAlign w:val="top"/>
          </w:tcPr>
          <w:p>
            <w:pPr>
              <w:spacing w:after="20" w:line="252" w:lineRule="auto"/>
            </w:pPr>
            <w:r>
              <w:rPr>
                <w:b w:val="0"/>
                <w:i w:val="0"/>
                <w:sz w:val="16"/>
              </w:rPr>
              <w:t>Infrastructure: containers, PostgreSQL replication, backups, DR</w:t>
            </w:r>
          </w:p>
        </w:tc>
        <w:tc>
          <w:tcPr>
            <w:tcW w:type="dxa" w:w="2154"/>
            <w:vAlign w:val="top"/>
          </w:tcPr>
          <w:p>
            <w:pPr>
              <w:spacing w:after="20" w:line="252" w:lineRule="auto"/>
            </w:pPr>
            <w:r>
              <w:rPr>
                <w:b w:val="0"/>
                <w:i w:val="0"/>
                <w:sz w:val="16"/>
              </w:rPr>
              <w:t>IITH infrastructure</w:t>
            </w:r>
          </w:p>
        </w:tc>
        <w:tc>
          <w:tcPr>
            <w:tcW w:type="dxa" w:w="907"/>
            <w:vAlign w:val="top"/>
          </w:tcPr>
          <w:p>
            <w:pPr>
              <w:spacing w:after="20" w:line="252" w:lineRule="auto"/>
            </w:pPr>
            <w:r>
              <w:rPr>
                <w:b w:val="0"/>
                <w:i w:val="0"/>
                <w:sz w:val="16"/>
              </w:rPr>
              <w:t>3 h</w:t>
            </w:r>
          </w:p>
        </w:tc>
        <w:tc>
          <w:tcPr>
            <w:tcW w:type="dxa" w:w="2608"/>
            <w:vAlign w:val="top"/>
          </w:tcPr>
          <w:p>
            <w:pPr>
              <w:spacing w:after="20" w:line="252" w:lineRule="auto"/>
            </w:pPr>
            <w:r>
              <w:rPr>
                <w:b w:val="0"/>
                <w:i w:val="0"/>
                <w:sz w:val="16"/>
              </w:rPr>
              <w:t>Deployment scripts, DR plan</w:t>
            </w:r>
          </w:p>
        </w:tc>
      </w:tr>
      <w:tr>
        <w:trPr>
          <w:cantSplit/>
        </w:trPr>
        <w:tc>
          <w:tcPr>
            <w:tcW w:type="dxa" w:w="454"/>
            <w:vAlign w:val="top"/>
            <w:shd w:val="clear" w:color="auto" w:fill="FDF0F7"/>
          </w:tcPr>
          <w:p>
            <w:pPr>
              <w:spacing w:after="20" w:line="252" w:lineRule="auto"/>
              <w:jc w:val="center"/>
            </w:pPr>
            <w:r>
              <w:rPr>
                <w:b w:val="0"/>
                <w:i w:val="0"/>
                <w:sz w:val="16"/>
              </w:rPr>
              <w:t>6</w:t>
            </w:r>
          </w:p>
        </w:tc>
        <w:tc>
          <w:tcPr>
            <w:tcW w:type="dxa" w:w="3515"/>
            <w:vAlign w:val="top"/>
            <w:shd w:val="clear" w:color="auto" w:fill="FDF0F7"/>
          </w:tcPr>
          <w:p>
            <w:pPr>
              <w:spacing w:after="20" w:line="252" w:lineRule="auto"/>
            </w:pPr>
            <w:r>
              <w:rPr>
                <w:b w:val="0"/>
                <w:i w:val="0"/>
                <w:sz w:val="16"/>
              </w:rPr>
              <w:t>Security operations: keys, secrets, access reviews, audit trail, VAPT findings</w:t>
            </w:r>
          </w:p>
        </w:tc>
        <w:tc>
          <w:tcPr>
            <w:tcW w:type="dxa" w:w="2154"/>
            <w:vAlign w:val="top"/>
            <w:shd w:val="clear" w:color="auto" w:fill="FDF0F7"/>
          </w:tcPr>
          <w:p>
            <w:pPr>
              <w:spacing w:after="20" w:line="252" w:lineRule="auto"/>
            </w:pPr>
            <w:r>
              <w:rPr>
                <w:b w:val="0"/>
                <w:i w:val="0"/>
                <w:sz w:val="16"/>
              </w:rPr>
              <w:t>IIFT IT security</w:t>
            </w:r>
          </w:p>
        </w:tc>
        <w:tc>
          <w:tcPr>
            <w:tcW w:type="dxa" w:w="907"/>
            <w:vAlign w:val="top"/>
            <w:shd w:val="clear" w:color="auto" w:fill="FDF0F7"/>
          </w:tcPr>
          <w:p>
            <w:pPr>
              <w:spacing w:after="20" w:line="252" w:lineRule="auto"/>
            </w:pPr>
            <w:r>
              <w:rPr>
                <w:b w:val="0"/>
                <w:i w:val="0"/>
                <w:sz w:val="16"/>
              </w:rPr>
              <w:t>2 h</w:t>
            </w:r>
          </w:p>
        </w:tc>
        <w:tc>
          <w:tcPr>
            <w:tcW w:type="dxa" w:w="2608"/>
            <w:vAlign w:val="top"/>
            <w:shd w:val="clear" w:color="auto" w:fill="FDF0F7"/>
          </w:tcPr>
          <w:p>
            <w:pPr>
              <w:spacing w:after="20" w:line="252" w:lineRule="auto"/>
            </w:pPr>
            <w:r>
              <w:rPr>
                <w:b w:val="0"/>
                <w:i w:val="0"/>
                <w:sz w:val="16"/>
              </w:rPr>
              <w:t>Security Assessment Report</w:t>
            </w:r>
          </w:p>
        </w:tc>
      </w:tr>
      <w:tr>
        <w:trPr>
          <w:cantSplit/>
        </w:trPr>
        <w:tc>
          <w:tcPr>
            <w:tcW w:type="dxa" w:w="454"/>
            <w:vAlign w:val="top"/>
          </w:tcPr>
          <w:p>
            <w:pPr>
              <w:spacing w:after="20" w:line="252" w:lineRule="auto"/>
              <w:jc w:val="center"/>
            </w:pPr>
            <w:r>
              <w:rPr>
                <w:b w:val="0"/>
                <w:i w:val="0"/>
                <w:sz w:val="16"/>
              </w:rPr>
              <w:t>7</w:t>
            </w:r>
          </w:p>
        </w:tc>
        <w:tc>
          <w:tcPr>
            <w:tcW w:type="dxa" w:w="3515"/>
            <w:vAlign w:val="top"/>
          </w:tcPr>
          <w:p>
            <w:pPr>
              <w:spacing w:after="20" w:line="252" w:lineRule="auto"/>
            </w:pPr>
            <w:r>
              <w:rPr>
                <w:b w:val="0"/>
                <w:i w:val="0"/>
                <w:sz w:val="16"/>
              </w:rPr>
              <w:t>Code walk-through for developers: structure, conventions, tests, adding features</w:t>
            </w:r>
          </w:p>
        </w:tc>
        <w:tc>
          <w:tcPr>
            <w:tcW w:type="dxa" w:w="2154"/>
            <w:vAlign w:val="top"/>
          </w:tcPr>
          <w:p>
            <w:pPr>
              <w:spacing w:after="20" w:line="252" w:lineRule="auto"/>
            </w:pPr>
            <w:r>
              <w:rPr>
                <w:b w:val="0"/>
                <w:i w:val="0"/>
                <w:sz w:val="16"/>
              </w:rPr>
              <w:t>IIFT/IITH developers</w:t>
            </w:r>
          </w:p>
        </w:tc>
        <w:tc>
          <w:tcPr>
            <w:tcW w:type="dxa" w:w="907"/>
            <w:vAlign w:val="top"/>
          </w:tcPr>
          <w:p>
            <w:pPr>
              <w:spacing w:after="20" w:line="252" w:lineRule="auto"/>
            </w:pPr>
            <w:r>
              <w:rPr>
                <w:b w:val="0"/>
                <w:i w:val="0"/>
                <w:sz w:val="16"/>
              </w:rPr>
              <w:t>2 × 3 h</w:t>
            </w:r>
          </w:p>
        </w:tc>
        <w:tc>
          <w:tcPr>
            <w:tcW w:type="dxa" w:w="2608"/>
            <w:vAlign w:val="top"/>
          </w:tcPr>
          <w:p>
            <w:pPr>
              <w:spacing w:after="20" w:line="252" w:lineRule="auto"/>
            </w:pPr>
            <w:r>
              <w:rPr>
                <w:b w:val="0"/>
                <w:i w:val="0"/>
                <w:sz w:val="16"/>
              </w:rPr>
              <w:t>Developer onboarding guide, repository</w:t>
            </w:r>
          </w:p>
        </w:tc>
      </w:tr>
      <w:tr>
        <w:trPr>
          <w:cantSplit/>
        </w:trPr>
        <w:tc>
          <w:tcPr>
            <w:tcW w:type="dxa" w:w="454"/>
            <w:vAlign w:val="top"/>
            <w:shd w:val="clear" w:color="auto" w:fill="FDF0F7"/>
          </w:tcPr>
          <w:p>
            <w:pPr>
              <w:spacing w:after="20" w:line="252" w:lineRule="auto"/>
              <w:jc w:val="center"/>
            </w:pPr>
            <w:r>
              <w:rPr>
                <w:b w:val="0"/>
                <w:i w:val="0"/>
                <w:sz w:val="16"/>
              </w:rPr>
              <w:t>8</w:t>
            </w:r>
          </w:p>
        </w:tc>
        <w:tc>
          <w:tcPr>
            <w:tcW w:type="dxa" w:w="3515"/>
            <w:vAlign w:val="top"/>
            <w:shd w:val="clear" w:color="auto" w:fill="FDF0F7"/>
          </w:tcPr>
          <w:p>
            <w:pPr>
              <w:spacing w:after="20" w:line="252" w:lineRule="auto"/>
            </w:pPr>
            <w:r>
              <w:rPr>
                <w:b w:val="0"/>
                <w:i w:val="0"/>
                <w:sz w:val="16"/>
              </w:rPr>
              <w:t>Helpdesk: common questions, triage, priority rules, escalation</w:t>
            </w:r>
          </w:p>
        </w:tc>
        <w:tc>
          <w:tcPr>
            <w:tcW w:type="dxa" w:w="2154"/>
            <w:vAlign w:val="top"/>
            <w:shd w:val="clear" w:color="auto" w:fill="FDF0F7"/>
          </w:tcPr>
          <w:p>
            <w:pPr>
              <w:spacing w:after="20" w:line="252" w:lineRule="auto"/>
            </w:pPr>
            <w:r>
              <w:rPr>
                <w:b w:val="0"/>
                <w:i w:val="0"/>
                <w:sz w:val="16"/>
              </w:rPr>
              <w:t>IIFT helpdesk</w:t>
            </w:r>
          </w:p>
        </w:tc>
        <w:tc>
          <w:tcPr>
            <w:tcW w:type="dxa" w:w="907"/>
            <w:vAlign w:val="top"/>
            <w:shd w:val="clear" w:color="auto" w:fill="FDF0F7"/>
          </w:tcPr>
          <w:p>
            <w:pPr>
              <w:spacing w:after="20" w:line="252" w:lineRule="auto"/>
            </w:pPr>
            <w:r>
              <w:rPr>
                <w:b w:val="0"/>
                <w:i w:val="0"/>
                <w:sz w:val="16"/>
              </w:rPr>
              <w:t>2 h</w:t>
            </w:r>
          </w:p>
        </w:tc>
        <w:tc>
          <w:tcPr>
            <w:tcW w:type="dxa" w:w="2608"/>
            <w:vAlign w:val="top"/>
            <w:shd w:val="clear" w:color="auto" w:fill="FDF0F7"/>
          </w:tcPr>
          <w:p>
            <w:pPr>
              <w:spacing w:after="20" w:line="252" w:lineRule="auto"/>
            </w:pPr>
            <w:r>
              <w:rPr>
                <w:b w:val="0"/>
                <w:i w:val="0"/>
                <w:sz w:val="16"/>
              </w:rPr>
              <w:t>Known-error list, FAQ</w:t>
            </w:r>
          </w:p>
        </w:tc>
      </w:tr>
    </w:tbl>
    <w:p>
      <w:pPr>
        <w:pStyle w:val="Caption"/>
        <w:jc w:val="center"/>
      </w:pPr>
      <w:r>
        <w:rPr>
          <w:b w:val="0"/>
          <w:i w:val="0"/>
        </w:rPr>
        <w:t>Table 21: Knowledge transfer sessions</w:t>
      </w:r>
    </w:p>
    <w:p>
      <w:pPr>
        <w:keepNext w:val="0"/>
      </w:pPr>
      <w:r>
        <w:rPr>
          <w:b w:val="0"/>
          <w:i w:val="0"/>
        </w:rPr>
        <w:t>Completion criteria: each session delivered and attended; IIFT/IITH staff have run runbooks R1, R2, R5, R6, R7 and R8 in UAT unaided; questions log closed. These sessions are part of every option; the deeper developer transfer that comes with the source code under Option C is in chapter 16.</w:t>
      </w:r>
    </w:p>
    <w:p>
      <w:pPr>
        <w:pStyle w:val="Heading1"/>
        <w:pageBreakBefore/>
        <w:pBdr>
          <w:bottom w:val="single" w:sz="12" w:space="4" w:color="F58220"/>
        </w:pBdr>
      </w:pPr>
      <w:r>
        <w:t>16. Option C: Source Code Handover and Transition</w:t>
      </w:r>
    </w:p>
    <w:p>
      <w:pPr>
        <w:keepNext w:val="0"/>
      </w:pPr>
      <w:r>
        <w:rPr>
          <w:b w:val="0"/>
          <w:i w:val="0"/>
        </w:rPr>
        <w:t>Under every option iorta delivers, at go-live and with every release, the source code of the IIFT-specific components: configuration, integration adapters, reports, document templates, migration scripts and build scripts. Option C adds the source code of the SalesVerse 2.0 core platform with a structured 8-week knowledge transfer, so that IIFT, IITH or a provider IIFT appoints can maintain and extend the solution. It starts after go-live and hypercare exit (week 29 at the earliest) or later in the contract. Licence rights, price and payment milestones are in the proposal; this chapter is the technical transition plan. The escrow alternative in the proposal deposits the same package with an agent instead and does not include the knowledge transfer.</w:t>
      </w:r>
    </w:p>
    <w:p>
      <w:pPr>
        <w:pStyle w:val="Heading2"/>
      </w:pPr>
      <w:r>
        <w:t>16.1 Source code package</w:t>
      </w:r>
    </w:p>
    <w:p>
      <w:pPr>
        <w:pStyle w:val="ListBullet"/>
      </w:pPr>
      <w:r>
        <w:rPr>
          <w:b w:val="0"/>
          <w:i w:val="0"/>
        </w:rPr>
        <w:t>Full source code of SalesVerse 2.0 core and IIFT customisations in a Git repository with history</w:t>
      </w:r>
    </w:p>
    <w:p>
      <w:pPr>
        <w:pStyle w:val="ListBullet"/>
      </w:pPr>
      <w:r>
        <w:rPr>
          <w:b w:val="0"/>
          <w:i w:val="0"/>
        </w:rPr>
        <w:t>Build scripts, CI/CD pipeline definitions, infrastructure and container definitions</w:t>
      </w:r>
    </w:p>
    <w:p>
      <w:pPr>
        <w:pStyle w:val="ListBullet"/>
      </w:pPr>
      <w:r>
        <w:rPr>
          <w:b w:val="0"/>
          <w:i w:val="0"/>
        </w:rPr>
        <w:t>Database schema, migrations, reference data and seed scripts</w:t>
      </w:r>
    </w:p>
    <w:p>
      <w:pPr>
        <w:pStyle w:val="ListBullet"/>
      </w:pPr>
      <w:r>
        <w:rPr>
          <w:b w:val="0"/>
          <w:i w:val="0"/>
        </w:rPr>
        <w:t>Automated test suites (unit, end-to-end, security checks) and test data</w:t>
      </w:r>
    </w:p>
    <w:p>
      <w:pPr>
        <w:pStyle w:val="ListBullet"/>
      </w:pPr>
      <w:r>
        <w:rPr>
          <w:b w:val="0"/>
          <w:i w:val="0"/>
        </w:rPr>
        <w:t>Developer guide, architecture document, data dictionary, runbooks and coding standards</w:t>
      </w:r>
    </w:p>
    <w:p>
      <w:pPr>
        <w:pStyle w:val="ListBullet"/>
      </w:pPr>
      <w:r>
        <w:rPr>
          <w:b w:val="0"/>
          <w:i w:val="0"/>
        </w:rPr>
        <w:t>Third-party component inventory and software bill of materials (SBOM)</w:t>
      </w:r>
    </w:p>
    <w:p>
      <w:pPr>
        <w:keepNext w:val="0"/>
      </w:pPr>
      <w:r>
        <w:rPr>
          <w:b w:val="0"/>
          <w:i w:val="0"/>
        </w:rPr>
        <w:t>The package is the repository at a tagged commit that builds the production release, verified by IIFT before the first Option C payment: IIFT clones the repository, runs the pipeline and compares the image digests with those running in production. The developer onboarding guide in chapter 17, the Solution Architecture, the Data Dictionary and this document are the documentation set; the SBOM lists every third-party component with its licence.</w:t>
      </w:r>
    </w:p>
    <w:p>
      <w:pPr>
        <w:pStyle w:val="Heading2"/>
      </w:pPr>
      <w:r>
        <w:t>16.2 Knowledge transfer plan</w:t>
      </w:r>
    </w:p>
    <w:p>
      <w:pPr>
        <w:keepNext w:val="0"/>
      </w:pPr>
      <w:r>
        <w:rPr>
          <w:b w:val="0"/>
          <w:i w:val="0"/>
        </w:rPr>
        <w:t>The plan assumes up to six IIFT/IITH or nominated contractor staff with Node.js, TypeScript, React and PostgreSQL experience, released for the full period. The Solution Architect and a Senior Developer are on site for the code walkthrough weeks; the rest is delivered remotely with recorded sessions.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793"/>
        <w:gridCol w:w="5670"/>
        <w:gridCol w:w="3175"/>
      </w:tblGrid>
      <w:tr>
        <w:trPr>
          <w:cantSplit/>
          <w:tblHeader/>
        </w:trPr>
        <w:tc>
          <w:tcPr>
            <w:tcW w:type="dxa" w:w="794"/>
            <w:shd w:val="clear" w:color="auto" w:fill="E1058C"/>
            <w:vAlign w:val="center"/>
          </w:tcPr>
          <w:p>
            <w:pPr>
              <w:spacing w:after="0"/>
            </w:pPr>
            <w:r>
              <w:rPr>
                <w:b/>
                <w:i w:val="0"/>
                <w:color w:val="FFFFFF"/>
                <w:sz w:val="17"/>
              </w:rPr>
              <w:t>Week</w:t>
            </w:r>
          </w:p>
        </w:tc>
        <w:tc>
          <w:tcPr>
            <w:tcW w:type="dxa" w:w="5669"/>
            <w:shd w:val="clear" w:color="auto" w:fill="E1058C"/>
            <w:vAlign w:val="center"/>
          </w:tcPr>
          <w:p>
            <w:pPr>
              <w:spacing w:after="0"/>
            </w:pPr>
            <w:r>
              <w:rPr>
                <w:b/>
                <w:i w:val="0"/>
                <w:color w:val="FFFFFF"/>
                <w:sz w:val="17"/>
              </w:rPr>
              <w:t>Activity</w:t>
            </w:r>
          </w:p>
        </w:tc>
        <w:tc>
          <w:tcPr>
            <w:tcW w:type="dxa" w:w="3175"/>
            <w:shd w:val="clear" w:color="auto" w:fill="E1058C"/>
            <w:vAlign w:val="center"/>
          </w:tcPr>
          <w:p>
            <w:pPr>
              <w:spacing w:after="0"/>
            </w:pPr>
            <w:r>
              <w:rPr>
                <w:b/>
                <w:i w:val="0"/>
                <w:color w:val="FFFFFF"/>
                <w:sz w:val="17"/>
              </w:rPr>
              <w:t>Outcome and acceptance evidence</w:t>
            </w:r>
          </w:p>
        </w:tc>
      </w:tr>
      <w:tr>
        <w:trPr>
          <w:cantSplit/>
        </w:trPr>
        <w:tc>
          <w:tcPr>
            <w:tcW w:type="dxa" w:w="794"/>
            <w:vAlign w:val="top"/>
          </w:tcPr>
          <w:p>
            <w:pPr>
              <w:spacing w:after="20" w:line="252" w:lineRule="auto"/>
              <w:jc w:val="center"/>
            </w:pPr>
            <w:r>
              <w:rPr>
                <w:b w:val="0"/>
                <w:i w:val="0"/>
                <w:sz w:val="17"/>
              </w:rPr>
              <w:t>1</w:t>
            </w:r>
          </w:p>
        </w:tc>
        <w:tc>
          <w:tcPr>
            <w:tcW w:type="dxa" w:w="5669"/>
            <w:vAlign w:val="top"/>
          </w:tcPr>
          <w:p>
            <w:pPr>
              <w:spacing w:after="20" w:line="252" w:lineRule="auto"/>
            </w:pPr>
            <w:r>
              <w:rPr>
                <w:b w:val="0"/>
                <w:i w:val="0"/>
                <w:sz w:val="17"/>
              </w:rPr>
              <w:t>Transition plan, roles, access to repositories and pipelines</w:t>
            </w:r>
          </w:p>
        </w:tc>
        <w:tc>
          <w:tcPr>
            <w:tcW w:type="dxa" w:w="3175"/>
            <w:vAlign w:val="top"/>
          </w:tcPr>
          <w:p>
            <w:pPr>
              <w:spacing w:after="20" w:line="252" w:lineRule="auto"/>
            </w:pPr>
            <w:r>
              <w:rPr>
                <w:b w:val="0"/>
                <w:i w:val="0"/>
                <w:sz w:val="17"/>
              </w:rPr>
              <w:t>Signed transition plan</w:t>
            </w:r>
          </w:p>
        </w:tc>
      </w:tr>
      <w:tr>
        <w:trPr>
          <w:cantSplit/>
        </w:trPr>
        <w:tc>
          <w:tcPr>
            <w:tcW w:type="dxa" w:w="794"/>
            <w:vAlign w:val="top"/>
            <w:shd w:val="clear" w:color="auto" w:fill="FDF0F7"/>
          </w:tcPr>
          <w:p>
            <w:pPr>
              <w:spacing w:after="20" w:line="252" w:lineRule="auto"/>
              <w:jc w:val="center"/>
            </w:pPr>
            <w:r>
              <w:rPr>
                <w:b w:val="0"/>
                <w:i w:val="0"/>
                <w:sz w:val="17"/>
              </w:rPr>
              <w:t>2</w:t>
            </w:r>
          </w:p>
        </w:tc>
        <w:tc>
          <w:tcPr>
            <w:tcW w:type="dxa" w:w="5669"/>
            <w:vAlign w:val="top"/>
            <w:shd w:val="clear" w:color="auto" w:fill="FDF0F7"/>
          </w:tcPr>
          <w:p>
            <w:pPr>
              <w:spacing w:after="20" w:line="252" w:lineRule="auto"/>
            </w:pPr>
            <w:r>
              <w:rPr>
                <w:b w:val="0"/>
                <w:i w:val="0"/>
                <w:sz w:val="17"/>
              </w:rPr>
              <w:t>Architecture, data model and module walkthroughs</w:t>
            </w:r>
          </w:p>
        </w:tc>
        <w:tc>
          <w:tcPr>
            <w:tcW w:type="dxa" w:w="3175"/>
            <w:vAlign w:val="top"/>
            <w:shd w:val="clear" w:color="auto" w:fill="FDF0F7"/>
          </w:tcPr>
          <w:p>
            <w:pPr>
              <w:spacing w:after="20" w:line="252" w:lineRule="auto"/>
            </w:pPr>
            <w:r>
              <w:rPr>
                <w:b w:val="0"/>
                <w:i w:val="0"/>
                <w:sz w:val="17"/>
              </w:rPr>
              <w:t>Architecture walkthrough sign-off</w:t>
            </w:r>
          </w:p>
        </w:tc>
      </w:tr>
      <w:tr>
        <w:trPr>
          <w:cantSplit/>
        </w:trPr>
        <w:tc>
          <w:tcPr>
            <w:tcW w:type="dxa" w:w="794"/>
            <w:vAlign w:val="top"/>
          </w:tcPr>
          <w:p>
            <w:pPr>
              <w:spacing w:after="20" w:line="252" w:lineRule="auto"/>
              <w:jc w:val="center"/>
            </w:pPr>
            <w:r>
              <w:rPr>
                <w:b w:val="0"/>
                <w:i w:val="0"/>
                <w:sz w:val="17"/>
              </w:rPr>
              <w:t>3</w:t>
            </w:r>
          </w:p>
        </w:tc>
        <w:tc>
          <w:tcPr>
            <w:tcW w:type="dxa" w:w="5669"/>
            <w:vAlign w:val="top"/>
          </w:tcPr>
          <w:p>
            <w:pPr>
              <w:spacing w:after="20" w:line="252" w:lineRule="auto"/>
            </w:pPr>
            <w:r>
              <w:rPr>
                <w:b w:val="0"/>
                <w:i w:val="0"/>
                <w:sz w:val="17"/>
              </w:rPr>
              <w:t>Code walkthroughs: sales, policy, billing and claims modules</w:t>
            </w:r>
          </w:p>
        </w:tc>
        <w:tc>
          <w:tcPr>
            <w:tcW w:type="dxa" w:w="3175"/>
            <w:vAlign w:val="top"/>
          </w:tcPr>
          <w:p>
            <w:pPr>
              <w:spacing w:after="20" w:line="252" w:lineRule="auto"/>
            </w:pPr>
            <w:r>
              <w:rPr>
                <w:b w:val="0"/>
                <w:i w:val="0"/>
                <w:sz w:val="17"/>
              </w:rPr>
              <w:t>Module checklists</w:t>
            </w:r>
          </w:p>
        </w:tc>
      </w:tr>
      <w:tr>
        <w:trPr>
          <w:cantSplit/>
        </w:trPr>
        <w:tc>
          <w:tcPr>
            <w:tcW w:type="dxa" w:w="794"/>
            <w:vAlign w:val="top"/>
            <w:shd w:val="clear" w:color="auto" w:fill="FDF0F7"/>
          </w:tcPr>
          <w:p>
            <w:pPr>
              <w:spacing w:after="20" w:line="252" w:lineRule="auto"/>
              <w:jc w:val="center"/>
            </w:pPr>
            <w:r>
              <w:rPr>
                <w:b w:val="0"/>
                <w:i w:val="0"/>
                <w:sz w:val="17"/>
              </w:rPr>
              <w:t>4</w:t>
            </w:r>
          </w:p>
        </w:tc>
        <w:tc>
          <w:tcPr>
            <w:tcW w:type="dxa" w:w="5669"/>
            <w:vAlign w:val="top"/>
            <w:shd w:val="clear" w:color="auto" w:fill="FDF0F7"/>
          </w:tcPr>
          <w:p>
            <w:pPr>
              <w:spacing w:after="20" w:line="252" w:lineRule="auto"/>
            </w:pPr>
            <w:r>
              <w:rPr>
                <w:b w:val="0"/>
                <w:i w:val="0"/>
                <w:sz w:val="17"/>
              </w:rPr>
              <w:t>Code walkthroughs: workflow, integration, reports, security</w:t>
            </w:r>
          </w:p>
        </w:tc>
        <w:tc>
          <w:tcPr>
            <w:tcW w:type="dxa" w:w="3175"/>
            <w:vAlign w:val="top"/>
            <w:shd w:val="clear" w:color="auto" w:fill="FDF0F7"/>
          </w:tcPr>
          <w:p>
            <w:pPr>
              <w:spacing w:after="20" w:line="252" w:lineRule="auto"/>
            </w:pPr>
            <w:r>
              <w:rPr>
                <w:b w:val="0"/>
                <w:i w:val="0"/>
                <w:sz w:val="17"/>
              </w:rPr>
              <w:t>Module checklists</w:t>
            </w:r>
          </w:p>
        </w:tc>
      </w:tr>
      <w:tr>
        <w:trPr>
          <w:cantSplit/>
        </w:trPr>
        <w:tc>
          <w:tcPr>
            <w:tcW w:type="dxa" w:w="794"/>
            <w:vAlign w:val="top"/>
          </w:tcPr>
          <w:p>
            <w:pPr>
              <w:spacing w:after="20" w:line="252" w:lineRule="auto"/>
              <w:jc w:val="center"/>
            </w:pPr>
            <w:r>
              <w:rPr>
                <w:b w:val="0"/>
                <w:i w:val="0"/>
                <w:sz w:val="17"/>
              </w:rPr>
              <w:t>5</w:t>
            </w:r>
          </w:p>
        </w:tc>
        <w:tc>
          <w:tcPr>
            <w:tcW w:type="dxa" w:w="5669"/>
            <w:vAlign w:val="top"/>
          </w:tcPr>
          <w:p>
            <w:pPr>
              <w:spacing w:after="20" w:line="252" w:lineRule="auto"/>
            </w:pPr>
            <w:r>
              <w:rPr>
                <w:b w:val="0"/>
                <w:i w:val="0"/>
                <w:sz w:val="17"/>
              </w:rPr>
              <w:t>Build, test, CI/CD, release and database migration practice</w:t>
            </w:r>
          </w:p>
        </w:tc>
        <w:tc>
          <w:tcPr>
            <w:tcW w:type="dxa" w:w="3175"/>
            <w:vAlign w:val="top"/>
          </w:tcPr>
          <w:p>
            <w:pPr>
              <w:spacing w:after="20" w:line="252" w:lineRule="auto"/>
            </w:pPr>
            <w:r>
              <w:rPr>
                <w:b w:val="0"/>
                <w:i w:val="0"/>
                <w:sz w:val="17"/>
              </w:rPr>
              <w:t>IIFT team produces a release</w:t>
            </w:r>
          </w:p>
        </w:tc>
      </w:tr>
      <w:tr>
        <w:trPr>
          <w:cantSplit/>
        </w:trPr>
        <w:tc>
          <w:tcPr>
            <w:tcW w:type="dxa" w:w="794"/>
            <w:vAlign w:val="top"/>
            <w:shd w:val="clear" w:color="auto" w:fill="FDF0F7"/>
          </w:tcPr>
          <w:p>
            <w:pPr>
              <w:spacing w:after="20" w:line="252" w:lineRule="auto"/>
              <w:jc w:val="center"/>
            </w:pPr>
            <w:r>
              <w:rPr>
                <w:b w:val="0"/>
                <w:i w:val="0"/>
                <w:sz w:val="17"/>
              </w:rPr>
              <w:t>6</w:t>
            </w:r>
          </w:p>
        </w:tc>
        <w:tc>
          <w:tcPr>
            <w:tcW w:type="dxa" w:w="5669"/>
            <w:vAlign w:val="top"/>
            <w:shd w:val="clear" w:color="auto" w:fill="FDF0F7"/>
          </w:tcPr>
          <w:p>
            <w:pPr>
              <w:spacing w:after="20" w:line="252" w:lineRule="auto"/>
            </w:pPr>
            <w:r>
              <w:rPr>
                <w:b w:val="0"/>
                <w:i w:val="0"/>
                <w:sz w:val="17"/>
              </w:rPr>
              <w:t>Shadow support: IIFT developers observe live tickets</w:t>
            </w:r>
          </w:p>
        </w:tc>
        <w:tc>
          <w:tcPr>
            <w:tcW w:type="dxa" w:w="3175"/>
            <w:vAlign w:val="top"/>
            <w:shd w:val="clear" w:color="auto" w:fill="FDF0F7"/>
          </w:tcPr>
          <w:p>
            <w:pPr>
              <w:spacing w:after="20" w:line="252" w:lineRule="auto"/>
            </w:pPr>
            <w:r>
              <w:rPr>
                <w:b w:val="0"/>
                <w:i w:val="0"/>
                <w:sz w:val="17"/>
              </w:rPr>
              <w:t>Ticket log</w:t>
            </w:r>
          </w:p>
        </w:tc>
      </w:tr>
      <w:tr>
        <w:trPr>
          <w:cantSplit/>
        </w:trPr>
        <w:tc>
          <w:tcPr>
            <w:tcW w:type="dxa" w:w="794"/>
            <w:vAlign w:val="top"/>
          </w:tcPr>
          <w:p>
            <w:pPr>
              <w:spacing w:after="20" w:line="252" w:lineRule="auto"/>
              <w:jc w:val="center"/>
            </w:pPr>
            <w:r>
              <w:rPr>
                <w:b w:val="0"/>
                <w:i w:val="0"/>
                <w:sz w:val="17"/>
              </w:rPr>
              <w:t>7</w:t>
            </w:r>
          </w:p>
        </w:tc>
        <w:tc>
          <w:tcPr>
            <w:tcW w:type="dxa" w:w="5669"/>
            <w:vAlign w:val="top"/>
          </w:tcPr>
          <w:p>
            <w:pPr>
              <w:spacing w:after="20" w:line="252" w:lineRule="auto"/>
            </w:pPr>
            <w:r>
              <w:rPr>
                <w:b w:val="0"/>
                <w:i w:val="0"/>
                <w:sz w:val="17"/>
              </w:rPr>
              <w:t>Reverse shadow: IIFT developers resolve tickets, iorta reviews</w:t>
            </w:r>
          </w:p>
        </w:tc>
        <w:tc>
          <w:tcPr>
            <w:tcW w:type="dxa" w:w="3175"/>
            <w:vAlign w:val="top"/>
          </w:tcPr>
          <w:p>
            <w:pPr>
              <w:spacing w:after="20" w:line="252" w:lineRule="auto"/>
            </w:pPr>
            <w:r>
              <w:rPr>
                <w:b w:val="0"/>
                <w:i w:val="0"/>
                <w:sz w:val="17"/>
              </w:rPr>
              <w:t>Ticket log, code reviews</w:t>
            </w:r>
          </w:p>
        </w:tc>
      </w:tr>
      <w:tr>
        <w:trPr>
          <w:cantSplit/>
        </w:trPr>
        <w:tc>
          <w:tcPr>
            <w:tcW w:type="dxa" w:w="794"/>
            <w:vAlign w:val="top"/>
            <w:shd w:val="clear" w:color="auto" w:fill="FDF0F7"/>
          </w:tcPr>
          <w:p>
            <w:pPr>
              <w:spacing w:after="20" w:line="252" w:lineRule="auto"/>
              <w:jc w:val="center"/>
            </w:pPr>
            <w:r>
              <w:rPr>
                <w:b w:val="0"/>
                <w:i w:val="0"/>
                <w:sz w:val="17"/>
              </w:rPr>
              <w:t>8</w:t>
            </w:r>
          </w:p>
        </w:tc>
        <w:tc>
          <w:tcPr>
            <w:tcW w:type="dxa" w:w="5669"/>
            <w:vAlign w:val="top"/>
            <w:shd w:val="clear" w:color="auto" w:fill="FDF0F7"/>
          </w:tcPr>
          <w:p>
            <w:pPr>
              <w:spacing w:after="20" w:line="252" w:lineRule="auto"/>
            </w:pPr>
            <w:r>
              <w:rPr>
                <w:b w:val="0"/>
                <w:i w:val="0"/>
                <w:sz w:val="17"/>
              </w:rPr>
              <w:t>Competency assessment, documentation handover, closure</w:t>
            </w:r>
          </w:p>
        </w:tc>
        <w:tc>
          <w:tcPr>
            <w:tcW w:type="dxa" w:w="3175"/>
            <w:vAlign w:val="top"/>
            <w:shd w:val="clear" w:color="auto" w:fill="FDF0F7"/>
          </w:tcPr>
          <w:p>
            <w:pPr>
              <w:spacing w:after="20" w:line="252" w:lineRule="auto"/>
            </w:pPr>
            <w:r>
              <w:rPr>
                <w:b w:val="0"/>
                <w:i w:val="0"/>
                <w:sz w:val="17"/>
              </w:rPr>
              <w:t>Handover certificate</w:t>
            </w:r>
          </w:p>
        </w:tc>
      </w:tr>
    </w:tbl>
    <w:p>
      <w:pPr>
        <w:pStyle w:val="Caption"/>
        <w:jc w:val="center"/>
      </w:pPr>
      <w:r>
        <w:rPr>
          <w:b w:val="0"/>
          <w:i w:val="0"/>
        </w:rPr>
        <w:t>Table 22: Knowledge transfer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020"/>
        <w:gridCol w:w="8618"/>
      </w:tblGrid>
      <w:tr>
        <w:trPr>
          <w:cantSplit/>
          <w:tblHeader/>
        </w:trPr>
        <w:tc>
          <w:tcPr>
            <w:tcW w:type="dxa" w:w="1020"/>
            <w:shd w:val="clear" w:color="auto" w:fill="E1058C"/>
            <w:vAlign w:val="center"/>
          </w:tcPr>
          <w:p>
            <w:pPr>
              <w:spacing w:after="0"/>
            </w:pPr>
            <w:r>
              <w:rPr>
                <w:b/>
                <w:i w:val="0"/>
                <w:color w:val="FFFFFF"/>
                <w:sz w:val="16"/>
              </w:rPr>
              <w:t>Week</w:t>
            </w:r>
          </w:p>
        </w:tc>
        <w:tc>
          <w:tcPr>
            <w:tcW w:type="dxa" w:w="8617"/>
            <w:shd w:val="clear" w:color="auto" w:fill="E1058C"/>
            <w:vAlign w:val="center"/>
          </w:tcPr>
          <w:p>
            <w:pPr>
              <w:spacing w:after="0"/>
            </w:pPr>
            <w:r>
              <w:rPr>
                <w:b/>
                <w:i w:val="0"/>
                <w:color w:val="FFFFFF"/>
                <w:sz w:val="16"/>
              </w:rPr>
              <w:t>Detail</w:t>
            </w:r>
          </w:p>
        </w:tc>
      </w:tr>
      <w:tr>
        <w:trPr>
          <w:cantSplit/>
        </w:trPr>
        <w:tc>
          <w:tcPr>
            <w:tcW w:type="dxa" w:w="1020"/>
            <w:vAlign w:val="top"/>
          </w:tcPr>
          <w:p>
            <w:pPr>
              <w:spacing w:after="20" w:line="252" w:lineRule="auto"/>
              <w:jc w:val="center"/>
            </w:pPr>
            <w:r>
              <w:rPr>
                <w:b w:val="0"/>
                <w:i w:val="0"/>
                <w:sz w:val="16"/>
              </w:rPr>
              <w:t>1</w:t>
            </w:r>
          </w:p>
        </w:tc>
        <w:tc>
          <w:tcPr>
            <w:tcW w:type="dxa" w:w="8617"/>
            <w:vAlign w:val="top"/>
          </w:tcPr>
          <w:p>
            <w:pPr>
              <w:spacing w:after="20" w:line="252" w:lineRule="auto"/>
            </w:pPr>
            <w:r>
              <w:rPr>
                <w:b w:val="0"/>
                <w:i w:val="0"/>
                <w:sz w:val="16"/>
              </w:rPr>
              <w:t>Transition plan signed: participants, roles, environment and repository access, backlog of tickets to be used in the shadow weeks, success criteria</w:t>
            </w:r>
          </w:p>
        </w:tc>
      </w:tr>
      <w:tr>
        <w:trPr>
          <w:cantSplit/>
        </w:trPr>
        <w:tc>
          <w:tcPr>
            <w:tcW w:type="dxa" w:w="1020"/>
            <w:vAlign w:val="top"/>
            <w:shd w:val="clear" w:color="auto" w:fill="FDF0F7"/>
          </w:tcPr>
          <w:p>
            <w:pPr>
              <w:spacing w:after="20" w:line="252" w:lineRule="auto"/>
              <w:jc w:val="center"/>
            </w:pPr>
            <w:r>
              <w:rPr>
                <w:b w:val="0"/>
                <w:i w:val="0"/>
                <w:sz w:val="16"/>
              </w:rPr>
              <w:t>2</w:t>
            </w:r>
          </w:p>
        </w:tc>
        <w:tc>
          <w:tcPr>
            <w:tcW w:type="dxa" w:w="8617"/>
            <w:vAlign w:val="top"/>
            <w:shd w:val="clear" w:color="auto" w:fill="FDF0F7"/>
          </w:tcPr>
          <w:p>
            <w:pPr>
              <w:spacing w:after="20" w:line="252" w:lineRule="auto"/>
            </w:pPr>
            <w:r>
              <w:rPr>
                <w:b w:val="0"/>
                <w:i w:val="0"/>
                <w:sz w:val="16"/>
              </w:rPr>
              <w:t>Walkthroughs of the Solution Architecture, Data Dictionary, security controls, integration design and the deployment; IIFT team builds and runs the stack locally (chapter 17)</w:t>
            </w:r>
          </w:p>
        </w:tc>
      </w:tr>
      <w:tr>
        <w:trPr>
          <w:cantSplit/>
        </w:trPr>
        <w:tc>
          <w:tcPr>
            <w:tcW w:type="dxa" w:w="1020"/>
            <w:vAlign w:val="top"/>
          </w:tcPr>
          <w:p>
            <w:pPr>
              <w:spacing w:after="20" w:line="252" w:lineRule="auto"/>
              <w:jc w:val="center"/>
            </w:pPr>
            <w:r>
              <w:rPr>
                <w:b w:val="0"/>
                <w:i w:val="0"/>
                <w:sz w:val="16"/>
              </w:rPr>
              <w:t>3 and 4</w:t>
            </w:r>
          </w:p>
        </w:tc>
        <w:tc>
          <w:tcPr>
            <w:tcW w:type="dxa" w:w="8617"/>
            <w:vAlign w:val="top"/>
          </w:tcPr>
          <w:p>
            <w:pPr>
              <w:spacing w:after="20" w:line="252" w:lineRule="auto"/>
            </w:pPr>
            <w:r>
              <w:rPr>
                <w:b w:val="0"/>
                <w:i w:val="0"/>
                <w:sz w:val="16"/>
              </w:rPr>
              <w:t>Module-by-module code walkthroughs with the checklist per module: structure, rules, tests, known limitations; participants complete a small change with a test in each area</w:t>
            </w:r>
          </w:p>
        </w:tc>
      </w:tr>
      <w:tr>
        <w:trPr>
          <w:cantSplit/>
        </w:trPr>
        <w:tc>
          <w:tcPr>
            <w:tcW w:type="dxa" w:w="1020"/>
            <w:vAlign w:val="top"/>
            <w:shd w:val="clear" w:color="auto" w:fill="FDF0F7"/>
          </w:tcPr>
          <w:p>
            <w:pPr>
              <w:spacing w:after="20" w:line="252" w:lineRule="auto"/>
              <w:jc w:val="center"/>
            </w:pPr>
            <w:r>
              <w:rPr>
                <w:b w:val="0"/>
                <w:i w:val="0"/>
                <w:sz w:val="16"/>
              </w:rPr>
              <w:t>5</w:t>
            </w:r>
          </w:p>
        </w:tc>
        <w:tc>
          <w:tcPr>
            <w:tcW w:type="dxa" w:w="8617"/>
            <w:vAlign w:val="top"/>
            <w:shd w:val="clear" w:color="auto" w:fill="FDF0F7"/>
          </w:tcPr>
          <w:p>
            <w:pPr>
              <w:spacing w:after="20" w:line="252" w:lineRule="auto"/>
            </w:pPr>
            <w:r>
              <w:rPr>
                <w:b w:val="0"/>
                <w:i w:val="0"/>
                <w:sz w:val="16"/>
              </w:rPr>
              <w:t>IIFT team cuts a release from its own repository through the pipeline, applies a migration, deploys to SIT and rolls back; iorta observes only</w:t>
            </w:r>
          </w:p>
        </w:tc>
      </w:tr>
      <w:tr>
        <w:trPr>
          <w:cantSplit/>
        </w:trPr>
        <w:tc>
          <w:tcPr>
            <w:tcW w:type="dxa" w:w="1020"/>
            <w:vAlign w:val="top"/>
          </w:tcPr>
          <w:p>
            <w:pPr>
              <w:spacing w:after="20" w:line="252" w:lineRule="auto"/>
              <w:jc w:val="center"/>
            </w:pPr>
            <w:r>
              <w:rPr>
                <w:b w:val="0"/>
                <w:i w:val="0"/>
                <w:sz w:val="16"/>
              </w:rPr>
              <w:t>6</w:t>
            </w:r>
          </w:p>
        </w:tc>
        <w:tc>
          <w:tcPr>
            <w:tcW w:type="dxa" w:w="8617"/>
            <w:vAlign w:val="top"/>
          </w:tcPr>
          <w:p>
            <w:pPr>
              <w:spacing w:after="20" w:line="252" w:lineRule="auto"/>
            </w:pPr>
            <w:r>
              <w:rPr>
                <w:b w:val="0"/>
                <w:i w:val="0"/>
                <w:sz w:val="16"/>
              </w:rPr>
              <w:t>Shadow support: IIFT developers sit in on live L2 and L3 tickets and releases; ticket log kept</w:t>
            </w:r>
          </w:p>
        </w:tc>
      </w:tr>
      <w:tr>
        <w:trPr>
          <w:cantSplit/>
        </w:trPr>
        <w:tc>
          <w:tcPr>
            <w:tcW w:type="dxa" w:w="1020"/>
            <w:vAlign w:val="top"/>
            <w:shd w:val="clear" w:color="auto" w:fill="FDF0F7"/>
          </w:tcPr>
          <w:p>
            <w:pPr>
              <w:spacing w:after="20" w:line="252" w:lineRule="auto"/>
              <w:jc w:val="center"/>
            </w:pPr>
            <w:r>
              <w:rPr>
                <w:b w:val="0"/>
                <w:i w:val="0"/>
                <w:sz w:val="16"/>
              </w:rPr>
              <w:t>7</w:t>
            </w:r>
          </w:p>
        </w:tc>
        <w:tc>
          <w:tcPr>
            <w:tcW w:type="dxa" w:w="8617"/>
            <w:vAlign w:val="top"/>
            <w:shd w:val="clear" w:color="auto" w:fill="FDF0F7"/>
          </w:tcPr>
          <w:p>
            <w:pPr>
              <w:spacing w:after="20" w:line="252" w:lineRule="auto"/>
            </w:pPr>
            <w:r>
              <w:rPr>
                <w:b w:val="0"/>
                <w:i w:val="0"/>
                <w:sz w:val="16"/>
              </w:rPr>
              <w:t>Reverse shadow: IIFT developers resolve tickets and prepare a release; iorta reviews code and approves; code review records kept</w:t>
            </w:r>
          </w:p>
        </w:tc>
      </w:tr>
      <w:tr>
        <w:trPr>
          <w:cantSplit/>
        </w:trPr>
        <w:tc>
          <w:tcPr>
            <w:tcW w:type="dxa" w:w="1020"/>
            <w:vAlign w:val="top"/>
          </w:tcPr>
          <w:p>
            <w:pPr>
              <w:spacing w:after="20" w:line="252" w:lineRule="auto"/>
              <w:jc w:val="center"/>
            </w:pPr>
            <w:r>
              <w:rPr>
                <w:b w:val="0"/>
                <w:i w:val="0"/>
                <w:sz w:val="16"/>
              </w:rPr>
              <w:t>8</w:t>
            </w:r>
          </w:p>
        </w:tc>
        <w:tc>
          <w:tcPr>
            <w:tcW w:type="dxa" w:w="8617"/>
            <w:vAlign w:val="top"/>
          </w:tcPr>
          <w:p>
            <w:pPr>
              <w:spacing w:after="20" w:line="252" w:lineRule="auto"/>
            </w:pPr>
            <w:r>
              <w:rPr>
                <w:b w:val="0"/>
                <w:i w:val="0"/>
                <w:sz w:val="16"/>
              </w:rPr>
              <w:t>Competency assessment per participant, documentation handover, open questions closed, handover certificate signed</w:t>
            </w:r>
          </w:p>
        </w:tc>
      </w:tr>
    </w:tbl>
    <w:p>
      <w:pPr>
        <w:pStyle w:val="Caption"/>
        <w:jc w:val="center"/>
      </w:pPr>
      <w:r>
        <w:rPr>
          <w:b w:val="0"/>
          <w:i w:val="0"/>
        </w:rPr>
        <w:t>Table 23: Week by week</w:t>
      </w:r>
    </w:p>
    <w:p>
      <w:pPr>
        <w:pStyle w:val="Heading2"/>
      </w:pPr>
      <w:r>
        <w:t>16.3 Repository and pipeline handover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Create the IIFT/IITH repository group (GitLab or GitHub) and the project for each application; iorta pushes the full history, tags and release branches; IIFT verifies the tag of the production release builds.</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Transfer the CI/CD pipeline definitions and the runner or workflow configuration; run the pipeline end to end in IIFT's account, including the security scans and the SBOM step.</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Hand over the container registry (images, signatures) or re-build the images from the delivered source and compare digests.</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Transfer the infrastructure code (Compose files, production overrides, landing-zone definitions under Option B) and the deployment documentation.</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Move secrets ownership: IIFT rotates every credential iorta held (R4) once the handover certificate is signed; iorta's access to repositories, pipelines and environments is removed on the same day.</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Record the delivered commit, build fingerprint and document versions in the handover certificate.</w:t>
            </w:r>
          </w:p>
        </w:tc>
      </w:tr>
    </w:tbl>
    <w:p>
      <w:pPr>
        <w:spacing w:after="0" w:before="0"/>
      </w:pPr>
      <w:r>
        <w:rPr>
          <w:sz w:val="8"/>
        </w:rPr>
      </w:r>
    </w:p>
    <w:p>
      <w:pPr>
        <w:pStyle w:val="Heading2"/>
      </w:pPr>
      <w:r>
        <w:t>16.4 Acceptance: handover certificate</w:t>
      </w:r>
    </w:p>
    <w:p>
      <w:pPr>
        <w:keepNext w:val="0"/>
      </w:pPr>
      <w:r>
        <w:rPr>
          <w:b w:val="0"/>
          <w:i w:val="0"/>
        </w:rPr>
        <w:t>The handover certificate is signed by the IIFT application owner and iorta's project director when all of the following are met. Payment milestone C3 in the proposal follows the certificate.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670"/>
        <w:gridCol w:w="3969"/>
      </w:tblGrid>
      <w:tr>
        <w:trPr>
          <w:cantSplit/>
          <w:tblHeader/>
        </w:trPr>
        <w:tc>
          <w:tcPr>
            <w:tcW w:type="dxa" w:w="5669"/>
            <w:shd w:val="clear" w:color="auto" w:fill="E1058C"/>
            <w:vAlign w:val="center"/>
          </w:tcPr>
          <w:p>
            <w:pPr>
              <w:spacing w:after="0"/>
            </w:pPr>
            <w:r>
              <w:rPr>
                <w:b/>
                <w:i w:val="0"/>
                <w:color w:val="FFFFFF"/>
                <w:sz w:val="17"/>
              </w:rPr>
              <w:t>Criterion</w:t>
            </w:r>
          </w:p>
        </w:tc>
        <w:tc>
          <w:tcPr>
            <w:tcW w:type="dxa" w:w="3969"/>
            <w:shd w:val="clear" w:color="auto" w:fill="E1058C"/>
            <w:vAlign w:val="center"/>
          </w:tcPr>
          <w:p>
            <w:pPr>
              <w:spacing w:after="0"/>
            </w:pPr>
            <w:r>
              <w:rPr>
                <w:b/>
                <w:i w:val="0"/>
                <w:color w:val="FFFFFF"/>
                <w:sz w:val="17"/>
              </w:rPr>
              <w:t>Evidence</w:t>
            </w:r>
          </w:p>
        </w:tc>
      </w:tr>
      <w:tr>
        <w:trPr>
          <w:cantSplit/>
        </w:trPr>
        <w:tc>
          <w:tcPr>
            <w:tcW w:type="dxa" w:w="5669"/>
            <w:vAlign w:val="top"/>
          </w:tcPr>
          <w:p>
            <w:pPr>
              <w:spacing w:after="20" w:line="252" w:lineRule="auto"/>
            </w:pPr>
            <w:r>
              <w:rPr>
                <w:b w:val="0"/>
                <w:i w:val="0"/>
                <w:sz w:val="17"/>
              </w:rPr>
              <w:t>Repository, pipeline and infrastructure code transferred and verified</w:t>
            </w:r>
          </w:p>
        </w:tc>
        <w:tc>
          <w:tcPr>
            <w:tcW w:type="dxa" w:w="3969"/>
            <w:vAlign w:val="top"/>
          </w:tcPr>
          <w:p>
            <w:pPr>
              <w:spacing w:after="20" w:line="252" w:lineRule="auto"/>
            </w:pPr>
            <w:r>
              <w:rPr>
                <w:b w:val="0"/>
                <w:i w:val="0"/>
                <w:sz w:val="17"/>
              </w:rPr>
              <w:t>Build fingerprint matches production; pipeline run in IIFT's account</w:t>
            </w:r>
          </w:p>
        </w:tc>
      </w:tr>
      <w:tr>
        <w:trPr>
          <w:cantSplit/>
        </w:trPr>
        <w:tc>
          <w:tcPr>
            <w:tcW w:type="dxa" w:w="5669"/>
            <w:vAlign w:val="top"/>
            <w:shd w:val="clear" w:color="auto" w:fill="FDF0F7"/>
          </w:tcPr>
          <w:p>
            <w:pPr>
              <w:spacing w:after="20" w:line="252" w:lineRule="auto"/>
            </w:pPr>
            <w:r>
              <w:rPr>
                <w:b w:val="0"/>
                <w:i w:val="0"/>
                <w:sz w:val="17"/>
              </w:rPr>
              <w:t>IIFT team has built and deployed a release to SIT without iorta's help</w:t>
            </w:r>
          </w:p>
        </w:tc>
        <w:tc>
          <w:tcPr>
            <w:tcW w:type="dxa" w:w="3969"/>
            <w:vAlign w:val="top"/>
            <w:shd w:val="clear" w:color="auto" w:fill="FDF0F7"/>
          </w:tcPr>
          <w:p>
            <w:pPr>
              <w:spacing w:after="20" w:line="252" w:lineRule="auto"/>
            </w:pPr>
            <w:r>
              <w:rPr>
                <w:b w:val="0"/>
                <w:i w:val="0"/>
                <w:sz w:val="17"/>
              </w:rPr>
              <w:t>Week 5 release record</w:t>
            </w:r>
          </w:p>
        </w:tc>
      </w:tr>
      <w:tr>
        <w:trPr>
          <w:cantSplit/>
        </w:trPr>
        <w:tc>
          <w:tcPr>
            <w:tcW w:type="dxa" w:w="5669"/>
            <w:vAlign w:val="top"/>
          </w:tcPr>
          <w:p>
            <w:pPr>
              <w:spacing w:after="20" w:line="252" w:lineRule="auto"/>
            </w:pPr>
            <w:r>
              <w:rPr>
                <w:b w:val="0"/>
                <w:i w:val="0"/>
                <w:sz w:val="17"/>
              </w:rPr>
              <w:t>Tickets resolved by IIFT developers in the reverse-shadow week with iorta review</w:t>
            </w:r>
          </w:p>
        </w:tc>
        <w:tc>
          <w:tcPr>
            <w:tcW w:type="dxa" w:w="3969"/>
            <w:vAlign w:val="top"/>
          </w:tcPr>
          <w:p>
            <w:pPr>
              <w:spacing w:after="20" w:line="252" w:lineRule="auto"/>
            </w:pPr>
            <w:r>
              <w:rPr>
                <w:b w:val="0"/>
                <w:i w:val="0"/>
                <w:sz w:val="17"/>
              </w:rPr>
              <w:t>Ticket log and code reviews</w:t>
            </w:r>
          </w:p>
        </w:tc>
      </w:tr>
      <w:tr>
        <w:trPr>
          <w:cantSplit/>
        </w:trPr>
        <w:tc>
          <w:tcPr>
            <w:tcW w:type="dxa" w:w="5669"/>
            <w:vAlign w:val="top"/>
            <w:shd w:val="clear" w:color="auto" w:fill="FDF0F7"/>
          </w:tcPr>
          <w:p>
            <w:pPr>
              <w:spacing w:after="20" w:line="252" w:lineRule="auto"/>
            </w:pPr>
            <w:r>
              <w:rPr>
                <w:b w:val="0"/>
                <w:i w:val="0"/>
                <w:sz w:val="17"/>
              </w:rPr>
              <w:t>Documentation set delivered at the handover version</w:t>
            </w:r>
          </w:p>
        </w:tc>
        <w:tc>
          <w:tcPr>
            <w:tcW w:type="dxa" w:w="3969"/>
            <w:vAlign w:val="top"/>
            <w:shd w:val="clear" w:color="auto" w:fill="FDF0F7"/>
          </w:tcPr>
          <w:p>
            <w:pPr>
              <w:spacing w:after="20" w:line="252" w:lineRule="auto"/>
            </w:pPr>
            <w:r>
              <w:rPr>
                <w:b w:val="0"/>
                <w:i w:val="0"/>
                <w:sz w:val="17"/>
              </w:rPr>
              <w:t>Document register</w:t>
            </w:r>
          </w:p>
        </w:tc>
      </w:tr>
      <w:tr>
        <w:trPr>
          <w:cantSplit/>
        </w:trPr>
        <w:tc>
          <w:tcPr>
            <w:tcW w:type="dxa" w:w="5669"/>
            <w:vAlign w:val="top"/>
          </w:tcPr>
          <w:p>
            <w:pPr>
              <w:spacing w:after="20" w:line="252" w:lineRule="auto"/>
            </w:pPr>
            <w:r>
              <w:rPr>
                <w:b w:val="0"/>
                <w:i w:val="0"/>
                <w:sz w:val="17"/>
              </w:rPr>
              <w:t>Competency assessment completed for each participant</w:t>
            </w:r>
          </w:p>
        </w:tc>
        <w:tc>
          <w:tcPr>
            <w:tcW w:type="dxa" w:w="3969"/>
            <w:vAlign w:val="top"/>
          </w:tcPr>
          <w:p>
            <w:pPr>
              <w:spacing w:after="20" w:line="252" w:lineRule="auto"/>
            </w:pPr>
            <w:r>
              <w:rPr>
                <w:b w:val="0"/>
                <w:i w:val="0"/>
                <w:sz w:val="17"/>
              </w:rPr>
              <w:t>Assessment record</w:t>
            </w:r>
          </w:p>
        </w:tc>
      </w:tr>
      <w:tr>
        <w:trPr>
          <w:cantSplit/>
        </w:trPr>
        <w:tc>
          <w:tcPr>
            <w:tcW w:type="dxa" w:w="5669"/>
            <w:vAlign w:val="top"/>
            <w:shd w:val="clear" w:color="auto" w:fill="FDF0F7"/>
          </w:tcPr>
          <w:p>
            <w:pPr>
              <w:spacing w:after="20" w:line="252" w:lineRule="auto"/>
            </w:pPr>
            <w:r>
              <w:rPr>
                <w:b w:val="0"/>
                <w:i w:val="0"/>
                <w:sz w:val="17"/>
              </w:rPr>
              <w:t>Credentials rotated and iorta access removed (or retained only as agreed under the chosen support model)</w:t>
            </w:r>
          </w:p>
        </w:tc>
        <w:tc>
          <w:tcPr>
            <w:tcW w:type="dxa" w:w="3969"/>
            <w:vAlign w:val="top"/>
            <w:shd w:val="clear" w:color="auto" w:fill="FDF0F7"/>
          </w:tcPr>
          <w:p>
            <w:pPr>
              <w:spacing w:after="20" w:line="252" w:lineRule="auto"/>
            </w:pPr>
            <w:r>
              <w:rPr>
                <w:b w:val="0"/>
                <w:i w:val="0"/>
                <w:sz w:val="17"/>
              </w:rPr>
              <w:t>Access review</w:t>
            </w:r>
          </w:p>
        </w:tc>
      </w:tr>
    </w:tbl>
    <w:p>
      <w:pPr>
        <w:pStyle w:val="Caption"/>
        <w:jc w:val="center"/>
      </w:pPr>
      <w:r>
        <w:rPr>
          <w:b w:val="0"/>
          <w:i w:val="0"/>
        </w:rPr>
        <w:t>Table 24: Handover certificate criteria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Role</w:t>
            </w:r>
          </w:p>
        </w:tc>
        <w:tc>
          <w:tcPr>
            <w:tcW w:type="dxa" w:w="3402"/>
            <w:shd w:val="clear" w:color="auto" w:fill="E1058C"/>
            <w:vAlign w:val="center"/>
          </w:tcPr>
          <w:p>
            <w:pPr>
              <w:spacing w:after="0"/>
            </w:pPr>
            <w:r>
              <w:rPr>
                <w:b/>
                <w:i w:val="0"/>
                <w:color w:val="FFFFFF"/>
                <w:sz w:val="17"/>
              </w:rPr>
              <w:t>Name</w:t>
            </w:r>
          </w:p>
        </w:tc>
        <w:tc>
          <w:tcPr>
            <w:tcW w:type="dxa" w:w="2835"/>
            <w:shd w:val="clear" w:color="auto" w:fill="E1058C"/>
            <w:vAlign w:val="center"/>
          </w:tcPr>
          <w:p>
            <w:pPr>
              <w:spacing w:after="0"/>
            </w:pPr>
            <w:r>
              <w:rPr>
                <w:b/>
                <w:i w:val="0"/>
                <w:color w:val="FFFFFF"/>
                <w:sz w:val="17"/>
              </w:rPr>
              <w:t>Signature / date</w:t>
            </w:r>
          </w:p>
        </w:tc>
      </w:tr>
      <w:tr>
        <w:trPr>
          <w:cantSplit/>
        </w:trPr>
        <w:tc>
          <w:tcPr>
            <w:tcW w:type="dxa" w:w="3402"/>
            <w:vAlign w:val="top"/>
          </w:tcPr>
          <w:p>
            <w:pPr>
              <w:spacing w:after="20" w:line="252" w:lineRule="auto"/>
            </w:pPr>
            <w:r>
              <w:rPr>
                <w:b w:val="0"/>
                <w:i w:val="0"/>
                <w:sz w:val="17"/>
              </w:rPr>
              <w:t>IIFT application owner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r>
        <w:trPr>
          <w:cantSplit/>
        </w:trPr>
        <w:tc>
          <w:tcPr>
            <w:tcW w:type="dxa" w:w="3402"/>
            <w:vAlign w:val="top"/>
            <w:shd w:val="clear" w:color="auto" w:fill="FDF0F7"/>
          </w:tcPr>
          <w:p>
            <w:pPr>
              <w:spacing w:after="20" w:line="252" w:lineRule="auto"/>
            </w:pPr>
            <w:r>
              <w:rPr>
                <w:b w:val="0"/>
                <w:i w:val="0"/>
                <w:sz w:val="17"/>
              </w:rPr>
              <w:t>IIFT/IITH development lead</w:t>
            </w:r>
          </w:p>
        </w:tc>
        <w:tc>
          <w:tcPr>
            <w:tcW w:type="dxa" w:w="3402"/>
            <w:vAlign w:val="top"/>
            <w:shd w:val="clear" w:color="auto" w:fill="FDF0F7"/>
          </w:tcPr>
          <w:p>
            <w:pPr>
              <w:spacing w:after="20" w:line="252" w:lineRule="auto"/>
            </w:pPr>
            <w:r>
              <w:rPr>
                <w:b w:val="0"/>
                <w:i w:val="0"/>
                <w:sz w:val="17"/>
                <w:highlight w:val="yellow"/>
              </w:rPr>
              <w:t>[Name]</w:t>
            </w:r>
          </w:p>
        </w:tc>
        <w:tc>
          <w:tcPr>
            <w:tcW w:type="dxa" w:w="2835"/>
            <w:vAlign w:val="top"/>
            <w:shd w:val="clear" w:color="auto" w:fill="FDF0F7"/>
          </w:tcPr>
          <w:p>
            <w:pPr>
              <w:spacing w:after="20" w:line="252" w:lineRule="auto"/>
            </w:pPr>
          </w:p>
        </w:tc>
      </w:tr>
      <w:tr>
        <w:trPr>
          <w:cantSplit/>
        </w:trPr>
        <w:tc>
          <w:tcPr>
            <w:tcW w:type="dxa" w:w="3402"/>
            <w:vAlign w:val="top"/>
          </w:tcPr>
          <w:p>
            <w:pPr>
              <w:spacing w:after="20" w:line="252" w:lineRule="auto"/>
            </w:pPr>
            <w:r>
              <w:rPr>
                <w:b w:val="0"/>
                <w:i w:val="0"/>
                <w:sz w:val="17"/>
              </w:rPr>
              <w:t>iorta TechNXT project director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bl>
    <w:p>
      <w:pPr>
        <w:pStyle w:val="Caption"/>
        <w:jc w:val="center"/>
      </w:pPr>
      <w:r>
        <w:rPr>
          <w:b w:val="0"/>
          <w:i w:val="0"/>
        </w:rPr>
        <w:t>Table 25: Handover certificate</w:t>
      </w:r>
    </w:p>
    <w:p>
      <w:pPr>
        <w:pStyle w:val="Heading2"/>
      </w:pPr>
      <w:r>
        <w:t>16.5 Support after handover</w:t>
      </w:r>
    </w:p>
    <w:p>
      <w:pPr>
        <w:keepNext w:val="0"/>
      </w:pPr>
      <w:r>
        <w:rPr>
          <w:b w:val="0"/>
          <w:i w:val="0"/>
        </w:rPr>
        <w:t>IIFT chooses one of the models below from the month after the certificate; the prices are in the proposal. Under Option B the managed services for the cloud estate can continue under any of them.</w:t>
      </w:r>
    </w:p>
    <w:tbl>
      <w:tblPr>
        <w:tblW w:type="dxa" w:w="9638"/>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3175"/>
        <w:gridCol w:w="2948"/>
        <w:gridCol w:w="1927"/>
      </w:tblGrid>
      <w:tr>
        <w:trPr>
          <w:cantSplit/>
          <w:tblHeader/>
        </w:trPr>
        <w:tc>
          <w:tcPr>
            <w:tcW w:type="dxa" w:w="1587"/>
            <w:shd w:val="clear" w:color="auto" w:fill="E1058C"/>
            <w:vAlign w:val="center"/>
          </w:tcPr>
          <w:p>
            <w:pPr>
              <w:spacing w:after="0"/>
            </w:pPr>
            <w:r>
              <w:rPr>
                <w:b/>
                <w:i w:val="0"/>
                <w:color w:val="FFFFFF"/>
                <w:sz w:val="16"/>
              </w:rPr>
              <w:t>Model</w:t>
            </w:r>
          </w:p>
        </w:tc>
        <w:tc>
          <w:tcPr>
            <w:tcW w:type="dxa" w:w="3175"/>
            <w:shd w:val="clear" w:color="auto" w:fill="E1058C"/>
            <w:vAlign w:val="center"/>
          </w:tcPr>
          <w:p>
            <w:pPr>
              <w:spacing w:after="0"/>
            </w:pPr>
            <w:r>
              <w:rPr>
                <w:b/>
                <w:i w:val="0"/>
                <w:color w:val="FFFFFF"/>
                <w:sz w:val="16"/>
              </w:rPr>
              <w:t>iorta provides</w:t>
            </w:r>
          </w:p>
        </w:tc>
        <w:tc>
          <w:tcPr>
            <w:tcW w:type="dxa" w:w="2948"/>
            <w:shd w:val="clear" w:color="auto" w:fill="E1058C"/>
            <w:vAlign w:val="center"/>
          </w:tcPr>
          <w:p>
            <w:pPr>
              <w:spacing w:after="0"/>
            </w:pPr>
            <w:r>
              <w:rPr>
                <w:b/>
                <w:i w:val="0"/>
                <w:color w:val="FFFFFF"/>
                <w:sz w:val="16"/>
              </w:rPr>
              <w:t>IIFT provides</w:t>
            </w:r>
          </w:p>
        </w:tc>
        <w:tc>
          <w:tcPr>
            <w:tcW w:type="dxa" w:w="1928"/>
            <w:shd w:val="clear" w:color="auto" w:fill="E1058C"/>
            <w:vAlign w:val="center"/>
          </w:tcPr>
          <w:p>
            <w:pPr>
              <w:spacing w:after="0"/>
            </w:pPr>
            <w:r>
              <w:rPr>
                <w:b/>
                <w:i w:val="0"/>
                <w:color w:val="FFFFFF"/>
                <w:sz w:val="16"/>
              </w:rPr>
              <w:t>Basis</w:t>
            </w:r>
          </w:p>
        </w:tc>
      </w:tr>
      <w:tr>
        <w:trPr>
          <w:cantSplit/>
        </w:trPr>
        <w:tc>
          <w:tcPr>
            <w:tcW w:type="dxa" w:w="1587"/>
            <w:vAlign w:val="top"/>
          </w:tcPr>
          <w:p>
            <w:pPr>
              <w:spacing w:after="20" w:line="252" w:lineRule="auto"/>
            </w:pPr>
            <w:r>
              <w:rPr>
                <w:b/>
                <w:i w:val="0"/>
                <w:sz w:val="16"/>
              </w:rPr>
              <w:t>1. Full AMC continues</w:t>
            </w:r>
          </w:p>
        </w:tc>
        <w:tc>
          <w:tcPr>
            <w:tcW w:type="dxa" w:w="3175"/>
            <w:vAlign w:val="top"/>
          </w:tcPr>
          <w:p>
            <w:pPr>
              <w:spacing w:after="20" w:line="252" w:lineRule="auto"/>
            </w:pPr>
            <w:r>
              <w:rPr>
                <w:b w:val="0"/>
                <w:i w:val="0"/>
                <w:sz w:val="16"/>
              </w:rPr>
              <w:t>All AMC services: helpdesk, SLA, patches, upgrades, enhancement hours; iorta remains L2 and L3</w:t>
            </w:r>
          </w:p>
        </w:tc>
        <w:tc>
          <w:tcPr>
            <w:tcW w:type="dxa" w:w="2948"/>
            <w:vAlign w:val="top"/>
          </w:tcPr>
          <w:p>
            <w:pPr>
              <w:spacing w:after="20" w:line="252" w:lineRule="auto"/>
            </w:pPr>
            <w:r>
              <w:rPr>
                <w:b w:val="0"/>
                <w:i w:val="0"/>
                <w:sz w:val="16"/>
              </w:rPr>
              <w:t>IIFT runs L1 and may develop its own changes in a fork; iorta merges them on request</w:t>
            </w:r>
          </w:p>
        </w:tc>
        <w:tc>
          <w:tcPr>
            <w:tcW w:type="dxa" w:w="1928"/>
            <w:vAlign w:val="top"/>
          </w:tcPr>
          <w:p>
            <w:pPr>
              <w:spacing w:after="20" w:line="252" w:lineRule="auto"/>
            </w:pPr>
            <w:r>
              <w:rPr>
                <w:b w:val="0"/>
                <w:i w:val="0"/>
                <w:sz w:val="16"/>
              </w:rPr>
              <w:t>AMC unchanged (proposal)</w:t>
            </w:r>
          </w:p>
        </w:tc>
      </w:tr>
      <w:tr>
        <w:trPr>
          <w:cantSplit/>
        </w:trPr>
        <w:tc>
          <w:tcPr>
            <w:tcW w:type="dxa" w:w="1587"/>
            <w:vAlign w:val="top"/>
            <w:shd w:val="clear" w:color="auto" w:fill="FDF0F7"/>
          </w:tcPr>
          <w:p>
            <w:pPr>
              <w:spacing w:after="20" w:line="252" w:lineRule="auto"/>
            </w:pPr>
            <w:r>
              <w:rPr>
                <w:b/>
                <w:i w:val="0"/>
                <w:sz w:val="16"/>
              </w:rPr>
              <w:t>2. Platform updates and L3</w:t>
            </w:r>
          </w:p>
        </w:tc>
        <w:tc>
          <w:tcPr>
            <w:tcW w:type="dxa" w:w="3175"/>
            <w:vAlign w:val="top"/>
            <w:shd w:val="clear" w:color="auto" w:fill="FDF0F7"/>
          </w:tcPr>
          <w:p>
            <w:pPr>
              <w:spacing w:after="20" w:line="252" w:lineRule="auto"/>
            </w:pPr>
            <w:r>
              <w:rPr>
                <w:b w:val="0"/>
                <w:i w:val="0"/>
                <w:sz w:val="16"/>
              </w:rPr>
              <w:t>SalesVerse 2.0 core releases and security patches; L3 advice and defect fixes in the core under the SLA; access to the core repository and release notes</w:t>
            </w:r>
          </w:p>
        </w:tc>
        <w:tc>
          <w:tcPr>
            <w:tcW w:type="dxa" w:w="2948"/>
            <w:vAlign w:val="top"/>
            <w:shd w:val="clear" w:color="auto" w:fill="FDF0F7"/>
          </w:tcPr>
          <w:p>
            <w:pPr>
              <w:spacing w:after="20" w:line="252" w:lineRule="auto"/>
            </w:pPr>
            <w:r>
              <w:rPr>
                <w:b w:val="0"/>
                <w:i w:val="0"/>
                <w:sz w:val="16"/>
              </w:rPr>
              <w:t>IIFT handles L1 and L2, its own changes, deployments and infrastructure (or keeps the Option B managed services)</w:t>
            </w:r>
          </w:p>
        </w:tc>
        <w:tc>
          <w:tcPr>
            <w:tcW w:type="dxa" w:w="1928"/>
            <w:vAlign w:val="top"/>
            <w:shd w:val="clear" w:color="auto" w:fill="FDF0F7"/>
          </w:tcPr>
          <w:p>
            <w:pPr>
              <w:spacing w:after="20" w:line="252" w:lineRule="auto"/>
            </w:pPr>
            <w:r>
              <w:rPr>
                <w:b w:val="0"/>
                <w:i w:val="0"/>
                <w:sz w:val="16"/>
              </w:rPr>
              <w:t>10% of the AMC base a year (proposal), in place of the AMC</w:t>
            </w:r>
          </w:p>
        </w:tc>
      </w:tr>
      <w:tr>
        <w:trPr>
          <w:cantSplit/>
        </w:trPr>
        <w:tc>
          <w:tcPr>
            <w:tcW w:type="dxa" w:w="1587"/>
            <w:vAlign w:val="top"/>
          </w:tcPr>
          <w:p>
            <w:pPr>
              <w:spacing w:after="20" w:line="252" w:lineRule="auto"/>
            </w:pPr>
            <w:r>
              <w:rPr>
                <w:b/>
                <w:i w:val="0"/>
                <w:sz w:val="16"/>
              </w:rPr>
              <w:t>3. Rate card only</w:t>
            </w:r>
          </w:p>
        </w:tc>
        <w:tc>
          <w:tcPr>
            <w:tcW w:type="dxa" w:w="3175"/>
            <w:vAlign w:val="top"/>
          </w:tcPr>
          <w:p>
            <w:pPr>
              <w:spacing w:after="20" w:line="252" w:lineRule="auto"/>
            </w:pPr>
            <w:r>
              <w:rPr>
                <w:b w:val="0"/>
                <w:i w:val="0"/>
                <w:sz w:val="16"/>
              </w:rPr>
              <w:t>Work ordered when needed at the rate card; no retainer and no SLA</w:t>
            </w:r>
          </w:p>
        </w:tc>
        <w:tc>
          <w:tcPr>
            <w:tcW w:type="dxa" w:w="2948"/>
            <w:vAlign w:val="top"/>
          </w:tcPr>
          <w:p>
            <w:pPr>
              <w:spacing w:after="20" w:line="252" w:lineRule="auto"/>
            </w:pPr>
            <w:r>
              <w:rPr>
                <w:b w:val="0"/>
                <w:i w:val="0"/>
                <w:sz w:val="16"/>
              </w:rPr>
              <w:t>IIFT runs the whole service</w:t>
            </w:r>
          </w:p>
        </w:tc>
        <w:tc>
          <w:tcPr>
            <w:tcW w:type="dxa" w:w="1928"/>
            <w:vAlign w:val="top"/>
          </w:tcPr>
          <w:p>
            <w:pPr>
              <w:spacing w:after="20" w:line="252" w:lineRule="auto"/>
            </w:pPr>
            <w:r>
              <w:rPr>
                <w:b w:val="0"/>
                <w:i w:val="0"/>
                <w:sz w:val="16"/>
              </w:rPr>
              <w:t>Rate card (proposal)</w:t>
            </w:r>
          </w:p>
        </w:tc>
      </w:tr>
    </w:tbl>
    <w:p>
      <w:pPr>
        <w:pStyle w:val="Caption"/>
        <w:jc w:val="center"/>
      </w:pPr>
      <w:r>
        <w:rPr>
          <w:b w:val="0"/>
          <w:i w:val="0"/>
        </w:rPr>
        <w:t>Table 26: Post-handover support models</w:t>
      </w:r>
    </w:p>
    <w:p>
      <w:pPr>
        <w:pStyle w:val="ListBullet"/>
      </w:pPr>
      <w:r>
        <w:rPr>
          <w:b w:val="0"/>
          <w:i w:val="0"/>
        </w:rPr>
        <w:t>Changes IIFT makes to the core after handover are IIFT's; iorta's platform releases under model 2 are delivered as upstream releases that IIFT merges, with iorta's L3 help for conflicts in the core.</w:t>
      </w:r>
    </w:p>
    <w:p>
      <w:pPr>
        <w:pStyle w:val="ListBullet"/>
      </w:pPr>
      <w:r>
        <w:rPr>
          <w:b w:val="0"/>
          <w:i w:val="0"/>
        </w:rPr>
        <w:t>Under models 2 and 3 the SLA in chapter 3 applies only to the services iorta still provides; IIFT's own support organisation takes over the incident, problem and change processes in chapters 4 to 7, which remain valid as written.</w:t>
      </w:r>
    </w:p>
    <w:p>
      <w:pPr>
        <w:pStyle w:val="ListBullet"/>
      </w:pPr>
      <w:r>
        <w:rPr>
          <w:b w:val="0"/>
          <w:i w:val="0"/>
        </w:rPr>
        <w:t>Security patches for third-party components become IIFT's responsibility under model 3; the CI pipeline's audit, CodeQL, secret and image scans keep running in IIFT's account.</w:t>
      </w:r>
    </w:p>
    <w:p>
      <w:pPr>
        <w:pStyle w:val="Heading1"/>
        <w:pageBreakBefore/>
        <w:pBdr>
          <w:bottom w:val="single" w:sz="12" w:space="4" w:color="F58220"/>
        </w:pBdr>
      </w:pPr>
      <w:r>
        <w:t>17. Developer Onboarding Guide</w:t>
      </w:r>
    </w:p>
    <w:p>
      <w:pPr>
        <w:pStyle w:val="Heading2"/>
      </w:pPr>
      <w:r>
        <w:t>17.1 Repository layout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628"/>
        <w:gridCol w:w="6010"/>
      </w:tblGrid>
      <w:tr>
        <w:trPr>
          <w:cantSplit/>
          <w:tblHeader/>
        </w:trPr>
        <w:tc>
          <w:tcPr>
            <w:tcW w:type="dxa" w:w="3628"/>
            <w:shd w:val="clear" w:color="auto" w:fill="E1058C"/>
            <w:vAlign w:val="center"/>
          </w:tcPr>
          <w:p>
            <w:pPr>
              <w:spacing w:after="0"/>
            </w:pPr>
            <w:r>
              <w:rPr>
                <w:b/>
                <w:i w:val="0"/>
                <w:color w:val="FFFFFF"/>
                <w:sz w:val="17"/>
              </w:rPr>
              <w:t>Path</w:t>
            </w:r>
          </w:p>
        </w:tc>
        <w:tc>
          <w:tcPr>
            <w:tcW w:type="dxa" w:w="6009"/>
            <w:shd w:val="clear" w:color="auto" w:fill="E1058C"/>
            <w:vAlign w:val="center"/>
          </w:tcPr>
          <w:p>
            <w:pPr>
              <w:spacing w:after="0"/>
            </w:pPr>
            <w:r>
              <w:rPr>
                <w:b/>
                <w:i w:val="0"/>
                <w:color w:val="FFFFFF"/>
                <w:sz w:val="17"/>
              </w:rPr>
              <w:t>Contents</w:t>
            </w:r>
          </w:p>
        </w:tc>
      </w:tr>
      <w:tr>
        <w:trPr>
          <w:cantSplit/>
        </w:trPr>
        <w:tc>
          <w:tcPr>
            <w:tcW w:type="dxa" w:w="3628"/>
            <w:vAlign w:val="top"/>
          </w:tcPr>
          <w:p>
            <w:pPr>
              <w:spacing w:after="20" w:line="252" w:lineRule="auto"/>
            </w:pPr>
            <w:r>
              <w:rPr>
                <w:b w:val="0"/>
                <w:i w:val="0"/>
                <w:sz w:val="17"/>
              </w:rPr>
              <w:t>apps/api/src/main.ts, app.setup.ts, app.module.ts</w:t>
            </w:r>
          </w:p>
        </w:tc>
        <w:tc>
          <w:tcPr>
            <w:tcW w:type="dxa" w:w="6009"/>
            <w:vAlign w:val="top"/>
          </w:tcPr>
          <w:p>
            <w:pPr>
              <w:spacing w:after="20" w:line="252" w:lineRule="auto"/>
            </w:pPr>
            <w:r>
              <w:rPr>
                <w:b w:val="0"/>
                <w:i w:val="0"/>
                <w:sz w:val="17"/>
              </w:rPr>
              <w:t>Entry point, HTTP pipeline, module list and global guards</w:t>
            </w:r>
          </w:p>
        </w:tc>
      </w:tr>
      <w:tr>
        <w:trPr>
          <w:cantSplit/>
        </w:trPr>
        <w:tc>
          <w:tcPr>
            <w:tcW w:type="dxa" w:w="3628"/>
            <w:vAlign w:val="top"/>
            <w:shd w:val="clear" w:color="auto" w:fill="FDF0F7"/>
          </w:tcPr>
          <w:p>
            <w:pPr>
              <w:spacing w:after="20" w:line="252" w:lineRule="auto"/>
            </w:pPr>
            <w:r>
              <w:rPr>
                <w:b w:val="0"/>
                <w:i w:val="0"/>
                <w:sz w:val="17"/>
              </w:rPr>
              <w:t>apps/api/src/config</w:t>
            </w:r>
          </w:p>
        </w:tc>
        <w:tc>
          <w:tcPr>
            <w:tcW w:type="dxa" w:w="6009"/>
            <w:vAlign w:val="top"/>
            <w:shd w:val="clear" w:color="auto" w:fill="FDF0F7"/>
          </w:tcPr>
          <w:p>
            <w:pPr>
              <w:spacing w:after="20" w:line="252" w:lineRule="auto"/>
            </w:pPr>
            <w:r>
              <w:rPr>
                <w:b w:val="0"/>
                <w:i w:val="0"/>
                <w:sz w:val="17"/>
              </w:rPr>
              <w:t>AppConfig: typed, validated environment variables</w:t>
            </w:r>
          </w:p>
        </w:tc>
      </w:tr>
      <w:tr>
        <w:trPr>
          <w:cantSplit/>
        </w:trPr>
        <w:tc>
          <w:tcPr>
            <w:tcW w:type="dxa" w:w="3628"/>
            <w:vAlign w:val="top"/>
          </w:tcPr>
          <w:p>
            <w:pPr>
              <w:spacing w:after="20" w:line="252" w:lineRule="auto"/>
            </w:pPr>
            <w:r>
              <w:rPr>
                <w:b w:val="0"/>
                <w:i w:val="0"/>
                <w:sz w:val="17"/>
              </w:rPr>
              <w:t>apps/api/src/common</w:t>
            </w:r>
          </w:p>
        </w:tc>
        <w:tc>
          <w:tcPr>
            <w:tcW w:type="dxa" w:w="6009"/>
            <w:vAlign w:val="top"/>
          </w:tcPr>
          <w:p>
            <w:pPr>
              <w:spacing w:after="20" w:line="252" w:lineRule="auto"/>
            </w:pPr>
            <w:r>
              <w:rPr>
                <w:b w:val="0"/>
                <w:i w:val="0"/>
                <w:sz w:val="17"/>
              </w:rPr>
              <w:t>Prisma service and job locks, field crypto, numbering, data scope, permissions, decorators, request context, errors, pagination, dates and money</w:t>
            </w:r>
          </w:p>
        </w:tc>
      </w:tr>
      <w:tr>
        <w:trPr>
          <w:cantSplit/>
        </w:trPr>
        <w:tc>
          <w:tcPr>
            <w:tcW w:type="dxa" w:w="3628"/>
            <w:vAlign w:val="top"/>
            <w:shd w:val="clear" w:color="auto" w:fill="FDF0F7"/>
          </w:tcPr>
          <w:p>
            <w:pPr>
              <w:spacing w:after="20" w:line="252" w:lineRule="auto"/>
            </w:pPr>
            <w:r>
              <w:rPr>
                <w:b w:val="0"/>
                <w:i w:val="0"/>
                <w:sz w:val="17"/>
              </w:rPr>
              <w:t>apps/api/src/modules/&lt;area&gt;</w:t>
            </w:r>
          </w:p>
        </w:tc>
        <w:tc>
          <w:tcPr>
            <w:tcW w:type="dxa" w:w="6009"/>
            <w:vAlign w:val="top"/>
            <w:shd w:val="clear" w:color="auto" w:fill="FDF0F7"/>
          </w:tcPr>
          <w:p>
            <w:pPr>
              <w:spacing w:after="20" w:line="252" w:lineRule="auto"/>
            </w:pPr>
            <w:r>
              <w:rPr>
                <w:b w:val="0"/>
                <w:i w:val="0"/>
                <w:sz w:val="17"/>
              </w:rPr>
              <w:t>One folder per functional area: controller, service, DTOs, handlers, jobs, unit tests</w:t>
            </w:r>
          </w:p>
        </w:tc>
      </w:tr>
      <w:tr>
        <w:trPr>
          <w:cantSplit/>
        </w:trPr>
        <w:tc>
          <w:tcPr>
            <w:tcW w:type="dxa" w:w="3628"/>
            <w:vAlign w:val="top"/>
          </w:tcPr>
          <w:p>
            <w:pPr>
              <w:spacing w:after="20" w:line="252" w:lineRule="auto"/>
            </w:pPr>
            <w:r>
              <w:rPr>
                <w:b w:val="0"/>
                <w:i w:val="0"/>
                <w:sz w:val="17"/>
              </w:rPr>
              <w:t>apps/api/prisma</w:t>
            </w:r>
          </w:p>
        </w:tc>
        <w:tc>
          <w:tcPr>
            <w:tcW w:type="dxa" w:w="6009"/>
            <w:vAlign w:val="top"/>
          </w:tcPr>
          <w:p>
            <w:pPr>
              <w:spacing w:after="20" w:line="252" w:lineRule="auto"/>
            </w:pPr>
            <w:r>
              <w:rPr>
                <w:b w:val="0"/>
                <w:i w:val="0"/>
                <w:sz w:val="17"/>
              </w:rPr>
              <w:t>schema.prisma, migrations, reference data (seed.ts) and demonstration data (seed-demo.ts)</w:t>
            </w:r>
          </w:p>
        </w:tc>
      </w:tr>
      <w:tr>
        <w:trPr>
          <w:cantSplit/>
        </w:trPr>
        <w:tc>
          <w:tcPr>
            <w:tcW w:type="dxa" w:w="3628"/>
            <w:vAlign w:val="top"/>
            <w:shd w:val="clear" w:color="auto" w:fill="FDF0F7"/>
          </w:tcPr>
          <w:p>
            <w:pPr>
              <w:spacing w:after="20" w:line="252" w:lineRule="auto"/>
            </w:pPr>
            <w:r>
              <w:rPr>
                <w:b w:val="0"/>
                <w:i w:val="0"/>
                <w:sz w:val="17"/>
              </w:rPr>
              <w:t>apps/api/test</w:t>
            </w:r>
          </w:p>
        </w:tc>
        <w:tc>
          <w:tcPr>
            <w:tcW w:type="dxa" w:w="6009"/>
            <w:vAlign w:val="top"/>
            <w:shd w:val="clear" w:color="auto" w:fill="FDF0F7"/>
          </w:tcPr>
          <w:p>
            <w:pPr>
              <w:spacing w:after="20" w:line="252" w:lineRule="auto"/>
            </w:pPr>
            <w:r>
              <w:rPr>
                <w:b w:val="0"/>
                <w:i w:val="0"/>
                <w:sz w:val="17"/>
              </w:rPr>
              <w:t>End-to-end tests against a dedicated *_test database</w:t>
            </w:r>
          </w:p>
        </w:tc>
      </w:tr>
      <w:tr>
        <w:trPr>
          <w:cantSplit/>
        </w:trPr>
        <w:tc>
          <w:tcPr>
            <w:tcW w:type="dxa" w:w="3628"/>
            <w:vAlign w:val="top"/>
          </w:tcPr>
          <w:p>
            <w:pPr>
              <w:spacing w:after="20" w:line="252" w:lineRule="auto"/>
            </w:pPr>
            <w:r>
              <w:rPr>
                <w:b w:val="0"/>
                <w:i w:val="0"/>
                <w:sz w:val="17"/>
              </w:rPr>
              <w:t>apps/web/src</w:t>
            </w:r>
          </w:p>
        </w:tc>
        <w:tc>
          <w:tcPr>
            <w:tcW w:type="dxa" w:w="6009"/>
            <w:vAlign w:val="top"/>
          </w:tcPr>
          <w:p>
            <w:pPr>
              <w:spacing w:after="20" w:line="252" w:lineRule="auto"/>
            </w:pPr>
            <w:r>
              <w:rPr>
                <w:b w:val="0"/>
                <w:i w:val="0"/>
                <w:sz w:val="17"/>
              </w:rPr>
              <w:t>routes.tsx, layouts (AppShell, menus), api (client, hooks, types), pages per audience, shared components, theme</w:t>
            </w:r>
          </w:p>
        </w:tc>
      </w:tr>
      <w:tr>
        <w:trPr>
          <w:cantSplit/>
        </w:trPr>
        <w:tc>
          <w:tcPr>
            <w:tcW w:type="dxa" w:w="3628"/>
            <w:vAlign w:val="top"/>
            <w:shd w:val="clear" w:color="auto" w:fill="FDF0F7"/>
          </w:tcPr>
          <w:p>
            <w:pPr>
              <w:spacing w:after="20" w:line="252" w:lineRule="auto"/>
            </w:pPr>
            <w:r>
              <w:rPr>
                <w:b w:val="0"/>
                <w:i w:val="0"/>
                <w:sz w:val="17"/>
              </w:rPr>
              <w:t>deploy</w:t>
            </w:r>
          </w:p>
        </w:tc>
        <w:tc>
          <w:tcPr>
            <w:tcW w:type="dxa" w:w="6009"/>
            <w:vAlign w:val="top"/>
            <w:shd w:val="clear" w:color="auto" w:fill="FDF0F7"/>
          </w:tcPr>
          <w:p>
            <w:pPr>
              <w:spacing w:after="20" w:line="252" w:lineRule="auto"/>
            </w:pPr>
            <w:r>
              <w:rPr>
                <w:b w:val="0"/>
                <w:i w:val="0"/>
                <w:sz w:val="17"/>
              </w:rPr>
              <w:t>docker-compose.yml and .env.example</w:t>
            </w:r>
          </w:p>
        </w:tc>
      </w:tr>
      <w:tr>
        <w:trPr>
          <w:cantSplit/>
        </w:trPr>
        <w:tc>
          <w:tcPr>
            <w:tcW w:type="dxa" w:w="3628"/>
            <w:vAlign w:val="top"/>
          </w:tcPr>
          <w:p>
            <w:pPr>
              <w:spacing w:after="20" w:line="252" w:lineRule="auto"/>
            </w:pPr>
            <w:r>
              <w:rPr>
                <w:b w:val="0"/>
                <w:i w:val="0"/>
                <w:sz w:val="17"/>
              </w:rPr>
              <w:t>tools/security</w:t>
            </w:r>
          </w:p>
        </w:tc>
        <w:tc>
          <w:tcPr>
            <w:tcW w:type="dxa" w:w="6009"/>
            <w:vAlign w:val="top"/>
          </w:tcPr>
          <w:p>
            <w:pPr>
              <w:spacing w:after="20" w:line="252" w:lineRule="auto"/>
            </w:pPr>
            <w:r>
              <w:rPr>
                <w:b w:val="0"/>
                <w:i w:val="0"/>
                <w:sz w:val="17"/>
              </w:rPr>
              <w:t>Repeatable OWASP Top 10 checks</w:t>
            </w:r>
          </w:p>
        </w:tc>
      </w:tr>
      <w:tr>
        <w:trPr>
          <w:cantSplit/>
        </w:trPr>
        <w:tc>
          <w:tcPr>
            <w:tcW w:type="dxa" w:w="3628"/>
            <w:vAlign w:val="top"/>
            <w:shd w:val="clear" w:color="auto" w:fill="FDF0F7"/>
          </w:tcPr>
          <w:p>
            <w:pPr>
              <w:spacing w:after="20" w:line="252" w:lineRule="auto"/>
            </w:pPr>
            <w:r>
              <w:rPr>
                <w:b w:val="0"/>
                <w:i w:val="0"/>
                <w:sz w:val="17"/>
              </w:rPr>
              <w:t>docs/api, docs/technical</w:t>
            </w:r>
          </w:p>
        </w:tc>
        <w:tc>
          <w:tcPr>
            <w:tcW w:type="dxa" w:w="6009"/>
            <w:vAlign w:val="top"/>
            <w:shd w:val="clear" w:color="auto" w:fill="FDF0F7"/>
          </w:tcPr>
          <w:p>
            <w:pPr>
              <w:spacing w:after="20" w:line="252" w:lineRule="auto"/>
            </w:pPr>
            <w:r>
              <w:rPr>
                <w:b w:val="0"/>
                <w:i w:val="0"/>
                <w:sz w:val="17"/>
              </w:rPr>
              <w:t>OpenAPI description; this document pack and its generators</w:t>
            </w:r>
          </w:p>
        </w:tc>
      </w:tr>
    </w:tbl>
    <w:p>
      <w:pPr>
        <w:pStyle w:val="Caption"/>
        <w:jc w:val="center"/>
      </w:pPr>
      <w:r>
        <w:rPr>
          <w:b w:val="0"/>
          <w:i w:val="0"/>
        </w:rPr>
        <w:t>Table 27: Repository layout</w:t>
      </w:r>
    </w:p>
    <w:p>
      <w:pPr>
        <w:pStyle w:val="Heading2"/>
      </w:pPr>
      <w:r>
        <w:t>17.2 Local set-up</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 Node.js 22.12+ and npm 11, PostgreSQL 16 running locally</w:t>
            </w:r>
          </w:p>
          <w:p>
            <w:pPr>
              <w:spacing w:after="0" w:line="240" w:lineRule="auto"/>
            </w:pPr>
            <w:r>
              <w:rPr>
                <w:rFonts w:ascii="Courier New" w:hAnsi="Courier New" w:cs="Courier New" w:eastAsia="Courier New"/>
                <w:sz w:val="16"/>
              </w:rPr>
              <w:t>npm ci</w:t>
            </w:r>
          </w:p>
          <w:p>
            <w:pPr>
              <w:spacing w:after="0" w:line="240" w:lineRule="auto"/>
            </w:pPr>
            <w:r>
              <w:rPr>
                <w:rFonts w:ascii="Courier New" w:hAnsi="Courier New" w:cs="Courier New" w:eastAsia="Courier New"/>
                <w:sz w:val="16"/>
              </w:rPr>
              <w:t>createdb iift                                   # or CREATE DATABASE iift; as postgres</w:t>
            </w:r>
          </w:p>
          <w:p>
            <w:pPr>
              <w:spacing w:after="0" w:line="240" w:lineRule="auto"/>
            </w:pPr>
            <w:r>
              <w:rPr>
                <w:rFonts w:ascii="Courier New" w:hAnsi="Courier New" w:cs="Courier New" w:eastAsia="Courier New"/>
                <w:sz w:val="16"/>
              </w:rPr>
              <w:t>cp apps/api/.env.example apps/api/.env          # fill in DATABASE_URL and the secrets:</w:t>
            </w:r>
          </w:p>
          <w:p>
            <w:pPr>
              <w:spacing w:after="0" w:line="240" w:lineRule="auto"/>
            </w:pPr>
            <w:r>
              <w:rPr>
                <w:rFonts w:ascii="Courier New" w:hAnsi="Courier New" w:cs="Courier New" w:eastAsia="Courier New"/>
                <w:sz w:val="16"/>
              </w:rPr>
              <w:t>#   SESSION_SECRET: openssl rand -hex 32</w:t>
            </w:r>
          </w:p>
          <w:p>
            <w:pPr>
              <w:spacing w:after="0" w:line="240" w:lineRule="auto"/>
            </w:pPr>
            <w:r>
              <w:rPr>
                <w:rFonts w:ascii="Courier New" w:hAnsi="Courier New" w:cs="Courier New" w:eastAsia="Courier New"/>
                <w:sz w:val="16"/>
              </w:rPr>
              <w:t>#   FIELD_ENCRYPTION_KEY, FIELD_HASH_KEY, DOCUMENT_ENCRYPTION_KEY: openssl rand -base64 32</w:t>
            </w:r>
          </w:p>
          <w:p>
            <w:pPr>
              <w:spacing w:after="0" w:line="240" w:lineRule="auto"/>
            </w:pPr>
            <w:r>
              <w:rPr>
                <w:rFonts w:ascii="Courier New" w:hAnsi="Courier New" w:cs="Courier New" w:eastAsia="Courier New"/>
                <w:sz w:val="16"/>
              </w:rPr>
              <w:t>cd apps/api</w:t>
            </w:r>
          </w:p>
          <w:p>
            <w:pPr>
              <w:spacing w:after="0" w:line="240" w:lineRule="auto"/>
            </w:pPr>
            <w:r>
              <w:rPr>
                <w:rFonts w:ascii="Courier New" w:hAnsi="Courier New" w:cs="Courier New" w:eastAsia="Courier New"/>
                <w:sz w:val="16"/>
              </w:rPr>
              <w:t>npm run db:migrate                              # prisma migrate deploy</w:t>
            </w:r>
          </w:p>
          <w:p>
            <w:pPr>
              <w:spacing w:after="0" w:line="240" w:lineRule="auto"/>
            </w:pPr>
            <w:r>
              <w:rPr>
                <w:rFonts w:ascii="Courier New" w:hAnsi="Courier New" w:cs="Courier New" w:eastAsia="Courier New"/>
                <w:sz w:val="16"/>
              </w:rPr>
              <w:t>SEED_ADMIN_PASSWORD='&lt;temporary password&gt;' npm run db:seed</w:t>
            </w:r>
          </w:p>
          <w:p>
            <w:pPr>
              <w:spacing w:after="0" w:line="240" w:lineRule="auto"/>
            </w:pPr>
            <w:r>
              <w:rPr>
                <w:rFonts w:ascii="Courier New" w:hAnsi="Courier New" w:cs="Courier New" w:eastAsia="Courier New"/>
                <w:sz w:val="16"/>
              </w:rPr>
              <w:t>DEMO_PASSWORD='&lt;demo password&gt;' npm run db:seed:demo   # optional, never in production</w:t>
            </w:r>
          </w:p>
          <w:p>
            <w:pPr>
              <w:spacing w:after="0" w:line="240" w:lineRule="auto"/>
            </w:pPr>
            <w:r>
              <w:rPr>
                <w:rFonts w:ascii="Courier New" w:hAnsi="Courier New" w:cs="Courier New" w:eastAsia="Courier New"/>
                <w:sz w:val="16"/>
              </w:rPr>
              <w:t>npm run start:dev                               # API on :3000, Swagger at /api/docs</w:t>
            </w:r>
          </w:p>
          <w:p>
            <w:pPr>
              <w:spacing w:after="0" w:line="240" w:lineRule="auto"/>
            </w:pPr>
            <w:r>
              <w:rPr>
                <w:rFonts w:ascii="Courier New" w:hAnsi="Courier New" w:cs="Courier New" w:eastAsia="Courier New"/>
                <w:sz w:val="16"/>
              </w:rPr>
              <w:t>cd ../web &amp;&amp; npm run dev                        # UI on :5173, proxies /api to :3000</w:t>
            </w:r>
          </w:p>
        </w:tc>
      </w:tr>
    </w:tbl>
    <w:p>
      <w:pPr>
        <w:spacing w:after="0" w:before="0"/>
      </w:pPr>
      <w:r>
        <w:rPr>
          <w:sz w:val="8"/>
        </w:rPr>
      </w:r>
    </w:p>
    <w:p>
      <w:pPr>
        <w:keepNext w:val="0"/>
      </w:pPr>
      <w:r>
        <w:rPr>
          <w:b w:val="0"/>
          <w:i w:val="0"/>
        </w:rPr>
        <w:t>Sign in as admin with the temporary password and change it. With demonstration data, agents (ag-000001 ...), bank officers and staff users (ops.maker, ops.checker, underwriter, finance, compliance, support, manager) use DEMO_PASSWORD.</w:t>
      </w:r>
    </w:p>
    <w:p>
      <w:pPr>
        <w:pStyle w:val="Heading2"/>
      </w:pPr>
      <w:r>
        <w:t>17.3 Scripts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1247"/>
        <w:gridCol w:w="2041"/>
        <w:gridCol w:w="6350"/>
      </w:tblGrid>
      <w:tr>
        <w:trPr>
          <w:cantSplit/>
          <w:tblHeader/>
        </w:trPr>
        <w:tc>
          <w:tcPr>
            <w:tcW w:type="dxa" w:w="1247"/>
            <w:shd w:val="clear" w:color="auto" w:fill="E1058C"/>
            <w:vAlign w:val="center"/>
          </w:tcPr>
          <w:p>
            <w:pPr>
              <w:spacing w:after="0"/>
            </w:pPr>
            <w:r>
              <w:rPr>
                <w:b/>
                <w:i w:val="0"/>
                <w:color w:val="FFFFFF"/>
                <w:sz w:val="15"/>
              </w:rPr>
              <w:t>Package</w:t>
            </w:r>
          </w:p>
        </w:tc>
        <w:tc>
          <w:tcPr>
            <w:tcW w:type="dxa" w:w="2041"/>
            <w:shd w:val="clear" w:color="auto" w:fill="E1058C"/>
            <w:vAlign w:val="center"/>
          </w:tcPr>
          <w:p>
            <w:pPr>
              <w:spacing w:after="0"/>
            </w:pPr>
            <w:r>
              <w:rPr>
                <w:b/>
                <w:i w:val="0"/>
                <w:color w:val="FFFFFF"/>
                <w:sz w:val="15"/>
              </w:rPr>
              <w:t>npm run ...</w:t>
            </w:r>
          </w:p>
        </w:tc>
        <w:tc>
          <w:tcPr>
            <w:tcW w:type="dxa" w:w="6350"/>
            <w:shd w:val="clear" w:color="auto" w:fill="E1058C"/>
            <w:vAlign w:val="center"/>
          </w:tcPr>
          <w:p>
            <w:pPr>
              <w:spacing w:after="0"/>
            </w:pPr>
            <w:r>
              <w:rPr>
                <w:b/>
                <w:i w:val="0"/>
                <w:color w:val="FFFFFF"/>
                <w:sz w:val="15"/>
              </w:rPr>
              <w:t>Command</w:t>
            </w:r>
          </w:p>
        </w:tc>
      </w:tr>
      <w:tr>
        <w:trPr>
          <w:cantSplit/>
        </w:trPr>
        <w:tc>
          <w:tcPr>
            <w:tcW w:type="dxa" w:w="1247"/>
            <w:vAlign w:val="top"/>
          </w:tcPr>
          <w:p>
            <w:pPr>
              <w:spacing w:after="20" w:line="252" w:lineRule="auto"/>
            </w:pPr>
            <w:r>
              <w:rPr>
                <w:b w:val="0"/>
                <w:i w:val="0"/>
                <w:sz w:val="15"/>
              </w:rPr>
              <w:t>root</w:t>
            </w:r>
          </w:p>
        </w:tc>
        <w:tc>
          <w:tcPr>
            <w:tcW w:type="dxa" w:w="2041"/>
            <w:vAlign w:val="top"/>
          </w:tcPr>
          <w:p>
            <w:pPr>
              <w:spacing w:after="20" w:line="252" w:lineRule="auto"/>
            </w:pPr>
            <w:r>
              <w:rPr>
                <w:b w:val="0"/>
                <w:i w:val="0"/>
                <w:sz w:val="15"/>
              </w:rPr>
              <w:t>build</w:t>
            </w:r>
          </w:p>
        </w:tc>
        <w:tc>
          <w:tcPr>
            <w:tcW w:type="dxa" w:w="6350"/>
            <w:vAlign w:val="top"/>
          </w:tcPr>
          <w:p>
            <w:pPr>
              <w:spacing w:after="20" w:line="252" w:lineRule="auto"/>
            </w:pPr>
            <w:r>
              <w:rPr>
                <w:b w:val="0"/>
                <w:i w:val="0"/>
                <w:sz w:val="15"/>
              </w:rPr>
              <w:t>npm run build -w apps/api &amp;&amp; npm run build -w apps/web</w:t>
            </w:r>
          </w:p>
        </w:tc>
      </w:tr>
      <w:tr>
        <w:trPr>
          <w:cantSplit/>
        </w:trPr>
        <w:tc>
          <w:tcPr>
            <w:tcW w:type="dxa" w:w="1247"/>
            <w:vAlign w:val="top"/>
            <w:shd w:val="clear" w:color="auto" w:fill="FDF0F7"/>
          </w:tcPr>
          <w:p>
            <w:pPr>
              <w:spacing w:after="20" w:line="252" w:lineRule="auto"/>
            </w:pPr>
            <w:r>
              <w:rPr>
                <w:b w:val="0"/>
                <w:i w:val="0"/>
                <w:sz w:val="15"/>
              </w:rPr>
              <w:t>root</w:t>
            </w:r>
          </w:p>
        </w:tc>
        <w:tc>
          <w:tcPr>
            <w:tcW w:type="dxa" w:w="2041"/>
            <w:vAlign w:val="top"/>
            <w:shd w:val="clear" w:color="auto" w:fill="FDF0F7"/>
          </w:tcPr>
          <w:p>
            <w:pPr>
              <w:spacing w:after="20" w:line="252" w:lineRule="auto"/>
            </w:pPr>
            <w:r>
              <w:rPr>
                <w:b w:val="0"/>
                <w:i w:val="0"/>
                <w:sz w:val="15"/>
              </w:rPr>
              <w:t>lint</w:t>
            </w:r>
          </w:p>
        </w:tc>
        <w:tc>
          <w:tcPr>
            <w:tcW w:type="dxa" w:w="6350"/>
            <w:vAlign w:val="top"/>
            <w:shd w:val="clear" w:color="auto" w:fill="FDF0F7"/>
          </w:tcPr>
          <w:p>
            <w:pPr>
              <w:spacing w:after="20" w:line="252" w:lineRule="auto"/>
            </w:pPr>
            <w:r>
              <w:rPr>
                <w:b w:val="0"/>
                <w:i w:val="0"/>
                <w:sz w:val="15"/>
              </w:rPr>
              <w:t>npm run lint -w apps/api &amp;&amp; npm run lint -w apps/web</w:t>
            </w:r>
          </w:p>
        </w:tc>
      </w:tr>
      <w:tr>
        <w:trPr>
          <w:cantSplit/>
        </w:trPr>
        <w:tc>
          <w:tcPr>
            <w:tcW w:type="dxa" w:w="1247"/>
            <w:vAlign w:val="top"/>
          </w:tcPr>
          <w:p>
            <w:pPr>
              <w:spacing w:after="20" w:line="252" w:lineRule="auto"/>
            </w:pPr>
            <w:r>
              <w:rPr>
                <w:b w:val="0"/>
                <w:i w:val="0"/>
                <w:sz w:val="15"/>
              </w:rPr>
              <w:t>root</w:t>
            </w:r>
          </w:p>
        </w:tc>
        <w:tc>
          <w:tcPr>
            <w:tcW w:type="dxa" w:w="2041"/>
            <w:vAlign w:val="top"/>
          </w:tcPr>
          <w:p>
            <w:pPr>
              <w:spacing w:after="20" w:line="252" w:lineRule="auto"/>
            </w:pPr>
            <w:r>
              <w:rPr>
                <w:b w:val="0"/>
                <w:i w:val="0"/>
                <w:sz w:val="15"/>
              </w:rPr>
              <w:t>test</w:t>
            </w:r>
          </w:p>
        </w:tc>
        <w:tc>
          <w:tcPr>
            <w:tcW w:type="dxa" w:w="6350"/>
            <w:vAlign w:val="top"/>
          </w:tcPr>
          <w:p>
            <w:pPr>
              <w:spacing w:after="20" w:line="252" w:lineRule="auto"/>
            </w:pPr>
            <w:r>
              <w:rPr>
                <w:b w:val="0"/>
                <w:i w:val="0"/>
                <w:sz w:val="15"/>
              </w:rPr>
              <w:t>npm run test -w apps/api &amp;&amp; npm run test -w apps/web</w:t>
            </w:r>
          </w:p>
        </w:tc>
      </w:tr>
      <w:tr>
        <w:trPr>
          <w:cantSplit/>
        </w:trPr>
        <w:tc>
          <w:tcPr>
            <w:tcW w:type="dxa" w:w="1247"/>
            <w:vAlign w:val="top"/>
            <w:shd w:val="clear" w:color="auto" w:fill="FDF0F7"/>
          </w:tcPr>
          <w:p>
            <w:pPr>
              <w:spacing w:after="20" w:line="252" w:lineRule="auto"/>
            </w:pPr>
            <w:r>
              <w:rPr>
                <w:b w:val="0"/>
                <w:i w:val="0"/>
                <w:sz w:val="15"/>
              </w:rPr>
              <w:t>root</w:t>
            </w:r>
          </w:p>
        </w:tc>
        <w:tc>
          <w:tcPr>
            <w:tcW w:type="dxa" w:w="2041"/>
            <w:vAlign w:val="top"/>
            <w:shd w:val="clear" w:color="auto" w:fill="FDF0F7"/>
          </w:tcPr>
          <w:p>
            <w:pPr>
              <w:spacing w:after="20" w:line="252" w:lineRule="auto"/>
            </w:pPr>
            <w:r>
              <w:rPr>
                <w:b w:val="0"/>
                <w:i w:val="0"/>
                <w:sz w:val="15"/>
              </w:rPr>
              <w:t>dev:api</w:t>
            </w:r>
          </w:p>
        </w:tc>
        <w:tc>
          <w:tcPr>
            <w:tcW w:type="dxa" w:w="6350"/>
            <w:vAlign w:val="top"/>
            <w:shd w:val="clear" w:color="auto" w:fill="FDF0F7"/>
          </w:tcPr>
          <w:p>
            <w:pPr>
              <w:spacing w:after="20" w:line="252" w:lineRule="auto"/>
            </w:pPr>
            <w:r>
              <w:rPr>
                <w:b w:val="0"/>
                <w:i w:val="0"/>
                <w:sz w:val="15"/>
              </w:rPr>
              <w:t>npm run start:dev -w apps/api</w:t>
            </w:r>
          </w:p>
        </w:tc>
      </w:tr>
      <w:tr>
        <w:trPr>
          <w:cantSplit/>
        </w:trPr>
        <w:tc>
          <w:tcPr>
            <w:tcW w:type="dxa" w:w="1247"/>
            <w:vAlign w:val="top"/>
          </w:tcPr>
          <w:p>
            <w:pPr>
              <w:spacing w:after="20" w:line="252" w:lineRule="auto"/>
            </w:pPr>
            <w:r>
              <w:rPr>
                <w:b w:val="0"/>
                <w:i w:val="0"/>
                <w:sz w:val="15"/>
              </w:rPr>
              <w:t>root</w:t>
            </w:r>
          </w:p>
        </w:tc>
        <w:tc>
          <w:tcPr>
            <w:tcW w:type="dxa" w:w="2041"/>
            <w:vAlign w:val="top"/>
          </w:tcPr>
          <w:p>
            <w:pPr>
              <w:spacing w:after="20" w:line="252" w:lineRule="auto"/>
            </w:pPr>
            <w:r>
              <w:rPr>
                <w:b w:val="0"/>
                <w:i w:val="0"/>
                <w:sz w:val="15"/>
              </w:rPr>
              <w:t>dev:web</w:t>
            </w:r>
          </w:p>
        </w:tc>
        <w:tc>
          <w:tcPr>
            <w:tcW w:type="dxa" w:w="6350"/>
            <w:vAlign w:val="top"/>
          </w:tcPr>
          <w:p>
            <w:pPr>
              <w:spacing w:after="20" w:line="252" w:lineRule="auto"/>
            </w:pPr>
            <w:r>
              <w:rPr>
                <w:b w:val="0"/>
                <w:i w:val="0"/>
                <w:sz w:val="15"/>
              </w:rPr>
              <w:t>npm run dev -w apps/web</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build</w:t>
            </w:r>
          </w:p>
        </w:tc>
        <w:tc>
          <w:tcPr>
            <w:tcW w:type="dxa" w:w="6350"/>
            <w:vAlign w:val="top"/>
            <w:shd w:val="clear" w:color="auto" w:fill="FDF0F7"/>
          </w:tcPr>
          <w:p>
            <w:pPr>
              <w:spacing w:after="20" w:line="252" w:lineRule="auto"/>
            </w:pPr>
            <w:r>
              <w:rPr>
                <w:b w:val="0"/>
                <w:i w:val="0"/>
                <w:sz w:val="15"/>
              </w:rPr>
              <w:t>prisma generate &amp;&amp; nest build</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start</w:t>
            </w:r>
          </w:p>
        </w:tc>
        <w:tc>
          <w:tcPr>
            <w:tcW w:type="dxa" w:w="6350"/>
            <w:vAlign w:val="top"/>
          </w:tcPr>
          <w:p>
            <w:pPr>
              <w:spacing w:after="20" w:line="252" w:lineRule="auto"/>
            </w:pPr>
            <w:r>
              <w:rPr>
                <w:b w:val="0"/>
                <w:i w:val="0"/>
                <w:sz w:val="15"/>
              </w:rPr>
              <w:t>nest start</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start:dev</w:t>
            </w:r>
          </w:p>
        </w:tc>
        <w:tc>
          <w:tcPr>
            <w:tcW w:type="dxa" w:w="6350"/>
            <w:vAlign w:val="top"/>
            <w:shd w:val="clear" w:color="auto" w:fill="FDF0F7"/>
          </w:tcPr>
          <w:p>
            <w:pPr>
              <w:spacing w:after="20" w:line="252" w:lineRule="auto"/>
            </w:pPr>
            <w:r>
              <w:rPr>
                <w:b w:val="0"/>
                <w:i w:val="0"/>
                <w:sz w:val="15"/>
              </w:rPr>
              <w:t>nest start --watch</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start:prod</w:t>
            </w:r>
          </w:p>
        </w:tc>
        <w:tc>
          <w:tcPr>
            <w:tcW w:type="dxa" w:w="6350"/>
            <w:vAlign w:val="top"/>
          </w:tcPr>
          <w:p>
            <w:pPr>
              <w:spacing w:after="20" w:line="252" w:lineRule="auto"/>
            </w:pPr>
            <w:r>
              <w:rPr>
                <w:b w:val="0"/>
                <w:i w:val="0"/>
                <w:sz w:val="15"/>
              </w:rPr>
              <w:t>node dist/main.js</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lint</w:t>
            </w:r>
          </w:p>
        </w:tc>
        <w:tc>
          <w:tcPr>
            <w:tcW w:type="dxa" w:w="6350"/>
            <w:vAlign w:val="top"/>
            <w:shd w:val="clear" w:color="auto" w:fill="FDF0F7"/>
          </w:tcPr>
          <w:p>
            <w:pPr>
              <w:spacing w:after="20" w:line="252" w:lineRule="auto"/>
            </w:pPr>
            <w:r>
              <w:rPr>
                <w:b w:val="0"/>
                <w:i w:val="0"/>
                <w:sz w:val="15"/>
              </w:rPr>
              <w:t>oxlint src test</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format</w:t>
            </w:r>
          </w:p>
        </w:tc>
        <w:tc>
          <w:tcPr>
            <w:tcW w:type="dxa" w:w="6350"/>
            <w:vAlign w:val="top"/>
          </w:tcPr>
          <w:p>
            <w:pPr>
              <w:spacing w:after="20" w:line="252" w:lineRule="auto"/>
            </w:pPr>
            <w:r>
              <w:rPr>
                <w:b w:val="0"/>
                <w:i w:val="0"/>
                <w:sz w:val="15"/>
              </w:rPr>
              <w:t>prettier --write "src/</w:t>
            </w:r>
            <w:r>
              <w:rPr>
                <w:b/>
                <w:i w:val="0"/>
                <w:sz w:val="15"/>
              </w:rPr>
              <w:t>/*.ts" "test/</w:t>
            </w:r>
            <w:r>
              <w:rPr>
                <w:b w:val="0"/>
                <w:i w:val="0"/>
                <w:sz w:val="15"/>
              </w:rPr>
              <w:t>/*.ts"</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typecheck</w:t>
            </w:r>
          </w:p>
        </w:tc>
        <w:tc>
          <w:tcPr>
            <w:tcW w:type="dxa" w:w="6350"/>
            <w:vAlign w:val="top"/>
            <w:shd w:val="clear" w:color="auto" w:fill="FDF0F7"/>
          </w:tcPr>
          <w:p>
            <w:pPr>
              <w:spacing w:after="20" w:line="252" w:lineRule="auto"/>
            </w:pPr>
            <w:r>
              <w:rPr>
                <w:b w:val="0"/>
                <w:i w:val="0"/>
                <w:sz w:val="15"/>
              </w:rPr>
              <w:t>tsc --noEmit -p tsconfig.json</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test</w:t>
            </w:r>
          </w:p>
        </w:tc>
        <w:tc>
          <w:tcPr>
            <w:tcW w:type="dxa" w:w="6350"/>
            <w:vAlign w:val="top"/>
          </w:tcPr>
          <w:p>
            <w:pPr>
              <w:spacing w:after="20" w:line="252" w:lineRule="auto"/>
            </w:pPr>
            <w:r>
              <w:rPr>
                <w:b w:val="0"/>
                <w:i w:val="0"/>
                <w:sz w:val="15"/>
              </w:rPr>
              <w:t>vitest run</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test:e2e</w:t>
            </w:r>
          </w:p>
        </w:tc>
        <w:tc>
          <w:tcPr>
            <w:tcW w:type="dxa" w:w="6350"/>
            <w:vAlign w:val="top"/>
            <w:shd w:val="clear" w:color="auto" w:fill="FDF0F7"/>
          </w:tcPr>
          <w:p>
            <w:pPr>
              <w:spacing w:after="20" w:line="252" w:lineRule="auto"/>
            </w:pPr>
            <w:r>
              <w:rPr>
                <w:b w:val="0"/>
                <w:i w:val="0"/>
                <w:sz w:val="15"/>
              </w:rPr>
              <w:t>vitest run --config ./vitest.config.e2e.ts</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db:generate</w:t>
            </w:r>
          </w:p>
        </w:tc>
        <w:tc>
          <w:tcPr>
            <w:tcW w:type="dxa" w:w="6350"/>
            <w:vAlign w:val="top"/>
          </w:tcPr>
          <w:p>
            <w:pPr>
              <w:spacing w:after="20" w:line="252" w:lineRule="auto"/>
            </w:pPr>
            <w:r>
              <w:rPr>
                <w:b w:val="0"/>
                <w:i w:val="0"/>
                <w:sz w:val="15"/>
              </w:rPr>
              <w:t>prisma generate</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db:migrate</w:t>
            </w:r>
          </w:p>
        </w:tc>
        <w:tc>
          <w:tcPr>
            <w:tcW w:type="dxa" w:w="6350"/>
            <w:vAlign w:val="top"/>
            <w:shd w:val="clear" w:color="auto" w:fill="FDF0F7"/>
          </w:tcPr>
          <w:p>
            <w:pPr>
              <w:spacing w:after="20" w:line="252" w:lineRule="auto"/>
            </w:pPr>
            <w:r>
              <w:rPr>
                <w:b w:val="0"/>
                <w:i w:val="0"/>
                <w:sz w:val="15"/>
              </w:rPr>
              <w:t>prisma migrate deploy</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db:migrate:dev</w:t>
            </w:r>
          </w:p>
        </w:tc>
        <w:tc>
          <w:tcPr>
            <w:tcW w:type="dxa" w:w="6350"/>
            <w:vAlign w:val="top"/>
          </w:tcPr>
          <w:p>
            <w:pPr>
              <w:spacing w:after="20" w:line="252" w:lineRule="auto"/>
            </w:pPr>
            <w:r>
              <w:rPr>
                <w:b w:val="0"/>
                <w:i w:val="0"/>
                <w:sz w:val="15"/>
              </w:rPr>
              <w:t>prisma migrate dev</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db:seed</w:t>
            </w:r>
          </w:p>
        </w:tc>
        <w:tc>
          <w:tcPr>
            <w:tcW w:type="dxa" w:w="6350"/>
            <w:vAlign w:val="top"/>
            <w:shd w:val="clear" w:color="auto" w:fill="FDF0F7"/>
          </w:tcPr>
          <w:p>
            <w:pPr>
              <w:spacing w:after="20" w:line="252" w:lineRule="auto"/>
            </w:pPr>
            <w:r>
              <w:rPr>
                <w:b w:val="0"/>
                <w:i w:val="0"/>
                <w:sz w:val="15"/>
              </w:rPr>
              <w:t>node --import @swc-node/register/esm-register prisma/seed.ts</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db:seed:demo</w:t>
            </w:r>
          </w:p>
        </w:tc>
        <w:tc>
          <w:tcPr>
            <w:tcW w:type="dxa" w:w="6350"/>
            <w:vAlign w:val="top"/>
          </w:tcPr>
          <w:p>
            <w:pPr>
              <w:spacing w:after="20" w:line="252" w:lineRule="auto"/>
            </w:pPr>
            <w:r>
              <w:rPr>
                <w:b w:val="0"/>
                <w:i w:val="0"/>
                <w:sz w:val="15"/>
              </w:rPr>
              <w:t>node --import @swc-node/register/esm-register prisma/seed-demo.ts</w:t>
            </w:r>
          </w:p>
        </w:tc>
      </w:tr>
      <w:tr>
        <w:trPr>
          <w:cantSplit/>
        </w:trPr>
        <w:tc>
          <w:tcPr>
            <w:tcW w:type="dxa" w:w="1247"/>
            <w:vAlign w:val="top"/>
            <w:shd w:val="clear" w:color="auto" w:fill="FDF0F7"/>
          </w:tcPr>
          <w:p>
            <w:pPr>
              <w:spacing w:after="20" w:line="252" w:lineRule="auto"/>
            </w:pPr>
            <w:r>
              <w:rPr>
                <w:b w:val="0"/>
                <w:i w:val="0"/>
                <w:sz w:val="15"/>
              </w:rPr>
              <w:t>apps/web</w:t>
            </w:r>
          </w:p>
        </w:tc>
        <w:tc>
          <w:tcPr>
            <w:tcW w:type="dxa" w:w="2041"/>
            <w:vAlign w:val="top"/>
            <w:shd w:val="clear" w:color="auto" w:fill="FDF0F7"/>
          </w:tcPr>
          <w:p>
            <w:pPr>
              <w:spacing w:after="20" w:line="252" w:lineRule="auto"/>
            </w:pPr>
            <w:r>
              <w:rPr>
                <w:b w:val="0"/>
                <w:i w:val="0"/>
                <w:sz w:val="15"/>
              </w:rPr>
              <w:t>dev</w:t>
            </w:r>
          </w:p>
        </w:tc>
        <w:tc>
          <w:tcPr>
            <w:tcW w:type="dxa" w:w="6350"/>
            <w:vAlign w:val="top"/>
            <w:shd w:val="clear" w:color="auto" w:fill="FDF0F7"/>
          </w:tcPr>
          <w:p>
            <w:pPr>
              <w:spacing w:after="20" w:line="252" w:lineRule="auto"/>
            </w:pPr>
            <w:r>
              <w:rPr>
                <w:b w:val="0"/>
                <w:i w:val="0"/>
                <w:sz w:val="15"/>
              </w:rPr>
              <w:t>vite</w:t>
            </w:r>
          </w:p>
        </w:tc>
      </w:tr>
      <w:tr>
        <w:trPr>
          <w:cantSplit/>
        </w:trPr>
        <w:tc>
          <w:tcPr>
            <w:tcW w:type="dxa" w:w="1247"/>
            <w:vAlign w:val="top"/>
          </w:tcPr>
          <w:p>
            <w:pPr>
              <w:spacing w:after="20" w:line="252" w:lineRule="auto"/>
            </w:pPr>
            <w:r>
              <w:rPr>
                <w:b w:val="0"/>
                <w:i w:val="0"/>
                <w:sz w:val="15"/>
              </w:rPr>
              <w:t>apps/web</w:t>
            </w:r>
          </w:p>
        </w:tc>
        <w:tc>
          <w:tcPr>
            <w:tcW w:type="dxa" w:w="2041"/>
            <w:vAlign w:val="top"/>
          </w:tcPr>
          <w:p>
            <w:pPr>
              <w:spacing w:after="20" w:line="252" w:lineRule="auto"/>
            </w:pPr>
            <w:r>
              <w:rPr>
                <w:b w:val="0"/>
                <w:i w:val="0"/>
                <w:sz w:val="15"/>
              </w:rPr>
              <w:t>build</w:t>
            </w:r>
          </w:p>
        </w:tc>
        <w:tc>
          <w:tcPr>
            <w:tcW w:type="dxa" w:w="6350"/>
            <w:vAlign w:val="top"/>
          </w:tcPr>
          <w:p>
            <w:pPr>
              <w:spacing w:after="20" w:line="252" w:lineRule="auto"/>
            </w:pPr>
            <w:r>
              <w:rPr>
                <w:b w:val="0"/>
                <w:i w:val="0"/>
                <w:sz w:val="15"/>
              </w:rPr>
              <w:t>tsc -b &amp;&amp; vite build</w:t>
            </w:r>
          </w:p>
        </w:tc>
      </w:tr>
      <w:tr>
        <w:trPr>
          <w:cantSplit/>
        </w:trPr>
        <w:tc>
          <w:tcPr>
            <w:tcW w:type="dxa" w:w="1247"/>
            <w:vAlign w:val="top"/>
            <w:shd w:val="clear" w:color="auto" w:fill="FDF0F7"/>
          </w:tcPr>
          <w:p>
            <w:pPr>
              <w:spacing w:after="20" w:line="252" w:lineRule="auto"/>
            </w:pPr>
            <w:r>
              <w:rPr>
                <w:b w:val="0"/>
                <w:i w:val="0"/>
                <w:sz w:val="15"/>
              </w:rPr>
              <w:t>apps/web</w:t>
            </w:r>
          </w:p>
        </w:tc>
        <w:tc>
          <w:tcPr>
            <w:tcW w:type="dxa" w:w="2041"/>
            <w:vAlign w:val="top"/>
            <w:shd w:val="clear" w:color="auto" w:fill="FDF0F7"/>
          </w:tcPr>
          <w:p>
            <w:pPr>
              <w:spacing w:after="20" w:line="252" w:lineRule="auto"/>
            </w:pPr>
            <w:r>
              <w:rPr>
                <w:b w:val="0"/>
                <w:i w:val="0"/>
                <w:sz w:val="15"/>
              </w:rPr>
              <w:t>preview</w:t>
            </w:r>
          </w:p>
        </w:tc>
        <w:tc>
          <w:tcPr>
            <w:tcW w:type="dxa" w:w="6350"/>
            <w:vAlign w:val="top"/>
            <w:shd w:val="clear" w:color="auto" w:fill="FDF0F7"/>
          </w:tcPr>
          <w:p>
            <w:pPr>
              <w:spacing w:after="20" w:line="252" w:lineRule="auto"/>
            </w:pPr>
            <w:r>
              <w:rPr>
                <w:b w:val="0"/>
                <w:i w:val="0"/>
                <w:sz w:val="15"/>
              </w:rPr>
              <w:t>vite preview</w:t>
            </w:r>
          </w:p>
        </w:tc>
      </w:tr>
      <w:tr>
        <w:trPr>
          <w:cantSplit/>
        </w:trPr>
        <w:tc>
          <w:tcPr>
            <w:tcW w:type="dxa" w:w="1247"/>
            <w:vAlign w:val="top"/>
          </w:tcPr>
          <w:p>
            <w:pPr>
              <w:spacing w:after="20" w:line="252" w:lineRule="auto"/>
            </w:pPr>
            <w:r>
              <w:rPr>
                <w:b w:val="0"/>
                <w:i w:val="0"/>
                <w:sz w:val="15"/>
              </w:rPr>
              <w:t>apps/web</w:t>
            </w:r>
          </w:p>
        </w:tc>
        <w:tc>
          <w:tcPr>
            <w:tcW w:type="dxa" w:w="2041"/>
            <w:vAlign w:val="top"/>
          </w:tcPr>
          <w:p>
            <w:pPr>
              <w:spacing w:after="20" w:line="252" w:lineRule="auto"/>
            </w:pPr>
            <w:r>
              <w:rPr>
                <w:b w:val="0"/>
                <w:i w:val="0"/>
                <w:sz w:val="15"/>
              </w:rPr>
              <w:t>lint</w:t>
            </w:r>
          </w:p>
        </w:tc>
        <w:tc>
          <w:tcPr>
            <w:tcW w:type="dxa" w:w="6350"/>
            <w:vAlign w:val="top"/>
          </w:tcPr>
          <w:p>
            <w:pPr>
              <w:spacing w:after="20" w:line="252" w:lineRule="auto"/>
            </w:pPr>
            <w:r>
              <w:rPr>
                <w:b w:val="0"/>
                <w:i w:val="0"/>
                <w:sz w:val="15"/>
              </w:rPr>
              <w:t>oxlint src</w:t>
            </w:r>
          </w:p>
        </w:tc>
      </w:tr>
      <w:tr>
        <w:trPr>
          <w:cantSplit/>
        </w:trPr>
        <w:tc>
          <w:tcPr>
            <w:tcW w:type="dxa" w:w="1247"/>
            <w:vAlign w:val="top"/>
            <w:shd w:val="clear" w:color="auto" w:fill="FDF0F7"/>
          </w:tcPr>
          <w:p>
            <w:pPr>
              <w:spacing w:after="20" w:line="252" w:lineRule="auto"/>
            </w:pPr>
            <w:r>
              <w:rPr>
                <w:b w:val="0"/>
                <w:i w:val="0"/>
                <w:sz w:val="15"/>
              </w:rPr>
              <w:t>apps/web</w:t>
            </w:r>
          </w:p>
        </w:tc>
        <w:tc>
          <w:tcPr>
            <w:tcW w:type="dxa" w:w="2041"/>
            <w:vAlign w:val="top"/>
            <w:shd w:val="clear" w:color="auto" w:fill="FDF0F7"/>
          </w:tcPr>
          <w:p>
            <w:pPr>
              <w:spacing w:after="20" w:line="252" w:lineRule="auto"/>
            </w:pPr>
            <w:r>
              <w:rPr>
                <w:b w:val="0"/>
                <w:i w:val="0"/>
                <w:sz w:val="15"/>
              </w:rPr>
              <w:t>typecheck</w:t>
            </w:r>
          </w:p>
        </w:tc>
        <w:tc>
          <w:tcPr>
            <w:tcW w:type="dxa" w:w="6350"/>
            <w:vAlign w:val="top"/>
            <w:shd w:val="clear" w:color="auto" w:fill="FDF0F7"/>
          </w:tcPr>
          <w:p>
            <w:pPr>
              <w:spacing w:after="20" w:line="252" w:lineRule="auto"/>
            </w:pPr>
            <w:r>
              <w:rPr>
                <w:b w:val="0"/>
                <w:i w:val="0"/>
                <w:sz w:val="15"/>
              </w:rPr>
              <w:t>tsc -b</w:t>
            </w:r>
          </w:p>
        </w:tc>
      </w:tr>
      <w:tr>
        <w:trPr>
          <w:cantSplit/>
        </w:trPr>
        <w:tc>
          <w:tcPr>
            <w:tcW w:type="dxa" w:w="1247"/>
            <w:vAlign w:val="top"/>
          </w:tcPr>
          <w:p>
            <w:pPr>
              <w:spacing w:after="20" w:line="252" w:lineRule="auto"/>
            </w:pPr>
            <w:r>
              <w:rPr>
                <w:b w:val="0"/>
                <w:i w:val="0"/>
                <w:sz w:val="15"/>
              </w:rPr>
              <w:t>apps/web</w:t>
            </w:r>
          </w:p>
        </w:tc>
        <w:tc>
          <w:tcPr>
            <w:tcW w:type="dxa" w:w="2041"/>
            <w:vAlign w:val="top"/>
          </w:tcPr>
          <w:p>
            <w:pPr>
              <w:spacing w:after="20" w:line="252" w:lineRule="auto"/>
            </w:pPr>
            <w:r>
              <w:rPr>
                <w:b w:val="0"/>
                <w:i w:val="0"/>
                <w:sz w:val="15"/>
              </w:rPr>
              <w:t>test</w:t>
            </w:r>
          </w:p>
        </w:tc>
        <w:tc>
          <w:tcPr>
            <w:tcW w:type="dxa" w:w="6350"/>
            <w:vAlign w:val="top"/>
          </w:tcPr>
          <w:p>
            <w:pPr>
              <w:spacing w:after="20" w:line="252" w:lineRule="auto"/>
            </w:pPr>
            <w:r>
              <w:rPr>
                <w:b w:val="0"/>
                <w:i w:val="0"/>
                <w:sz w:val="15"/>
              </w:rPr>
              <w:t>vitest run</w:t>
            </w:r>
          </w:p>
        </w:tc>
      </w:tr>
    </w:tbl>
    <w:p>
      <w:pPr>
        <w:pStyle w:val="Caption"/>
        <w:jc w:val="center"/>
      </w:pPr>
      <w:r>
        <w:rPr>
          <w:b w:val="0"/>
          <w:i w:val="0"/>
        </w:rPr>
        <w:t>Table 28: npm scripts</w:t>
      </w:r>
    </w:p>
    <w:p>
      <w:pPr>
        <w:pStyle w:val="Heading2"/>
      </w:pPr>
      <w:r>
        <w:t>17.4 Coding conventions</w:t>
      </w:r>
    </w:p>
    <w:p>
      <w:pPr>
        <w:pStyle w:val="ListBullet"/>
      </w:pPr>
      <w:r>
        <w:rPr>
          <w:b w:val="0"/>
          <w:i w:val="0"/>
        </w:rPr>
        <w:t>TypeScript strict mode, ES modules with .js import suffixes; Prettier (single quotes, trailing commas, 100 columns) and oxlint must pass; CI checks formatting, lint, types, tests and build.</w:t>
      </w:r>
    </w:p>
    <w:p>
      <w:pPr>
        <w:pStyle w:val="ListBullet"/>
      </w:pPr>
      <w:r>
        <w:rPr>
          <w:b w:val="0"/>
          <w:i w:val="0"/>
        </w:rPr>
        <w:t>Controllers are thin: validation by DTO classes (class-validator), authorisation by decorators (@ForAudience, @RequirePermissions, @Public only where intended), logic in services.</w:t>
      </w:r>
    </w:p>
    <w:p>
      <w:pPr>
        <w:pStyle w:val="ListBullet"/>
      </w:pPr>
      <w:r>
        <w:rPr>
          <w:b w:val="0"/>
          <w:i w:val="0"/>
        </w:rPr>
        <w:t>Every state change that matters is audited with AuditService.record inside the same transaction; anything sent to Core or FIN goes through OutboxService.enqueue in that transaction.</w:t>
      </w:r>
    </w:p>
    <w:p>
      <w:pPr>
        <w:pStyle w:val="ListBullet"/>
      </w:pPr>
      <w:r>
        <w:rPr>
          <w:b w:val="0"/>
          <w:i w:val="0"/>
        </w:rPr>
        <w:t>Business rule failures throw BusinessRuleError with a stable code; missing records use notFound(); stale updates use staleRecord(). Never return stack traces or internal messages to clients.</w:t>
      </w:r>
    </w:p>
    <w:p>
      <w:pPr>
        <w:pStyle w:val="ListBullet"/>
      </w:pPr>
      <w:r>
        <w:rPr>
          <w:b w:val="0"/>
          <w:i w:val="0"/>
        </w:rPr>
        <w:t>Portal queries always apply the data scope (DataScopeService.recordFilter); back-office routes declare permissions.</w:t>
      </w:r>
    </w:p>
    <w:p>
      <w:pPr>
        <w:pStyle w:val="ListBullet"/>
      </w:pPr>
      <w:r>
        <w:rPr>
          <w:b w:val="0"/>
          <w:i w:val="0"/>
        </w:rPr>
        <w:t>Money as Prisma.Decimal through money()/sum(); dates as UTC instants or business dates via businessToday(); reference numbers via NumberingService.</w:t>
      </w:r>
    </w:p>
    <w:p>
      <w:pPr>
        <w:pStyle w:val="ListBullet"/>
      </w:pPr>
      <w:r>
        <w:rPr>
          <w:b w:val="0"/>
          <w:i w:val="0"/>
        </w:rPr>
        <w:t>Database changes only by migration (npx prisma migrate dev --name &lt;change&gt;), reviewed in the pull request, expand-and-contract for anything already in production; update dictionary_text.py so the Data Dictionary build passes.</w:t>
      </w:r>
    </w:p>
    <w:p>
      <w:pPr>
        <w:pStyle w:val="ListBullet"/>
      </w:pPr>
      <w:r>
        <w:rPr>
          <w:b w:val="0"/>
          <w:i w:val="0"/>
        </w:rPr>
        <w:t>Tests: API unit tests next to the code (*.spec.ts); end-to-end tests in apps/api/test for new endpoints and permissions; web unit and component tests next to the code (*.test.ts, *.test.tsx) with Vitest and Testing Library. npm test --workspaces runs the API and web unit tests.</w:t>
      </w:r>
    </w:p>
    <w:p>
      <w:pPr>
        <w:pStyle w:val="ListBullet"/>
      </w:pPr>
      <w:r>
        <w:rPr>
          <w:b w:val="0"/>
          <w:i w:val="0"/>
        </w:rPr>
        <w:t>British English in user-facing text; Shariah-appropriate terms (participant, contribution, takaful).</w:t>
      </w:r>
    </w:p>
    <w:p>
      <w:pPr>
        <w:pStyle w:val="Heading2"/>
      </w:pPr>
      <w:r>
        <w:t>17.5 How to</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6"/>
              </w:rPr>
              <w:t>Task</w:t>
            </w:r>
          </w:p>
        </w:tc>
        <w:tc>
          <w:tcPr>
            <w:tcW w:type="dxa" w:w="7710"/>
            <w:shd w:val="clear" w:color="auto" w:fill="E1058C"/>
            <w:vAlign w:val="center"/>
          </w:tcPr>
          <w:p>
            <w:pPr>
              <w:spacing w:after="0"/>
            </w:pPr>
            <w:r>
              <w:rPr>
                <w:b/>
                <w:i w:val="0"/>
                <w:color w:val="FFFFFF"/>
                <w:sz w:val="16"/>
              </w:rPr>
              <w:t>Steps</w:t>
            </w:r>
          </w:p>
        </w:tc>
      </w:tr>
      <w:tr>
        <w:trPr>
          <w:cantSplit/>
        </w:trPr>
        <w:tc>
          <w:tcPr>
            <w:tcW w:type="dxa" w:w="1928"/>
            <w:vAlign w:val="top"/>
          </w:tcPr>
          <w:p>
            <w:pPr>
              <w:spacing w:after="20" w:line="252" w:lineRule="auto"/>
            </w:pPr>
            <w:r>
              <w:rPr>
                <w:b/>
                <w:i w:val="0"/>
                <w:sz w:val="16"/>
              </w:rPr>
              <w:t>Add a module</w:t>
            </w:r>
          </w:p>
        </w:tc>
        <w:tc>
          <w:tcPr>
            <w:tcW w:type="dxa" w:w="7710"/>
            <w:vAlign w:val="top"/>
          </w:tcPr>
          <w:p>
            <w:pPr>
              <w:spacing w:after="20" w:line="252" w:lineRule="auto"/>
            </w:pPr>
            <w:r>
              <w:rPr>
                <w:b w:val="0"/>
                <w:i w:val="0"/>
                <w:sz w:val="16"/>
              </w:rPr>
              <w:t>Create apps/api/src/modules/&lt;area&gt; with &lt;area&gt;.module.ts, controller, service and DTOs; add the module to app.module.ts; add permissions to common/security/permissions.ts (code and catalogue entry) and to roles in reference-data/roles.ts; add tests.</w:t>
            </w:r>
          </w:p>
        </w:tc>
      </w:tr>
      <w:tr>
        <w:trPr>
          <w:cantSplit/>
        </w:trPr>
        <w:tc>
          <w:tcPr>
            <w:tcW w:type="dxa" w:w="1928"/>
            <w:vAlign w:val="top"/>
            <w:shd w:val="clear" w:color="auto" w:fill="FDF0F7"/>
          </w:tcPr>
          <w:p>
            <w:pPr>
              <w:spacing w:after="20" w:line="252" w:lineRule="auto"/>
            </w:pPr>
            <w:r>
              <w:rPr>
                <w:b/>
                <w:i w:val="0"/>
                <w:sz w:val="16"/>
              </w:rPr>
              <w:t>Add an endpoint</w:t>
            </w:r>
          </w:p>
        </w:tc>
        <w:tc>
          <w:tcPr>
            <w:tcW w:type="dxa" w:w="7710"/>
            <w:vAlign w:val="top"/>
            <w:shd w:val="clear" w:color="auto" w:fill="FDF0F7"/>
          </w:tcPr>
          <w:p>
            <w:pPr>
              <w:spacing w:after="20" w:line="252" w:lineRule="auto"/>
            </w:pPr>
            <w:r>
              <w:rPr>
                <w:b w:val="0"/>
                <w:i w:val="0"/>
                <w:sz w:val="16"/>
              </w:rPr>
              <w:t>Add the method to the controller with @Get/@Post..., a DTO for the body or query, @RequirePermissions (and audience on the controller); implement in the service with scope and audit; add an end-to-end test for allowed and denied users; regenerate docs/api/openapi.json.</w:t>
            </w:r>
          </w:p>
        </w:tc>
      </w:tr>
      <w:tr>
        <w:trPr>
          <w:cantSplit/>
        </w:trPr>
        <w:tc>
          <w:tcPr>
            <w:tcW w:type="dxa" w:w="1928"/>
            <w:vAlign w:val="top"/>
          </w:tcPr>
          <w:p>
            <w:pPr>
              <w:spacing w:after="20" w:line="252" w:lineRule="auto"/>
            </w:pPr>
            <w:r>
              <w:rPr>
                <w:b/>
                <w:i w:val="0"/>
                <w:sz w:val="16"/>
              </w:rPr>
              <w:t>Add a product</w:t>
            </w:r>
          </w:p>
        </w:tc>
        <w:tc>
          <w:tcPr>
            <w:tcW w:type="dxa" w:w="7710"/>
            <w:vAlign w:val="top"/>
          </w:tcPr>
          <w:p>
            <w:pPr>
              <w:spacing w:after="20" w:line="252" w:lineRule="auto"/>
            </w:pPr>
            <w:r>
              <w:rPr>
                <w:b w:val="0"/>
                <w:i w:val="0"/>
                <w:sz w:val="16"/>
              </w:rPr>
              <w:t>Add the product to prisma/reference-data/products.ts with code, rating engine (FINANCING or FIXED_PLAN), config, required documents and questionnaire; run npm run db:seed (adds missing products only) or create it in production through a scripted change; if the product needs a new rating model, add an engine in modules/products/rating and register it in rating-engines.ts with unit tests.</w:t>
            </w:r>
          </w:p>
        </w:tc>
      </w:tr>
      <w:tr>
        <w:trPr>
          <w:cantSplit/>
        </w:trPr>
        <w:tc>
          <w:tcPr>
            <w:tcW w:type="dxa" w:w="1928"/>
            <w:vAlign w:val="top"/>
            <w:shd w:val="clear" w:color="auto" w:fill="FDF0F7"/>
          </w:tcPr>
          <w:p>
            <w:pPr>
              <w:spacing w:after="20" w:line="252" w:lineRule="auto"/>
            </w:pPr>
            <w:r>
              <w:rPr>
                <w:b/>
                <w:i w:val="0"/>
                <w:sz w:val="16"/>
              </w:rPr>
              <w:t>Add a report</w:t>
            </w:r>
          </w:p>
        </w:tc>
        <w:tc>
          <w:tcPr>
            <w:tcW w:type="dxa" w:w="7710"/>
            <w:vAlign w:val="top"/>
            <w:shd w:val="clear" w:color="auto" w:fill="FDF0F7"/>
          </w:tcPr>
          <w:p>
            <w:pPr>
              <w:spacing w:after="20" w:line="252" w:lineRule="auto"/>
            </w:pPr>
            <w:r>
              <w:rPr>
                <w:b w:val="0"/>
                <w:i w:val="0"/>
                <w:sz w:val="16"/>
              </w:rPr>
              <w:t>Add a ReportDefinition (code, name, audiences, filters, columns, run) to modules/reports/report-definitions.ts; use the data scope in run(); export, preview and scheduling work without further code; add a unit test.</w:t>
            </w:r>
          </w:p>
        </w:tc>
      </w:tr>
      <w:tr>
        <w:trPr>
          <w:cantSplit/>
        </w:trPr>
        <w:tc>
          <w:tcPr>
            <w:tcW w:type="dxa" w:w="1928"/>
            <w:vAlign w:val="top"/>
          </w:tcPr>
          <w:p>
            <w:pPr>
              <w:spacing w:after="20" w:line="252" w:lineRule="auto"/>
            </w:pPr>
            <w:r>
              <w:rPr>
                <w:b/>
                <w:i w:val="0"/>
                <w:sz w:val="16"/>
              </w:rPr>
              <w:t>Add an approval type</w:t>
            </w:r>
          </w:p>
        </w:tc>
        <w:tc>
          <w:tcPr>
            <w:tcW w:type="dxa" w:w="7710"/>
            <w:vAlign w:val="top"/>
          </w:tcPr>
          <w:p>
            <w:pPr>
              <w:spacing w:after="20" w:line="252" w:lineRule="auto"/>
            </w:pPr>
            <w:r>
              <w:rPr>
                <w:b w:val="0"/>
                <w:i w:val="0"/>
                <w:sz w:val="16"/>
              </w:rPr>
              <w:t>Add the value to enum ApprovalType in schema.prisma and create a migration; add a workflow definition with its steps to reference-data/workflows.ts; implement an ApprovalHandler (onApproved, onRejected, optional onWithdrawn) and register it with WorkflowService.registerHandler in onModuleInit; raise requests with WorkflowService.submit inside the business transaction.</w:t>
            </w:r>
          </w:p>
        </w:tc>
      </w:tr>
      <w:tr>
        <w:trPr>
          <w:cantSplit/>
        </w:trPr>
        <w:tc>
          <w:tcPr>
            <w:tcW w:type="dxa" w:w="1928"/>
            <w:vAlign w:val="top"/>
            <w:shd w:val="clear" w:color="auto" w:fill="FDF0F7"/>
          </w:tcPr>
          <w:p>
            <w:pPr>
              <w:spacing w:after="20" w:line="252" w:lineRule="auto"/>
            </w:pPr>
            <w:r>
              <w:rPr>
                <w:b/>
                <w:i w:val="0"/>
                <w:sz w:val="16"/>
              </w:rPr>
              <w:t>Add a business parameter</w:t>
            </w:r>
          </w:p>
        </w:tc>
        <w:tc>
          <w:tcPr>
            <w:tcW w:type="dxa" w:w="7710"/>
            <w:vAlign w:val="top"/>
            <w:shd w:val="clear" w:color="auto" w:fill="FDF0F7"/>
          </w:tcPr>
          <w:p>
            <w:pPr>
              <w:spacing w:after="20" w:line="252" w:lineRule="auto"/>
            </w:pPr>
            <w:r>
              <w:rPr>
                <w:b w:val="0"/>
                <w:i w:val="0"/>
                <w:sz w:val="16"/>
              </w:rPr>
              <w:t>Add the key and default (with range) to modules/settings/setting-keys.ts; read it through SettingsService; defaults are seeded at start-up.</w:t>
            </w:r>
          </w:p>
        </w:tc>
      </w:tr>
      <w:tr>
        <w:trPr>
          <w:cantSplit/>
        </w:trPr>
        <w:tc>
          <w:tcPr>
            <w:tcW w:type="dxa" w:w="1928"/>
            <w:vAlign w:val="top"/>
          </w:tcPr>
          <w:p>
            <w:pPr>
              <w:spacing w:after="20" w:line="252" w:lineRule="auto"/>
            </w:pPr>
            <w:r>
              <w:rPr>
                <w:b/>
                <w:i w:val="0"/>
                <w:sz w:val="16"/>
              </w:rPr>
              <w:t>Add a scheduled job</w:t>
            </w:r>
          </w:p>
        </w:tc>
        <w:tc>
          <w:tcPr>
            <w:tcW w:type="dxa" w:w="7710"/>
            <w:vAlign w:val="top"/>
          </w:tcPr>
          <w:p>
            <w:pPr>
              <w:spacing w:after="20" w:line="252" w:lineRule="auto"/>
            </w:pPr>
            <w:r>
              <w:rPr>
                <w:b w:val="0"/>
                <w:i w:val="0"/>
                <w:sz w:val="16"/>
              </w:rPr>
              <w:t>Use @Cron or @Interval with timeZone BUSINESS_TIME_ZONE, return early when JOBS_ENABLED is false, and wrap the work in prisma.withJobLock('&lt;job-name&gt;', ...).</w:t>
            </w:r>
          </w:p>
        </w:tc>
      </w:tr>
    </w:tbl>
    <w:p>
      <w:pPr>
        <w:pStyle w:val="Caption"/>
        <w:jc w:val="center"/>
      </w:pPr>
      <w:r>
        <w:rPr>
          <w:b w:val="0"/>
          <w:i w:val="0"/>
        </w:rPr>
        <w:t>Table 29: Common development tasks</w:t>
      </w:r>
    </w:p>
    <w:p>
      <w:pPr>
        <w:pStyle w:val="Heading1"/>
        <w:pageBreakBefore/>
        <w:pBdr>
          <w:bottom w:val="single" w:sz="12" w:space="4" w:color="F58220"/>
        </w:pBdr>
      </w:pPr>
      <w:r>
        <w:t>18. Handover Checklist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649"/>
        <w:gridCol w:w="2381"/>
        <w:gridCol w:w="1701"/>
        <w:gridCol w:w="907"/>
      </w:tblGrid>
      <w:tr>
        <w:trPr>
          <w:cantSplit/>
          <w:tblHeader/>
        </w:trPr>
        <w:tc>
          <w:tcPr>
            <w:tcW w:type="dxa" w:w="4649"/>
            <w:shd w:val="clear" w:color="auto" w:fill="E1058C"/>
            <w:vAlign w:val="center"/>
          </w:tcPr>
          <w:p>
            <w:pPr>
              <w:spacing w:after="0"/>
            </w:pPr>
            <w:r>
              <w:rPr>
                <w:b/>
                <w:i w:val="0"/>
                <w:color w:val="FFFFFF"/>
                <w:sz w:val="17"/>
              </w:rPr>
              <w:t>Item</w:t>
            </w:r>
          </w:p>
        </w:tc>
        <w:tc>
          <w:tcPr>
            <w:tcW w:type="dxa" w:w="2381"/>
            <w:shd w:val="clear" w:color="auto" w:fill="E1058C"/>
            <w:vAlign w:val="center"/>
          </w:tcPr>
          <w:p>
            <w:pPr>
              <w:spacing w:after="0"/>
            </w:pPr>
            <w:r>
              <w:rPr>
                <w:b/>
                <w:i w:val="0"/>
                <w:color w:val="FFFFFF"/>
                <w:sz w:val="17"/>
              </w:rPr>
              <w:t>Evidence</w:t>
            </w:r>
          </w:p>
        </w:tc>
        <w:tc>
          <w:tcPr>
            <w:tcW w:type="dxa" w:w="1701"/>
            <w:shd w:val="clear" w:color="auto" w:fill="E1058C"/>
            <w:vAlign w:val="center"/>
          </w:tcPr>
          <w:p>
            <w:pPr>
              <w:spacing w:after="0"/>
            </w:pPr>
            <w:r>
              <w:rPr>
                <w:b/>
                <w:i w:val="0"/>
                <w:color w:val="FFFFFF"/>
                <w:sz w:val="17"/>
              </w:rPr>
              <w:t>Owner</w:t>
            </w:r>
          </w:p>
        </w:tc>
        <w:tc>
          <w:tcPr>
            <w:tcW w:type="dxa" w:w="907"/>
            <w:shd w:val="clear" w:color="auto" w:fill="E1058C"/>
            <w:vAlign w:val="center"/>
          </w:tcPr>
          <w:p>
            <w:pPr>
              <w:spacing w:after="0"/>
            </w:pPr>
            <w:r>
              <w:rPr>
                <w:b/>
                <w:i w:val="0"/>
                <w:color w:val="FFFFFF"/>
                <w:sz w:val="17"/>
              </w:rPr>
              <w:t>Done</w:t>
            </w:r>
          </w:p>
        </w:tc>
      </w:tr>
      <w:tr>
        <w:trPr>
          <w:cantSplit/>
        </w:trPr>
        <w:tc>
          <w:tcPr>
            <w:tcW w:type="dxa" w:w="4649"/>
            <w:vAlign w:val="top"/>
          </w:tcPr>
          <w:p>
            <w:pPr>
              <w:spacing w:after="20" w:line="252" w:lineRule="auto"/>
            </w:pPr>
            <w:r>
              <w:rPr>
                <w:b w:val="0"/>
                <w:i w:val="0"/>
                <w:sz w:val="17"/>
              </w:rPr>
              <w:t>Source code of IIFT-specific components (configuration, adapters, reports, templates, migrations, build scripts) delivered to the IIFT/IITH repository at go-live; core platform source under Option C or escrow deposit confirmed</w:t>
            </w:r>
          </w:p>
        </w:tc>
        <w:tc>
          <w:tcPr>
            <w:tcW w:type="dxa" w:w="2381"/>
            <w:vAlign w:val="top"/>
          </w:tcPr>
          <w:p>
            <w:pPr>
              <w:spacing w:after="20" w:line="252" w:lineRule="auto"/>
            </w:pPr>
            <w:r>
              <w:rPr>
                <w:b w:val="0"/>
                <w:i w:val="0"/>
                <w:sz w:val="17"/>
              </w:rPr>
              <w:t>Repository access confirmed; deposit receipt</w:t>
            </w:r>
          </w:p>
        </w:tc>
        <w:tc>
          <w:tcPr>
            <w:tcW w:type="dxa" w:w="1701"/>
            <w:vAlign w:val="top"/>
          </w:tcPr>
          <w:p>
            <w:pPr>
              <w:spacing w:after="20" w:line="252" w:lineRule="auto"/>
            </w:pPr>
            <w:r>
              <w:rPr>
                <w:b w:val="0"/>
                <w:i w:val="0"/>
                <w:sz w:val="17"/>
              </w:rPr>
              <w:t>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Production, UAT and SIT environments documented with access granted</w:t>
            </w:r>
          </w:p>
        </w:tc>
        <w:tc>
          <w:tcPr>
            <w:tcW w:type="dxa" w:w="2381"/>
            <w:vAlign w:val="top"/>
            <w:shd w:val="clear" w:color="auto" w:fill="FDF0F7"/>
          </w:tcPr>
          <w:p>
            <w:pPr>
              <w:spacing w:after="20" w:line="252" w:lineRule="auto"/>
            </w:pPr>
            <w:r>
              <w:rPr>
                <w:b w:val="0"/>
                <w:i w:val="0"/>
                <w:sz w:val="17"/>
              </w:rPr>
              <w:t>Access matrix</w:t>
            </w:r>
          </w:p>
        </w:tc>
        <w:tc>
          <w:tcPr>
            <w:tcW w:type="dxa" w:w="1701"/>
            <w:vAlign w:val="top"/>
            <w:shd w:val="clear" w:color="auto" w:fill="FDF0F7"/>
          </w:tcPr>
          <w:p>
            <w:pPr>
              <w:spacing w:after="20" w:line="252" w:lineRule="auto"/>
            </w:pPr>
            <w:r>
              <w:rPr>
                <w:b w:val="0"/>
                <w:i w:val="0"/>
                <w:sz w:val="17"/>
              </w:rPr>
              <w:t>iorta, IITH</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Secrets and keys held in the IITH vault; no copies outside</w:t>
            </w:r>
          </w:p>
        </w:tc>
        <w:tc>
          <w:tcPr>
            <w:tcW w:type="dxa" w:w="2381"/>
            <w:vAlign w:val="top"/>
          </w:tcPr>
          <w:p>
            <w:pPr>
              <w:spacing w:after="20" w:line="252" w:lineRule="auto"/>
            </w:pPr>
            <w:r>
              <w:rPr>
                <w:b w:val="0"/>
                <w:i w:val="0"/>
                <w:sz w:val="17"/>
              </w:rPr>
              <w:t>Vault inventory signed</w:t>
            </w:r>
          </w:p>
        </w:tc>
        <w:tc>
          <w:tcPr>
            <w:tcW w:type="dxa" w:w="1701"/>
            <w:vAlign w:val="top"/>
          </w:tcPr>
          <w:p>
            <w:pPr>
              <w:spacing w:after="20" w:line="252" w:lineRule="auto"/>
            </w:pPr>
            <w:r>
              <w:rPr>
                <w:b w:val="0"/>
                <w:i w:val="0"/>
                <w:sz w:val="17"/>
              </w:rPr>
              <w:t>IITH,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Monitoring dashboards and alert rules live; alert recipients tested</w:t>
            </w:r>
          </w:p>
        </w:tc>
        <w:tc>
          <w:tcPr>
            <w:tcW w:type="dxa" w:w="2381"/>
            <w:vAlign w:val="top"/>
            <w:shd w:val="clear" w:color="auto" w:fill="FDF0F7"/>
          </w:tcPr>
          <w:p>
            <w:pPr>
              <w:spacing w:after="20" w:line="252" w:lineRule="auto"/>
            </w:pPr>
            <w:r>
              <w:rPr>
                <w:b w:val="0"/>
                <w:i w:val="0"/>
                <w:sz w:val="17"/>
              </w:rPr>
              <w:t>Test alert received</w:t>
            </w:r>
          </w:p>
        </w:tc>
        <w:tc>
          <w:tcPr>
            <w:tcW w:type="dxa" w:w="1701"/>
            <w:vAlign w:val="top"/>
            <w:shd w:val="clear" w:color="auto" w:fill="FDF0F7"/>
          </w:tcPr>
          <w:p>
            <w:pPr>
              <w:spacing w:after="20" w:line="252" w:lineRule="auto"/>
            </w:pPr>
            <w:r>
              <w:rPr>
                <w:b w:val="0"/>
                <w:i w:val="0"/>
                <w:sz w:val="17"/>
              </w:rPr>
              <w:t>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Backups running; one restore tested and reconciled</w:t>
            </w:r>
          </w:p>
        </w:tc>
        <w:tc>
          <w:tcPr>
            <w:tcW w:type="dxa" w:w="2381"/>
            <w:vAlign w:val="top"/>
          </w:tcPr>
          <w:p>
            <w:pPr>
              <w:spacing w:after="20" w:line="252" w:lineRule="auto"/>
            </w:pPr>
            <w:r>
              <w:rPr>
                <w:b w:val="0"/>
                <w:i w:val="0"/>
                <w:sz w:val="17"/>
              </w:rPr>
              <w:t>Restore test record</w:t>
            </w:r>
          </w:p>
        </w:tc>
        <w:tc>
          <w:tcPr>
            <w:tcW w:type="dxa" w:w="1701"/>
            <w:vAlign w:val="top"/>
          </w:tcPr>
          <w:p>
            <w:pPr>
              <w:spacing w:after="20" w:line="252" w:lineRule="auto"/>
            </w:pPr>
            <w:r>
              <w:rPr>
                <w:b w:val="0"/>
                <w:i w:val="0"/>
                <w:sz w:val="17"/>
              </w:rPr>
              <w:t>IITH,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DR replication running; DR test plan agreed</w:t>
            </w:r>
          </w:p>
        </w:tc>
        <w:tc>
          <w:tcPr>
            <w:tcW w:type="dxa" w:w="2381"/>
            <w:vAlign w:val="top"/>
            <w:shd w:val="clear" w:color="auto" w:fill="FDF0F7"/>
          </w:tcPr>
          <w:p>
            <w:pPr>
              <w:spacing w:after="20" w:line="252" w:lineRule="auto"/>
            </w:pPr>
            <w:r>
              <w:rPr>
                <w:b w:val="0"/>
                <w:i w:val="0"/>
                <w:sz w:val="17"/>
              </w:rPr>
              <w:t>Plan approved</w:t>
            </w:r>
          </w:p>
        </w:tc>
        <w:tc>
          <w:tcPr>
            <w:tcW w:type="dxa" w:w="1701"/>
            <w:vAlign w:val="top"/>
            <w:shd w:val="clear" w:color="auto" w:fill="FDF0F7"/>
          </w:tcPr>
          <w:p>
            <w:pPr>
              <w:spacing w:after="20" w:line="252" w:lineRule="auto"/>
            </w:pPr>
            <w:r>
              <w:rPr>
                <w:b w:val="0"/>
                <w:i w:val="0"/>
                <w:sz w:val="17"/>
              </w:rPr>
              <w:t>IITH, 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Runbooks in this document executed once in UAT by IIFT/IITH staff</w:t>
            </w:r>
          </w:p>
        </w:tc>
        <w:tc>
          <w:tcPr>
            <w:tcW w:type="dxa" w:w="2381"/>
            <w:vAlign w:val="top"/>
          </w:tcPr>
          <w:p>
            <w:pPr>
              <w:spacing w:after="20" w:line="252" w:lineRule="auto"/>
            </w:pPr>
            <w:r>
              <w:rPr>
                <w:b w:val="0"/>
                <w:i w:val="0"/>
                <w:sz w:val="17"/>
              </w:rPr>
              <w:t>Signed runbook log</w:t>
            </w:r>
          </w:p>
        </w:tc>
        <w:tc>
          <w:tcPr>
            <w:tcW w:type="dxa" w:w="1701"/>
            <w:vAlign w:val="top"/>
          </w:tcPr>
          <w:p>
            <w:pPr>
              <w:spacing w:after="20" w:line="252" w:lineRule="auto"/>
            </w:pPr>
            <w:r>
              <w:rPr>
                <w:b w:val="0"/>
                <w:i w:val="0"/>
                <w:sz w:val="17"/>
              </w:rPr>
              <w:t>IIFT,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Knowledge-transfer sessions delivered and attended</w:t>
            </w:r>
          </w:p>
        </w:tc>
        <w:tc>
          <w:tcPr>
            <w:tcW w:type="dxa" w:w="2381"/>
            <w:vAlign w:val="top"/>
            <w:shd w:val="clear" w:color="auto" w:fill="FDF0F7"/>
          </w:tcPr>
          <w:p>
            <w:pPr>
              <w:spacing w:after="20" w:line="252" w:lineRule="auto"/>
            </w:pPr>
            <w:r>
              <w:rPr>
                <w:b w:val="0"/>
                <w:i w:val="0"/>
                <w:sz w:val="17"/>
              </w:rPr>
              <w:t>Attendance and feedback</w:t>
            </w:r>
          </w:p>
        </w:tc>
        <w:tc>
          <w:tcPr>
            <w:tcW w:type="dxa" w:w="1701"/>
            <w:vAlign w:val="top"/>
            <w:shd w:val="clear" w:color="auto" w:fill="FDF0F7"/>
          </w:tcPr>
          <w:p>
            <w:pPr>
              <w:spacing w:after="20" w:line="252" w:lineRule="auto"/>
            </w:pPr>
            <w:r>
              <w:rPr>
                <w:b w:val="0"/>
                <w:i w:val="0"/>
                <w:sz w:val="17"/>
              </w:rPr>
              <w:t>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Escalation contacts completed and tested</w:t>
            </w:r>
          </w:p>
        </w:tc>
        <w:tc>
          <w:tcPr>
            <w:tcW w:type="dxa" w:w="2381"/>
            <w:vAlign w:val="top"/>
          </w:tcPr>
          <w:p>
            <w:pPr>
              <w:spacing w:after="20" w:line="252" w:lineRule="auto"/>
            </w:pPr>
            <w:r>
              <w:rPr>
                <w:b w:val="0"/>
                <w:i w:val="0"/>
                <w:sz w:val="17"/>
              </w:rPr>
              <w:t>Contact test record</w:t>
            </w:r>
          </w:p>
        </w:tc>
        <w:tc>
          <w:tcPr>
            <w:tcW w:type="dxa" w:w="1701"/>
            <w:vAlign w:val="top"/>
          </w:tcPr>
          <w:p>
            <w:pPr>
              <w:spacing w:after="20" w:line="252" w:lineRule="auto"/>
            </w:pPr>
            <w:r>
              <w:rPr>
                <w:b w:val="0"/>
                <w:i w:val="0"/>
                <w:sz w:val="17"/>
              </w:rPr>
              <w:t>IIFT,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Known-error list and open defect list handed over</w:t>
            </w:r>
          </w:p>
        </w:tc>
        <w:tc>
          <w:tcPr>
            <w:tcW w:type="dxa" w:w="2381"/>
            <w:vAlign w:val="top"/>
            <w:shd w:val="clear" w:color="auto" w:fill="FDF0F7"/>
          </w:tcPr>
          <w:p>
            <w:pPr>
              <w:spacing w:after="20" w:line="252" w:lineRule="auto"/>
            </w:pPr>
            <w:r>
              <w:rPr>
                <w:b w:val="0"/>
                <w:i w:val="0"/>
                <w:sz w:val="17"/>
              </w:rPr>
              <w:t>Lists accepted</w:t>
            </w:r>
          </w:p>
        </w:tc>
        <w:tc>
          <w:tcPr>
            <w:tcW w:type="dxa" w:w="1701"/>
            <w:vAlign w:val="top"/>
            <w:shd w:val="clear" w:color="auto" w:fill="FDF0F7"/>
          </w:tcPr>
          <w:p>
            <w:pPr>
              <w:spacing w:after="20" w:line="252" w:lineRule="auto"/>
            </w:pPr>
            <w:r>
              <w:rPr>
                <w:b w:val="0"/>
                <w:i w:val="0"/>
                <w:sz w:val="17"/>
              </w:rPr>
              <w:t>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Data Dictionary and Solution Architecture at the go-live version</w:t>
            </w:r>
          </w:p>
        </w:tc>
        <w:tc>
          <w:tcPr>
            <w:tcW w:type="dxa" w:w="2381"/>
            <w:vAlign w:val="top"/>
          </w:tcPr>
          <w:p>
            <w:pPr>
              <w:spacing w:after="20" w:line="252" w:lineRule="auto"/>
            </w:pPr>
            <w:r>
              <w:rPr>
                <w:b w:val="0"/>
                <w:i w:val="0"/>
                <w:sz w:val="17"/>
              </w:rPr>
              <w:t>Documents issued</w:t>
            </w:r>
          </w:p>
        </w:tc>
        <w:tc>
          <w:tcPr>
            <w:tcW w:type="dxa" w:w="1701"/>
            <w:vAlign w:val="top"/>
          </w:tcPr>
          <w:p>
            <w:pPr>
              <w:spacing w:after="20" w:line="252" w:lineRule="auto"/>
            </w:pPr>
            <w:r>
              <w:rPr>
                <w:b w:val="0"/>
                <w:i w:val="0"/>
                <w:sz w:val="17"/>
              </w:rPr>
              <w:t>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Hypercare exit criteria met: no open P1/P2, EOD stable 10 business days</w:t>
            </w:r>
          </w:p>
        </w:tc>
        <w:tc>
          <w:tcPr>
            <w:tcW w:type="dxa" w:w="2381"/>
            <w:vAlign w:val="top"/>
            <w:shd w:val="clear" w:color="auto" w:fill="FDF0F7"/>
          </w:tcPr>
          <w:p>
            <w:pPr>
              <w:spacing w:after="20" w:line="252" w:lineRule="auto"/>
            </w:pPr>
            <w:r>
              <w:rPr>
                <w:b w:val="0"/>
                <w:i w:val="0"/>
                <w:sz w:val="17"/>
              </w:rPr>
              <w:t>Hypercare report</w:t>
            </w:r>
          </w:p>
        </w:tc>
        <w:tc>
          <w:tcPr>
            <w:tcW w:type="dxa" w:w="1701"/>
            <w:vAlign w:val="top"/>
            <w:shd w:val="clear" w:color="auto" w:fill="FDF0F7"/>
          </w:tcPr>
          <w:p>
            <w:pPr>
              <w:spacing w:after="20" w:line="252" w:lineRule="auto"/>
            </w:pPr>
            <w:r>
              <w:rPr>
                <w:b w:val="0"/>
                <w:i w:val="0"/>
                <w:sz w:val="17"/>
              </w:rPr>
              <w:t>iorta, IIFT</w:t>
            </w:r>
          </w:p>
        </w:tc>
        <w:tc>
          <w:tcPr>
            <w:tcW w:type="dxa" w:w="907"/>
            <w:vAlign w:val="top"/>
            <w:shd w:val="clear" w:color="auto" w:fill="FDF0F7"/>
          </w:tcPr>
          <w:p>
            <w:pPr>
              <w:spacing w:after="20" w:line="252" w:lineRule="auto"/>
              <w:jc w:val="center"/>
            </w:pPr>
            <w:r>
              <w:rPr>
                <w:b w:val="0"/>
                <w:i w:val="0"/>
                <w:sz w:val="17"/>
              </w:rPr>
              <w:t>☐</w:t>
            </w:r>
          </w:p>
        </w:tc>
      </w:tr>
    </w:tbl>
    <w:p>
      <w:pPr>
        <w:pStyle w:val="Caption"/>
        <w:jc w:val="center"/>
      </w:pPr>
      <w:r>
        <w:rPr>
          <w:b w:val="0"/>
          <w:i w:val="0"/>
        </w:rPr>
        <w:t>Table 30: Handover checklist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Role</w:t>
            </w:r>
          </w:p>
        </w:tc>
        <w:tc>
          <w:tcPr>
            <w:tcW w:type="dxa" w:w="3402"/>
            <w:shd w:val="clear" w:color="auto" w:fill="E1058C"/>
            <w:vAlign w:val="center"/>
          </w:tcPr>
          <w:p>
            <w:pPr>
              <w:spacing w:after="0"/>
            </w:pPr>
            <w:r>
              <w:rPr>
                <w:b/>
                <w:i w:val="0"/>
                <w:color w:val="FFFFFF"/>
                <w:sz w:val="17"/>
              </w:rPr>
              <w:t>Name</w:t>
            </w:r>
          </w:p>
        </w:tc>
        <w:tc>
          <w:tcPr>
            <w:tcW w:type="dxa" w:w="2835"/>
            <w:shd w:val="clear" w:color="auto" w:fill="E1058C"/>
            <w:vAlign w:val="center"/>
          </w:tcPr>
          <w:p>
            <w:pPr>
              <w:spacing w:after="0"/>
            </w:pPr>
            <w:r>
              <w:rPr>
                <w:b/>
                <w:i w:val="0"/>
                <w:color w:val="FFFFFF"/>
                <w:sz w:val="17"/>
              </w:rPr>
              <w:t>Signature / date</w:t>
            </w:r>
          </w:p>
        </w:tc>
      </w:tr>
      <w:tr>
        <w:trPr>
          <w:cantSplit/>
        </w:trPr>
        <w:tc>
          <w:tcPr>
            <w:tcW w:type="dxa" w:w="3402"/>
            <w:vAlign w:val="top"/>
          </w:tcPr>
          <w:p>
            <w:pPr>
              <w:spacing w:after="20" w:line="252" w:lineRule="auto"/>
            </w:pPr>
            <w:r>
              <w:rPr>
                <w:b w:val="0"/>
                <w:i w:val="0"/>
                <w:sz w:val="17"/>
              </w:rPr>
              <w:t>IIFT application owner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r>
        <w:trPr>
          <w:cantSplit/>
        </w:trPr>
        <w:tc>
          <w:tcPr>
            <w:tcW w:type="dxa" w:w="3402"/>
            <w:vAlign w:val="top"/>
            <w:shd w:val="clear" w:color="auto" w:fill="FDF0F7"/>
          </w:tcPr>
          <w:p>
            <w:pPr>
              <w:spacing w:after="20" w:line="252" w:lineRule="auto"/>
            </w:pPr>
            <w:r>
              <w:rPr>
                <w:b w:val="0"/>
                <w:i w:val="0"/>
                <w:sz w:val="17"/>
              </w:rPr>
              <w:t>IITH infrastructure lead</w:t>
            </w:r>
          </w:p>
        </w:tc>
        <w:tc>
          <w:tcPr>
            <w:tcW w:type="dxa" w:w="3402"/>
            <w:vAlign w:val="top"/>
            <w:shd w:val="clear" w:color="auto" w:fill="FDF0F7"/>
          </w:tcPr>
          <w:p>
            <w:pPr>
              <w:spacing w:after="20" w:line="252" w:lineRule="auto"/>
            </w:pPr>
            <w:r>
              <w:rPr>
                <w:b w:val="0"/>
                <w:i w:val="0"/>
                <w:sz w:val="17"/>
                <w:highlight w:val="yellow"/>
              </w:rPr>
              <w:t>[Name]</w:t>
            </w:r>
          </w:p>
        </w:tc>
        <w:tc>
          <w:tcPr>
            <w:tcW w:type="dxa" w:w="2835"/>
            <w:vAlign w:val="top"/>
            <w:shd w:val="clear" w:color="auto" w:fill="FDF0F7"/>
          </w:tcPr>
          <w:p>
            <w:pPr>
              <w:spacing w:after="20" w:line="252" w:lineRule="auto"/>
            </w:pPr>
          </w:p>
        </w:tc>
      </w:tr>
      <w:tr>
        <w:trPr>
          <w:cantSplit/>
        </w:trPr>
        <w:tc>
          <w:tcPr>
            <w:tcW w:type="dxa" w:w="3402"/>
            <w:vAlign w:val="top"/>
          </w:tcPr>
          <w:p>
            <w:pPr>
              <w:spacing w:after="20" w:line="252" w:lineRule="auto"/>
            </w:pPr>
            <w:r>
              <w:rPr>
                <w:b w:val="0"/>
                <w:i w:val="0"/>
                <w:sz w:val="17"/>
              </w:rPr>
              <w:t>iorta TechNXT project director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bl>
    <w:p>
      <w:pPr>
        <w:pStyle w:val="Caption"/>
        <w:jc w:val="center"/>
      </w:pPr>
      <w:r>
        <w:rPr>
          <w:b w:val="0"/>
          <w:i w:val="0"/>
        </w:rPr>
        <w:t>Table 31: Handover acceptance</w:t>
      </w:r>
    </w:p>
    <w:p>
      <w:pPr>
        <w:pStyle w:val="Heading1"/>
        <w:pageBreakBefore/>
        <w:pBdr>
          <w:bottom w:val="single" w:sz="12" w:space="4" w:color="F58220"/>
        </w:pBdr>
      </w:pPr>
      <w:r>
        <w:t>19. Monthly Service Report Template</w:t>
      </w:r>
    </w:p>
    <w:p>
      <w:pPr>
        <w:keepNext w:val="0"/>
      </w:pPr>
      <w:r>
        <w:rPr>
          <w:b w:val="0"/>
          <w:i w:val="0"/>
        </w:rPr>
        <w:t>Issued by the 10th business day of each month (MNT-25) and reviewed in the quarterly service review (MNT-26).</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041"/>
        <w:gridCol w:w="7144"/>
      </w:tblGrid>
      <w:tr>
        <w:trPr>
          <w:cantSplit/>
          <w:tblHeader/>
        </w:trPr>
        <w:tc>
          <w:tcPr>
            <w:tcW w:type="dxa" w:w="454"/>
            <w:shd w:val="clear" w:color="auto" w:fill="E1058C"/>
            <w:vAlign w:val="center"/>
          </w:tcPr>
          <w:p>
            <w:pPr>
              <w:spacing w:after="0"/>
            </w:pPr>
            <w:r>
              <w:rPr>
                <w:b/>
                <w:i w:val="0"/>
                <w:color w:val="FFFFFF"/>
                <w:sz w:val="17"/>
              </w:rPr>
              <w:t>#</w:t>
            </w:r>
          </w:p>
        </w:tc>
        <w:tc>
          <w:tcPr>
            <w:tcW w:type="dxa" w:w="2041"/>
            <w:shd w:val="clear" w:color="auto" w:fill="E1058C"/>
            <w:vAlign w:val="center"/>
          </w:tcPr>
          <w:p>
            <w:pPr>
              <w:spacing w:after="0"/>
            </w:pPr>
            <w:r>
              <w:rPr>
                <w:b/>
                <w:i w:val="0"/>
                <w:color w:val="FFFFFF"/>
                <w:sz w:val="17"/>
              </w:rPr>
              <w:t>Section</w:t>
            </w:r>
          </w:p>
        </w:tc>
        <w:tc>
          <w:tcPr>
            <w:tcW w:type="dxa" w:w="7143"/>
            <w:shd w:val="clear" w:color="auto" w:fill="E1058C"/>
            <w:vAlign w:val="center"/>
          </w:tcPr>
          <w:p>
            <w:pPr>
              <w:spacing w:after="0"/>
            </w:pPr>
            <w:r>
              <w:rPr>
                <w:b/>
                <w:i w:val="0"/>
                <w:color w:val="FFFFFF"/>
                <w:sz w:val="17"/>
              </w:rPr>
              <w:t>Content</w:t>
            </w:r>
          </w:p>
        </w:tc>
      </w:tr>
      <w:tr>
        <w:trPr>
          <w:cantSplit/>
        </w:trPr>
        <w:tc>
          <w:tcPr>
            <w:tcW w:type="dxa" w:w="454"/>
            <w:vAlign w:val="top"/>
          </w:tcPr>
          <w:p>
            <w:pPr>
              <w:spacing w:after="20" w:line="252" w:lineRule="auto"/>
              <w:jc w:val="center"/>
            </w:pPr>
            <w:r>
              <w:rPr>
                <w:b w:val="0"/>
                <w:i w:val="0"/>
                <w:sz w:val="17"/>
              </w:rPr>
              <w:t>1</w:t>
            </w:r>
          </w:p>
        </w:tc>
        <w:tc>
          <w:tcPr>
            <w:tcW w:type="dxa" w:w="2041"/>
            <w:vAlign w:val="top"/>
          </w:tcPr>
          <w:p>
            <w:pPr>
              <w:spacing w:after="20" w:line="252" w:lineRule="auto"/>
            </w:pPr>
            <w:r>
              <w:rPr>
                <w:b w:val="0"/>
                <w:i w:val="0"/>
                <w:sz w:val="17"/>
              </w:rPr>
              <w:t>Summary</w:t>
            </w:r>
          </w:p>
        </w:tc>
        <w:tc>
          <w:tcPr>
            <w:tcW w:type="dxa" w:w="7143"/>
            <w:vAlign w:val="top"/>
          </w:tcPr>
          <w:p>
            <w:pPr>
              <w:spacing w:after="20" w:line="252" w:lineRule="auto"/>
            </w:pPr>
            <w:r>
              <w:rPr>
                <w:b w:val="0"/>
                <w:i w:val="0"/>
                <w:sz w:val="17"/>
              </w:rPr>
              <w:t>Service status, key events, availability, SLA attainment, actions for IIFT</w:t>
            </w:r>
          </w:p>
        </w:tc>
      </w:tr>
      <w:tr>
        <w:trPr>
          <w:cantSplit/>
        </w:trPr>
        <w:tc>
          <w:tcPr>
            <w:tcW w:type="dxa" w:w="454"/>
            <w:vAlign w:val="top"/>
            <w:shd w:val="clear" w:color="auto" w:fill="FDF0F7"/>
          </w:tcPr>
          <w:p>
            <w:pPr>
              <w:spacing w:after="20" w:line="252" w:lineRule="auto"/>
              <w:jc w:val="center"/>
            </w:pPr>
            <w:r>
              <w:rPr>
                <w:b w:val="0"/>
                <w:i w:val="0"/>
                <w:sz w:val="17"/>
              </w:rPr>
              <w:t>2</w:t>
            </w:r>
          </w:p>
        </w:tc>
        <w:tc>
          <w:tcPr>
            <w:tcW w:type="dxa" w:w="2041"/>
            <w:vAlign w:val="top"/>
            <w:shd w:val="clear" w:color="auto" w:fill="FDF0F7"/>
          </w:tcPr>
          <w:p>
            <w:pPr>
              <w:spacing w:after="20" w:line="252" w:lineRule="auto"/>
            </w:pPr>
            <w:r>
              <w:rPr>
                <w:b w:val="0"/>
                <w:i w:val="0"/>
                <w:sz w:val="17"/>
              </w:rPr>
              <w:t>Availability</w:t>
            </w:r>
          </w:p>
        </w:tc>
        <w:tc>
          <w:tcPr>
            <w:tcW w:type="dxa" w:w="7143"/>
            <w:vAlign w:val="top"/>
            <w:shd w:val="clear" w:color="auto" w:fill="FDF0F7"/>
          </w:tcPr>
          <w:p>
            <w:pPr>
              <w:spacing w:after="20" w:line="252" w:lineRule="auto"/>
            </w:pPr>
            <w:r>
              <w:rPr>
                <w:b w:val="0"/>
                <w:i w:val="0"/>
                <w:sz w:val="17"/>
              </w:rPr>
              <w:t>Monthly availability overall and in business hours against 99.5% and 99.9%; outages with cause and duration</w:t>
            </w:r>
          </w:p>
        </w:tc>
      </w:tr>
      <w:tr>
        <w:trPr>
          <w:cantSplit/>
        </w:trPr>
        <w:tc>
          <w:tcPr>
            <w:tcW w:type="dxa" w:w="454"/>
            <w:vAlign w:val="top"/>
          </w:tcPr>
          <w:p>
            <w:pPr>
              <w:spacing w:after="20" w:line="252" w:lineRule="auto"/>
              <w:jc w:val="center"/>
            </w:pPr>
            <w:r>
              <w:rPr>
                <w:b w:val="0"/>
                <w:i w:val="0"/>
                <w:sz w:val="17"/>
              </w:rPr>
              <w:t>3</w:t>
            </w:r>
          </w:p>
        </w:tc>
        <w:tc>
          <w:tcPr>
            <w:tcW w:type="dxa" w:w="2041"/>
            <w:vAlign w:val="top"/>
          </w:tcPr>
          <w:p>
            <w:pPr>
              <w:spacing w:after="20" w:line="252" w:lineRule="auto"/>
            </w:pPr>
            <w:r>
              <w:rPr>
                <w:b w:val="0"/>
                <w:i w:val="0"/>
                <w:sz w:val="17"/>
              </w:rPr>
              <w:t>Incidents</w:t>
            </w:r>
          </w:p>
        </w:tc>
        <w:tc>
          <w:tcPr>
            <w:tcW w:type="dxa" w:w="7143"/>
            <w:vAlign w:val="top"/>
          </w:tcPr>
          <w:p>
            <w:pPr>
              <w:spacing w:after="20" w:line="252" w:lineRule="auto"/>
            </w:pPr>
            <w:r>
              <w:rPr>
                <w:b w:val="0"/>
                <w:i w:val="0"/>
                <w:sz w:val="17"/>
              </w:rPr>
              <w:t>Opened, resolved and open by priority; SLA attainment per priority; P1/P2 summaries</w:t>
            </w:r>
          </w:p>
        </w:tc>
      </w:tr>
      <w:tr>
        <w:trPr>
          <w:cantSplit/>
        </w:trPr>
        <w:tc>
          <w:tcPr>
            <w:tcW w:type="dxa" w:w="454"/>
            <w:vAlign w:val="top"/>
            <w:shd w:val="clear" w:color="auto" w:fill="FDF0F7"/>
          </w:tcPr>
          <w:p>
            <w:pPr>
              <w:spacing w:after="20" w:line="252" w:lineRule="auto"/>
              <w:jc w:val="center"/>
            </w:pPr>
            <w:r>
              <w:rPr>
                <w:b w:val="0"/>
                <w:i w:val="0"/>
                <w:sz w:val="17"/>
              </w:rPr>
              <w:t>4</w:t>
            </w:r>
          </w:p>
        </w:tc>
        <w:tc>
          <w:tcPr>
            <w:tcW w:type="dxa" w:w="2041"/>
            <w:vAlign w:val="top"/>
            <w:shd w:val="clear" w:color="auto" w:fill="FDF0F7"/>
          </w:tcPr>
          <w:p>
            <w:pPr>
              <w:spacing w:after="20" w:line="252" w:lineRule="auto"/>
            </w:pPr>
            <w:r>
              <w:rPr>
                <w:b w:val="0"/>
                <w:i w:val="0"/>
                <w:sz w:val="17"/>
              </w:rPr>
              <w:t>Problems</w:t>
            </w:r>
          </w:p>
        </w:tc>
        <w:tc>
          <w:tcPr>
            <w:tcW w:type="dxa" w:w="7143"/>
            <w:vAlign w:val="top"/>
            <w:shd w:val="clear" w:color="auto" w:fill="FDF0F7"/>
          </w:tcPr>
          <w:p>
            <w:pPr>
              <w:spacing w:after="20" w:line="252" w:lineRule="auto"/>
            </w:pPr>
            <w:r>
              <w:rPr>
                <w:b w:val="0"/>
                <w:i w:val="0"/>
                <w:sz w:val="17"/>
              </w:rPr>
              <w:t>Root-cause analyses completed and actions outstanding</w:t>
            </w:r>
          </w:p>
        </w:tc>
      </w:tr>
      <w:tr>
        <w:trPr>
          <w:cantSplit/>
        </w:trPr>
        <w:tc>
          <w:tcPr>
            <w:tcW w:type="dxa" w:w="454"/>
            <w:vAlign w:val="top"/>
          </w:tcPr>
          <w:p>
            <w:pPr>
              <w:spacing w:after="20" w:line="252" w:lineRule="auto"/>
              <w:jc w:val="center"/>
            </w:pPr>
            <w:r>
              <w:rPr>
                <w:b w:val="0"/>
                <w:i w:val="0"/>
                <w:sz w:val="17"/>
              </w:rPr>
              <w:t>5</w:t>
            </w:r>
          </w:p>
        </w:tc>
        <w:tc>
          <w:tcPr>
            <w:tcW w:type="dxa" w:w="2041"/>
            <w:vAlign w:val="top"/>
          </w:tcPr>
          <w:p>
            <w:pPr>
              <w:spacing w:after="20" w:line="252" w:lineRule="auto"/>
            </w:pPr>
            <w:r>
              <w:rPr>
                <w:b w:val="0"/>
                <w:i w:val="0"/>
                <w:sz w:val="17"/>
              </w:rPr>
              <w:t>Service requests</w:t>
            </w:r>
          </w:p>
        </w:tc>
        <w:tc>
          <w:tcPr>
            <w:tcW w:type="dxa" w:w="7143"/>
            <w:vAlign w:val="top"/>
          </w:tcPr>
          <w:p>
            <w:pPr>
              <w:spacing w:after="20" w:line="252" w:lineRule="auto"/>
            </w:pPr>
            <w:r>
              <w:rPr>
                <w:b w:val="0"/>
                <w:i w:val="0"/>
                <w:sz w:val="17"/>
              </w:rPr>
              <w:t>Volume by type, average turnaround</w:t>
            </w:r>
          </w:p>
        </w:tc>
      </w:tr>
      <w:tr>
        <w:trPr>
          <w:cantSplit/>
        </w:trPr>
        <w:tc>
          <w:tcPr>
            <w:tcW w:type="dxa" w:w="454"/>
            <w:vAlign w:val="top"/>
            <w:shd w:val="clear" w:color="auto" w:fill="FDF0F7"/>
          </w:tcPr>
          <w:p>
            <w:pPr>
              <w:spacing w:after="20" w:line="252" w:lineRule="auto"/>
              <w:jc w:val="center"/>
            </w:pPr>
            <w:r>
              <w:rPr>
                <w:b w:val="0"/>
                <w:i w:val="0"/>
                <w:sz w:val="17"/>
              </w:rPr>
              <w:t>6</w:t>
            </w:r>
          </w:p>
        </w:tc>
        <w:tc>
          <w:tcPr>
            <w:tcW w:type="dxa" w:w="2041"/>
            <w:vAlign w:val="top"/>
            <w:shd w:val="clear" w:color="auto" w:fill="FDF0F7"/>
          </w:tcPr>
          <w:p>
            <w:pPr>
              <w:spacing w:after="20" w:line="252" w:lineRule="auto"/>
            </w:pPr>
            <w:r>
              <w:rPr>
                <w:b w:val="0"/>
                <w:i w:val="0"/>
                <w:sz w:val="17"/>
              </w:rPr>
              <w:t>Changes and releases</w:t>
            </w:r>
          </w:p>
        </w:tc>
        <w:tc>
          <w:tcPr>
            <w:tcW w:type="dxa" w:w="7143"/>
            <w:vAlign w:val="top"/>
            <w:shd w:val="clear" w:color="auto" w:fill="FDF0F7"/>
          </w:tcPr>
          <w:p>
            <w:pPr>
              <w:spacing w:after="20" w:line="252" w:lineRule="auto"/>
            </w:pPr>
            <w:r>
              <w:rPr>
                <w:b w:val="0"/>
                <w:i w:val="0"/>
                <w:sz w:val="17"/>
              </w:rPr>
              <w:t>Changes implemented, emergency changes, releases with content</w:t>
            </w:r>
          </w:p>
        </w:tc>
      </w:tr>
      <w:tr>
        <w:trPr>
          <w:cantSplit/>
        </w:trPr>
        <w:tc>
          <w:tcPr>
            <w:tcW w:type="dxa" w:w="454"/>
            <w:vAlign w:val="top"/>
          </w:tcPr>
          <w:p>
            <w:pPr>
              <w:spacing w:after="20" w:line="252" w:lineRule="auto"/>
              <w:jc w:val="center"/>
            </w:pPr>
            <w:r>
              <w:rPr>
                <w:b w:val="0"/>
                <w:i w:val="0"/>
                <w:sz w:val="17"/>
              </w:rPr>
              <w:t>7</w:t>
            </w:r>
          </w:p>
        </w:tc>
        <w:tc>
          <w:tcPr>
            <w:tcW w:type="dxa" w:w="2041"/>
            <w:vAlign w:val="top"/>
          </w:tcPr>
          <w:p>
            <w:pPr>
              <w:spacing w:after="20" w:line="252" w:lineRule="auto"/>
            </w:pPr>
            <w:r>
              <w:rPr>
                <w:b w:val="0"/>
                <w:i w:val="0"/>
                <w:sz w:val="17"/>
              </w:rPr>
              <w:t>Security</w:t>
            </w:r>
          </w:p>
        </w:tc>
        <w:tc>
          <w:tcPr>
            <w:tcW w:type="dxa" w:w="7143"/>
            <w:vAlign w:val="top"/>
          </w:tcPr>
          <w:p>
            <w:pPr>
              <w:spacing w:after="20" w:line="252" w:lineRule="auto"/>
            </w:pPr>
            <w:r>
              <w:rPr>
                <w:b w:val="0"/>
                <w:i w:val="0"/>
                <w:sz w:val="17"/>
              </w:rPr>
              <w:t>Patches applied, vulnerabilities found and remediation status, access reviews</w:t>
            </w:r>
          </w:p>
        </w:tc>
      </w:tr>
      <w:tr>
        <w:trPr>
          <w:cantSplit/>
        </w:trPr>
        <w:tc>
          <w:tcPr>
            <w:tcW w:type="dxa" w:w="454"/>
            <w:vAlign w:val="top"/>
            <w:shd w:val="clear" w:color="auto" w:fill="FDF0F7"/>
          </w:tcPr>
          <w:p>
            <w:pPr>
              <w:spacing w:after="20" w:line="252" w:lineRule="auto"/>
              <w:jc w:val="center"/>
            </w:pPr>
            <w:r>
              <w:rPr>
                <w:b w:val="0"/>
                <w:i w:val="0"/>
                <w:sz w:val="17"/>
              </w:rPr>
              <w:t>8</w:t>
            </w:r>
          </w:p>
        </w:tc>
        <w:tc>
          <w:tcPr>
            <w:tcW w:type="dxa" w:w="2041"/>
            <w:vAlign w:val="top"/>
            <w:shd w:val="clear" w:color="auto" w:fill="FDF0F7"/>
          </w:tcPr>
          <w:p>
            <w:pPr>
              <w:spacing w:after="20" w:line="252" w:lineRule="auto"/>
            </w:pPr>
            <w:r>
              <w:rPr>
                <w:b w:val="0"/>
                <w:i w:val="0"/>
                <w:sz w:val="17"/>
              </w:rPr>
              <w:t>Operations</w:t>
            </w:r>
          </w:p>
        </w:tc>
        <w:tc>
          <w:tcPr>
            <w:tcW w:type="dxa" w:w="7143"/>
            <w:vAlign w:val="top"/>
            <w:shd w:val="clear" w:color="auto" w:fill="FDF0F7"/>
          </w:tcPr>
          <w:p>
            <w:pPr>
              <w:spacing w:after="20" w:line="252" w:lineRule="auto"/>
            </w:pPr>
            <w:r>
              <w:rPr>
                <w:b w:val="0"/>
                <w:i w:val="0"/>
                <w:sz w:val="17"/>
              </w:rPr>
              <w:t>EOD runs, reconciliation results, integration dead-letters, backup and restore tests</w:t>
            </w:r>
          </w:p>
        </w:tc>
      </w:tr>
      <w:tr>
        <w:trPr>
          <w:cantSplit/>
        </w:trPr>
        <w:tc>
          <w:tcPr>
            <w:tcW w:type="dxa" w:w="454"/>
            <w:vAlign w:val="top"/>
          </w:tcPr>
          <w:p>
            <w:pPr>
              <w:spacing w:after="20" w:line="252" w:lineRule="auto"/>
              <w:jc w:val="center"/>
            </w:pPr>
            <w:r>
              <w:rPr>
                <w:b w:val="0"/>
                <w:i w:val="0"/>
                <w:sz w:val="17"/>
              </w:rPr>
              <w:t>9</w:t>
            </w:r>
          </w:p>
        </w:tc>
        <w:tc>
          <w:tcPr>
            <w:tcW w:type="dxa" w:w="2041"/>
            <w:vAlign w:val="top"/>
          </w:tcPr>
          <w:p>
            <w:pPr>
              <w:spacing w:after="20" w:line="252" w:lineRule="auto"/>
            </w:pPr>
            <w:r>
              <w:rPr>
                <w:b w:val="0"/>
                <w:i w:val="0"/>
                <w:sz w:val="17"/>
              </w:rPr>
              <w:t>Capacity</w:t>
            </w:r>
          </w:p>
        </w:tc>
        <w:tc>
          <w:tcPr>
            <w:tcW w:type="dxa" w:w="7143"/>
            <w:vAlign w:val="top"/>
          </w:tcPr>
          <w:p>
            <w:pPr>
              <w:spacing w:after="20" w:line="252" w:lineRule="auto"/>
            </w:pPr>
            <w:r>
              <w:rPr>
                <w:b w:val="0"/>
                <w:i w:val="0"/>
                <w:sz w:val="17"/>
              </w:rPr>
              <w:t>Database and document growth, CPU and memory trends against sizing</w:t>
            </w:r>
          </w:p>
        </w:tc>
      </w:tr>
      <w:tr>
        <w:trPr>
          <w:cantSplit/>
        </w:trPr>
        <w:tc>
          <w:tcPr>
            <w:tcW w:type="dxa" w:w="454"/>
            <w:vAlign w:val="top"/>
            <w:shd w:val="clear" w:color="auto" w:fill="FDF0F7"/>
          </w:tcPr>
          <w:p>
            <w:pPr>
              <w:spacing w:after="20" w:line="252" w:lineRule="auto"/>
              <w:jc w:val="center"/>
            </w:pPr>
            <w:r>
              <w:rPr>
                <w:b w:val="0"/>
                <w:i w:val="0"/>
                <w:sz w:val="17"/>
              </w:rPr>
              <w:t>10</w:t>
            </w:r>
          </w:p>
        </w:tc>
        <w:tc>
          <w:tcPr>
            <w:tcW w:type="dxa" w:w="2041"/>
            <w:vAlign w:val="top"/>
            <w:shd w:val="clear" w:color="auto" w:fill="FDF0F7"/>
          </w:tcPr>
          <w:p>
            <w:pPr>
              <w:spacing w:after="20" w:line="252" w:lineRule="auto"/>
            </w:pPr>
            <w:r>
              <w:rPr>
                <w:b w:val="0"/>
                <w:i w:val="0"/>
                <w:sz w:val="17"/>
              </w:rPr>
              <w:t>Enhancement hours</w:t>
            </w:r>
          </w:p>
        </w:tc>
        <w:tc>
          <w:tcPr>
            <w:tcW w:type="dxa" w:w="7143"/>
            <w:vAlign w:val="top"/>
            <w:shd w:val="clear" w:color="auto" w:fill="FDF0F7"/>
          </w:tcPr>
          <w:p>
            <w:pPr>
              <w:spacing w:after="20" w:line="252" w:lineRule="auto"/>
            </w:pPr>
            <w:r>
              <w:rPr>
                <w:b w:val="0"/>
                <w:i w:val="0"/>
                <w:sz w:val="17"/>
              </w:rPr>
              <w:t>Hours used from the annual 60-hour pool, balance</w:t>
            </w:r>
          </w:p>
        </w:tc>
      </w:tr>
      <w:tr>
        <w:trPr>
          <w:cantSplit/>
        </w:trPr>
        <w:tc>
          <w:tcPr>
            <w:tcW w:type="dxa" w:w="454"/>
            <w:vAlign w:val="top"/>
          </w:tcPr>
          <w:p>
            <w:pPr>
              <w:spacing w:after="20" w:line="252" w:lineRule="auto"/>
              <w:jc w:val="center"/>
            </w:pPr>
            <w:r>
              <w:rPr>
                <w:b w:val="0"/>
                <w:i w:val="0"/>
                <w:sz w:val="17"/>
              </w:rPr>
              <w:t>11</w:t>
            </w:r>
          </w:p>
        </w:tc>
        <w:tc>
          <w:tcPr>
            <w:tcW w:type="dxa" w:w="2041"/>
            <w:vAlign w:val="top"/>
          </w:tcPr>
          <w:p>
            <w:pPr>
              <w:spacing w:after="20" w:line="252" w:lineRule="auto"/>
            </w:pPr>
            <w:r>
              <w:rPr>
                <w:b w:val="0"/>
                <w:i w:val="0"/>
                <w:sz w:val="17"/>
              </w:rPr>
              <w:t>Cloud cost and managed services (Option B)</w:t>
            </w:r>
          </w:p>
        </w:tc>
        <w:tc>
          <w:tcPr>
            <w:tcW w:type="dxa" w:w="7143"/>
            <w:vAlign w:val="top"/>
          </w:tcPr>
          <w:p>
            <w:pPr>
              <w:spacing w:after="20" w:line="252" w:lineRule="auto"/>
            </w:pPr>
            <w:r>
              <w:rPr>
                <w:b w:val="0"/>
                <w:i w:val="0"/>
                <w:sz w:val="17"/>
              </w:rPr>
              <w:t>Actual cloud charges by service and environment against the estimate, budget alerts raised, patching and restore tests done, right-sizing actions</w:t>
            </w:r>
          </w:p>
        </w:tc>
      </w:tr>
      <w:tr>
        <w:trPr>
          <w:cantSplit/>
        </w:trPr>
        <w:tc>
          <w:tcPr>
            <w:tcW w:type="dxa" w:w="454"/>
            <w:vAlign w:val="top"/>
            <w:shd w:val="clear" w:color="auto" w:fill="FDF0F7"/>
          </w:tcPr>
          <w:p>
            <w:pPr>
              <w:spacing w:after="20" w:line="252" w:lineRule="auto"/>
              <w:jc w:val="center"/>
            </w:pPr>
            <w:r>
              <w:rPr>
                <w:b w:val="0"/>
                <w:i w:val="0"/>
                <w:sz w:val="17"/>
              </w:rPr>
              <w:t>12</w:t>
            </w:r>
          </w:p>
        </w:tc>
        <w:tc>
          <w:tcPr>
            <w:tcW w:type="dxa" w:w="2041"/>
            <w:vAlign w:val="top"/>
            <w:shd w:val="clear" w:color="auto" w:fill="FDF0F7"/>
          </w:tcPr>
          <w:p>
            <w:pPr>
              <w:spacing w:after="20" w:line="252" w:lineRule="auto"/>
            </w:pPr>
            <w:r>
              <w:rPr>
                <w:b w:val="0"/>
                <w:i w:val="0"/>
                <w:sz w:val="17"/>
              </w:rPr>
              <w:t>Outstanding items and plan</w:t>
            </w:r>
          </w:p>
        </w:tc>
        <w:tc>
          <w:tcPr>
            <w:tcW w:type="dxa" w:w="7143"/>
            <w:vAlign w:val="top"/>
            <w:shd w:val="clear" w:color="auto" w:fill="FDF0F7"/>
          </w:tcPr>
          <w:p>
            <w:pPr>
              <w:spacing w:after="20" w:line="252" w:lineRule="auto"/>
            </w:pPr>
            <w:r>
              <w:rPr>
                <w:b w:val="0"/>
                <w:i w:val="0"/>
                <w:sz w:val="17"/>
              </w:rPr>
              <w:t>Open issues, upcoming changes, next month's plan</w:t>
            </w:r>
          </w:p>
        </w:tc>
      </w:tr>
    </w:tbl>
    <w:p>
      <w:pPr>
        <w:pStyle w:val="Caption"/>
        <w:jc w:val="center"/>
      </w:pPr>
      <w:r>
        <w:rPr>
          <w:b w:val="0"/>
          <w:i w:val="0"/>
        </w:rPr>
        <w:t>Table 32: Report sections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1927"/>
        <w:gridCol w:w="1814"/>
        <w:gridCol w:w="1927"/>
      </w:tblGrid>
      <w:tr>
        <w:trPr>
          <w:cantSplit/>
          <w:tblHeader/>
        </w:trPr>
        <w:tc>
          <w:tcPr>
            <w:tcW w:type="dxa" w:w="3969"/>
            <w:shd w:val="clear" w:color="auto" w:fill="E1058C"/>
            <w:vAlign w:val="center"/>
          </w:tcPr>
          <w:p>
            <w:pPr>
              <w:spacing w:after="0"/>
            </w:pPr>
            <w:r>
              <w:rPr>
                <w:b/>
                <w:i w:val="0"/>
                <w:color w:val="FFFFFF"/>
                <w:sz w:val="17"/>
              </w:rPr>
              <w:t>Measure</w:t>
            </w:r>
          </w:p>
        </w:tc>
        <w:tc>
          <w:tcPr>
            <w:tcW w:type="dxa" w:w="1928"/>
            <w:shd w:val="clear" w:color="auto" w:fill="E1058C"/>
            <w:vAlign w:val="center"/>
          </w:tcPr>
          <w:p>
            <w:pPr>
              <w:spacing w:after="0"/>
            </w:pPr>
            <w:r>
              <w:rPr>
                <w:b/>
                <w:i w:val="0"/>
                <w:color w:val="FFFFFF"/>
                <w:sz w:val="17"/>
              </w:rPr>
              <w:t>Target</w:t>
            </w:r>
          </w:p>
        </w:tc>
        <w:tc>
          <w:tcPr>
            <w:tcW w:type="dxa" w:w="1814"/>
            <w:shd w:val="clear" w:color="auto" w:fill="E1058C"/>
            <w:vAlign w:val="center"/>
          </w:tcPr>
          <w:p>
            <w:pPr>
              <w:spacing w:after="0"/>
            </w:pPr>
            <w:r>
              <w:rPr>
                <w:b/>
                <w:i w:val="0"/>
                <w:color w:val="FFFFFF"/>
                <w:sz w:val="17"/>
              </w:rPr>
              <w:t>This month</w:t>
            </w:r>
          </w:p>
        </w:tc>
        <w:tc>
          <w:tcPr>
            <w:tcW w:type="dxa" w:w="1928"/>
            <w:shd w:val="clear" w:color="auto" w:fill="E1058C"/>
            <w:vAlign w:val="center"/>
          </w:tcPr>
          <w:p>
            <w:pPr>
              <w:spacing w:after="0"/>
            </w:pPr>
            <w:r>
              <w:rPr>
                <w:b/>
                <w:i w:val="0"/>
                <w:color w:val="FFFFFF"/>
                <w:sz w:val="17"/>
              </w:rPr>
              <w:t>Previous month</w:t>
            </w:r>
          </w:p>
        </w:tc>
      </w:tr>
      <w:tr>
        <w:trPr>
          <w:cantSplit/>
        </w:trPr>
        <w:tc>
          <w:tcPr>
            <w:tcW w:type="dxa" w:w="3969"/>
            <w:vAlign w:val="top"/>
          </w:tcPr>
          <w:p>
            <w:pPr>
              <w:spacing w:after="20" w:line="252" w:lineRule="auto"/>
            </w:pPr>
            <w:r>
              <w:rPr>
                <w:b w:val="0"/>
                <w:i w:val="0"/>
                <w:sz w:val="17"/>
              </w:rPr>
              <w:t>Availability overall</w:t>
            </w:r>
          </w:p>
        </w:tc>
        <w:tc>
          <w:tcPr>
            <w:tcW w:type="dxa" w:w="1928"/>
            <w:vAlign w:val="top"/>
          </w:tcPr>
          <w:p>
            <w:pPr>
              <w:spacing w:after="20" w:line="252" w:lineRule="auto"/>
            </w:pPr>
            <w:r>
              <w:rPr>
                <w:b w:val="0"/>
                <w:i w:val="0"/>
                <w:sz w:val="17"/>
              </w:rPr>
              <w:t>99.5%</w:t>
            </w:r>
          </w:p>
        </w:tc>
        <w:tc>
          <w:tcPr>
            <w:tcW w:type="dxa" w:w="1814"/>
            <w:vAlign w:val="top"/>
          </w:tcPr>
          <w:p>
            <w:pPr>
              <w:spacing w:after="20" w:line="252" w:lineRule="auto"/>
            </w:pPr>
            <w:r>
              <w:rPr>
                <w:b w:val="0"/>
                <w:i w:val="0"/>
                <w:sz w:val="17"/>
                <w:highlight w:val="yellow"/>
              </w:rPr>
              <w:t>[x.x%]</w:t>
            </w:r>
          </w:p>
        </w:tc>
        <w:tc>
          <w:tcPr>
            <w:tcW w:type="dxa" w:w="1928"/>
            <w:vAlign w:val="top"/>
          </w:tcPr>
          <w:p>
            <w:pPr>
              <w:spacing w:after="20" w:line="252" w:lineRule="auto"/>
            </w:pPr>
            <w:r>
              <w:rPr>
                <w:b w:val="0"/>
                <w:i w:val="0"/>
                <w:sz w:val="17"/>
                <w:highlight w:val="yellow"/>
              </w:rPr>
              <w:t>[x.x%]</w:t>
            </w:r>
          </w:p>
        </w:tc>
      </w:tr>
      <w:tr>
        <w:trPr>
          <w:cantSplit/>
        </w:trPr>
        <w:tc>
          <w:tcPr>
            <w:tcW w:type="dxa" w:w="3969"/>
            <w:vAlign w:val="top"/>
            <w:shd w:val="clear" w:color="auto" w:fill="FDF0F7"/>
          </w:tcPr>
          <w:p>
            <w:pPr>
              <w:spacing w:after="20" w:line="252" w:lineRule="auto"/>
            </w:pPr>
            <w:r>
              <w:rPr>
                <w:b w:val="0"/>
                <w:i w:val="0"/>
                <w:sz w:val="17"/>
              </w:rPr>
              <w:t>Availability in business hours</w:t>
            </w:r>
          </w:p>
        </w:tc>
        <w:tc>
          <w:tcPr>
            <w:tcW w:type="dxa" w:w="1928"/>
            <w:vAlign w:val="top"/>
            <w:shd w:val="clear" w:color="auto" w:fill="FDF0F7"/>
          </w:tcPr>
          <w:p>
            <w:pPr>
              <w:spacing w:after="20" w:line="252" w:lineRule="auto"/>
            </w:pPr>
            <w:r>
              <w:rPr>
                <w:b w:val="0"/>
                <w:i w:val="0"/>
                <w:sz w:val="17"/>
              </w:rPr>
              <w:t>99.9%</w:t>
            </w:r>
          </w:p>
        </w:tc>
        <w:tc>
          <w:tcPr>
            <w:tcW w:type="dxa" w:w="1814"/>
            <w:vAlign w:val="top"/>
            <w:shd w:val="clear" w:color="auto" w:fill="FDF0F7"/>
          </w:tcPr>
          <w:p>
            <w:pPr>
              <w:spacing w:after="20" w:line="252" w:lineRule="auto"/>
            </w:pPr>
            <w:r>
              <w:rPr>
                <w:b w:val="0"/>
                <w:i w:val="0"/>
                <w:sz w:val="17"/>
                <w:highlight w:val="yellow"/>
              </w:rPr>
              <w:t>[x.x%]</w:t>
            </w:r>
          </w:p>
        </w:tc>
        <w:tc>
          <w:tcPr>
            <w:tcW w:type="dxa" w:w="1928"/>
            <w:vAlign w:val="top"/>
            <w:shd w:val="clear" w:color="auto" w:fill="FDF0F7"/>
          </w:tcPr>
          <w:p>
            <w:pPr>
              <w:spacing w:after="20" w:line="252" w:lineRule="auto"/>
            </w:pPr>
            <w:r>
              <w:rPr>
                <w:b w:val="0"/>
                <w:i w:val="0"/>
                <w:sz w:val="17"/>
                <w:highlight w:val="yellow"/>
              </w:rPr>
              <w:t>[x.x%]</w:t>
            </w:r>
          </w:p>
        </w:tc>
      </w:tr>
      <w:tr>
        <w:trPr>
          <w:cantSplit/>
        </w:trPr>
        <w:tc>
          <w:tcPr>
            <w:tcW w:type="dxa" w:w="3969"/>
            <w:vAlign w:val="top"/>
          </w:tcPr>
          <w:p>
            <w:pPr>
              <w:spacing w:after="20" w:line="252" w:lineRule="auto"/>
            </w:pPr>
            <w:r>
              <w:rPr>
                <w:b w:val="0"/>
                <w:i w:val="0"/>
                <w:sz w:val="17"/>
              </w:rPr>
              <w:t>P1 responded in 30 min / restored in 4 h</w:t>
            </w:r>
          </w:p>
        </w:tc>
        <w:tc>
          <w:tcPr>
            <w:tcW w:type="dxa" w:w="1928"/>
            <w:vAlign w:val="top"/>
          </w:tcPr>
          <w:p>
            <w:pPr>
              <w:spacing w:after="20" w:line="252" w:lineRule="auto"/>
            </w:pPr>
            <w:r>
              <w:rPr>
                <w:b w:val="0"/>
                <w:i w:val="0"/>
                <w:sz w:val="17"/>
              </w:rPr>
              <w:t>100%</w:t>
            </w:r>
          </w:p>
        </w:tc>
        <w:tc>
          <w:tcPr>
            <w:tcW w:type="dxa" w:w="1814"/>
            <w:vAlign w:val="top"/>
          </w:tcPr>
          <w:p>
            <w:pPr>
              <w:spacing w:after="20" w:line="252" w:lineRule="auto"/>
            </w:pPr>
            <w:r>
              <w:rPr>
                <w:b w:val="0"/>
                <w:i w:val="0"/>
                <w:sz w:val="17"/>
                <w:highlight w:val="yellow"/>
              </w:rPr>
              <w:t>[n of n]</w:t>
            </w:r>
          </w:p>
        </w:tc>
        <w:tc>
          <w:tcPr>
            <w:tcW w:type="dxa" w:w="1928"/>
            <w:vAlign w:val="top"/>
          </w:tcPr>
          <w:p>
            <w:pPr>
              <w:spacing w:after="20" w:line="252" w:lineRule="auto"/>
            </w:pPr>
            <w:r>
              <w:rPr>
                <w:b w:val="0"/>
                <w:i w:val="0"/>
                <w:sz w:val="17"/>
                <w:highlight w:val="yellow"/>
              </w:rPr>
              <w:t>[n of n]</w:t>
            </w:r>
          </w:p>
        </w:tc>
      </w:tr>
      <w:tr>
        <w:trPr>
          <w:cantSplit/>
        </w:trPr>
        <w:tc>
          <w:tcPr>
            <w:tcW w:type="dxa" w:w="3969"/>
            <w:vAlign w:val="top"/>
            <w:shd w:val="clear" w:color="auto" w:fill="FDF0F7"/>
          </w:tcPr>
          <w:p>
            <w:pPr>
              <w:spacing w:after="20" w:line="252" w:lineRule="auto"/>
            </w:pPr>
            <w:r>
              <w:rPr>
                <w:b w:val="0"/>
                <w:i w:val="0"/>
                <w:sz w:val="17"/>
              </w:rPr>
              <w:t>P2 responded in 2 h / resolved in 1 business day</w:t>
            </w:r>
          </w:p>
        </w:tc>
        <w:tc>
          <w:tcPr>
            <w:tcW w:type="dxa" w:w="1928"/>
            <w:vAlign w:val="top"/>
            <w:shd w:val="clear" w:color="auto" w:fill="FDF0F7"/>
          </w:tcPr>
          <w:p>
            <w:pPr>
              <w:spacing w:after="20" w:line="252" w:lineRule="auto"/>
            </w:pPr>
            <w:r>
              <w:rPr>
                <w:b w:val="0"/>
                <w:i w:val="0"/>
                <w:sz w:val="17"/>
              </w:rPr>
              <w:t>95%</w:t>
            </w:r>
          </w:p>
        </w:tc>
        <w:tc>
          <w:tcPr>
            <w:tcW w:type="dxa" w:w="1814"/>
            <w:vAlign w:val="top"/>
            <w:shd w:val="clear" w:color="auto" w:fill="FDF0F7"/>
          </w:tcPr>
          <w:p>
            <w:pPr>
              <w:spacing w:after="20" w:line="252" w:lineRule="auto"/>
            </w:pPr>
            <w:r>
              <w:rPr>
                <w:b w:val="0"/>
                <w:i w:val="0"/>
                <w:sz w:val="17"/>
                <w:highlight w:val="yellow"/>
              </w:rPr>
              <w:t>[n of n]</w:t>
            </w:r>
          </w:p>
        </w:tc>
        <w:tc>
          <w:tcPr>
            <w:tcW w:type="dxa" w:w="1928"/>
            <w:vAlign w:val="top"/>
            <w:shd w:val="clear" w:color="auto" w:fill="FDF0F7"/>
          </w:tcPr>
          <w:p>
            <w:pPr>
              <w:spacing w:after="20" w:line="252" w:lineRule="auto"/>
            </w:pPr>
            <w:r>
              <w:rPr>
                <w:b w:val="0"/>
                <w:i w:val="0"/>
                <w:sz w:val="17"/>
                <w:highlight w:val="yellow"/>
              </w:rPr>
              <w:t>[n of n]</w:t>
            </w:r>
          </w:p>
        </w:tc>
      </w:tr>
      <w:tr>
        <w:trPr>
          <w:cantSplit/>
        </w:trPr>
        <w:tc>
          <w:tcPr>
            <w:tcW w:type="dxa" w:w="3969"/>
            <w:vAlign w:val="top"/>
          </w:tcPr>
          <w:p>
            <w:pPr>
              <w:spacing w:after="20" w:line="252" w:lineRule="auto"/>
            </w:pPr>
            <w:r>
              <w:rPr>
                <w:b w:val="0"/>
                <w:i w:val="0"/>
                <w:sz w:val="17"/>
              </w:rPr>
              <w:t>P3 within SLA</w:t>
            </w:r>
          </w:p>
        </w:tc>
        <w:tc>
          <w:tcPr>
            <w:tcW w:type="dxa" w:w="1928"/>
            <w:vAlign w:val="top"/>
          </w:tcPr>
          <w:p>
            <w:pPr>
              <w:spacing w:after="20" w:line="252" w:lineRule="auto"/>
            </w:pPr>
            <w:r>
              <w:rPr>
                <w:b w:val="0"/>
                <w:i w:val="0"/>
                <w:sz w:val="17"/>
              </w:rPr>
              <w:t>90%</w:t>
            </w:r>
          </w:p>
        </w:tc>
        <w:tc>
          <w:tcPr>
            <w:tcW w:type="dxa" w:w="1814"/>
            <w:vAlign w:val="top"/>
          </w:tcPr>
          <w:p>
            <w:pPr>
              <w:spacing w:after="20" w:line="252" w:lineRule="auto"/>
            </w:pPr>
            <w:r>
              <w:rPr>
                <w:b w:val="0"/>
                <w:i w:val="0"/>
                <w:sz w:val="17"/>
                <w:highlight w:val="yellow"/>
              </w:rPr>
              <w:t>[n of n]</w:t>
            </w:r>
          </w:p>
        </w:tc>
        <w:tc>
          <w:tcPr>
            <w:tcW w:type="dxa" w:w="1928"/>
            <w:vAlign w:val="top"/>
          </w:tcPr>
          <w:p>
            <w:pPr>
              <w:spacing w:after="20" w:line="252" w:lineRule="auto"/>
            </w:pPr>
            <w:r>
              <w:rPr>
                <w:b w:val="0"/>
                <w:i w:val="0"/>
                <w:sz w:val="17"/>
                <w:highlight w:val="yellow"/>
              </w:rPr>
              <w:t>[n of n]</w:t>
            </w:r>
          </w:p>
        </w:tc>
      </w:tr>
      <w:tr>
        <w:trPr>
          <w:cantSplit/>
        </w:trPr>
        <w:tc>
          <w:tcPr>
            <w:tcW w:type="dxa" w:w="3969"/>
            <w:vAlign w:val="top"/>
            <w:shd w:val="clear" w:color="auto" w:fill="FDF0F7"/>
          </w:tcPr>
          <w:p>
            <w:pPr>
              <w:spacing w:after="20" w:line="252" w:lineRule="auto"/>
            </w:pPr>
            <w:r>
              <w:rPr>
                <w:b w:val="0"/>
                <w:i w:val="0"/>
                <w:sz w:val="17"/>
              </w:rPr>
              <w:t>EOD runs completed on schedule</w:t>
            </w:r>
          </w:p>
        </w:tc>
        <w:tc>
          <w:tcPr>
            <w:tcW w:type="dxa" w:w="1928"/>
            <w:vAlign w:val="top"/>
            <w:shd w:val="clear" w:color="auto" w:fill="FDF0F7"/>
          </w:tcPr>
          <w:p>
            <w:pPr>
              <w:spacing w:after="20" w:line="252" w:lineRule="auto"/>
            </w:pPr>
            <w:r>
              <w:rPr>
                <w:b w:val="0"/>
                <w:i w:val="0"/>
                <w:sz w:val="17"/>
              </w:rPr>
              <w:t>All business days</w:t>
            </w:r>
          </w:p>
        </w:tc>
        <w:tc>
          <w:tcPr>
            <w:tcW w:type="dxa" w:w="1814"/>
            <w:vAlign w:val="top"/>
            <w:shd w:val="clear" w:color="auto" w:fill="FDF0F7"/>
          </w:tcPr>
          <w:p>
            <w:pPr>
              <w:spacing w:after="20" w:line="252" w:lineRule="auto"/>
            </w:pPr>
            <w:r>
              <w:rPr>
                <w:b w:val="0"/>
                <w:i w:val="0"/>
                <w:sz w:val="17"/>
                <w:highlight w:val="yellow"/>
              </w:rPr>
              <w:t>[n of n]</w:t>
            </w:r>
          </w:p>
        </w:tc>
        <w:tc>
          <w:tcPr>
            <w:tcW w:type="dxa" w:w="1928"/>
            <w:vAlign w:val="top"/>
            <w:shd w:val="clear" w:color="auto" w:fill="FDF0F7"/>
          </w:tcPr>
          <w:p>
            <w:pPr>
              <w:spacing w:after="20" w:line="252" w:lineRule="auto"/>
            </w:pPr>
            <w:r>
              <w:rPr>
                <w:b w:val="0"/>
                <w:i w:val="0"/>
                <w:sz w:val="17"/>
                <w:highlight w:val="yellow"/>
              </w:rPr>
              <w:t>[n of n]</w:t>
            </w:r>
          </w:p>
        </w:tc>
      </w:tr>
      <w:tr>
        <w:trPr>
          <w:cantSplit/>
        </w:trPr>
        <w:tc>
          <w:tcPr>
            <w:tcW w:type="dxa" w:w="3969"/>
            <w:vAlign w:val="top"/>
          </w:tcPr>
          <w:p>
            <w:pPr>
              <w:spacing w:after="20" w:line="252" w:lineRule="auto"/>
            </w:pPr>
            <w:r>
              <w:rPr>
                <w:b w:val="0"/>
                <w:i w:val="0"/>
                <w:sz w:val="17"/>
              </w:rPr>
              <w:t>Reconciliations MATCHED</w:t>
            </w:r>
          </w:p>
        </w:tc>
        <w:tc>
          <w:tcPr>
            <w:tcW w:type="dxa" w:w="1928"/>
            <w:vAlign w:val="top"/>
          </w:tcPr>
          <w:p>
            <w:pPr>
              <w:spacing w:after="20" w:line="252" w:lineRule="auto"/>
            </w:pPr>
            <w:r>
              <w:rPr>
                <w:b w:val="0"/>
                <w:i w:val="0"/>
                <w:sz w:val="17"/>
              </w:rPr>
              <w:t>All</w:t>
            </w:r>
          </w:p>
        </w:tc>
        <w:tc>
          <w:tcPr>
            <w:tcW w:type="dxa" w:w="1814"/>
            <w:vAlign w:val="top"/>
          </w:tcPr>
          <w:p>
            <w:pPr>
              <w:spacing w:after="20" w:line="252" w:lineRule="auto"/>
            </w:pPr>
            <w:r>
              <w:rPr>
                <w:b w:val="0"/>
                <w:i w:val="0"/>
                <w:sz w:val="17"/>
                <w:highlight w:val="yellow"/>
              </w:rPr>
              <w:t>[n of n]</w:t>
            </w:r>
          </w:p>
        </w:tc>
        <w:tc>
          <w:tcPr>
            <w:tcW w:type="dxa" w:w="1928"/>
            <w:vAlign w:val="top"/>
          </w:tcPr>
          <w:p>
            <w:pPr>
              <w:spacing w:after="20" w:line="252" w:lineRule="auto"/>
            </w:pPr>
            <w:r>
              <w:rPr>
                <w:b w:val="0"/>
                <w:i w:val="0"/>
                <w:sz w:val="17"/>
                <w:highlight w:val="yellow"/>
              </w:rPr>
              <w:t>[n of n]</w:t>
            </w:r>
          </w:p>
        </w:tc>
      </w:tr>
      <w:tr>
        <w:trPr>
          <w:cantSplit/>
        </w:trPr>
        <w:tc>
          <w:tcPr>
            <w:tcW w:type="dxa" w:w="3969"/>
            <w:vAlign w:val="top"/>
            <w:shd w:val="clear" w:color="auto" w:fill="FDF0F7"/>
          </w:tcPr>
          <w:p>
            <w:pPr>
              <w:spacing w:after="20" w:line="252" w:lineRule="auto"/>
            </w:pPr>
            <w:r>
              <w:rPr>
                <w:b w:val="0"/>
                <w:i w:val="0"/>
                <w:sz w:val="17"/>
              </w:rPr>
              <w:t>Dead-letter messages (open at month end)</w:t>
            </w:r>
          </w:p>
        </w:tc>
        <w:tc>
          <w:tcPr>
            <w:tcW w:type="dxa" w:w="1928"/>
            <w:vAlign w:val="top"/>
            <w:shd w:val="clear" w:color="auto" w:fill="FDF0F7"/>
          </w:tcPr>
          <w:p>
            <w:pPr>
              <w:spacing w:after="20" w:line="252" w:lineRule="auto"/>
            </w:pPr>
            <w:r>
              <w:rPr>
                <w:b w:val="0"/>
                <w:i w:val="0"/>
                <w:sz w:val="17"/>
              </w:rPr>
              <w:t>0</w:t>
            </w:r>
          </w:p>
        </w:tc>
        <w:tc>
          <w:tcPr>
            <w:tcW w:type="dxa" w:w="1814"/>
            <w:vAlign w:val="top"/>
            <w:shd w:val="clear" w:color="auto" w:fill="FDF0F7"/>
          </w:tcPr>
          <w:p>
            <w:pPr>
              <w:spacing w:after="20" w:line="252" w:lineRule="auto"/>
            </w:pPr>
            <w:r>
              <w:rPr>
                <w:b w:val="0"/>
                <w:i w:val="0"/>
                <w:sz w:val="17"/>
                <w:highlight w:val="yellow"/>
              </w:rPr>
              <w:t>[n]</w:t>
            </w:r>
          </w:p>
        </w:tc>
        <w:tc>
          <w:tcPr>
            <w:tcW w:type="dxa" w:w="1928"/>
            <w:vAlign w:val="top"/>
            <w:shd w:val="clear" w:color="auto" w:fill="FDF0F7"/>
          </w:tcPr>
          <w:p>
            <w:pPr>
              <w:spacing w:after="20" w:line="252" w:lineRule="auto"/>
            </w:pPr>
            <w:r>
              <w:rPr>
                <w:b w:val="0"/>
                <w:i w:val="0"/>
                <w:sz w:val="17"/>
                <w:highlight w:val="yellow"/>
              </w:rPr>
              <w:t>[n]</w:t>
            </w:r>
          </w:p>
        </w:tc>
      </w:tr>
      <w:tr>
        <w:trPr>
          <w:cantSplit/>
        </w:trPr>
        <w:tc>
          <w:tcPr>
            <w:tcW w:type="dxa" w:w="3969"/>
            <w:vAlign w:val="top"/>
          </w:tcPr>
          <w:p>
            <w:pPr>
              <w:spacing w:after="20" w:line="252" w:lineRule="auto"/>
            </w:pPr>
            <w:r>
              <w:rPr>
                <w:b w:val="0"/>
                <w:i w:val="0"/>
                <w:sz w:val="17"/>
              </w:rPr>
              <w:t>Backups successful / restore test done</w:t>
            </w:r>
          </w:p>
        </w:tc>
        <w:tc>
          <w:tcPr>
            <w:tcW w:type="dxa" w:w="1928"/>
            <w:vAlign w:val="top"/>
          </w:tcPr>
          <w:p>
            <w:pPr>
              <w:spacing w:after="20" w:line="252" w:lineRule="auto"/>
            </w:pPr>
            <w:r>
              <w:rPr>
                <w:b w:val="0"/>
                <w:i w:val="0"/>
                <w:sz w:val="17"/>
              </w:rPr>
              <w:t>All / quarterly</w:t>
            </w:r>
          </w:p>
        </w:tc>
        <w:tc>
          <w:tcPr>
            <w:tcW w:type="dxa" w:w="1814"/>
            <w:vAlign w:val="top"/>
          </w:tcPr>
          <w:p>
            <w:pPr>
              <w:spacing w:after="20" w:line="252" w:lineRule="auto"/>
            </w:pPr>
            <w:r>
              <w:rPr>
                <w:b w:val="0"/>
                <w:i w:val="0"/>
                <w:sz w:val="17"/>
                <w:highlight w:val="yellow"/>
              </w:rPr>
              <w:t>[n of n / date]</w:t>
            </w:r>
          </w:p>
        </w:tc>
        <w:tc>
          <w:tcPr>
            <w:tcW w:type="dxa" w:w="1928"/>
            <w:vAlign w:val="top"/>
          </w:tcPr>
          <w:p>
            <w:pPr>
              <w:spacing w:after="20" w:line="252" w:lineRule="auto"/>
            </w:pPr>
            <w:r>
              <w:rPr>
                <w:b w:val="0"/>
                <w:i w:val="0"/>
                <w:sz w:val="17"/>
                <w:highlight w:val="yellow"/>
              </w:rPr>
              <w:t>[–]</w:t>
            </w:r>
          </w:p>
        </w:tc>
      </w:tr>
      <w:tr>
        <w:trPr>
          <w:cantSplit/>
        </w:trPr>
        <w:tc>
          <w:tcPr>
            <w:tcW w:type="dxa" w:w="3969"/>
            <w:vAlign w:val="top"/>
            <w:shd w:val="clear" w:color="auto" w:fill="FDF0F7"/>
          </w:tcPr>
          <w:p>
            <w:pPr>
              <w:spacing w:after="20" w:line="252" w:lineRule="auto"/>
            </w:pPr>
            <w:r>
              <w:rPr>
                <w:b w:val="0"/>
                <w:i w:val="0"/>
                <w:sz w:val="17"/>
              </w:rPr>
              <w:t>Database size / document store size</w:t>
            </w:r>
          </w:p>
        </w:tc>
        <w:tc>
          <w:tcPr>
            <w:tcW w:type="dxa" w:w="1928"/>
            <w:vAlign w:val="top"/>
            <w:shd w:val="clear" w:color="auto" w:fill="FDF0F7"/>
          </w:tcPr>
          <w:p>
            <w:pPr>
              <w:spacing w:after="20" w:line="252" w:lineRule="auto"/>
            </w:pPr>
            <w:r>
              <w:rPr>
                <w:b w:val="0"/>
                <w:i w:val="0"/>
                <w:sz w:val="17"/>
              </w:rPr>
              <w:t>Within sizing</w:t>
            </w:r>
          </w:p>
        </w:tc>
        <w:tc>
          <w:tcPr>
            <w:tcW w:type="dxa" w:w="1814"/>
            <w:vAlign w:val="top"/>
            <w:shd w:val="clear" w:color="auto" w:fill="FDF0F7"/>
          </w:tcPr>
          <w:p>
            <w:pPr>
              <w:spacing w:after="20" w:line="252" w:lineRule="auto"/>
            </w:pPr>
            <w:r>
              <w:rPr>
                <w:b w:val="0"/>
                <w:i w:val="0"/>
                <w:sz w:val="17"/>
                <w:highlight w:val="yellow"/>
              </w:rPr>
              <w:t>[GB / GB]</w:t>
            </w:r>
          </w:p>
        </w:tc>
        <w:tc>
          <w:tcPr>
            <w:tcW w:type="dxa" w:w="1928"/>
            <w:vAlign w:val="top"/>
            <w:shd w:val="clear" w:color="auto" w:fill="FDF0F7"/>
          </w:tcPr>
          <w:p>
            <w:pPr>
              <w:spacing w:after="20" w:line="252" w:lineRule="auto"/>
            </w:pPr>
            <w:r>
              <w:rPr>
                <w:b w:val="0"/>
                <w:i w:val="0"/>
                <w:sz w:val="17"/>
                <w:highlight w:val="yellow"/>
              </w:rPr>
              <w:t>[GB / GB]</w:t>
            </w:r>
          </w:p>
        </w:tc>
      </w:tr>
      <w:tr>
        <w:trPr>
          <w:cantSplit/>
        </w:trPr>
        <w:tc>
          <w:tcPr>
            <w:tcW w:type="dxa" w:w="3969"/>
            <w:vAlign w:val="top"/>
          </w:tcPr>
          <w:p>
            <w:pPr>
              <w:spacing w:after="20" w:line="252" w:lineRule="auto"/>
            </w:pPr>
            <w:r>
              <w:rPr>
                <w:b w:val="0"/>
                <w:i w:val="0"/>
                <w:sz w:val="17"/>
              </w:rPr>
              <w:t>Enhancement hours used (year to date)</w:t>
            </w:r>
          </w:p>
        </w:tc>
        <w:tc>
          <w:tcPr>
            <w:tcW w:type="dxa" w:w="1928"/>
            <w:vAlign w:val="top"/>
          </w:tcPr>
          <w:p>
            <w:pPr>
              <w:spacing w:after="20" w:line="252" w:lineRule="auto"/>
            </w:pPr>
            <w:r>
              <w:rPr>
                <w:b w:val="0"/>
                <w:i w:val="0"/>
                <w:sz w:val="17"/>
              </w:rPr>
              <w:t>60 per year</w:t>
            </w:r>
          </w:p>
        </w:tc>
        <w:tc>
          <w:tcPr>
            <w:tcW w:type="dxa" w:w="1814"/>
            <w:vAlign w:val="top"/>
          </w:tcPr>
          <w:p>
            <w:pPr>
              <w:spacing w:after="20" w:line="252" w:lineRule="auto"/>
            </w:pPr>
            <w:r>
              <w:rPr>
                <w:b w:val="0"/>
                <w:i w:val="0"/>
                <w:sz w:val="17"/>
                <w:highlight w:val="yellow"/>
              </w:rPr>
              <w:t>[h]</w:t>
            </w:r>
          </w:p>
        </w:tc>
        <w:tc>
          <w:tcPr>
            <w:tcW w:type="dxa" w:w="1928"/>
            <w:vAlign w:val="top"/>
          </w:tcPr>
          <w:p>
            <w:pPr>
              <w:spacing w:after="20" w:line="252" w:lineRule="auto"/>
            </w:pPr>
            <w:r>
              <w:rPr>
                <w:b w:val="0"/>
                <w:i w:val="0"/>
                <w:sz w:val="17"/>
                <w:highlight w:val="yellow"/>
              </w:rPr>
              <w:t>[h]</w:t>
            </w:r>
          </w:p>
        </w:tc>
      </w:tr>
      <w:tr>
        <w:trPr>
          <w:cantSplit/>
        </w:trPr>
        <w:tc>
          <w:tcPr>
            <w:tcW w:type="dxa" w:w="3969"/>
            <w:vAlign w:val="top"/>
            <w:shd w:val="clear" w:color="auto" w:fill="FDF0F7"/>
          </w:tcPr>
          <w:p>
            <w:pPr>
              <w:spacing w:after="20" w:line="252" w:lineRule="auto"/>
            </w:pPr>
            <w:r>
              <w:rPr>
                <w:b w:val="0"/>
                <w:i w:val="0"/>
                <w:sz w:val="17"/>
              </w:rPr>
              <w:t>Cloud charges against estimate (Option B)</w:t>
            </w:r>
          </w:p>
        </w:tc>
        <w:tc>
          <w:tcPr>
            <w:tcW w:type="dxa" w:w="1928"/>
            <w:vAlign w:val="top"/>
            <w:shd w:val="clear" w:color="auto" w:fill="FDF0F7"/>
          </w:tcPr>
          <w:p>
            <w:pPr>
              <w:spacing w:after="20" w:line="252" w:lineRule="auto"/>
            </w:pPr>
            <w:r>
              <w:rPr>
                <w:b w:val="0"/>
                <w:i w:val="0"/>
                <w:sz w:val="17"/>
              </w:rPr>
              <w:t>Within estimate</w:t>
            </w:r>
          </w:p>
        </w:tc>
        <w:tc>
          <w:tcPr>
            <w:tcW w:type="dxa" w:w="1814"/>
            <w:vAlign w:val="top"/>
            <w:shd w:val="clear" w:color="auto" w:fill="FDF0F7"/>
          </w:tcPr>
          <w:p>
            <w:pPr>
              <w:spacing w:after="20" w:line="252" w:lineRule="auto"/>
            </w:pPr>
            <w:r>
              <w:rPr>
                <w:b w:val="0"/>
                <w:i w:val="0"/>
                <w:sz w:val="17"/>
                <w:highlight w:val="yellow"/>
              </w:rPr>
              <w:t>[B$ / B$]</w:t>
            </w:r>
          </w:p>
        </w:tc>
        <w:tc>
          <w:tcPr>
            <w:tcW w:type="dxa" w:w="1928"/>
            <w:vAlign w:val="top"/>
            <w:shd w:val="clear" w:color="auto" w:fill="FDF0F7"/>
          </w:tcPr>
          <w:p>
            <w:pPr>
              <w:spacing w:after="20" w:line="252" w:lineRule="auto"/>
            </w:pPr>
            <w:r>
              <w:rPr>
                <w:b w:val="0"/>
                <w:i w:val="0"/>
                <w:sz w:val="17"/>
                <w:highlight w:val="yellow"/>
              </w:rPr>
              <w:t>[B$ / B$]</w:t>
            </w:r>
          </w:p>
        </w:tc>
      </w:tr>
    </w:tbl>
    <w:p>
      <w:pPr>
        <w:pStyle w:val="Caption"/>
        <w:jc w:val="center"/>
      </w:pPr>
      <w:r>
        <w:rPr>
          <w:b w:val="0"/>
          <w:i w:val="0"/>
        </w:rPr>
        <w:t>Table 33: KPI table</w:t>
      </w:r>
    </w:p>
    <w:p>
      <w:pPr>
        <w:pStyle w:val="Heading1"/>
        <w:pageBreakBefore w:val="0"/>
        <w:pBdr>
          <w:bottom w:val="single" w:sz="12" w:space="4" w:color="F58220"/>
        </w:pBdr>
      </w:pPr>
      <w:r>
        <w:t>20. Exit and Transition Plan</w:t>
      </w:r>
    </w:p>
    <w:p>
      <w:pPr>
        <w:keepNext w:val="0"/>
      </w:pPr>
      <w:r>
        <w:rPr>
          <w:b w:val="0"/>
          <w:i w:val="0"/>
        </w:rPr>
        <w:t>Exit assistance is included in Year 5 of the AMC or subscription and on termination (COM-19, MNT-30). IIFT owns its data, the configuration and the IIFT-specific code delivered under the contract; the core platform source is IIFT's to keep where Option C or an escrow release applies.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Element</w:t>
            </w:r>
          </w:p>
        </w:tc>
        <w:tc>
          <w:tcPr>
            <w:tcW w:type="dxa" w:w="7597"/>
            <w:shd w:val="clear" w:color="auto" w:fill="E1058C"/>
            <w:vAlign w:val="center"/>
          </w:tcPr>
          <w:p>
            <w:pPr>
              <w:spacing w:after="0"/>
            </w:pPr>
            <w:r>
              <w:rPr>
                <w:b/>
                <w:i w:val="0"/>
                <w:color w:val="FFFFFF"/>
                <w:sz w:val="17"/>
              </w:rPr>
              <w:t>Commitment</w:t>
            </w:r>
          </w:p>
        </w:tc>
      </w:tr>
      <w:tr>
        <w:trPr>
          <w:cantSplit/>
        </w:trPr>
        <w:tc>
          <w:tcPr>
            <w:tcW w:type="dxa" w:w="2041"/>
            <w:vAlign w:val="top"/>
          </w:tcPr>
          <w:p>
            <w:pPr>
              <w:spacing w:after="20" w:line="252" w:lineRule="auto"/>
            </w:pPr>
            <w:r>
              <w:rPr>
                <w:b/>
                <w:i w:val="0"/>
                <w:sz w:val="17"/>
              </w:rPr>
              <w:t>Trigger</w:t>
            </w:r>
          </w:p>
        </w:tc>
        <w:tc>
          <w:tcPr>
            <w:tcW w:type="dxa" w:w="7597"/>
            <w:vAlign w:val="top"/>
          </w:tcPr>
          <w:p>
            <w:pPr>
              <w:spacing w:after="20" w:line="252" w:lineRule="auto"/>
            </w:pPr>
            <w:r>
              <w:rPr>
                <w:b w:val="0"/>
                <w:i w:val="0"/>
                <w:sz w:val="17"/>
              </w:rPr>
              <w:t>Year 5 of the maintenance or subscription term, or within 30 days of a termination notice</w:t>
            </w:r>
          </w:p>
        </w:tc>
      </w:tr>
      <w:tr>
        <w:trPr>
          <w:cantSplit/>
        </w:trPr>
        <w:tc>
          <w:tcPr>
            <w:tcW w:type="dxa" w:w="2041"/>
            <w:vAlign w:val="top"/>
            <w:shd w:val="clear" w:color="auto" w:fill="FDF0F7"/>
          </w:tcPr>
          <w:p>
            <w:pPr>
              <w:spacing w:after="20" w:line="252" w:lineRule="auto"/>
            </w:pPr>
            <w:r>
              <w:rPr>
                <w:b/>
                <w:i w:val="0"/>
                <w:sz w:val="17"/>
              </w:rPr>
              <w:t>Exit plan</w:t>
            </w:r>
          </w:p>
        </w:tc>
        <w:tc>
          <w:tcPr>
            <w:tcW w:type="dxa" w:w="7597"/>
            <w:vAlign w:val="top"/>
            <w:shd w:val="clear" w:color="auto" w:fill="FDF0F7"/>
          </w:tcPr>
          <w:p>
            <w:pPr>
              <w:spacing w:after="20" w:line="252" w:lineRule="auto"/>
            </w:pPr>
            <w:r>
              <w:rPr>
                <w:b w:val="0"/>
                <w:i w:val="0"/>
                <w:sz w:val="17"/>
              </w:rPr>
              <w:t>Scope, timeline, receiving party and responsibilities agreed with IIFT</w:t>
            </w:r>
          </w:p>
        </w:tc>
      </w:tr>
      <w:tr>
        <w:trPr>
          <w:cantSplit/>
        </w:trPr>
        <w:tc>
          <w:tcPr>
            <w:tcW w:type="dxa" w:w="2041"/>
            <w:vAlign w:val="top"/>
          </w:tcPr>
          <w:p>
            <w:pPr>
              <w:spacing w:after="20" w:line="252" w:lineRule="auto"/>
            </w:pPr>
            <w:r>
              <w:rPr>
                <w:b/>
                <w:i w:val="0"/>
                <w:sz w:val="17"/>
              </w:rPr>
              <w:t>Knowledge transfer</w:t>
            </w:r>
          </w:p>
        </w:tc>
        <w:tc>
          <w:tcPr>
            <w:tcW w:type="dxa" w:w="7597"/>
            <w:vAlign w:val="top"/>
          </w:tcPr>
          <w:p>
            <w:pPr>
              <w:spacing w:after="20" w:line="252" w:lineRule="auto"/>
            </w:pPr>
            <w:r>
              <w:rPr>
                <w:b w:val="0"/>
                <w:i w:val="0"/>
                <w:sz w:val="17"/>
              </w:rPr>
              <w:t>Sessions on architecture, code, configuration, operations and known issues to the new provider or IIFT team (sessions 1 to 8 repeated as needed)</w:t>
            </w:r>
          </w:p>
        </w:tc>
      </w:tr>
      <w:tr>
        <w:trPr>
          <w:cantSplit/>
        </w:trPr>
        <w:tc>
          <w:tcPr>
            <w:tcW w:type="dxa" w:w="2041"/>
            <w:vAlign w:val="top"/>
            <w:shd w:val="clear" w:color="auto" w:fill="FDF0F7"/>
          </w:tcPr>
          <w:p>
            <w:pPr>
              <w:spacing w:after="20" w:line="252" w:lineRule="auto"/>
            </w:pPr>
            <w:r>
              <w:rPr>
                <w:b/>
                <w:i w:val="0"/>
                <w:sz w:val="17"/>
              </w:rPr>
              <w:t>Documentation</w:t>
            </w:r>
          </w:p>
        </w:tc>
        <w:tc>
          <w:tcPr>
            <w:tcW w:type="dxa" w:w="7597"/>
            <w:vAlign w:val="top"/>
            <w:shd w:val="clear" w:color="auto" w:fill="FDF0F7"/>
          </w:tcPr>
          <w:p>
            <w:pPr>
              <w:spacing w:after="20" w:line="252" w:lineRule="auto"/>
            </w:pPr>
            <w:r>
              <w:rPr>
                <w:b w:val="0"/>
                <w:i w:val="0"/>
                <w:sz w:val="17"/>
              </w:rPr>
              <w:t>Final update of this document, the Solution Architecture, Data Dictionary, administrator and user manuals</w:t>
            </w:r>
          </w:p>
        </w:tc>
      </w:tr>
      <w:tr>
        <w:trPr>
          <w:cantSplit/>
        </w:trPr>
        <w:tc>
          <w:tcPr>
            <w:tcW w:type="dxa" w:w="2041"/>
            <w:vAlign w:val="top"/>
          </w:tcPr>
          <w:p>
            <w:pPr>
              <w:spacing w:after="20" w:line="252" w:lineRule="auto"/>
            </w:pPr>
            <w:r>
              <w:rPr>
                <w:b/>
                <w:i w:val="0"/>
                <w:sz w:val="17"/>
              </w:rPr>
              <w:t>Source code and tooling</w:t>
            </w:r>
          </w:p>
        </w:tc>
        <w:tc>
          <w:tcPr>
            <w:tcW w:type="dxa" w:w="7597"/>
            <w:vAlign w:val="top"/>
          </w:tcPr>
          <w:p>
            <w:pPr>
              <w:spacing w:after="20" w:line="252" w:lineRule="auto"/>
            </w:pPr>
            <w:r>
              <w:rPr>
                <w:b w:val="0"/>
                <w:i w:val="0"/>
                <w:sz w:val="17"/>
              </w:rPr>
              <w:t>Final source code of the IIFT-specific components (and of the core platform where Option C or an escrow release applies), pipeline definitions, deployment files, infrastructure code and build scripts; container images in the IITH registry</w:t>
            </w:r>
          </w:p>
        </w:tc>
      </w:tr>
      <w:tr>
        <w:trPr>
          <w:cantSplit/>
        </w:trPr>
        <w:tc>
          <w:tcPr>
            <w:tcW w:type="dxa" w:w="2041"/>
            <w:vAlign w:val="top"/>
            <w:shd w:val="clear" w:color="auto" w:fill="FDF0F7"/>
          </w:tcPr>
          <w:p>
            <w:pPr>
              <w:spacing w:after="20" w:line="252" w:lineRule="auto"/>
            </w:pPr>
            <w:r>
              <w:rPr>
                <w:b/>
                <w:i w:val="0"/>
                <w:sz w:val="17"/>
              </w:rPr>
              <w:t>Data</w:t>
            </w:r>
          </w:p>
        </w:tc>
        <w:tc>
          <w:tcPr>
            <w:tcW w:type="dxa" w:w="7597"/>
            <w:vAlign w:val="top"/>
            <w:shd w:val="clear" w:color="auto" w:fill="FDF0F7"/>
          </w:tcPr>
          <w:p>
            <w:pPr>
              <w:spacing w:after="20" w:line="252" w:lineRule="auto"/>
            </w:pPr>
            <w:r>
              <w:rPr>
                <w:b w:val="0"/>
                <w:i w:val="0"/>
                <w:sz w:val="17"/>
              </w:rPr>
              <w:t>IIFT owns all data. Full export on request: PostgreSQL dump, CSV per table, document files decrypted into a folder per owner, audit trail</w:t>
            </w:r>
          </w:p>
        </w:tc>
      </w:tr>
      <w:tr>
        <w:trPr>
          <w:cantSplit/>
        </w:trPr>
        <w:tc>
          <w:tcPr>
            <w:tcW w:type="dxa" w:w="2041"/>
            <w:vAlign w:val="top"/>
          </w:tcPr>
          <w:p>
            <w:pPr>
              <w:spacing w:after="20" w:line="252" w:lineRule="auto"/>
            </w:pPr>
            <w:r>
              <w:rPr>
                <w:b/>
                <w:i w:val="0"/>
                <w:sz w:val="17"/>
              </w:rPr>
              <w:t>Hosting (Option B)</w:t>
            </w:r>
          </w:p>
        </w:tc>
        <w:tc>
          <w:tcPr>
            <w:tcW w:type="dxa" w:w="7597"/>
            <w:vAlign w:val="top"/>
          </w:tcPr>
          <w:p>
            <w:pPr>
              <w:spacing w:after="20" w:line="252" w:lineRule="auto"/>
            </w:pPr>
            <w:r>
              <w:rPr>
                <w:b w:val="0"/>
                <w:i w:val="0"/>
                <w:sz w:val="17"/>
              </w:rPr>
              <w:t>Data returned as above; the cloud estate is handed to IIFT (an account in IIFT's name stays with IIFT) or deleted after IIFT confirms receipt, with a deletion certificate covering backups</w:t>
            </w:r>
          </w:p>
        </w:tc>
      </w:tr>
      <w:tr>
        <w:trPr>
          <w:cantSplit/>
        </w:trPr>
        <w:tc>
          <w:tcPr>
            <w:tcW w:type="dxa" w:w="2041"/>
            <w:vAlign w:val="top"/>
            <w:shd w:val="clear" w:color="auto" w:fill="FDF0F7"/>
          </w:tcPr>
          <w:p>
            <w:pPr>
              <w:spacing w:after="20" w:line="252" w:lineRule="auto"/>
            </w:pPr>
            <w:r>
              <w:rPr>
                <w:b/>
                <w:i w:val="0"/>
                <w:sz w:val="17"/>
              </w:rPr>
              <w:t>Credentials</w:t>
            </w:r>
          </w:p>
        </w:tc>
        <w:tc>
          <w:tcPr>
            <w:tcW w:type="dxa" w:w="7597"/>
            <w:vAlign w:val="top"/>
            <w:shd w:val="clear" w:color="auto" w:fill="FDF0F7"/>
          </w:tcPr>
          <w:p>
            <w:pPr>
              <w:spacing w:after="20" w:line="252" w:lineRule="auto"/>
            </w:pPr>
            <w:r>
              <w:rPr>
                <w:b w:val="0"/>
                <w:i w:val="0"/>
                <w:sz w:val="17"/>
              </w:rPr>
              <w:t>All iorta access removed; secrets rotated by IITH after transfer</w:t>
            </w:r>
          </w:p>
        </w:tc>
      </w:tr>
      <w:tr>
        <w:trPr>
          <w:cantSplit/>
        </w:trPr>
        <w:tc>
          <w:tcPr>
            <w:tcW w:type="dxa" w:w="2041"/>
            <w:vAlign w:val="top"/>
          </w:tcPr>
          <w:p>
            <w:pPr>
              <w:spacing w:after="20" w:line="252" w:lineRule="auto"/>
            </w:pPr>
            <w:r>
              <w:rPr>
                <w:b/>
                <w:i w:val="0"/>
                <w:sz w:val="17"/>
              </w:rPr>
              <w:t>Parallel support</w:t>
            </w:r>
          </w:p>
        </w:tc>
        <w:tc>
          <w:tcPr>
            <w:tcW w:type="dxa" w:w="7597"/>
            <w:vAlign w:val="top"/>
          </w:tcPr>
          <w:p>
            <w:pPr>
              <w:spacing w:after="20" w:line="252" w:lineRule="auto"/>
            </w:pPr>
            <w:r>
              <w:rPr>
                <w:b w:val="0"/>
                <w:i w:val="0"/>
                <w:sz w:val="17"/>
              </w:rPr>
              <w:t>Shadow support to the new provider for up to 30 days</w:t>
            </w:r>
          </w:p>
        </w:tc>
      </w:tr>
      <w:tr>
        <w:trPr>
          <w:cantSplit/>
        </w:trPr>
        <w:tc>
          <w:tcPr>
            <w:tcW w:type="dxa" w:w="2041"/>
            <w:vAlign w:val="top"/>
            <w:shd w:val="clear" w:color="auto" w:fill="FDF0F7"/>
          </w:tcPr>
          <w:p>
            <w:pPr>
              <w:spacing w:after="20" w:line="252" w:lineRule="auto"/>
            </w:pPr>
            <w:r>
              <w:rPr>
                <w:b/>
                <w:i w:val="0"/>
                <w:sz w:val="17"/>
              </w:rPr>
              <w:t>Closure</w:t>
            </w:r>
          </w:p>
        </w:tc>
        <w:tc>
          <w:tcPr>
            <w:tcW w:type="dxa" w:w="7597"/>
            <w:vAlign w:val="top"/>
            <w:shd w:val="clear" w:color="auto" w:fill="FDF0F7"/>
          </w:tcPr>
          <w:p>
            <w:pPr>
              <w:spacing w:after="20" w:line="252" w:lineRule="auto"/>
            </w:pPr>
            <w:r>
              <w:rPr>
                <w:b w:val="0"/>
                <w:i w:val="0"/>
                <w:sz w:val="17"/>
              </w:rPr>
              <w:t>Signed transition acceptance; secure deletion of IIFT data held by iorta, with certificate</w:t>
            </w:r>
          </w:p>
        </w:tc>
      </w:tr>
    </w:tbl>
    <w:p>
      <w:pPr>
        <w:pStyle w:val="Caption"/>
        <w:jc w:val="center"/>
      </w:pPr>
      <w:r>
        <w:rPr>
          <w:b w:val="0"/>
          <w:i w:val="0"/>
        </w:rPr>
        <w:t>Table 34: Exit and transition</w:t>
      </w:r>
    </w:p>
    <w:sectPr w:rsidR="00FC693F" w:rsidRPr="0006063C" w:rsidSect="00034616">
      <w:headerReference w:type="default" r:id="rId22"/>
      <w:footerReference w:type="default" r:id="rId23"/>
      <w:pgSz w:w="11906" w:h="16838"/>
      <w:pgMar w:top="1247"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IIFT-SV2-PSH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IIFT-SV2-PSH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IIFT-SV2-PSH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Production Support Handover | IIFT Agent/Banca Portal &amp; Back-office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570"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Production Support Handover | IIFT Agent/Banca Portal &amp; Back-office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Production Support Handover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Production Support Handover</dc:title>
  <dc:subject>IIFT Agent/Banca Portal &amp; Back-office – Production Support Handover</dc:subject>
  <dc:creator>iorta TechNXT</dc:creator>
  <cp:keywords>production support; runbooks; SLA; operations; managed services; source code handover; SalesVerse 2.0; IIFT</cp:keywords>
  <dc:description/>
  <cp:lastModifiedBy>iorta TechNXT</cp:lastModifiedBy>
  <cp:revision>1</cp:revision>
  <dcterms:created xsi:type="dcterms:W3CDTF">2026-10-02T21:29:30Z</dcterms:created>
  <dcterms:modified xsi:type="dcterms:W3CDTF">2026-10-02T21:29:30Z</dcterms:modified>
  <cp:category>Commercial-in-Confidence</cp:category>
  <dc:identifier>IIFT-SV2-PSH</dc:identifier>
  <cp:version>1.0</cp:version>
</cp:coreProperties>
</file>